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B16A" w14:textId="77777777" w:rsidR="00EA02A7" w:rsidRDefault="00EA02A7" w:rsidP="008B0B20">
      <w:pPr>
        <w:spacing w:line="276" w:lineRule="auto"/>
        <w:jc w:val="center"/>
      </w:pPr>
    </w:p>
    <w:p w14:paraId="1E683D7D" w14:textId="77777777" w:rsidR="00EA02A7" w:rsidRDefault="00EA02A7" w:rsidP="008B0B20">
      <w:pPr>
        <w:spacing w:line="276" w:lineRule="auto"/>
        <w:jc w:val="center"/>
      </w:pPr>
    </w:p>
    <w:p w14:paraId="7B7AA6D8" w14:textId="77777777" w:rsidR="00EA02A7" w:rsidRDefault="00EA02A7" w:rsidP="008B0B20">
      <w:pPr>
        <w:spacing w:line="276" w:lineRule="auto"/>
        <w:jc w:val="center"/>
      </w:pPr>
    </w:p>
    <w:p w14:paraId="54C05C3A" w14:textId="200BB064" w:rsidR="008B0B20" w:rsidRPr="00EA02A7" w:rsidRDefault="00EA02A7" w:rsidP="008B0B20">
      <w:pPr>
        <w:spacing w:line="276" w:lineRule="auto"/>
        <w:jc w:val="center"/>
      </w:pPr>
      <w:r w:rsidRPr="00EA02A7">
        <w:t>Ministrstvo za zdravje</w:t>
      </w:r>
    </w:p>
    <w:p w14:paraId="7D8C1811" w14:textId="5556D1E5" w:rsidR="00EA02A7" w:rsidRPr="00EA02A7" w:rsidRDefault="00EA02A7" w:rsidP="008B0B20">
      <w:pPr>
        <w:spacing w:line="276" w:lineRule="auto"/>
        <w:jc w:val="center"/>
      </w:pPr>
      <w:r w:rsidRPr="00EA02A7">
        <w:t>Štefanova 5</w:t>
      </w:r>
    </w:p>
    <w:p w14:paraId="7EBF10AF" w14:textId="105CABB3" w:rsidR="00EA02A7" w:rsidRPr="003672CC" w:rsidRDefault="00EA02A7" w:rsidP="008B0B20">
      <w:pPr>
        <w:spacing w:line="276" w:lineRule="auto"/>
        <w:jc w:val="center"/>
        <w:rPr>
          <w:sz w:val="44"/>
          <w:szCs w:val="44"/>
        </w:rPr>
      </w:pPr>
      <w:r w:rsidRPr="00EA02A7">
        <w:t>1000 Ljubljana</w:t>
      </w:r>
    </w:p>
    <w:p w14:paraId="574C5790" w14:textId="77777777" w:rsidR="008B0B20" w:rsidRPr="003672CC" w:rsidRDefault="008B0B20" w:rsidP="008B0B20">
      <w:pPr>
        <w:spacing w:line="276" w:lineRule="auto"/>
        <w:jc w:val="center"/>
        <w:rPr>
          <w:sz w:val="44"/>
          <w:szCs w:val="44"/>
        </w:rPr>
      </w:pPr>
    </w:p>
    <w:p w14:paraId="64EB59A1" w14:textId="77777777" w:rsidR="008B0B20" w:rsidRPr="003672CC" w:rsidRDefault="008B0B20" w:rsidP="008B0B20">
      <w:pPr>
        <w:spacing w:line="276" w:lineRule="auto"/>
        <w:jc w:val="center"/>
        <w:rPr>
          <w:sz w:val="44"/>
          <w:szCs w:val="44"/>
        </w:rPr>
      </w:pPr>
    </w:p>
    <w:p w14:paraId="5B44429D" w14:textId="4E33A833" w:rsidR="008B0B20" w:rsidRDefault="008B0B20" w:rsidP="008B0B20">
      <w:pPr>
        <w:spacing w:line="276" w:lineRule="auto"/>
        <w:jc w:val="center"/>
        <w:rPr>
          <w:sz w:val="44"/>
          <w:szCs w:val="44"/>
        </w:rPr>
      </w:pPr>
    </w:p>
    <w:p w14:paraId="2EC892E1" w14:textId="5FB7A039" w:rsidR="00EA02A7" w:rsidRDefault="00EA02A7" w:rsidP="008B0B20">
      <w:pPr>
        <w:spacing w:line="276" w:lineRule="auto"/>
        <w:jc w:val="center"/>
        <w:rPr>
          <w:sz w:val="44"/>
          <w:szCs w:val="44"/>
        </w:rPr>
      </w:pPr>
    </w:p>
    <w:p w14:paraId="228A866C" w14:textId="77777777" w:rsidR="00EA02A7" w:rsidRPr="003672CC" w:rsidRDefault="00EA02A7" w:rsidP="008B0B20">
      <w:pPr>
        <w:spacing w:line="276" w:lineRule="auto"/>
        <w:jc w:val="center"/>
        <w:rPr>
          <w:sz w:val="44"/>
          <w:szCs w:val="44"/>
        </w:rPr>
      </w:pPr>
    </w:p>
    <w:p w14:paraId="2C49EEC5" w14:textId="77777777" w:rsidR="008B0B20" w:rsidRPr="003672CC" w:rsidRDefault="008B0B20" w:rsidP="008B0B20">
      <w:pPr>
        <w:spacing w:line="276" w:lineRule="auto"/>
        <w:jc w:val="center"/>
        <w:rPr>
          <w:sz w:val="44"/>
          <w:szCs w:val="44"/>
        </w:rPr>
      </w:pPr>
    </w:p>
    <w:p w14:paraId="0A6F01F3" w14:textId="11435C99" w:rsidR="00F94343" w:rsidRDefault="00F94343" w:rsidP="00F94343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AKCIJSKI NAČRT</w:t>
      </w:r>
      <w:r w:rsidR="000E3E4A">
        <w:rPr>
          <w:sz w:val="44"/>
          <w:szCs w:val="44"/>
        </w:rPr>
        <w:t xml:space="preserve"> ZA LETI 2022 in 2023</w:t>
      </w:r>
    </w:p>
    <w:p w14:paraId="5FAA749B" w14:textId="77777777" w:rsidR="00F94343" w:rsidRDefault="00F94343" w:rsidP="00F94343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ZA NAČRT DELA NA PODROČJU REDKIH BOLEZNI V REPUBLIKI SLOVENIJI</w:t>
      </w:r>
    </w:p>
    <w:p w14:paraId="29485A64" w14:textId="77777777" w:rsidR="00F94343" w:rsidRDefault="00F94343" w:rsidP="00F94343">
      <w:pPr>
        <w:spacing w:line="276" w:lineRule="auto"/>
        <w:jc w:val="center"/>
      </w:pPr>
      <w:r>
        <w:rPr>
          <w:sz w:val="44"/>
          <w:szCs w:val="44"/>
        </w:rPr>
        <w:t>2021-2030</w:t>
      </w:r>
    </w:p>
    <w:p w14:paraId="03198365" w14:textId="0BB71A0C" w:rsidR="00921291" w:rsidRPr="003672CC" w:rsidRDefault="00921291" w:rsidP="008B0B20">
      <w:pPr>
        <w:spacing w:line="276" w:lineRule="auto"/>
        <w:jc w:val="center"/>
        <w:rPr>
          <w:sz w:val="44"/>
          <w:szCs w:val="44"/>
        </w:rPr>
      </w:pPr>
    </w:p>
    <w:p w14:paraId="038279BE" w14:textId="77777777" w:rsidR="00132ABA" w:rsidRPr="003672CC" w:rsidRDefault="00132ABA" w:rsidP="0039131B">
      <w:pPr>
        <w:spacing w:line="276" w:lineRule="auto"/>
      </w:pPr>
    </w:p>
    <w:p w14:paraId="6057E254" w14:textId="3C11514A" w:rsidR="00132ABA" w:rsidRDefault="00132ABA" w:rsidP="0039131B">
      <w:pPr>
        <w:spacing w:line="276" w:lineRule="auto"/>
      </w:pPr>
    </w:p>
    <w:p w14:paraId="7F684A29" w14:textId="5EF215A2" w:rsidR="00EA02A7" w:rsidRDefault="00EA02A7" w:rsidP="0039131B">
      <w:pPr>
        <w:spacing w:line="276" w:lineRule="auto"/>
      </w:pPr>
    </w:p>
    <w:p w14:paraId="0834C2BE" w14:textId="6B1FB329" w:rsidR="00EA02A7" w:rsidRDefault="00EA02A7" w:rsidP="0039131B">
      <w:pPr>
        <w:spacing w:line="276" w:lineRule="auto"/>
      </w:pPr>
    </w:p>
    <w:p w14:paraId="3A291851" w14:textId="5596AEF8" w:rsidR="00EA02A7" w:rsidRDefault="00EA02A7" w:rsidP="0039131B">
      <w:pPr>
        <w:spacing w:line="276" w:lineRule="auto"/>
      </w:pPr>
    </w:p>
    <w:p w14:paraId="10C34E3E" w14:textId="2F9D5473" w:rsidR="00EA02A7" w:rsidRDefault="00EA02A7" w:rsidP="0039131B">
      <w:pPr>
        <w:spacing w:line="276" w:lineRule="auto"/>
      </w:pPr>
    </w:p>
    <w:p w14:paraId="41BD94E5" w14:textId="2105FC38" w:rsidR="00EA02A7" w:rsidRDefault="00EA02A7" w:rsidP="0039131B">
      <w:pPr>
        <w:spacing w:line="276" w:lineRule="auto"/>
      </w:pPr>
    </w:p>
    <w:p w14:paraId="7DA9C0D0" w14:textId="7456EEE9" w:rsidR="00EA02A7" w:rsidRDefault="00EA02A7" w:rsidP="0039131B">
      <w:pPr>
        <w:spacing w:line="276" w:lineRule="auto"/>
      </w:pPr>
    </w:p>
    <w:p w14:paraId="46184A85" w14:textId="2CEF9D1F" w:rsidR="00EA02A7" w:rsidRDefault="00EA02A7" w:rsidP="0039131B">
      <w:pPr>
        <w:spacing w:line="276" w:lineRule="auto"/>
      </w:pPr>
    </w:p>
    <w:p w14:paraId="7F6B68B4" w14:textId="569CB54E" w:rsidR="00EA02A7" w:rsidRDefault="00EA02A7" w:rsidP="0039131B">
      <w:pPr>
        <w:spacing w:line="276" w:lineRule="auto"/>
      </w:pPr>
    </w:p>
    <w:p w14:paraId="54E44B2D" w14:textId="5524CF05" w:rsidR="00EA02A7" w:rsidRDefault="00EA02A7" w:rsidP="0039131B">
      <w:pPr>
        <w:spacing w:line="276" w:lineRule="auto"/>
      </w:pPr>
    </w:p>
    <w:p w14:paraId="0026CC36" w14:textId="6B74DB7A" w:rsidR="00EA02A7" w:rsidRDefault="00EA02A7" w:rsidP="0039131B">
      <w:pPr>
        <w:spacing w:line="276" w:lineRule="auto"/>
      </w:pPr>
    </w:p>
    <w:p w14:paraId="7D14C96F" w14:textId="2180A821" w:rsidR="00EA02A7" w:rsidRDefault="00EA02A7" w:rsidP="0039131B">
      <w:pPr>
        <w:spacing w:line="276" w:lineRule="auto"/>
      </w:pPr>
    </w:p>
    <w:p w14:paraId="5FBEB6C1" w14:textId="3275EFDE" w:rsidR="00EA02A7" w:rsidRDefault="00EA02A7" w:rsidP="0039131B">
      <w:pPr>
        <w:spacing w:line="276" w:lineRule="auto"/>
      </w:pPr>
    </w:p>
    <w:p w14:paraId="717FE4BF" w14:textId="52777011" w:rsidR="00EA02A7" w:rsidRDefault="00EA02A7" w:rsidP="0039131B">
      <w:pPr>
        <w:spacing w:line="276" w:lineRule="auto"/>
      </w:pPr>
    </w:p>
    <w:p w14:paraId="6211515A" w14:textId="77777777" w:rsidR="00132ABA" w:rsidRPr="003672CC" w:rsidRDefault="00132ABA" w:rsidP="0039131B">
      <w:pPr>
        <w:spacing w:line="276" w:lineRule="auto"/>
      </w:pPr>
    </w:p>
    <w:p w14:paraId="194891FB" w14:textId="17123757" w:rsidR="00132ABA" w:rsidRPr="003672CC" w:rsidRDefault="00EA02A7" w:rsidP="00EA02A7">
      <w:pPr>
        <w:spacing w:line="276" w:lineRule="auto"/>
        <w:ind w:left="5040" w:firstLine="720"/>
      </w:pPr>
      <w:r>
        <w:t xml:space="preserve">Ljubljana, </w:t>
      </w:r>
      <w:r w:rsidR="00346A19">
        <w:t>november</w:t>
      </w:r>
      <w:r>
        <w:t xml:space="preserve"> 2021</w:t>
      </w:r>
    </w:p>
    <w:p w14:paraId="4D80A9BA" w14:textId="04427203" w:rsidR="008B0B20" w:rsidRPr="003672CC" w:rsidRDefault="008B0B20" w:rsidP="0039131B">
      <w:pPr>
        <w:spacing w:line="276" w:lineRule="auto"/>
      </w:pPr>
    </w:p>
    <w:p w14:paraId="023F940A" w14:textId="041C8F85" w:rsidR="008A751F" w:rsidRDefault="008A751F" w:rsidP="0039131B">
      <w:pPr>
        <w:spacing w:line="276" w:lineRule="auto"/>
        <w:rPr>
          <w:b/>
          <w:bCs/>
        </w:rPr>
      </w:pPr>
    </w:p>
    <w:p w14:paraId="56BA9E28" w14:textId="50525140" w:rsidR="00EA02A7" w:rsidRDefault="00EA02A7" w:rsidP="0039131B">
      <w:pPr>
        <w:spacing w:line="276" w:lineRule="auto"/>
        <w:rPr>
          <w:b/>
          <w:bCs/>
        </w:rPr>
      </w:pPr>
    </w:p>
    <w:p w14:paraId="0103F399" w14:textId="0FA4E4EA" w:rsidR="00EA02A7" w:rsidRDefault="00EA02A7" w:rsidP="0039131B">
      <w:pPr>
        <w:spacing w:line="276" w:lineRule="auto"/>
        <w:rPr>
          <w:b/>
          <w:bCs/>
        </w:rPr>
      </w:pPr>
    </w:p>
    <w:p w14:paraId="06739E75" w14:textId="1971C47C" w:rsidR="00320F45" w:rsidRPr="008A74BA" w:rsidRDefault="0023533F" w:rsidP="008A74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Akcijski načrt za leti 2022 in 2023 za </w:t>
      </w:r>
      <w:r w:rsidR="00EA02A7" w:rsidRPr="008A74BA">
        <w:rPr>
          <w:sz w:val="22"/>
          <w:szCs w:val="22"/>
        </w:rPr>
        <w:t xml:space="preserve">Načrt dela na področju redkih bolezni v Republiki Sloveniji 2021 do 2030 je pripravila </w:t>
      </w:r>
      <w:r w:rsidR="00320F45" w:rsidRPr="008A74BA">
        <w:rPr>
          <w:sz w:val="22"/>
          <w:szCs w:val="22"/>
        </w:rPr>
        <w:t xml:space="preserve">Delovna skupina za pripravo Načrta dela na področju redkih bolezni za obdobje 2021 do 2030, imenovana s strani </w:t>
      </w:r>
      <w:r w:rsidR="00EA02A7" w:rsidRPr="008A74BA">
        <w:rPr>
          <w:sz w:val="22"/>
          <w:szCs w:val="22"/>
        </w:rPr>
        <w:t>Ministrstva za zdravje</w:t>
      </w:r>
      <w:r w:rsidR="00320F45" w:rsidRPr="008A74BA">
        <w:rPr>
          <w:sz w:val="22"/>
          <w:szCs w:val="22"/>
        </w:rPr>
        <w:t xml:space="preserve"> Republike Slovenije s Sklepom številka C2711-19-653120 (024-27/2019/15) z dne 3. 10. 2019, s Sklepom o spremembah Sklepa št. C2711-19-653120 (024-27/2019/53) z dne 15. 7. 2020 in s Sklepom o spremembi Sklepa št. C2711-19-653120 (024-27/2019/68) z dne 30. 6. 2021.</w:t>
      </w:r>
    </w:p>
    <w:p w14:paraId="6BBE4FA6" w14:textId="7F028F4F" w:rsidR="00EA02A7" w:rsidRPr="008A74BA" w:rsidRDefault="00EA02A7" w:rsidP="008A74BA">
      <w:pPr>
        <w:spacing w:line="360" w:lineRule="auto"/>
        <w:jc w:val="both"/>
        <w:rPr>
          <w:sz w:val="22"/>
          <w:szCs w:val="22"/>
        </w:rPr>
      </w:pPr>
    </w:p>
    <w:p w14:paraId="090D0265" w14:textId="77777777" w:rsidR="00EA02A7" w:rsidRPr="008A74BA" w:rsidRDefault="00EA02A7" w:rsidP="008A74BA">
      <w:p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Člani delovne skupine Ministrstva za zdravje:</w:t>
      </w:r>
    </w:p>
    <w:p w14:paraId="597D2F83" w14:textId="77777777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dr. Robert Medved, Ministrstvo za zdravje, vodja;</w:t>
      </w:r>
    </w:p>
    <w:p w14:paraId="32948D4E" w14:textId="4EF00DD0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mag. Bernarda Kociper, Ministrstvo za zdravje, članica in namestnica vodje;</w:t>
      </w:r>
    </w:p>
    <w:p w14:paraId="07FDC594" w14:textId="6B4FB70D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dr. Borut Peterlin, Klinični inštitut za medicinsko genetiko, UKC Ljubljana, član;</w:t>
      </w:r>
    </w:p>
    <w:p w14:paraId="2D9162E2" w14:textId="4A5344D4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Eva Murko, Nacionalni inštitut za javno zdravje, članica;</w:t>
      </w:r>
    </w:p>
    <w:p w14:paraId="3D8B40B5" w14:textId="2CE99086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prim. mag. Jurij Fürst, Zavod za zdravstveno zavarovanje Slovenije, član;</w:t>
      </w:r>
    </w:p>
    <w:p w14:paraId="223E39F8" w14:textId="772C7EE3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 xml:space="preserve">Alenka Marič </w:t>
      </w:r>
      <w:proofErr w:type="spellStart"/>
      <w:r w:rsidRPr="008A74BA">
        <w:rPr>
          <w:sz w:val="22"/>
          <w:szCs w:val="22"/>
        </w:rPr>
        <w:t>Cevzar</w:t>
      </w:r>
      <w:proofErr w:type="spellEnd"/>
      <w:r w:rsidRPr="008A74BA">
        <w:rPr>
          <w:sz w:val="22"/>
          <w:szCs w:val="22"/>
        </w:rPr>
        <w:t>, Zavod za zdravstveno zavarovanje Slovenije, članica;</w:t>
      </w:r>
    </w:p>
    <w:p w14:paraId="4842AD3E" w14:textId="643D830E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Jože Faganel, Združenje za redke bolezni Slovenije, član;</w:t>
      </w:r>
    </w:p>
    <w:p w14:paraId="40FD0EAC" w14:textId="03BAF8A9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 xml:space="preserve">Tea Černigoj </w:t>
      </w:r>
      <w:proofErr w:type="spellStart"/>
      <w:r w:rsidRPr="008A74BA">
        <w:rPr>
          <w:sz w:val="22"/>
          <w:szCs w:val="22"/>
        </w:rPr>
        <w:t>Pušnjak</w:t>
      </w:r>
      <w:proofErr w:type="spellEnd"/>
      <w:r w:rsidRPr="008A74BA">
        <w:rPr>
          <w:sz w:val="22"/>
          <w:szCs w:val="22"/>
        </w:rPr>
        <w:t>, Združenje za redke bolezni Slovenije, članica;</w:t>
      </w:r>
    </w:p>
    <w:p w14:paraId="4728AC95" w14:textId="18E743CB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doc. dr. Urh Grošelj, UKC Ljubljana, član;</w:t>
      </w:r>
    </w:p>
    <w:p w14:paraId="7E71B0A2" w14:textId="2A32DA0D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doc. dr. Blaž Koritnik, UKC Ljubljana, član;</w:t>
      </w:r>
    </w:p>
    <w:p w14:paraId="6A923541" w14:textId="6FAD6567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dr. Robert Ekart, UKC Maribor, član;</w:t>
      </w:r>
    </w:p>
    <w:p w14:paraId="4F0240E8" w14:textId="3626C79B" w:rsidR="00EA02A7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dr. Nataša Marčun Varda, UKC Maribor, članica</w:t>
      </w:r>
      <w:r w:rsidR="008A74BA" w:rsidRPr="008A74BA">
        <w:rPr>
          <w:sz w:val="22"/>
          <w:szCs w:val="22"/>
        </w:rPr>
        <w:t>;</w:t>
      </w:r>
    </w:p>
    <w:p w14:paraId="025134D9" w14:textId="35F1A543" w:rsidR="00EA02A7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doc. dr. Mojca Žerjav Tanšek, UKC Ljubljana, članica</w:t>
      </w:r>
      <w:r w:rsidR="008A74BA" w:rsidRPr="008A74BA">
        <w:rPr>
          <w:sz w:val="22"/>
          <w:szCs w:val="22"/>
        </w:rPr>
        <w:t>.</w:t>
      </w:r>
    </w:p>
    <w:p w14:paraId="133287E4" w14:textId="77777777" w:rsidR="008A74BA" w:rsidRDefault="008A74BA" w:rsidP="008A74BA">
      <w:pPr>
        <w:spacing w:line="360" w:lineRule="auto"/>
        <w:jc w:val="both"/>
        <w:rPr>
          <w:sz w:val="22"/>
          <w:szCs w:val="22"/>
        </w:rPr>
      </w:pPr>
    </w:p>
    <w:p w14:paraId="7A10FDF1" w14:textId="77777777" w:rsidR="003736C5" w:rsidRDefault="003736C5" w:rsidP="003736C5">
      <w:pPr>
        <w:spacing w:line="360" w:lineRule="auto"/>
        <w:jc w:val="both"/>
        <w:rPr>
          <w:sz w:val="22"/>
          <w:szCs w:val="22"/>
        </w:rPr>
      </w:pPr>
    </w:p>
    <w:p w14:paraId="4B1AD433" w14:textId="3C125CBD" w:rsidR="003736C5" w:rsidRPr="008A74BA" w:rsidRDefault="003736C5" w:rsidP="003736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 je bil predstavljen </w:t>
      </w:r>
      <w:r w:rsidRPr="008A74BA">
        <w:rPr>
          <w:sz w:val="22"/>
          <w:szCs w:val="22"/>
        </w:rPr>
        <w:t>ministr</w:t>
      </w:r>
      <w:r>
        <w:rPr>
          <w:sz w:val="22"/>
          <w:szCs w:val="22"/>
        </w:rPr>
        <w:t>u za zdravje Janezu Poklukarju dne 4. 1. 2022</w:t>
      </w:r>
      <w:r w:rsidRPr="008A74BA">
        <w:rPr>
          <w:sz w:val="22"/>
          <w:szCs w:val="22"/>
        </w:rPr>
        <w:t xml:space="preserve"> in </w:t>
      </w:r>
      <w:r>
        <w:rPr>
          <w:sz w:val="22"/>
          <w:szCs w:val="22"/>
        </w:rPr>
        <w:t>potrjen na seji Zdravstvenega sveta dne</w:t>
      </w:r>
      <w:r w:rsidR="00C8198D">
        <w:rPr>
          <w:sz w:val="22"/>
          <w:szCs w:val="22"/>
        </w:rPr>
        <w:t xml:space="preserve"> 18. 1. 2022</w:t>
      </w:r>
      <w:r>
        <w:rPr>
          <w:sz w:val="22"/>
          <w:szCs w:val="22"/>
        </w:rPr>
        <w:t>.</w:t>
      </w:r>
      <w:r w:rsidRPr="008A74BA">
        <w:rPr>
          <w:sz w:val="22"/>
          <w:szCs w:val="22"/>
        </w:rPr>
        <w:t xml:space="preserve"> </w:t>
      </w:r>
    </w:p>
    <w:p w14:paraId="69428F90" w14:textId="398A6499" w:rsidR="00EA02A7" w:rsidRPr="008A74BA" w:rsidRDefault="00EA02A7" w:rsidP="008A74BA">
      <w:pPr>
        <w:spacing w:line="360" w:lineRule="auto"/>
        <w:jc w:val="both"/>
        <w:rPr>
          <w:sz w:val="22"/>
          <w:szCs w:val="22"/>
        </w:rPr>
      </w:pPr>
    </w:p>
    <w:p w14:paraId="10A302B1" w14:textId="58AB0383" w:rsidR="00EA02A7" w:rsidRDefault="00EA02A7" w:rsidP="0039131B">
      <w:pPr>
        <w:spacing w:line="276" w:lineRule="auto"/>
        <w:rPr>
          <w:b/>
          <w:bCs/>
        </w:rPr>
      </w:pPr>
    </w:p>
    <w:p w14:paraId="33B28FCF" w14:textId="6443BC28" w:rsidR="00EA02A7" w:rsidRDefault="00EA02A7" w:rsidP="0039131B">
      <w:pPr>
        <w:spacing w:line="276" w:lineRule="auto"/>
        <w:rPr>
          <w:b/>
          <w:bCs/>
        </w:rPr>
      </w:pPr>
    </w:p>
    <w:p w14:paraId="15964112" w14:textId="404B10A7" w:rsidR="00EA02A7" w:rsidRDefault="00EA02A7" w:rsidP="0039131B">
      <w:pPr>
        <w:spacing w:line="276" w:lineRule="auto"/>
        <w:rPr>
          <w:b/>
          <w:bCs/>
        </w:rPr>
      </w:pPr>
    </w:p>
    <w:p w14:paraId="1ACAAA97" w14:textId="6BFF271D" w:rsidR="00EA02A7" w:rsidRDefault="00EA02A7" w:rsidP="0039131B">
      <w:pPr>
        <w:spacing w:line="276" w:lineRule="auto"/>
        <w:rPr>
          <w:b/>
          <w:bCs/>
        </w:rPr>
      </w:pPr>
    </w:p>
    <w:p w14:paraId="368C6F95" w14:textId="44A17E45" w:rsidR="00EA02A7" w:rsidRDefault="00EA02A7" w:rsidP="0039131B">
      <w:pPr>
        <w:spacing w:line="276" w:lineRule="auto"/>
        <w:rPr>
          <w:b/>
          <w:bCs/>
        </w:rPr>
      </w:pPr>
    </w:p>
    <w:p w14:paraId="0276006D" w14:textId="03FB0388" w:rsidR="00EA02A7" w:rsidRDefault="00EA02A7" w:rsidP="0039131B">
      <w:pPr>
        <w:spacing w:line="276" w:lineRule="auto"/>
        <w:rPr>
          <w:b/>
          <w:bCs/>
        </w:rPr>
      </w:pPr>
    </w:p>
    <w:p w14:paraId="160ED5C8" w14:textId="522C0E7B" w:rsidR="00EA02A7" w:rsidRDefault="00EA02A7" w:rsidP="0039131B">
      <w:pPr>
        <w:spacing w:line="276" w:lineRule="auto"/>
        <w:rPr>
          <w:b/>
          <w:bCs/>
        </w:rPr>
      </w:pPr>
    </w:p>
    <w:p w14:paraId="7F3460B1" w14:textId="4E698CDE" w:rsidR="00EA02A7" w:rsidRDefault="00EA02A7" w:rsidP="0039131B">
      <w:pPr>
        <w:spacing w:line="276" w:lineRule="auto"/>
        <w:rPr>
          <w:b/>
          <w:bCs/>
        </w:rPr>
      </w:pPr>
    </w:p>
    <w:p w14:paraId="424E079A" w14:textId="46866873" w:rsidR="0023533F" w:rsidRDefault="0023533F" w:rsidP="0039131B">
      <w:pPr>
        <w:spacing w:line="276" w:lineRule="auto"/>
        <w:rPr>
          <w:b/>
          <w:bCs/>
        </w:rPr>
      </w:pPr>
    </w:p>
    <w:p w14:paraId="2D61E4E3" w14:textId="77777777" w:rsidR="0023533F" w:rsidRPr="003672CC" w:rsidRDefault="0023533F" w:rsidP="0039131B">
      <w:pPr>
        <w:spacing w:line="276" w:lineRule="auto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id w:val="601459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E0AFE" w14:textId="165C1710" w:rsidR="008A751F" w:rsidRPr="003672CC" w:rsidRDefault="008A751F">
          <w:pPr>
            <w:pStyle w:val="NaslovTOC"/>
          </w:pPr>
          <w:r w:rsidRPr="003672CC">
            <w:t>Vsebina</w:t>
          </w:r>
        </w:p>
        <w:p w14:paraId="7275CF08" w14:textId="170D210A" w:rsidR="00BA432C" w:rsidRDefault="008A751F">
          <w:pPr>
            <w:pStyle w:val="Kazalovsebine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r w:rsidRPr="003672CC">
            <w:fldChar w:fldCharType="begin"/>
          </w:r>
          <w:r w:rsidRPr="003672CC">
            <w:instrText xml:space="preserve"> TOC \o "1-3" \h \z \u </w:instrText>
          </w:r>
          <w:r w:rsidRPr="003672CC">
            <w:fldChar w:fldCharType="separate"/>
          </w:r>
          <w:hyperlink w:anchor="_Toc85639799" w:history="1">
            <w:r w:rsidR="00BA432C" w:rsidRPr="00375326">
              <w:rPr>
                <w:rStyle w:val="Hiperpovezava"/>
                <w:noProof/>
              </w:rPr>
              <w:t>Uvod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_Toc85639799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4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2C944AFC" w14:textId="628B6EB2" w:rsidR="00BA432C" w:rsidRDefault="00173ADC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0" w:history="1">
            <w:r w:rsidR="00BA432C" w:rsidRPr="00375326">
              <w:rPr>
                <w:rStyle w:val="Hiperpovezava"/>
                <w:noProof/>
              </w:rPr>
              <w:t>Cilj 1. Diagnostika za preprečevanje in zdravljenje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_Toc85639800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5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500D80BC" w14:textId="3364F61D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1" w:history="1">
            <w:r w:rsidR="00BA432C" w:rsidRPr="00375326">
              <w:rPr>
                <w:rStyle w:val="Hiperpovezava"/>
                <w:noProof/>
              </w:rPr>
              <w:t>Aktivnost 1. Center za nediagnosticirane redke bolezni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_Toc85639801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5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3110884F" w14:textId="47F9A1E2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2" w:history="1">
            <w:r w:rsidR="00BA432C" w:rsidRPr="00375326">
              <w:rPr>
                <w:rStyle w:val="Hiperpovezava"/>
                <w:noProof/>
              </w:rPr>
              <w:t>Aktivnost 2. Genomsko predrojstno in neonatalno presejanje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_Toc85639802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6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624A1AA2" w14:textId="1422BE43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3" w:history="1">
            <w:r w:rsidR="00BA432C" w:rsidRPr="00375326">
              <w:rPr>
                <w:rStyle w:val="Hiperpovezava"/>
                <w:noProof/>
              </w:rPr>
              <w:t>Aktivnost 3. Presejanje za redke bolezni z začetkom v odrasli dobi v primarnem zdravstvu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_Toc85639803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6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4FECB42F" w14:textId="1A3433B6" w:rsidR="00BA432C" w:rsidRDefault="00173ADC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4" w:history="1">
            <w:r w:rsidR="00BA432C" w:rsidRPr="00375326">
              <w:rPr>
                <w:rStyle w:val="Hiperpovezava"/>
                <w:noProof/>
              </w:rPr>
              <w:t>Cilj 2. Vrhunska zdravstvena oskrba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_Toc85639804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7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46C9482A" w14:textId="42C6A4DB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5" w:history="1">
            <w:r w:rsidR="00BA432C" w:rsidRPr="00375326">
              <w:rPr>
                <w:rStyle w:val="Hiperpovezava"/>
                <w:noProof/>
              </w:rPr>
              <w:t>Aktivnost 4. Ustanovitev in krepitev multidisclipinarnih timov zdravstvenih delavcev za obravnavo redkih bolezni v bolnišnicah in za nemoten prehod bolnikov z redkimi boleznimi iz otroške v odraslo dobo za izboljšanje obravnave bolnikov z redkimi boleznimi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_Toc85639805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7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32E24BF9" w14:textId="6150B80A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6" w:history="1">
            <w:r w:rsidR="00BA432C" w:rsidRPr="00375326">
              <w:rPr>
                <w:rStyle w:val="Hiperpovezava"/>
                <w:noProof/>
              </w:rPr>
              <w:t>Aktivnost 5. Nacionalne mreže v Evropskih referenčnih mrežah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_Toc85639806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9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2E896BB2" w14:textId="68070B3C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7" w:history="1">
            <w:r w:rsidR="00BA432C" w:rsidRPr="00375326">
              <w:rPr>
                <w:rStyle w:val="Hiperpovezava"/>
                <w:noProof/>
              </w:rPr>
              <w:t>Aktivnost 6. Nacionalni koordinacijski center za redke bolezni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_Toc85639807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11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68F55624" w14:textId="76C38B9C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8" w:history="1">
            <w:r w:rsidR="00BA432C" w:rsidRPr="00375326">
              <w:rPr>
                <w:rStyle w:val="Hiperpovezava"/>
                <w:noProof/>
              </w:rPr>
              <w:t>Aktivnost 7. Dostopnost do zdravil sirot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_Toc85639808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11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26F6920C" w14:textId="4A1C5EE1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09" w:history="1">
            <w:r w:rsidR="00BA432C" w:rsidRPr="00375326">
              <w:rPr>
                <w:rStyle w:val="Hiperpovezava"/>
                <w:noProof/>
              </w:rPr>
              <w:t>Aktivnost 8. Nova zdravljenja redkih bolezni in napredno gensko zdravljenje redkih bolezni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_Toc85639809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11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5C4DB092" w14:textId="6D6D86BA" w:rsidR="00BA432C" w:rsidRDefault="00173ADC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10" w:history="1">
            <w:r w:rsidR="00BA432C" w:rsidRPr="00375326">
              <w:rPr>
                <w:rStyle w:val="Hiperpovezava"/>
                <w:noProof/>
              </w:rPr>
              <w:t>Cilj 3. Deljenje informacij za skupen napredek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_Toc85639810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11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2B7BC58E" w14:textId="7A9D534C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11" w:history="1">
            <w:r w:rsidR="00BA432C" w:rsidRPr="00375326">
              <w:rPr>
                <w:rStyle w:val="Hiperpovezava"/>
                <w:noProof/>
              </w:rPr>
              <w:t>Aktivnost 9. Integrirana nacionalna baza podatkov za RB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_Toc85639811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11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46569D5F" w14:textId="37EB5E34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12" w:history="1">
            <w:r w:rsidR="00BA432C" w:rsidRPr="00375326">
              <w:rPr>
                <w:rStyle w:val="Hiperpovezava"/>
                <w:noProof/>
              </w:rPr>
              <w:t>Aktivnost 10. Spodbujanje povezovanja bolnikov oz. staršev otrok z redko boleznijo med seboj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_Toc85639812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12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03E0159D" w14:textId="38AF81B7" w:rsidR="00BA432C" w:rsidRDefault="00173ADC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13" w:history="1">
            <w:r w:rsidR="00BA432C" w:rsidRPr="00375326">
              <w:rPr>
                <w:rStyle w:val="Hiperpovezava"/>
                <w:noProof/>
              </w:rPr>
              <w:t>Cilj 4. Integrirana socialna oskrba in izobraževanje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_Toc85639813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12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46A9E22E" w14:textId="1E805249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14" w:history="1">
            <w:r w:rsidR="00BA432C" w:rsidRPr="00375326">
              <w:rPr>
                <w:rStyle w:val="Hiperpovezava"/>
                <w:noProof/>
              </w:rPr>
              <w:t>Aktivnost 11. Glas bolnikov za oblikovanje politik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_Toc85639814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12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7E56D6C0" w14:textId="3E082036" w:rsidR="00BA432C" w:rsidRDefault="00173ADC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85639815" w:history="1">
            <w:r w:rsidR="00BA432C" w:rsidRPr="00375326">
              <w:rPr>
                <w:rStyle w:val="Hiperpovezava"/>
                <w:noProof/>
              </w:rPr>
              <w:t>Aktivnost 12. Izobraževanje za sodelovanje</w:t>
            </w:r>
            <w:r w:rsidR="00BA432C">
              <w:rPr>
                <w:noProof/>
                <w:webHidden/>
              </w:rPr>
              <w:tab/>
            </w:r>
            <w:r w:rsidR="00BA432C">
              <w:rPr>
                <w:noProof/>
                <w:webHidden/>
              </w:rPr>
              <w:fldChar w:fldCharType="begin"/>
            </w:r>
            <w:r w:rsidR="00BA432C">
              <w:rPr>
                <w:noProof/>
                <w:webHidden/>
              </w:rPr>
              <w:instrText xml:space="preserve"> PAGEREF _Toc85639815 \h </w:instrText>
            </w:r>
            <w:r w:rsidR="00BA432C">
              <w:rPr>
                <w:noProof/>
                <w:webHidden/>
              </w:rPr>
            </w:r>
            <w:r w:rsidR="00BA432C">
              <w:rPr>
                <w:noProof/>
                <w:webHidden/>
              </w:rPr>
              <w:fldChar w:fldCharType="separate"/>
            </w:r>
            <w:r w:rsidR="00E84386">
              <w:rPr>
                <w:noProof/>
                <w:webHidden/>
              </w:rPr>
              <w:t>12</w:t>
            </w:r>
            <w:r w:rsidR="00BA432C">
              <w:rPr>
                <w:noProof/>
                <w:webHidden/>
              </w:rPr>
              <w:fldChar w:fldCharType="end"/>
            </w:r>
          </w:hyperlink>
        </w:p>
        <w:p w14:paraId="21687C61" w14:textId="64796DFF" w:rsidR="008A751F" w:rsidRPr="003672CC" w:rsidRDefault="008A751F">
          <w:r w:rsidRPr="003672CC">
            <w:rPr>
              <w:b/>
              <w:bCs/>
            </w:rPr>
            <w:fldChar w:fldCharType="end"/>
          </w:r>
        </w:p>
      </w:sdtContent>
    </w:sdt>
    <w:p w14:paraId="52950C8F" w14:textId="5BF24F29" w:rsidR="002606DA" w:rsidRPr="003672CC" w:rsidRDefault="002606DA">
      <w:r w:rsidRPr="003672CC">
        <w:br w:type="page"/>
      </w:r>
    </w:p>
    <w:p w14:paraId="79D3CE94" w14:textId="77777777" w:rsidR="00943FE1" w:rsidRPr="003672CC" w:rsidRDefault="00943FE1">
      <w:pPr>
        <w:rPr>
          <w:sz w:val="28"/>
          <w:szCs w:val="28"/>
        </w:rPr>
      </w:pPr>
    </w:p>
    <w:p w14:paraId="30482A89" w14:textId="67A47475" w:rsidR="008B3FAD" w:rsidRPr="003672CC" w:rsidRDefault="002720C3" w:rsidP="000F515D">
      <w:pPr>
        <w:pStyle w:val="Naslov1"/>
      </w:pPr>
      <w:bookmarkStart w:id="0" w:name="_Toc85639799"/>
      <w:r w:rsidRPr="003672CC">
        <w:t>Uvod</w:t>
      </w:r>
      <w:bookmarkEnd w:id="0"/>
    </w:p>
    <w:p w14:paraId="2B14A97C" w14:textId="77777777" w:rsidR="008B3120" w:rsidRPr="003672CC" w:rsidRDefault="008B3120" w:rsidP="00FE4391">
      <w:pPr>
        <w:spacing w:line="276" w:lineRule="auto"/>
        <w:jc w:val="both"/>
        <w:rPr>
          <w:b/>
          <w:bCs/>
        </w:rPr>
      </w:pPr>
    </w:p>
    <w:p w14:paraId="45DE5D00" w14:textId="54249CCE" w:rsidR="0023533F" w:rsidRPr="0023533F" w:rsidRDefault="0023533F" w:rsidP="0023533F">
      <w:p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Načrt dela na področju redkih bolezni v Republiki Sloveniji 2021 do 2030</w:t>
      </w:r>
      <w:r>
        <w:rPr>
          <w:sz w:val="22"/>
          <w:szCs w:val="22"/>
        </w:rPr>
        <w:t xml:space="preserve"> predvideva </w:t>
      </w:r>
      <w:r w:rsidRPr="003672CC">
        <w:rPr>
          <w:sz w:val="22"/>
          <w:szCs w:val="22"/>
        </w:rPr>
        <w:t xml:space="preserve">oblikovanje dvoletnih akcijskih </w:t>
      </w:r>
      <w:r w:rsidR="000719C7">
        <w:rPr>
          <w:sz w:val="22"/>
          <w:szCs w:val="22"/>
        </w:rPr>
        <w:t>načrtov</w:t>
      </w:r>
      <w:r>
        <w:rPr>
          <w:sz w:val="22"/>
          <w:szCs w:val="22"/>
        </w:rPr>
        <w:t xml:space="preserve"> za uresničevanje ciljev, zastavljenih v </w:t>
      </w:r>
      <w:r w:rsidRPr="008A74BA">
        <w:rPr>
          <w:sz w:val="22"/>
          <w:szCs w:val="22"/>
        </w:rPr>
        <w:t>Načrt dela na področju redkih bolezni v Republiki Sloveniji 2021 do 2030</w:t>
      </w:r>
      <w:r>
        <w:rPr>
          <w:sz w:val="22"/>
          <w:szCs w:val="22"/>
        </w:rPr>
        <w:t>. Pričujoči dokument je Akcijski načrt za leti 2022 in 2023.</w:t>
      </w:r>
    </w:p>
    <w:p w14:paraId="6FD95352" w14:textId="77777777" w:rsidR="0023533F" w:rsidRDefault="0023533F" w:rsidP="00FE4391">
      <w:pPr>
        <w:spacing w:line="360" w:lineRule="auto"/>
        <w:jc w:val="both"/>
        <w:rPr>
          <w:sz w:val="22"/>
          <w:szCs w:val="22"/>
        </w:rPr>
      </w:pPr>
    </w:p>
    <w:p w14:paraId="4093C18E" w14:textId="77083D9A" w:rsidR="000948ED" w:rsidRPr="003672CC" w:rsidRDefault="0023533F" w:rsidP="00FE4391">
      <w:p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Načrt dela na področju redkih bolezni v Republiki Sloveniji 2021 do 2030</w:t>
      </w:r>
      <w:r>
        <w:rPr>
          <w:sz w:val="22"/>
          <w:szCs w:val="22"/>
        </w:rPr>
        <w:t xml:space="preserve"> vsebuje </w:t>
      </w:r>
      <w:r w:rsidR="009D49AE" w:rsidRPr="003672CC">
        <w:rPr>
          <w:sz w:val="22"/>
          <w:szCs w:val="22"/>
        </w:rPr>
        <w:t>štiri ključne cilje in 12 aktivnosti za njihovo uresničevanje</w:t>
      </w:r>
      <w:r>
        <w:rPr>
          <w:sz w:val="22"/>
          <w:szCs w:val="22"/>
        </w:rPr>
        <w:t>, ki jih prikazuje tabela</w:t>
      </w:r>
      <w:r w:rsidR="009D49AE">
        <w:rPr>
          <w:sz w:val="22"/>
          <w:szCs w:val="22"/>
        </w:rPr>
        <w:t xml:space="preserve"> (Slika 1)</w:t>
      </w:r>
      <w:r w:rsidR="003E1E99">
        <w:rPr>
          <w:sz w:val="22"/>
          <w:szCs w:val="22"/>
        </w:rPr>
        <w:t>.</w:t>
      </w:r>
    </w:p>
    <w:p w14:paraId="2EC49B5D" w14:textId="478912A1" w:rsidR="00B96281" w:rsidRPr="003672CC" w:rsidRDefault="00B96281" w:rsidP="00FE4391">
      <w:pPr>
        <w:spacing w:line="360" w:lineRule="auto"/>
        <w:jc w:val="both"/>
        <w:rPr>
          <w:sz w:val="22"/>
          <w:szCs w:val="22"/>
        </w:rPr>
      </w:pPr>
    </w:p>
    <w:p w14:paraId="709C8E24" w14:textId="23E52A75" w:rsidR="00B96281" w:rsidRPr="003672CC" w:rsidRDefault="00B96281" w:rsidP="00FE4391">
      <w:p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Slika 1. </w:t>
      </w:r>
      <w:r w:rsidR="0023533F">
        <w:rPr>
          <w:sz w:val="22"/>
          <w:szCs w:val="22"/>
        </w:rPr>
        <w:t xml:space="preserve">Pregled ciljev in aktivnosti </w:t>
      </w:r>
      <w:r w:rsidR="0023533F" w:rsidRPr="008A74BA">
        <w:rPr>
          <w:sz w:val="22"/>
          <w:szCs w:val="22"/>
        </w:rPr>
        <w:t>Načrt</w:t>
      </w:r>
      <w:r w:rsidR="0023533F">
        <w:rPr>
          <w:sz w:val="22"/>
          <w:szCs w:val="22"/>
        </w:rPr>
        <w:t>a</w:t>
      </w:r>
      <w:r w:rsidR="0023533F" w:rsidRPr="008A74BA">
        <w:rPr>
          <w:sz w:val="22"/>
          <w:szCs w:val="22"/>
        </w:rPr>
        <w:t xml:space="preserve"> dela na področju redkih bolezni v Republiki Sloveniji 2021 do 2030</w:t>
      </w:r>
    </w:p>
    <w:p w14:paraId="43CB97AA" w14:textId="748622FB" w:rsidR="000D5639" w:rsidRPr="003672CC" w:rsidRDefault="000D5639" w:rsidP="00103B27">
      <w:pPr>
        <w:spacing w:line="360" w:lineRule="auto"/>
      </w:pPr>
    </w:p>
    <w:tbl>
      <w:tblPr>
        <w:tblStyle w:val="Tabelamrea"/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1134"/>
        <w:gridCol w:w="425"/>
        <w:gridCol w:w="709"/>
        <w:gridCol w:w="709"/>
        <w:gridCol w:w="992"/>
        <w:gridCol w:w="851"/>
        <w:gridCol w:w="850"/>
        <w:gridCol w:w="992"/>
        <w:gridCol w:w="851"/>
      </w:tblGrid>
      <w:tr w:rsidR="0090124A" w:rsidRPr="003672CC" w14:paraId="14C5CC10" w14:textId="77777777" w:rsidTr="007366D7">
        <w:tc>
          <w:tcPr>
            <w:tcW w:w="9918" w:type="dxa"/>
            <w:gridSpan w:val="12"/>
            <w:shd w:val="clear" w:color="auto" w:fill="808080" w:themeFill="background1" w:themeFillShade="80"/>
          </w:tcPr>
          <w:p w14:paraId="210D42BB" w14:textId="77777777" w:rsidR="0090124A" w:rsidRPr="003672CC" w:rsidRDefault="0090124A" w:rsidP="007366D7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_Hlk77333837"/>
            <w:r w:rsidRPr="003672CC">
              <w:rPr>
                <w:color w:val="FFFFFF" w:themeColor="background1"/>
                <w:sz w:val="28"/>
                <w:szCs w:val="28"/>
              </w:rPr>
              <w:t>Slovenija kot najbolj uspešen model za zdravstvene politike v EU</w:t>
            </w:r>
          </w:p>
        </w:tc>
      </w:tr>
      <w:tr w:rsidR="0090124A" w:rsidRPr="003672CC" w14:paraId="3AD1D75D" w14:textId="77777777" w:rsidTr="007366D7">
        <w:tc>
          <w:tcPr>
            <w:tcW w:w="6374" w:type="dxa"/>
            <w:gridSpan w:val="8"/>
          </w:tcPr>
          <w:p w14:paraId="03324A46" w14:textId="77777777" w:rsidR="0090124A" w:rsidRPr="003672CC" w:rsidRDefault="0090124A" w:rsidP="007366D7">
            <w:pPr>
              <w:spacing w:line="276" w:lineRule="auto"/>
              <w:jc w:val="center"/>
            </w:pPr>
            <w:proofErr w:type="spellStart"/>
            <w:r w:rsidRPr="003672CC">
              <w:t>Personalizirana</w:t>
            </w:r>
            <w:proofErr w:type="spellEnd"/>
            <w:r w:rsidRPr="003672CC">
              <w:t xml:space="preserve"> - inovativna medicina za RB</w:t>
            </w:r>
          </w:p>
        </w:tc>
        <w:tc>
          <w:tcPr>
            <w:tcW w:w="3544" w:type="dxa"/>
            <w:gridSpan w:val="4"/>
          </w:tcPr>
          <w:p w14:paraId="3B580558" w14:textId="77777777" w:rsidR="0090124A" w:rsidRPr="003672CC" w:rsidRDefault="0090124A" w:rsidP="007366D7">
            <w:pPr>
              <w:spacing w:line="276" w:lineRule="auto"/>
              <w:jc w:val="center"/>
            </w:pPr>
            <w:r w:rsidRPr="003672CC">
              <w:t>Integracija RB v družbo</w:t>
            </w:r>
          </w:p>
        </w:tc>
      </w:tr>
      <w:tr w:rsidR="0090124A" w:rsidRPr="003672CC" w14:paraId="268AAB19" w14:textId="77777777" w:rsidTr="007366D7">
        <w:tc>
          <w:tcPr>
            <w:tcW w:w="2405" w:type="dxa"/>
            <w:gridSpan w:val="3"/>
            <w:shd w:val="clear" w:color="auto" w:fill="FFE599" w:themeFill="accent4" w:themeFillTint="66"/>
          </w:tcPr>
          <w:p w14:paraId="1F3FE5D3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Diagnostika za preprečevanje in zdravljenje</w:t>
            </w:r>
          </w:p>
        </w:tc>
        <w:tc>
          <w:tcPr>
            <w:tcW w:w="3969" w:type="dxa"/>
            <w:gridSpan w:val="5"/>
            <w:shd w:val="clear" w:color="auto" w:fill="D9E2F3" w:themeFill="accent1" w:themeFillTint="33"/>
            <w:vAlign w:val="center"/>
          </w:tcPr>
          <w:p w14:paraId="71609DBA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Vrhunska zdravstvena oskrba</w:t>
            </w:r>
          </w:p>
        </w:tc>
        <w:tc>
          <w:tcPr>
            <w:tcW w:w="1701" w:type="dxa"/>
            <w:gridSpan w:val="2"/>
            <w:shd w:val="clear" w:color="auto" w:fill="F3D2DE"/>
          </w:tcPr>
          <w:p w14:paraId="228FCCC0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Deljenje informacij za skupen napredek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01AEB60C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Integrirana socialna oskrba in izobraževanje</w:t>
            </w:r>
          </w:p>
        </w:tc>
      </w:tr>
      <w:tr w:rsidR="0090124A" w:rsidRPr="003672CC" w14:paraId="33986401" w14:textId="77777777" w:rsidTr="007366D7">
        <w:trPr>
          <w:cantSplit/>
          <w:trHeight w:val="2065"/>
        </w:trPr>
        <w:tc>
          <w:tcPr>
            <w:tcW w:w="704" w:type="dxa"/>
            <w:textDirection w:val="btLr"/>
            <w:vAlign w:val="center"/>
          </w:tcPr>
          <w:p w14:paraId="30D2B587" w14:textId="77777777" w:rsidR="0090124A" w:rsidRPr="003672CC" w:rsidRDefault="0090124A" w:rsidP="007366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 xml:space="preserve">Center za </w:t>
            </w:r>
            <w:proofErr w:type="spellStart"/>
            <w:r w:rsidRPr="003672CC">
              <w:rPr>
                <w:sz w:val="18"/>
                <w:szCs w:val="18"/>
              </w:rPr>
              <w:t>nediagnosticirane</w:t>
            </w:r>
            <w:proofErr w:type="spellEnd"/>
            <w:r w:rsidRPr="003672CC">
              <w:rPr>
                <w:sz w:val="18"/>
                <w:szCs w:val="18"/>
              </w:rPr>
              <w:t xml:space="preserve"> RB</w:t>
            </w:r>
          </w:p>
        </w:tc>
        <w:tc>
          <w:tcPr>
            <w:tcW w:w="709" w:type="dxa"/>
            <w:textDirection w:val="btLr"/>
            <w:vAlign w:val="center"/>
          </w:tcPr>
          <w:p w14:paraId="1E8AC58D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3672CC">
              <w:rPr>
                <w:sz w:val="18"/>
                <w:szCs w:val="18"/>
              </w:rPr>
              <w:t>Genomsko</w:t>
            </w:r>
            <w:proofErr w:type="spellEnd"/>
            <w:r w:rsidRPr="003672CC">
              <w:rPr>
                <w:sz w:val="18"/>
                <w:szCs w:val="18"/>
              </w:rPr>
              <w:t xml:space="preserve"> </w:t>
            </w:r>
            <w:proofErr w:type="spellStart"/>
            <w:r w:rsidRPr="003672CC">
              <w:rPr>
                <w:sz w:val="18"/>
                <w:szCs w:val="18"/>
              </w:rPr>
              <w:t>predrojstno</w:t>
            </w:r>
            <w:proofErr w:type="spellEnd"/>
            <w:r w:rsidRPr="003672CC">
              <w:rPr>
                <w:sz w:val="18"/>
                <w:szCs w:val="18"/>
              </w:rPr>
              <w:t xml:space="preserve"> in neonatalno </w:t>
            </w:r>
            <w:proofErr w:type="spellStart"/>
            <w:r w:rsidRPr="003672CC">
              <w:rPr>
                <w:sz w:val="18"/>
                <w:szCs w:val="18"/>
              </w:rPr>
              <w:t>presejanje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14:paraId="4CC96CF7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</w:pPr>
            <w:proofErr w:type="spellStart"/>
            <w:r w:rsidRPr="003672CC">
              <w:rPr>
                <w:sz w:val="18"/>
                <w:szCs w:val="18"/>
              </w:rPr>
              <w:t>Presejanje</w:t>
            </w:r>
            <w:proofErr w:type="spellEnd"/>
            <w:r w:rsidRPr="003672CC">
              <w:rPr>
                <w:sz w:val="18"/>
                <w:szCs w:val="18"/>
              </w:rPr>
              <w:t xml:space="preserve"> za RB z začetkom v odrasli dobi v primarnem zdravstvu</w:t>
            </w:r>
          </w:p>
        </w:tc>
        <w:tc>
          <w:tcPr>
            <w:tcW w:w="1134" w:type="dxa"/>
            <w:textDirection w:val="btLr"/>
            <w:vAlign w:val="center"/>
          </w:tcPr>
          <w:p w14:paraId="66662927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3672CC">
              <w:rPr>
                <w:sz w:val="18"/>
                <w:szCs w:val="18"/>
              </w:rPr>
              <w:t>Multidisclipinarni</w:t>
            </w:r>
            <w:proofErr w:type="spellEnd"/>
            <w:r w:rsidRPr="003672CC">
              <w:rPr>
                <w:sz w:val="18"/>
                <w:szCs w:val="18"/>
              </w:rPr>
              <w:t xml:space="preserve"> timi za obravnavo RB in za nemoten prehod v odraslo dobo</w:t>
            </w:r>
          </w:p>
        </w:tc>
        <w:tc>
          <w:tcPr>
            <w:tcW w:w="425" w:type="dxa"/>
            <w:textDirection w:val="btLr"/>
            <w:vAlign w:val="center"/>
          </w:tcPr>
          <w:p w14:paraId="7845ACCF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Nacionalne mreže v ERM</w:t>
            </w:r>
          </w:p>
        </w:tc>
        <w:tc>
          <w:tcPr>
            <w:tcW w:w="709" w:type="dxa"/>
            <w:textDirection w:val="btLr"/>
            <w:vAlign w:val="center"/>
          </w:tcPr>
          <w:p w14:paraId="240373C4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Nacionalni koordinacijski center za RB</w:t>
            </w:r>
          </w:p>
        </w:tc>
        <w:tc>
          <w:tcPr>
            <w:tcW w:w="709" w:type="dxa"/>
            <w:textDirection w:val="btLr"/>
            <w:vAlign w:val="center"/>
          </w:tcPr>
          <w:p w14:paraId="337CF5B4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Dostopnost do zdravil sirot</w:t>
            </w:r>
          </w:p>
        </w:tc>
        <w:tc>
          <w:tcPr>
            <w:tcW w:w="992" w:type="dxa"/>
            <w:textDirection w:val="btLr"/>
            <w:vAlign w:val="center"/>
          </w:tcPr>
          <w:p w14:paraId="5BEAC983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Nova zdravljenja in napredno gensko zdravljenje RB</w:t>
            </w:r>
          </w:p>
        </w:tc>
        <w:tc>
          <w:tcPr>
            <w:tcW w:w="851" w:type="dxa"/>
            <w:textDirection w:val="btLr"/>
            <w:vAlign w:val="center"/>
          </w:tcPr>
          <w:p w14:paraId="59419F99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Integrirana nacionalna baza za RB</w:t>
            </w:r>
          </w:p>
        </w:tc>
        <w:tc>
          <w:tcPr>
            <w:tcW w:w="850" w:type="dxa"/>
            <w:textDirection w:val="btLr"/>
            <w:vAlign w:val="center"/>
          </w:tcPr>
          <w:p w14:paraId="459497D5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Spodbujanje povezovanja bolnikov</w:t>
            </w:r>
          </w:p>
        </w:tc>
        <w:tc>
          <w:tcPr>
            <w:tcW w:w="992" w:type="dxa"/>
            <w:textDirection w:val="btLr"/>
            <w:vAlign w:val="center"/>
          </w:tcPr>
          <w:p w14:paraId="7091ABC1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Glas bolnikov za oblikovanje politik</w:t>
            </w:r>
          </w:p>
        </w:tc>
        <w:tc>
          <w:tcPr>
            <w:tcW w:w="851" w:type="dxa"/>
            <w:textDirection w:val="btLr"/>
            <w:vAlign w:val="center"/>
          </w:tcPr>
          <w:p w14:paraId="1F77021A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Izobraževanje za sodelovanje</w:t>
            </w:r>
          </w:p>
        </w:tc>
      </w:tr>
      <w:bookmarkEnd w:id="1"/>
    </w:tbl>
    <w:p w14:paraId="3F8F9A35" w14:textId="7B8E065C" w:rsidR="007705E1" w:rsidRPr="003672CC" w:rsidRDefault="007705E1" w:rsidP="0039131B">
      <w:pPr>
        <w:spacing w:line="276" w:lineRule="auto"/>
      </w:pPr>
    </w:p>
    <w:p w14:paraId="12970497" w14:textId="4697D06C" w:rsidR="0090124A" w:rsidRPr="003672CC" w:rsidRDefault="0090124A" w:rsidP="0039131B">
      <w:pPr>
        <w:spacing w:line="276" w:lineRule="auto"/>
      </w:pPr>
    </w:p>
    <w:p w14:paraId="4923A895" w14:textId="77777777" w:rsidR="0090124A" w:rsidRPr="003672CC" w:rsidRDefault="0090124A" w:rsidP="0039131B">
      <w:pPr>
        <w:spacing w:line="276" w:lineRule="auto"/>
      </w:pPr>
    </w:p>
    <w:p w14:paraId="32A4CD96" w14:textId="77777777" w:rsidR="00B96281" w:rsidRPr="003672CC" w:rsidRDefault="00B96281" w:rsidP="00FE2D38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1D0EBDC2" w14:textId="2BAE2081" w:rsidR="000948ED" w:rsidRPr="003672CC" w:rsidRDefault="000948ED" w:rsidP="0023533F">
      <w:pPr>
        <w:rPr>
          <w:b/>
          <w:bCs/>
          <w:sz w:val="28"/>
          <w:szCs w:val="28"/>
        </w:rPr>
      </w:pPr>
      <w:r w:rsidRPr="003672CC">
        <w:rPr>
          <w:b/>
          <w:bCs/>
          <w:sz w:val="28"/>
          <w:szCs w:val="28"/>
        </w:rPr>
        <w:br w:type="page"/>
      </w:r>
    </w:p>
    <w:p w14:paraId="7DB1F0AB" w14:textId="256937FB" w:rsidR="00951CEB" w:rsidRPr="003672CC" w:rsidRDefault="00CB68B9" w:rsidP="000F515D">
      <w:pPr>
        <w:pStyle w:val="Naslov2"/>
      </w:pPr>
      <w:bookmarkStart w:id="2" w:name="_Toc85639800"/>
      <w:r w:rsidRPr="003672CC">
        <w:lastRenderedPageBreak/>
        <w:t xml:space="preserve">Cilj </w:t>
      </w:r>
      <w:r w:rsidR="00EA283F" w:rsidRPr="003672CC">
        <w:t xml:space="preserve">1. </w:t>
      </w:r>
      <w:r w:rsidR="0078043F" w:rsidRPr="003672CC">
        <w:t>Diagnostika za preprečevanje in zdravljenje</w:t>
      </w:r>
      <w:bookmarkEnd w:id="2"/>
    </w:p>
    <w:p w14:paraId="11C5A220" w14:textId="65E96D54" w:rsidR="00533334" w:rsidRPr="003672CC" w:rsidRDefault="00533334" w:rsidP="00FE4391">
      <w:pPr>
        <w:spacing w:line="360" w:lineRule="auto"/>
        <w:jc w:val="both"/>
        <w:rPr>
          <w:sz w:val="22"/>
          <w:szCs w:val="22"/>
        </w:rPr>
      </w:pPr>
    </w:p>
    <w:p w14:paraId="47142933" w14:textId="403B246C" w:rsidR="00533334" w:rsidRDefault="00533334" w:rsidP="000F515D">
      <w:pPr>
        <w:pStyle w:val="Naslov3"/>
      </w:pPr>
      <w:bookmarkStart w:id="3" w:name="_Toc85639801"/>
      <w:r w:rsidRPr="003672CC">
        <w:t>A</w:t>
      </w:r>
      <w:r w:rsidR="005E66F2" w:rsidRPr="003672CC">
        <w:t xml:space="preserve">ktivnost 1. Center za </w:t>
      </w:r>
      <w:proofErr w:type="spellStart"/>
      <w:r w:rsidR="005E66F2" w:rsidRPr="003672CC">
        <w:t>nediagnosticirane</w:t>
      </w:r>
      <w:proofErr w:type="spellEnd"/>
      <w:r w:rsidR="005E66F2" w:rsidRPr="003672CC">
        <w:t xml:space="preserve"> redke bolezni</w:t>
      </w:r>
      <w:bookmarkEnd w:id="3"/>
    </w:p>
    <w:p w14:paraId="37F11E0C" w14:textId="381A91E5" w:rsidR="00625E15" w:rsidRDefault="00625E15" w:rsidP="00625E15"/>
    <w:p w14:paraId="49C8DC60" w14:textId="5E0C1534" w:rsidR="00645EFF" w:rsidRDefault="00683580" w:rsidP="0056770F">
      <w:p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Kljub temu, da smo v slovenski zdravstveni sistem že vpeljali napredne </w:t>
      </w:r>
      <w:proofErr w:type="spellStart"/>
      <w:r w:rsidRPr="003672CC">
        <w:rPr>
          <w:sz w:val="22"/>
          <w:szCs w:val="22"/>
        </w:rPr>
        <w:t>genomske</w:t>
      </w:r>
      <w:proofErr w:type="spellEnd"/>
      <w:r w:rsidRPr="003672CC">
        <w:rPr>
          <w:sz w:val="22"/>
          <w:szCs w:val="22"/>
        </w:rPr>
        <w:t xml:space="preserve"> tehnologije za diagnostiko genetskih bolezni, ostaja del bolnikov z redkimi boleznimi brez diagnoze. </w:t>
      </w:r>
      <w:r w:rsidR="000719C7">
        <w:rPr>
          <w:sz w:val="22"/>
          <w:szCs w:val="22"/>
        </w:rPr>
        <w:t>Za n</w:t>
      </w:r>
      <w:r w:rsidR="000719C7" w:rsidRPr="003672CC">
        <w:rPr>
          <w:sz w:val="22"/>
          <w:szCs w:val="22"/>
        </w:rPr>
        <w:t>amen zagotovit</w:t>
      </w:r>
      <w:r w:rsidR="000719C7">
        <w:rPr>
          <w:sz w:val="22"/>
          <w:szCs w:val="22"/>
        </w:rPr>
        <w:t>ve</w:t>
      </w:r>
      <w:r w:rsidR="000719C7" w:rsidRPr="003672CC">
        <w:rPr>
          <w:sz w:val="22"/>
          <w:szCs w:val="22"/>
        </w:rPr>
        <w:t xml:space="preserve"> diagnostik</w:t>
      </w:r>
      <w:r w:rsidR="000719C7">
        <w:rPr>
          <w:sz w:val="22"/>
          <w:szCs w:val="22"/>
        </w:rPr>
        <w:t>e</w:t>
      </w:r>
      <w:r w:rsidR="000719C7" w:rsidRPr="003672CC">
        <w:rPr>
          <w:sz w:val="22"/>
          <w:szCs w:val="22"/>
        </w:rPr>
        <w:t xml:space="preserve"> vsem osebam z redkimi boleznimi, pri katerih diagnostična obravnava na sekundarnem in terciarnem nivoju ni bila uspešna</w:t>
      </w:r>
      <w:r w:rsidR="000719C7">
        <w:rPr>
          <w:sz w:val="22"/>
          <w:szCs w:val="22"/>
        </w:rPr>
        <w:t>, je v</w:t>
      </w:r>
      <w:r w:rsidR="000719C7" w:rsidRPr="003672CC">
        <w:rPr>
          <w:sz w:val="22"/>
          <w:szCs w:val="22"/>
        </w:rPr>
        <w:t xml:space="preserve"> okviru Univerzitetnega kliničnega centra Ljubljana </w:t>
      </w:r>
      <w:r w:rsidR="000719C7">
        <w:rPr>
          <w:sz w:val="22"/>
          <w:szCs w:val="22"/>
        </w:rPr>
        <w:t>že ustanovljen</w:t>
      </w:r>
      <w:r w:rsidR="000719C7" w:rsidRPr="003672CC">
        <w:rPr>
          <w:sz w:val="22"/>
          <w:szCs w:val="22"/>
        </w:rPr>
        <w:t xml:space="preserve"> </w:t>
      </w:r>
      <w:r w:rsidR="000719C7" w:rsidRPr="0056770F">
        <w:rPr>
          <w:sz w:val="22"/>
          <w:szCs w:val="22"/>
        </w:rPr>
        <w:t xml:space="preserve">nacionalni Center za </w:t>
      </w:r>
      <w:proofErr w:type="spellStart"/>
      <w:r w:rsidR="000719C7" w:rsidRPr="0056770F">
        <w:rPr>
          <w:sz w:val="22"/>
          <w:szCs w:val="22"/>
        </w:rPr>
        <w:t>nediagnosticirane</w:t>
      </w:r>
      <w:proofErr w:type="spellEnd"/>
      <w:r w:rsidR="000719C7" w:rsidRPr="0056770F">
        <w:rPr>
          <w:sz w:val="22"/>
          <w:szCs w:val="22"/>
        </w:rPr>
        <w:t xml:space="preserve"> redke bolezni</w:t>
      </w:r>
      <w:r w:rsidR="000719C7" w:rsidRPr="003672CC">
        <w:rPr>
          <w:sz w:val="22"/>
          <w:szCs w:val="22"/>
        </w:rPr>
        <w:t xml:space="preserve">, </w:t>
      </w:r>
      <w:r w:rsidRPr="003672CC">
        <w:rPr>
          <w:sz w:val="22"/>
          <w:szCs w:val="22"/>
        </w:rPr>
        <w:t xml:space="preserve">ki </w:t>
      </w:r>
      <w:r>
        <w:rPr>
          <w:sz w:val="22"/>
          <w:szCs w:val="22"/>
        </w:rPr>
        <w:t xml:space="preserve">ima za cilj </w:t>
      </w:r>
      <w:r w:rsidRPr="003672CC">
        <w:rPr>
          <w:sz w:val="22"/>
          <w:szCs w:val="22"/>
        </w:rPr>
        <w:t xml:space="preserve"> </w:t>
      </w:r>
      <w:r w:rsidRPr="0056770F">
        <w:rPr>
          <w:sz w:val="22"/>
          <w:szCs w:val="22"/>
        </w:rPr>
        <w:t>združevati strokovno ekspertizo na nivoju slovenskega zdravstvenega sistema in po potrebi sodelovati z evropskimi referenčnimi mrežami</w:t>
      </w:r>
      <w:r w:rsidRPr="003672CC">
        <w:rPr>
          <w:sz w:val="22"/>
          <w:szCs w:val="22"/>
        </w:rPr>
        <w:t xml:space="preserve"> in drugimi </w:t>
      </w:r>
      <w:r w:rsidRPr="0056770F">
        <w:rPr>
          <w:sz w:val="22"/>
          <w:szCs w:val="22"/>
        </w:rPr>
        <w:t>mednarodnimi ustanovami</w:t>
      </w:r>
      <w:r w:rsidRPr="003672CC">
        <w:rPr>
          <w:sz w:val="22"/>
          <w:szCs w:val="22"/>
        </w:rPr>
        <w:t xml:space="preserve"> pri zagotavljanju vrhunske diagnostične medicine, hkrati pa z ostalimi terciarnimi ustanovami in laboratoriji na nacionalni ravni, ki izvajajo genetsko diagnostiko.</w:t>
      </w:r>
      <w:r>
        <w:rPr>
          <w:sz w:val="22"/>
          <w:szCs w:val="22"/>
        </w:rPr>
        <w:t xml:space="preserve"> Za svoje delo bo </w:t>
      </w:r>
      <w:r w:rsidRPr="0056770F">
        <w:rPr>
          <w:sz w:val="22"/>
          <w:szCs w:val="22"/>
        </w:rPr>
        <w:t xml:space="preserve">Center za </w:t>
      </w:r>
      <w:proofErr w:type="spellStart"/>
      <w:r w:rsidRPr="0056770F">
        <w:rPr>
          <w:sz w:val="22"/>
          <w:szCs w:val="22"/>
        </w:rPr>
        <w:t>nediagnosticirane</w:t>
      </w:r>
      <w:proofErr w:type="spellEnd"/>
      <w:r w:rsidRPr="0056770F">
        <w:rPr>
          <w:sz w:val="22"/>
          <w:szCs w:val="22"/>
        </w:rPr>
        <w:t xml:space="preserve"> redke bolezni v okviru UKC Ljubljana potreboval kadrovske zmogljivosti, in sicer:</w:t>
      </w:r>
      <w:r w:rsidR="00645EFF">
        <w:rPr>
          <w:sz w:val="22"/>
          <w:szCs w:val="22"/>
        </w:rPr>
        <w:t xml:space="preserve"> </w:t>
      </w:r>
      <w:r w:rsidR="00645EFF" w:rsidRPr="00645EFF">
        <w:rPr>
          <w:sz w:val="22"/>
          <w:szCs w:val="22"/>
        </w:rPr>
        <w:t xml:space="preserve"> enega zdravnika (klinični genetik) in en</w:t>
      </w:r>
      <w:r w:rsidR="003E1E99">
        <w:rPr>
          <w:sz w:val="22"/>
          <w:szCs w:val="22"/>
        </w:rPr>
        <w:t>o</w:t>
      </w:r>
      <w:r w:rsidR="00645EFF" w:rsidRPr="00645EFF">
        <w:rPr>
          <w:sz w:val="22"/>
          <w:szCs w:val="22"/>
        </w:rPr>
        <w:t xml:space="preserve"> diplomiran</w:t>
      </w:r>
      <w:r w:rsidR="003E1E99">
        <w:rPr>
          <w:sz w:val="22"/>
          <w:szCs w:val="22"/>
        </w:rPr>
        <w:t>o</w:t>
      </w:r>
      <w:r w:rsidR="00645EFF" w:rsidRPr="00645EFF">
        <w:rPr>
          <w:sz w:val="22"/>
          <w:szCs w:val="22"/>
        </w:rPr>
        <w:t xml:space="preserve"> medicinsk</w:t>
      </w:r>
      <w:r w:rsidR="003E1E99">
        <w:rPr>
          <w:sz w:val="22"/>
          <w:szCs w:val="22"/>
        </w:rPr>
        <w:t>o</w:t>
      </w:r>
      <w:r w:rsidR="00645EFF" w:rsidRPr="00645EFF">
        <w:rPr>
          <w:sz w:val="22"/>
          <w:szCs w:val="22"/>
        </w:rPr>
        <w:t xml:space="preserve"> sestr</w:t>
      </w:r>
      <w:r w:rsidR="003E1E99">
        <w:rPr>
          <w:sz w:val="22"/>
          <w:szCs w:val="22"/>
        </w:rPr>
        <w:t>o</w:t>
      </w:r>
      <w:r w:rsidR="00645EFF">
        <w:rPr>
          <w:sz w:val="22"/>
          <w:szCs w:val="22"/>
        </w:rPr>
        <w:t xml:space="preserve"> s </w:t>
      </w:r>
      <w:r w:rsidR="00645EFF" w:rsidRPr="00645EFF">
        <w:rPr>
          <w:sz w:val="22"/>
          <w:szCs w:val="22"/>
        </w:rPr>
        <w:t>posebn</w:t>
      </w:r>
      <w:r w:rsidR="00645EFF">
        <w:rPr>
          <w:sz w:val="22"/>
          <w:szCs w:val="22"/>
        </w:rPr>
        <w:t>imi</w:t>
      </w:r>
      <w:r w:rsidR="00645EFF" w:rsidRPr="00645EFF">
        <w:rPr>
          <w:sz w:val="22"/>
          <w:szCs w:val="22"/>
        </w:rPr>
        <w:t xml:space="preserve"> znanj</w:t>
      </w:r>
      <w:r w:rsidR="00645EFF">
        <w:rPr>
          <w:sz w:val="22"/>
          <w:szCs w:val="22"/>
        </w:rPr>
        <w:t>i</w:t>
      </w:r>
      <w:r w:rsidR="00645EFF" w:rsidRPr="00645EFF">
        <w:rPr>
          <w:sz w:val="22"/>
          <w:szCs w:val="22"/>
        </w:rPr>
        <w:t xml:space="preserve"> </w:t>
      </w:r>
      <w:proofErr w:type="spellStart"/>
      <w:r w:rsidR="00645EFF" w:rsidRPr="00645EFF">
        <w:rPr>
          <w:sz w:val="22"/>
          <w:szCs w:val="22"/>
        </w:rPr>
        <w:t>Genomski</w:t>
      </w:r>
      <w:proofErr w:type="spellEnd"/>
      <w:r w:rsidR="00645EFF" w:rsidRPr="00645EFF">
        <w:rPr>
          <w:sz w:val="22"/>
          <w:szCs w:val="22"/>
        </w:rPr>
        <w:t xml:space="preserve"> svetovalec.</w:t>
      </w:r>
    </w:p>
    <w:p w14:paraId="663B6E5A" w14:textId="7C169897" w:rsidR="000719C7" w:rsidRPr="0056770F" w:rsidRDefault="00645EFF" w:rsidP="0056770F">
      <w:pPr>
        <w:spacing w:line="360" w:lineRule="auto"/>
        <w:jc w:val="both"/>
        <w:rPr>
          <w:sz w:val="22"/>
          <w:szCs w:val="22"/>
        </w:rPr>
      </w:pPr>
      <w:r w:rsidRPr="00645EFF">
        <w:rPr>
          <w:sz w:val="22"/>
          <w:szCs w:val="22"/>
        </w:rPr>
        <w:br/>
      </w:r>
      <w:r w:rsidR="00683580" w:rsidRPr="0056770F">
        <w:rPr>
          <w:sz w:val="22"/>
          <w:szCs w:val="22"/>
        </w:rPr>
        <w:t xml:space="preserve">Zato predlagamo, da se kadrovska zasedba za Center za </w:t>
      </w:r>
      <w:proofErr w:type="spellStart"/>
      <w:r w:rsidR="00683580" w:rsidRPr="0056770F">
        <w:rPr>
          <w:sz w:val="22"/>
          <w:szCs w:val="22"/>
        </w:rPr>
        <w:t>nediagnosticirane</w:t>
      </w:r>
      <w:proofErr w:type="spellEnd"/>
      <w:r w:rsidR="00683580" w:rsidRPr="0056770F">
        <w:rPr>
          <w:sz w:val="22"/>
          <w:szCs w:val="22"/>
        </w:rPr>
        <w:t xml:space="preserve"> redke bolezni v okviru UKC Ljubljana v sestavi </w:t>
      </w:r>
      <w:r w:rsidRPr="00645EFF">
        <w:rPr>
          <w:sz w:val="22"/>
          <w:szCs w:val="22"/>
        </w:rPr>
        <w:t>enega zdravnika (klinični genetik) in ene diplomirane medicinske sestre</w:t>
      </w:r>
      <w:r>
        <w:rPr>
          <w:sz w:val="22"/>
          <w:szCs w:val="22"/>
        </w:rPr>
        <w:t xml:space="preserve"> s </w:t>
      </w:r>
      <w:r w:rsidRPr="00645EFF">
        <w:rPr>
          <w:sz w:val="22"/>
          <w:szCs w:val="22"/>
        </w:rPr>
        <w:t>posebn</w:t>
      </w:r>
      <w:r>
        <w:rPr>
          <w:sz w:val="22"/>
          <w:szCs w:val="22"/>
        </w:rPr>
        <w:t>imi</w:t>
      </w:r>
      <w:r w:rsidRPr="00645EFF">
        <w:rPr>
          <w:sz w:val="22"/>
          <w:szCs w:val="22"/>
        </w:rPr>
        <w:t xml:space="preserve"> znanj</w:t>
      </w:r>
      <w:r>
        <w:rPr>
          <w:sz w:val="22"/>
          <w:szCs w:val="22"/>
        </w:rPr>
        <w:t>i</w:t>
      </w:r>
      <w:r w:rsidRPr="00645EFF">
        <w:rPr>
          <w:sz w:val="22"/>
          <w:szCs w:val="22"/>
        </w:rPr>
        <w:t xml:space="preserve"> </w:t>
      </w:r>
      <w:proofErr w:type="spellStart"/>
      <w:r w:rsidRPr="00645EFF">
        <w:rPr>
          <w:sz w:val="22"/>
          <w:szCs w:val="22"/>
        </w:rPr>
        <w:t>Genomski</w:t>
      </w:r>
      <w:proofErr w:type="spellEnd"/>
      <w:r w:rsidRPr="00645EFF">
        <w:rPr>
          <w:sz w:val="22"/>
          <w:szCs w:val="22"/>
        </w:rPr>
        <w:t xml:space="preserve"> svetovalec</w:t>
      </w:r>
      <w:r w:rsidR="00683580" w:rsidRPr="0056770F">
        <w:rPr>
          <w:sz w:val="22"/>
          <w:szCs w:val="22"/>
        </w:rPr>
        <w:t xml:space="preserve"> sprejme v okviru S</w:t>
      </w:r>
      <w:r>
        <w:rPr>
          <w:sz w:val="22"/>
          <w:szCs w:val="22"/>
        </w:rPr>
        <w:t>plošnega dogovora</w:t>
      </w:r>
      <w:r w:rsidR="00683580" w:rsidRPr="0056770F">
        <w:rPr>
          <w:sz w:val="22"/>
          <w:szCs w:val="22"/>
        </w:rPr>
        <w:t xml:space="preserve"> kot dodatni program in poskrbi za njegovo financiranje od leta 202</w:t>
      </w:r>
      <w:r w:rsidR="003E1E99">
        <w:rPr>
          <w:sz w:val="22"/>
          <w:szCs w:val="22"/>
        </w:rPr>
        <w:t>2</w:t>
      </w:r>
      <w:r w:rsidR="00683580" w:rsidRPr="0056770F">
        <w:rPr>
          <w:sz w:val="22"/>
          <w:szCs w:val="22"/>
        </w:rPr>
        <w:t xml:space="preserve"> dalje. </w:t>
      </w:r>
      <w:r>
        <w:rPr>
          <w:sz w:val="22"/>
          <w:szCs w:val="22"/>
        </w:rPr>
        <w:t xml:space="preserve">Spodnja tabela prikazuje izračun </w:t>
      </w:r>
      <w:r w:rsidR="00D44367">
        <w:rPr>
          <w:sz w:val="22"/>
          <w:szCs w:val="22"/>
        </w:rPr>
        <w:t xml:space="preserve">letnih </w:t>
      </w:r>
      <w:r>
        <w:rPr>
          <w:sz w:val="22"/>
          <w:szCs w:val="22"/>
        </w:rPr>
        <w:t xml:space="preserve">stroškov dodatnega kadra za </w:t>
      </w:r>
      <w:r w:rsidRPr="0056770F">
        <w:rPr>
          <w:sz w:val="22"/>
          <w:szCs w:val="22"/>
        </w:rPr>
        <w:t xml:space="preserve">Center za </w:t>
      </w:r>
      <w:proofErr w:type="spellStart"/>
      <w:r w:rsidRPr="0056770F">
        <w:rPr>
          <w:sz w:val="22"/>
          <w:szCs w:val="22"/>
        </w:rPr>
        <w:t>nediagnosticirane</w:t>
      </w:r>
      <w:proofErr w:type="spellEnd"/>
      <w:r w:rsidRPr="0056770F">
        <w:rPr>
          <w:sz w:val="22"/>
          <w:szCs w:val="22"/>
        </w:rPr>
        <w:t xml:space="preserve"> redke bolezni v okviru UKC Ljubljana</w:t>
      </w:r>
      <w:r w:rsidR="005C3AF8">
        <w:rPr>
          <w:sz w:val="22"/>
          <w:szCs w:val="22"/>
        </w:rPr>
        <w:t xml:space="preserve">, ki </w:t>
      </w:r>
      <w:r w:rsidR="00913742">
        <w:rPr>
          <w:sz w:val="22"/>
          <w:szCs w:val="22"/>
        </w:rPr>
        <w:t xml:space="preserve">ga je pripravil </w:t>
      </w:r>
      <w:r w:rsidR="00913742" w:rsidRPr="00913742">
        <w:rPr>
          <w:sz w:val="22"/>
          <w:szCs w:val="22"/>
        </w:rPr>
        <w:t>Sektor za koordinacijo izvajalcev zdravstvene dejavnosti</w:t>
      </w:r>
      <w:r w:rsidR="00913742">
        <w:rPr>
          <w:sz w:val="22"/>
          <w:szCs w:val="22"/>
        </w:rPr>
        <w:t xml:space="preserve"> Ministrstva za zdravje.</w:t>
      </w:r>
    </w:p>
    <w:tbl>
      <w:tblPr>
        <w:tblStyle w:val="Tabelamrea"/>
        <w:tblpPr w:leftFromText="141" w:rightFromText="141" w:vertAnchor="text" w:horzAnchor="margin" w:tblpY="133"/>
        <w:tblW w:w="9351" w:type="dxa"/>
        <w:tblLayout w:type="fixed"/>
        <w:tblLook w:val="04A0" w:firstRow="1" w:lastRow="0" w:firstColumn="1" w:lastColumn="0" w:noHBand="0" w:noVBand="1"/>
      </w:tblPr>
      <w:tblGrid>
        <w:gridCol w:w="972"/>
        <w:gridCol w:w="1008"/>
        <w:gridCol w:w="850"/>
        <w:gridCol w:w="993"/>
        <w:gridCol w:w="992"/>
        <w:gridCol w:w="992"/>
        <w:gridCol w:w="1134"/>
        <w:gridCol w:w="1418"/>
        <w:gridCol w:w="992"/>
      </w:tblGrid>
      <w:tr w:rsidR="00913742" w:rsidRPr="003736C5" w14:paraId="6734EC06" w14:textId="77777777" w:rsidTr="00913742">
        <w:trPr>
          <w:trHeight w:val="320"/>
        </w:trPr>
        <w:tc>
          <w:tcPr>
            <w:tcW w:w="972" w:type="dxa"/>
            <w:hideMark/>
          </w:tcPr>
          <w:p w14:paraId="45AB88A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6C5">
              <w:rPr>
                <w:rFonts w:ascii="Arial" w:hAnsi="Arial" w:cs="Arial"/>
                <w:b/>
                <w:bCs/>
                <w:sz w:val="16"/>
                <w:szCs w:val="16"/>
              </w:rPr>
              <w:t>Stroški dela</w:t>
            </w:r>
          </w:p>
        </w:tc>
        <w:tc>
          <w:tcPr>
            <w:tcW w:w="1008" w:type="dxa"/>
            <w:hideMark/>
          </w:tcPr>
          <w:p w14:paraId="60A55AA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294CF6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1E493FA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0DD290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5391A3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07045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3D52B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9A442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3742" w:rsidRPr="003736C5" w14:paraId="67AC4F0F" w14:textId="77777777" w:rsidTr="00913742">
        <w:trPr>
          <w:trHeight w:val="1034"/>
        </w:trPr>
        <w:tc>
          <w:tcPr>
            <w:tcW w:w="972" w:type="dxa"/>
            <w:hideMark/>
          </w:tcPr>
          <w:p w14:paraId="744F7EF0" w14:textId="77777777" w:rsidR="00913742" w:rsidRPr="003736C5" w:rsidRDefault="00913742" w:rsidP="009137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6C5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</w:p>
        </w:tc>
        <w:tc>
          <w:tcPr>
            <w:tcW w:w="1008" w:type="dxa"/>
            <w:hideMark/>
          </w:tcPr>
          <w:p w14:paraId="28C5B872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 xml:space="preserve">Število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predvi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736C5">
              <w:rPr>
                <w:rFonts w:ascii="Arial" w:hAnsi="Arial" w:cs="Arial"/>
                <w:sz w:val="16"/>
                <w:szCs w:val="16"/>
              </w:rPr>
              <w:t>denih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zaposlitev</w:t>
            </w:r>
          </w:p>
        </w:tc>
        <w:tc>
          <w:tcPr>
            <w:tcW w:w="850" w:type="dxa"/>
            <w:hideMark/>
          </w:tcPr>
          <w:p w14:paraId="4441BF9C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Zaposlit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736C5">
              <w:rPr>
                <w:rFonts w:ascii="Arial" w:hAnsi="Arial" w:cs="Arial"/>
                <w:sz w:val="16"/>
                <w:szCs w:val="16"/>
              </w:rPr>
              <w:t>ve plača</w:t>
            </w:r>
          </w:p>
        </w:tc>
        <w:tc>
          <w:tcPr>
            <w:tcW w:w="993" w:type="dxa"/>
            <w:noWrap/>
            <w:hideMark/>
          </w:tcPr>
          <w:p w14:paraId="2960A77A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Bruto plača</w:t>
            </w:r>
          </w:p>
        </w:tc>
        <w:tc>
          <w:tcPr>
            <w:tcW w:w="992" w:type="dxa"/>
            <w:hideMark/>
          </w:tcPr>
          <w:p w14:paraId="7C05CB0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Povprečna plača za DM</w:t>
            </w:r>
          </w:p>
        </w:tc>
        <w:tc>
          <w:tcPr>
            <w:tcW w:w="992" w:type="dxa"/>
            <w:hideMark/>
          </w:tcPr>
          <w:p w14:paraId="054BF33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x 12 mesecev za izračun letnega stroška</w:t>
            </w:r>
          </w:p>
        </w:tc>
        <w:tc>
          <w:tcPr>
            <w:tcW w:w="1134" w:type="dxa"/>
            <w:hideMark/>
          </w:tcPr>
          <w:p w14:paraId="4DBD5247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 xml:space="preserve">Bruto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(letni strošek skupaj s prispevki delodajalca)</w:t>
            </w:r>
          </w:p>
        </w:tc>
        <w:tc>
          <w:tcPr>
            <w:tcW w:w="1418" w:type="dxa"/>
            <w:hideMark/>
          </w:tcPr>
          <w:p w14:paraId="730A3F76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UPOŠTEVANO DM</w:t>
            </w:r>
          </w:p>
        </w:tc>
        <w:tc>
          <w:tcPr>
            <w:tcW w:w="992" w:type="dxa"/>
            <w:noWrap/>
            <w:hideMark/>
          </w:tcPr>
          <w:p w14:paraId="6B31919E" w14:textId="0A259D49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Zmnožek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913742" w:rsidRPr="003736C5" w14:paraId="6CBCE387" w14:textId="77777777" w:rsidTr="00913742">
        <w:trPr>
          <w:trHeight w:val="807"/>
        </w:trPr>
        <w:tc>
          <w:tcPr>
            <w:tcW w:w="972" w:type="dxa"/>
            <w:noWrap/>
            <w:hideMark/>
          </w:tcPr>
          <w:p w14:paraId="5861EB9B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zdravnik klinični genetik</w:t>
            </w:r>
          </w:p>
        </w:tc>
        <w:tc>
          <w:tcPr>
            <w:tcW w:w="1008" w:type="dxa"/>
            <w:noWrap/>
            <w:hideMark/>
          </w:tcPr>
          <w:p w14:paraId="3F988E7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A9F7B4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993" w:type="dxa"/>
            <w:noWrap/>
            <w:hideMark/>
          </w:tcPr>
          <w:p w14:paraId="3348FDCE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3.729.457</w:t>
            </w:r>
          </w:p>
        </w:tc>
        <w:tc>
          <w:tcPr>
            <w:tcW w:w="992" w:type="dxa"/>
            <w:noWrap/>
            <w:hideMark/>
          </w:tcPr>
          <w:p w14:paraId="123D855B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4.621</w:t>
            </w:r>
          </w:p>
        </w:tc>
        <w:tc>
          <w:tcPr>
            <w:tcW w:w="992" w:type="dxa"/>
            <w:noWrap/>
            <w:hideMark/>
          </w:tcPr>
          <w:p w14:paraId="5D31AC67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55.457</w:t>
            </w:r>
          </w:p>
        </w:tc>
        <w:tc>
          <w:tcPr>
            <w:tcW w:w="1134" w:type="dxa"/>
            <w:noWrap/>
            <w:hideMark/>
          </w:tcPr>
          <w:p w14:paraId="55AFDC09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  <w:tc>
          <w:tcPr>
            <w:tcW w:w="1418" w:type="dxa"/>
            <w:hideMark/>
          </w:tcPr>
          <w:p w14:paraId="56991F5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VIŠJI ZDRAVNIK SPECIALIST PPD3 (E018025)</w:t>
            </w:r>
          </w:p>
        </w:tc>
        <w:tc>
          <w:tcPr>
            <w:tcW w:w="992" w:type="dxa"/>
            <w:noWrap/>
            <w:hideMark/>
          </w:tcPr>
          <w:p w14:paraId="4B53E67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</w:tr>
      <w:tr w:rsidR="00913742" w:rsidRPr="003736C5" w14:paraId="5398B88C" w14:textId="77777777" w:rsidTr="00913742">
        <w:trPr>
          <w:trHeight w:val="1130"/>
        </w:trPr>
        <w:tc>
          <w:tcPr>
            <w:tcW w:w="972" w:type="dxa"/>
            <w:noWrap/>
            <w:hideMark/>
          </w:tcPr>
          <w:p w14:paraId="2571A7C2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 xml:space="preserve">DMS s posebnimi znanji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Genomski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svetovalec</w:t>
            </w:r>
          </w:p>
        </w:tc>
        <w:tc>
          <w:tcPr>
            <w:tcW w:w="1008" w:type="dxa"/>
            <w:noWrap/>
            <w:hideMark/>
          </w:tcPr>
          <w:p w14:paraId="143D7EBE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633FA8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993" w:type="dxa"/>
            <w:noWrap/>
            <w:hideMark/>
          </w:tcPr>
          <w:p w14:paraId="631E7C5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1.609.818</w:t>
            </w:r>
          </w:p>
        </w:tc>
        <w:tc>
          <w:tcPr>
            <w:tcW w:w="992" w:type="dxa"/>
            <w:noWrap/>
            <w:hideMark/>
          </w:tcPr>
          <w:p w14:paraId="2394B5AD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2.002</w:t>
            </w:r>
          </w:p>
        </w:tc>
        <w:tc>
          <w:tcPr>
            <w:tcW w:w="992" w:type="dxa"/>
            <w:noWrap/>
            <w:hideMark/>
          </w:tcPr>
          <w:p w14:paraId="1B0A7DCC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24.027</w:t>
            </w:r>
          </w:p>
        </w:tc>
        <w:tc>
          <w:tcPr>
            <w:tcW w:w="1134" w:type="dxa"/>
            <w:noWrap/>
            <w:hideMark/>
          </w:tcPr>
          <w:p w14:paraId="7C88CDAD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  <w:tc>
          <w:tcPr>
            <w:tcW w:w="1418" w:type="dxa"/>
            <w:hideMark/>
          </w:tcPr>
          <w:p w14:paraId="27476C7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DIPL. MEDICINSKA SESTRA S SPECIALNIMI ZNANJI (E037013)</w:t>
            </w:r>
          </w:p>
        </w:tc>
        <w:tc>
          <w:tcPr>
            <w:tcW w:w="992" w:type="dxa"/>
            <w:noWrap/>
            <w:hideMark/>
          </w:tcPr>
          <w:p w14:paraId="7A1A0758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</w:tr>
      <w:tr w:rsidR="00913742" w:rsidRPr="003736C5" w14:paraId="5A0DA8BE" w14:textId="77777777" w:rsidTr="00913742">
        <w:trPr>
          <w:trHeight w:val="139"/>
        </w:trPr>
        <w:tc>
          <w:tcPr>
            <w:tcW w:w="972" w:type="dxa"/>
            <w:shd w:val="clear" w:color="auto" w:fill="FFFF00"/>
            <w:noWrap/>
            <w:hideMark/>
          </w:tcPr>
          <w:p w14:paraId="24ECBD2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vsota</w:t>
            </w:r>
          </w:p>
        </w:tc>
        <w:tc>
          <w:tcPr>
            <w:tcW w:w="1008" w:type="dxa"/>
            <w:shd w:val="clear" w:color="auto" w:fill="FFFF00"/>
            <w:noWrap/>
            <w:hideMark/>
          </w:tcPr>
          <w:p w14:paraId="29228440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14:paraId="2C384C5D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FFF00"/>
            <w:noWrap/>
            <w:hideMark/>
          </w:tcPr>
          <w:p w14:paraId="06D65FB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69226703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67D6CA22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14:paraId="361577B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FFFF00"/>
            <w:noWrap/>
            <w:hideMark/>
          </w:tcPr>
          <w:p w14:paraId="709E302B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7FAAE484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92.281</w:t>
            </w:r>
          </w:p>
        </w:tc>
      </w:tr>
      <w:tr w:rsidR="00913742" w:rsidRPr="003736C5" w14:paraId="67C39456" w14:textId="77777777" w:rsidTr="00913742">
        <w:trPr>
          <w:trHeight w:val="497"/>
        </w:trPr>
        <w:tc>
          <w:tcPr>
            <w:tcW w:w="9351" w:type="dxa"/>
            <w:gridSpan w:val="9"/>
            <w:noWrap/>
            <w:hideMark/>
          </w:tcPr>
          <w:p w14:paraId="7C3E0823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*zmnožek je povprečna plača za primerljivo DM za mesec oktober 2021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36C5">
              <w:rPr>
                <w:rFonts w:ascii="Arial" w:hAnsi="Arial" w:cs="Arial"/>
                <w:sz w:val="16"/>
                <w:szCs w:val="16"/>
              </w:rPr>
              <w:t xml:space="preserve">iz Portala plač x 12 mesecev za izračun letnega stroška = bruto znesek; * 1,161 = bruto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* število predvidenih zaposlitev. (strošek regresa lahko v tem primeru zanemarimo)</w:t>
            </w:r>
          </w:p>
          <w:p w14:paraId="3EDE0DC8" w14:textId="7FFF326A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3742" w:rsidRPr="003736C5" w14:paraId="14D42503" w14:textId="77777777" w:rsidTr="008D73AC">
        <w:trPr>
          <w:trHeight w:val="270"/>
        </w:trPr>
        <w:tc>
          <w:tcPr>
            <w:tcW w:w="9351" w:type="dxa"/>
            <w:gridSpan w:val="9"/>
            <w:noWrap/>
            <w:hideMark/>
          </w:tcPr>
          <w:p w14:paraId="2ED2AFF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Opomba: vsi zneski so v EUR</w:t>
            </w:r>
          </w:p>
          <w:p w14:paraId="0F8FA5B1" w14:textId="37BB7DB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C0BA180" w14:textId="4C3B8BD8" w:rsidR="00645EFF" w:rsidRDefault="00645EFF" w:rsidP="00645EFF"/>
    <w:p w14:paraId="0B1F0EA6" w14:textId="78EAF165" w:rsidR="00645EFF" w:rsidRDefault="00645EFF" w:rsidP="0056770F">
      <w:pPr>
        <w:spacing w:line="360" w:lineRule="auto"/>
        <w:jc w:val="both"/>
        <w:rPr>
          <w:sz w:val="22"/>
          <w:szCs w:val="22"/>
        </w:rPr>
      </w:pPr>
    </w:p>
    <w:p w14:paraId="0A279AE3" w14:textId="77777777" w:rsidR="00470CF3" w:rsidRPr="003672CC" w:rsidRDefault="00470CF3" w:rsidP="00FE4391">
      <w:pPr>
        <w:spacing w:line="360" w:lineRule="auto"/>
        <w:jc w:val="both"/>
      </w:pPr>
    </w:p>
    <w:p w14:paraId="7661803E" w14:textId="79D835B5" w:rsidR="004D58C5" w:rsidRPr="003672CC" w:rsidRDefault="00C32C87" w:rsidP="000F515D">
      <w:pPr>
        <w:pStyle w:val="Naslov3"/>
      </w:pPr>
      <w:bookmarkStart w:id="4" w:name="_Toc85639802"/>
      <w:r w:rsidRPr="003672CC">
        <w:lastRenderedPageBreak/>
        <w:t>Aktivnost 2</w:t>
      </w:r>
      <w:r w:rsidR="002E3FC6" w:rsidRPr="003672CC">
        <w:t xml:space="preserve">. </w:t>
      </w:r>
      <w:proofErr w:type="spellStart"/>
      <w:r w:rsidR="002E3FC6" w:rsidRPr="003672CC">
        <w:t>Genomsko</w:t>
      </w:r>
      <w:proofErr w:type="spellEnd"/>
      <w:r w:rsidR="002E3FC6" w:rsidRPr="003672CC">
        <w:t xml:space="preserve"> </w:t>
      </w:r>
      <w:proofErr w:type="spellStart"/>
      <w:r w:rsidR="0051533D" w:rsidRPr="003672CC">
        <w:t>predrojstno</w:t>
      </w:r>
      <w:proofErr w:type="spellEnd"/>
      <w:r w:rsidR="0051533D" w:rsidRPr="003672CC">
        <w:t xml:space="preserve"> in </w:t>
      </w:r>
      <w:r w:rsidR="002E3FC6" w:rsidRPr="003672CC">
        <w:t xml:space="preserve">neonatalno </w:t>
      </w:r>
      <w:proofErr w:type="spellStart"/>
      <w:r w:rsidR="002E3FC6" w:rsidRPr="003672CC">
        <w:t>presejanje</w:t>
      </w:r>
      <w:bookmarkEnd w:id="4"/>
      <w:proofErr w:type="spellEnd"/>
    </w:p>
    <w:p w14:paraId="51BC4FFB" w14:textId="77777777" w:rsidR="00683580" w:rsidRDefault="00683580" w:rsidP="00FE4391">
      <w:pPr>
        <w:spacing w:line="360" w:lineRule="auto"/>
        <w:jc w:val="both"/>
        <w:rPr>
          <w:sz w:val="22"/>
          <w:szCs w:val="22"/>
        </w:rPr>
      </w:pPr>
    </w:p>
    <w:p w14:paraId="5DB00662" w14:textId="7AD82754" w:rsidR="00AB64C9" w:rsidRDefault="00AB64C9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 letom 2018 je Slovenija izvajala neonatalno </w:t>
      </w:r>
      <w:proofErr w:type="spellStart"/>
      <w:r>
        <w:rPr>
          <w:sz w:val="22"/>
          <w:szCs w:val="22"/>
        </w:rPr>
        <w:t>presejanje</w:t>
      </w:r>
      <w:proofErr w:type="spellEnd"/>
      <w:r>
        <w:rPr>
          <w:sz w:val="22"/>
          <w:szCs w:val="22"/>
        </w:rPr>
        <w:t xml:space="preserve"> za dve vrojeni bolezni, </w:t>
      </w:r>
      <w:r w:rsidRPr="0056770F">
        <w:rPr>
          <w:sz w:val="22"/>
          <w:szCs w:val="22"/>
        </w:rPr>
        <w:t xml:space="preserve">v letu 2018 je Ministrstvo za zdravje z nakupom tandemskega masnega spektrometra omogočilo uvedbo presejalnega testiranja novorojencev za dodatnih 18 vrojenih presnovnih bolezni. Vendar se znanost neprestano razvija in pojavile so se nove možnosti </w:t>
      </w:r>
      <w:proofErr w:type="spellStart"/>
      <w:r w:rsidRPr="0056770F">
        <w:rPr>
          <w:sz w:val="22"/>
          <w:szCs w:val="22"/>
        </w:rPr>
        <w:t>presejanja</w:t>
      </w:r>
      <w:proofErr w:type="spellEnd"/>
      <w:r w:rsidRPr="0056770F">
        <w:rPr>
          <w:sz w:val="22"/>
          <w:szCs w:val="22"/>
        </w:rPr>
        <w:t xml:space="preserve">. </w:t>
      </w:r>
      <w:r w:rsidRPr="003672CC">
        <w:rPr>
          <w:sz w:val="22"/>
          <w:szCs w:val="22"/>
        </w:rPr>
        <w:t>T</w:t>
      </w:r>
      <w:r>
        <w:rPr>
          <w:sz w:val="22"/>
          <w:szCs w:val="22"/>
        </w:rPr>
        <w:t>ak</w:t>
      </w:r>
      <w:r w:rsidR="004705CE">
        <w:rPr>
          <w:sz w:val="22"/>
          <w:szCs w:val="22"/>
        </w:rPr>
        <w:t>o</w:t>
      </w:r>
      <w:r>
        <w:rPr>
          <w:sz w:val="22"/>
          <w:szCs w:val="22"/>
        </w:rPr>
        <w:t xml:space="preserve"> t</w:t>
      </w:r>
      <w:r w:rsidRPr="003672CC">
        <w:rPr>
          <w:sz w:val="22"/>
          <w:szCs w:val="22"/>
        </w:rPr>
        <w:t xml:space="preserve">udi nova shema </w:t>
      </w:r>
      <w:proofErr w:type="spellStart"/>
      <w:r w:rsidRPr="003672CC">
        <w:rPr>
          <w:sz w:val="22"/>
          <w:szCs w:val="22"/>
        </w:rPr>
        <w:t>presejanja</w:t>
      </w:r>
      <w:proofErr w:type="spellEnd"/>
      <w:r w:rsidRPr="003672CC">
        <w:rPr>
          <w:sz w:val="22"/>
          <w:szCs w:val="22"/>
        </w:rPr>
        <w:t xml:space="preserve"> ne zajema nekaterih bolezni za katere že obstaja učinkovito zgodnje zdravljenje, na primer </w:t>
      </w:r>
      <w:proofErr w:type="spellStart"/>
      <w:r w:rsidRPr="003672CC">
        <w:rPr>
          <w:sz w:val="22"/>
          <w:szCs w:val="22"/>
        </w:rPr>
        <w:t>spinalno</w:t>
      </w:r>
      <w:proofErr w:type="spellEnd"/>
      <w:r w:rsidRPr="003672CC">
        <w:rPr>
          <w:sz w:val="22"/>
          <w:szCs w:val="22"/>
        </w:rPr>
        <w:t xml:space="preserve"> mišično atrofijo. </w:t>
      </w:r>
      <w:r w:rsidRPr="0056770F">
        <w:rPr>
          <w:sz w:val="22"/>
          <w:szCs w:val="22"/>
        </w:rPr>
        <w:t xml:space="preserve">Bistvenega pomena je, da se zavzemamo za izboljšanje </w:t>
      </w:r>
      <w:proofErr w:type="spellStart"/>
      <w:r w:rsidRPr="0056770F">
        <w:rPr>
          <w:sz w:val="22"/>
          <w:szCs w:val="22"/>
        </w:rPr>
        <w:t>zdravstvenga</w:t>
      </w:r>
      <w:proofErr w:type="spellEnd"/>
      <w:r w:rsidRPr="0056770F">
        <w:rPr>
          <w:sz w:val="22"/>
          <w:szCs w:val="22"/>
        </w:rPr>
        <w:t xml:space="preserve"> stanja naših novorojenih otrok, nove generacije, na kateri stoji prihodnost države. </w:t>
      </w:r>
      <w:r w:rsidR="00EB30FD" w:rsidRPr="003672CC">
        <w:rPr>
          <w:sz w:val="22"/>
          <w:szCs w:val="22"/>
        </w:rPr>
        <w:t>Aktivnost</w:t>
      </w:r>
      <w:r w:rsidR="004E270B" w:rsidRPr="003672CC">
        <w:rPr>
          <w:sz w:val="22"/>
          <w:szCs w:val="22"/>
        </w:rPr>
        <w:t xml:space="preserve"> ima namen razv</w:t>
      </w:r>
      <w:r w:rsidR="000E4422" w:rsidRPr="003672CC">
        <w:rPr>
          <w:sz w:val="22"/>
          <w:szCs w:val="22"/>
        </w:rPr>
        <w:t xml:space="preserve">iti sodobne možnosti </w:t>
      </w:r>
      <w:r w:rsidR="000E4422" w:rsidRPr="0056770F">
        <w:rPr>
          <w:sz w:val="22"/>
          <w:szCs w:val="22"/>
        </w:rPr>
        <w:t>primarnega in sekundarnega preprečevanja genetsko pogojenih bolezni</w:t>
      </w:r>
      <w:r w:rsidR="000E4422" w:rsidRPr="003672CC">
        <w:rPr>
          <w:sz w:val="22"/>
          <w:szCs w:val="22"/>
        </w:rPr>
        <w:t>.</w:t>
      </w:r>
      <w:r w:rsidR="009D4C70" w:rsidRPr="003672CC">
        <w:rPr>
          <w:sz w:val="22"/>
          <w:szCs w:val="22"/>
        </w:rPr>
        <w:t xml:space="preserve"> </w:t>
      </w:r>
    </w:p>
    <w:p w14:paraId="0CF918ED" w14:textId="77777777" w:rsidR="00AB64C9" w:rsidRDefault="00AB64C9" w:rsidP="00FE4391">
      <w:pPr>
        <w:spacing w:line="360" w:lineRule="auto"/>
        <w:jc w:val="both"/>
        <w:rPr>
          <w:sz w:val="22"/>
          <w:szCs w:val="22"/>
        </w:rPr>
      </w:pPr>
    </w:p>
    <w:p w14:paraId="7E57EF0F" w14:textId="3C988BAD" w:rsidR="0056770F" w:rsidRDefault="007404B9" w:rsidP="0056770F">
      <w:pPr>
        <w:spacing w:line="360" w:lineRule="auto"/>
        <w:jc w:val="both"/>
        <w:rPr>
          <w:sz w:val="22"/>
          <w:szCs w:val="22"/>
        </w:rPr>
      </w:pPr>
      <w:r w:rsidRPr="0056770F">
        <w:rPr>
          <w:sz w:val="22"/>
          <w:szCs w:val="22"/>
        </w:rPr>
        <w:t>Pediatrična klinika UKC Lj</w:t>
      </w:r>
      <w:r w:rsidR="003E1E99">
        <w:rPr>
          <w:sz w:val="22"/>
          <w:szCs w:val="22"/>
        </w:rPr>
        <w:t>ubljana</w:t>
      </w:r>
      <w:r w:rsidRPr="0056770F">
        <w:rPr>
          <w:sz w:val="22"/>
          <w:szCs w:val="22"/>
        </w:rPr>
        <w:t xml:space="preserve"> je na Z</w:t>
      </w:r>
      <w:r w:rsidR="003E1E99">
        <w:rPr>
          <w:sz w:val="22"/>
          <w:szCs w:val="22"/>
        </w:rPr>
        <w:t>dravstveni svet</w:t>
      </w:r>
      <w:r w:rsidRPr="0056770F">
        <w:rPr>
          <w:sz w:val="22"/>
          <w:szCs w:val="22"/>
        </w:rPr>
        <w:t xml:space="preserve"> </w:t>
      </w:r>
      <w:r w:rsidR="005215FD" w:rsidRPr="0056770F">
        <w:rPr>
          <w:sz w:val="22"/>
          <w:szCs w:val="22"/>
        </w:rPr>
        <w:t xml:space="preserve"> dne 23. 4. 2021 vložila </w:t>
      </w:r>
      <w:r w:rsidRPr="0056770F">
        <w:rPr>
          <w:sz w:val="22"/>
          <w:szCs w:val="22"/>
        </w:rPr>
        <w:t xml:space="preserve">vlogo za nov program </w:t>
      </w:r>
      <w:r w:rsidR="005215FD" w:rsidRPr="0056770F">
        <w:rPr>
          <w:sz w:val="22"/>
          <w:szCs w:val="22"/>
        </w:rPr>
        <w:t xml:space="preserve">z naslovom »Uvedba programa </w:t>
      </w:r>
      <w:proofErr w:type="spellStart"/>
      <w:r w:rsidR="005215FD" w:rsidRPr="0056770F">
        <w:rPr>
          <w:sz w:val="22"/>
          <w:szCs w:val="22"/>
        </w:rPr>
        <w:t>presejanja</w:t>
      </w:r>
      <w:proofErr w:type="spellEnd"/>
      <w:r w:rsidR="005215FD" w:rsidRPr="0056770F">
        <w:rPr>
          <w:sz w:val="22"/>
          <w:szCs w:val="22"/>
        </w:rPr>
        <w:t xml:space="preserve"> novorojencev za </w:t>
      </w:r>
      <w:proofErr w:type="spellStart"/>
      <w:r w:rsidR="005215FD" w:rsidRPr="0056770F">
        <w:rPr>
          <w:sz w:val="22"/>
          <w:szCs w:val="22"/>
        </w:rPr>
        <w:t>spinalno</w:t>
      </w:r>
      <w:proofErr w:type="spellEnd"/>
      <w:r w:rsidR="005215FD" w:rsidRPr="0056770F">
        <w:rPr>
          <w:sz w:val="22"/>
          <w:szCs w:val="22"/>
        </w:rPr>
        <w:t xml:space="preserve"> mišično atrofijo, težke prirojene okvare imunosti, cistično </w:t>
      </w:r>
      <w:proofErr w:type="spellStart"/>
      <w:r w:rsidR="005215FD" w:rsidRPr="0056770F">
        <w:rPr>
          <w:sz w:val="22"/>
          <w:szCs w:val="22"/>
        </w:rPr>
        <w:t>fibrozo</w:t>
      </w:r>
      <w:proofErr w:type="spellEnd"/>
      <w:r w:rsidR="005215FD" w:rsidRPr="0056770F">
        <w:rPr>
          <w:sz w:val="22"/>
          <w:szCs w:val="22"/>
        </w:rPr>
        <w:t xml:space="preserve"> in kongenitalno adrenalno hiperplazijo«.</w:t>
      </w:r>
      <w:r w:rsidR="0056770F" w:rsidRPr="0056770F">
        <w:rPr>
          <w:sz w:val="22"/>
          <w:szCs w:val="22"/>
        </w:rPr>
        <w:t xml:space="preserve"> Vloga je bila obravnavana na 3/2021 seji Z</w:t>
      </w:r>
      <w:r w:rsidR="003E1E99">
        <w:rPr>
          <w:sz w:val="22"/>
          <w:szCs w:val="22"/>
        </w:rPr>
        <w:t>dravstvenega sveta</w:t>
      </w:r>
      <w:r w:rsidR="0056770F" w:rsidRPr="0056770F">
        <w:rPr>
          <w:sz w:val="22"/>
          <w:szCs w:val="22"/>
        </w:rPr>
        <w:t xml:space="preserve"> dne 15. 6. 2021 in sprejet </w:t>
      </w:r>
      <w:r w:rsidR="003E1E99">
        <w:rPr>
          <w:sz w:val="22"/>
          <w:szCs w:val="22"/>
        </w:rPr>
        <w:t xml:space="preserve">je bil </w:t>
      </w:r>
      <w:r w:rsidR="0056770F" w:rsidRPr="0056770F">
        <w:rPr>
          <w:sz w:val="22"/>
          <w:szCs w:val="22"/>
        </w:rPr>
        <w:t>sklep, da je vloga strokovno ustrezno napisana in finančno vzdržna in da jo Z</w:t>
      </w:r>
      <w:r w:rsidR="003E1E99">
        <w:rPr>
          <w:sz w:val="22"/>
          <w:szCs w:val="22"/>
        </w:rPr>
        <w:t>dravstveni svet</w:t>
      </w:r>
      <w:r w:rsidR="0056770F" w:rsidRPr="0056770F">
        <w:rPr>
          <w:sz w:val="22"/>
          <w:szCs w:val="22"/>
        </w:rPr>
        <w:t xml:space="preserve"> soglasno podpre in predlaga za vključitev v sistem sistematičnega izvajanja in financiranja. Potrebno je počakati na sprejem</w:t>
      </w:r>
      <w:r w:rsidRPr="0056770F">
        <w:rPr>
          <w:sz w:val="22"/>
          <w:szCs w:val="22"/>
        </w:rPr>
        <w:t xml:space="preserve"> novega programa v S</w:t>
      </w:r>
      <w:r w:rsidR="003E1E99">
        <w:rPr>
          <w:sz w:val="22"/>
          <w:szCs w:val="22"/>
        </w:rPr>
        <w:t>plošnem dogovoru</w:t>
      </w:r>
      <w:r w:rsidRPr="0056770F">
        <w:rPr>
          <w:sz w:val="22"/>
          <w:szCs w:val="22"/>
        </w:rPr>
        <w:t xml:space="preserve"> in </w:t>
      </w:r>
      <w:r w:rsidR="003E1E99">
        <w:rPr>
          <w:sz w:val="22"/>
          <w:szCs w:val="22"/>
        </w:rPr>
        <w:t>n</w:t>
      </w:r>
      <w:r w:rsidRPr="0056770F">
        <w:rPr>
          <w:sz w:val="22"/>
          <w:szCs w:val="22"/>
        </w:rPr>
        <w:t xml:space="preserve">a pričetek financiranja testiranja </w:t>
      </w:r>
      <w:r w:rsidR="003E1E99">
        <w:rPr>
          <w:sz w:val="22"/>
          <w:szCs w:val="22"/>
        </w:rPr>
        <w:t xml:space="preserve">na </w:t>
      </w:r>
      <w:r w:rsidR="0056770F" w:rsidRPr="0056770F">
        <w:rPr>
          <w:sz w:val="22"/>
          <w:szCs w:val="22"/>
        </w:rPr>
        <w:t>omenjene štiri</w:t>
      </w:r>
      <w:r w:rsidRPr="0056770F">
        <w:rPr>
          <w:sz w:val="22"/>
          <w:szCs w:val="22"/>
        </w:rPr>
        <w:t xml:space="preserve"> bolezni. </w:t>
      </w:r>
    </w:p>
    <w:p w14:paraId="63EBA14A" w14:textId="77777777" w:rsidR="0056770F" w:rsidRPr="0056770F" w:rsidRDefault="0056770F" w:rsidP="0056770F">
      <w:pPr>
        <w:spacing w:line="360" w:lineRule="auto"/>
        <w:jc w:val="both"/>
        <w:rPr>
          <w:sz w:val="22"/>
          <w:szCs w:val="22"/>
        </w:rPr>
      </w:pPr>
    </w:p>
    <w:p w14:paraId="35B6F879" w14:textId="43334A69" w:rsidR="002E3FC6" w:rsidRPr="003672CC" w:rsidRDefault="007404B9" w:rsidP="0056770F">
      <w:pPr>
        <w:spacing w:line="360" w:lineRule="auto"/>
        <w:jc w:val="both"/>
        <w:rPr>
          <w:sz w:val="22"/>
          <w:szCs w:val="22"/>
        </w:rPr>
      </w:pPr>
      <w:r w:rsidRPr="0056770F">
        <w:rPr>
          <w:sz w:val="22"/>
          <w:szCs w:val="22"/>
        </w:rPr>
        <w:t>Vsekakor obstajajo v naslednjih 10 letih možnost</w:t>
      </w:r>
      <w:r w:rsidR="003E1E99">
        <w:rPr>
          <w:sz w:val="22"/>
          <w:szCs w:val="22"/>
        </w:rPr>
        <w:t>i</w:t>
      </w:r>
      <w:r w:rsidRPr="0056770F">
        <w:rPr>
          <w:sz w:val="22"/>
          <w:szCs w:val="22"/>
        </w:rPr>
        <w:t xml:space="preserve"> priključitve drugih bolezenskih stanj, ki bi se izkazala kot »</w:t>
      </w:r>
      <w:proofErr w:type="spellStart"/>
      <w:r w:rsidRPr="0056770F">
        <w:rPr>
          <w:sz w:val="22"/>
          <w:szCs w:val="22"/>
        </w:rPr>
        <w:t>cost</w:t>
      </w:r>
      <w:proofErr w:type="spellEnd"/>
      <w:r w:rsidRPr="0056770F">
        <w:rPr>
          <w:sz w:val="22"/>
          <w:szCs w:val="22"/>
        </w:rPr>
        <w:t xml:space="preserve"> </w:t>
      </w:r>
      <w:proofErr w:type="spellStart"/>
      <w:r w:rsidRPr="0056770F">
        <w:rPr>
          <w:sz w:val="22"/>
          <w:szCs w:val="22"/>
        </w:rPr>
        <w:t>benefit</w:t>
      </w:r>
      <w:proofErr w:type="spellEnd"/>
      <w:r w:rsidRPr="0056770F">
        <w:rPr>
          <w:sz w:val="22"/>
          <w:szCs w:val="22"/>
        </w:rPr>
        <w:t>« za vključitev v presejalne programe</w:t>
      </w:r>
      <w:r>
        <w:rPr>
          <w:sz w:val="22"/>
          <w:szCs w:val="22"/>
        </w:rPr>
        <w:t>. P</w:t>
      </w:r>
      <w:r w:rsidR="00BB43F4" w:rsidRPr="003672CC">
        <w:rPr>
          <w:sz w:val="22"/>
          <w:szCs w:val="22"/>
        </w:rPr>
        <w:t>otrebn</w:t>
      </w:r>
      <w:r>
        <w:rPr>
          <w:sz w:val="22"/>
          <w:szCs w:val="22"/>
        </w:rPr>
        <w:t xml:space="preserve">a je </w:t>
      </w:r>
      <w:r w:rsidR="00BB43F4" w:rsidRPr="003672CC">
        <w:rPr>
          <w:sz w:val="22"/>
          <w:szCs w:val="22"/>
        </w:rPr>
        <w:t>preučit</w:t>
      </w:r>
      <w:r>
        <w:rPr>
          <w:sz w:val="22"/>
          <w:szCs w:val="22"/>
        </w:rPr>
        <w:t>ev</w:t>
      </w:r>
      <w:r w:rsidR="0046054C" w:rsidRPr="003672CC">
        <w:rPr>
          <w:sz w:val="22"/>
          <w:szCs w:val="22"/>
        </w:rPr>
        <w:t xml:space="preserve"> možnost </w:t>
      </w:r>
      <w:r w:rsidR="00DF7161" w:rsidRPr="003672CC">
        <w:rPr>
          <w:sz w:val="22"/>
          <w:szCs w:val="22"/>
        </w:rPr>
        <w:t xml:space="preserve">uporabe </w:t>
      </w:r>
      <w:proofErr w:type="spellStart"/>
      <w:r w:rsidR="0046054C" w:rsidRPr="0056770F">
        <w:rPr>
          <w:sz w:val="22"/>
          <w:szCs w:val="22"/>
        </w:rPr>
        <w:t>genomskih</w:t>
      </w:r>
      <w:proofErr w:type="spellEnd"/>
      <w:r w:rsidR="0046054C" w:rsidRPr="0056770F">
        <w:rPr>
          <w:sz w:val="22"/>
          <w:szCs w:val="22"/>
        </w:rPr>
        <w:t xml:space="preserve"> presejalnih testov</w:t>
      </w:r>
      <w:r w:rsidR="00DF7161" w:rsidRPr="003672CC">
        <w:rPr>
          <w:sz w:val="22"/>
          <w:szCs w:val="22"/>
        </w:rPr>
        <w:t xml:space="preserve">, tako iz </w:t>
      </w:r>
      <w:r w:rsidR="00DF7161" w:rsidRPr="0056770F">
        <w:rPr>
          <w:sz w:val="22"/>
          <w:szCs w:val="22"/>
        </w:rPr>
        <w:t>strokovnega</w:t>
      </w:r>
      <w:r w:rsidR="00DF7161" w:rsidRPr="003672CC">
        <w:rPr>
          <w:sz w:val="22"/>
          <w:szCs w:val="22"/>
        </w:rPr>
        <w:t xml:space="preserve"> kot tudi </w:t>
      </w:r>
      <w:r w:rsidR="00DF7161" w:rsidRPr="0056770F">
        <w:rPr>
          <w:sz w:val="22"/>
          <w:szCs w:val="22"/>
        </w:rPr>
        <w:t xml:space="preserve">socialnega </w:t>
      </w:r>
      <w:r w:rsidR="00DF7161" w:rsidRPr="003672CC">
        <w:rPr>
          <w:sz w:val="22"/>
          <w:szCs w:val="22"/>
        </w:rPr>
        <w:t xml:space="preserve">in </w:t>
      </w:r>
      <w:r w:rsidR="00DF7161" w:rsidRPr="0056770F">
        <w:rPr>
          <w:sz w:val="22"/>
          <w:szCs w:val="22"/>
        </w:rPr>
        <w:t>etičnega</w:t>
      </w:r>
      <w:r w:rsidR="0086735C" w:rsidRPr="0056770F">
        <w:rPr>
          <w:sz w:val="22"/>
          <w:szCs w:val="22"/>
        </w:rPr>
        <w:t xml:space="preserve"> vidika</w:t>
      </w:r>
      <w:r>
        <w:rPr>
          <w:sz w:val="22"/>
          <w:szCs w:val="22"/>
        </w:rPr>
        <w:t>. P</w:t>
      </w:r>
      <w:r w:rsidR="0076025B" w:rsidRPr="003672CC">
        <w:rPr>
          <w:sz w:val="22"/>
          <w:szCs w:val="22"/>
        </w:rPr>
        <w:t xml:space="preserve">ri tem </w:t>
      </w:r>
      <w:r>
        <w:rPr>
          <w:sz w:val="22"/>
          <w:szCs w:val="22"/>
        </w:rPr>
        <w:t xml:space="preserve">je </w:t>
      </w:r>
      <w:r w:rsidR="0076025B" w:rsidRPr="003672CC">
        <w:rPr>
          <w:sz w:val="22"/>
          <w:szCs w:val="22"/>
        </w:rPr>
        <w:t>smiselno povezat</w:t>
      </w:r>
      <w:r w:rsidR="000B7173" w:rsidRPr="003672CC">
        <w:rPr>
          <w:sz w:val="22"/>
          <w:szCs w:val="22"/>
        </w:rPr>
        <w:t xml:space="preserve">i uvajanje </w:t>
      </w:r>
      <w:proofErr w:type="spellStart"/>
      <w:r w:rsidR="001C26FF" w:rsidRPr="003672CC">
        <w:rPr>
          <w:sz w:val="22"/>
          <w:szCs w:val="22"/>
        </w:rPr>
        <w:t>genomskega</w:t>
      </w:r>
      <w:proofErr w:type="spellEnd"/>
      <w:r w:rsidR="001C26FF" w:rsidRPr="003672CC">
        <w:rPr>
          <w:sz w:val="22"/>
          <w:szCs w:val="22"/>
        </w:rPr>
        <w:t xml:space="preserve"> </w:t>
      </w:r>
      <w:proofErr w:type="spellStart"/>
      <w:r w:rsidR="000B7173" w:rsidRPr="003672CC">
        <w:rPr>
          <w:sz w:val="22"/>
          <w:szCs w:val="22"/>
        </w:rPr>
        <w:t>presejanja</w:t>
      </w:r>
      <w:proofErr w:type="spellEnd"/>
      <w:r w:rsidR="008138F7" w:rsidRPr="003672CC">
        <w:rPr>
          <w:sz w:val="22"/>
          <w:szCs w:val="22"/>
        </w:rPr>
        <w:t xml:space="preserve"> z izsledki projekta </w:t>
      </w:r>
      <w:r w:rsidR="008138F7" w:rsidRPr="0056770F">
        <w:rPr>
          <w:sz w:val="22"/>
          <w:szCs w:val="22"/>
        </w:rPr>
        <w:t xml:space="preserve">Slovenski </w:t>
      </w:r>
      <w:proofErr w:type="spellStart"/>
      <w:r w:rsidR="008138F7" w:rsidRPr="0056770F">
        <w:rPr>
          <w:sz w:val="22"/>
          <w:szCs w:val="22"/>
        </w:rPr>
        <w:t>genomski</w:t>
      </w:r>
      <w:proofErr w:type="spellEnd"/>
      <w:r w:rsidR="008138F7" w:rsidRPr="0056770F">
        <w:rPr>
          <w:sz w:val="22"/>
          <w:szCs w:val="22"/>
        </w:rPr>
        <w:t xml:space="preserve"> projekt</w:t>
      </w:r>
      <w:r w:rsidR="00A95A18" w:rsidRPr="003672CC">
        <w:rPr>
          <w:sz w:val="22"/>
          <w:szCs w:val="22"/>
        </w:rPr>
        <w:t>, ki združuje podatke o normalni in patološki variabilnosti genomov Slovencev</w:t>
      </w:r>
      <w:r w:rsidR="00AB64C9">
        <w:rPr>
          <w:sz w:val="22"/>
          <w:szCs w:val="22"/>
        </w:rPr>
        <w:t xml:space="preserve"> in je trenutno v fazi izvajanja </w:t>
      </w:r>
      <w:r w:rsidR="001368F0">
        <w:rPr>
          <w:sz w:val="22"/>
          <w:szCs w:val="22"/>
        </w:rPr>
        <w:t xml:space="preserve">v okviru </w:t>
      </w:r>
      <w:proofErr w:type="spellStart"/>
      <w:r w:rsidR="001368F0">
        <w:rPr>
          <w:sz w:val="22"/>
          <w:szCs w:val="22"/>
        </w:rPr>
        <w:t>trolenega</w:t>
      </w:r>
      <w:proofErr w:type="spellEnd"/>
      <w:r w:rsidR="001368F0">
        <w:rPr>
          <w:sz w:val="22"/>
          <w:szCs w:val="22"/>
        </w:rPr>
        <w:t xml:space="preserve"> Ciljnega raziskovalnega projekta (CRP 2019). Projekt bo zaključen predvidoma jeseni leta 2022.</w:t>
      </w:r>
      <w:r w:rsidR="00AB64C9">
        <w:rPr>
          <w:sz w:val="22"/>
          <w:szCs w:val="22"/>
        </w:rPr>
        <w:t xml:space="preserve"> </w:t>
      </w:r>
      <w:r w:rsidRPr="0056770F">
        <w:rPr>
          <w:sz w:val="22"/>
          <w:szCs w:val="22"/>
        </w:rPr>
        <w:t>Ob uspešnem pilotskem projektu bo podan predlog za uvedbe novih presejalnih programov.</w:t>
      </w:r>
    </w:p>
    <w:p w14:paraId="2FEECF8D" w14:textId="77777777" w:rsidR="00BD6E4E" w:rsidRPr="003672CC" w:rsidRDefault="00BD6E4E" w:rsidP="00FE4391">
      <w:pPr>
        <w:spacing w:line="360" w:lineRule="auto"/>
        <w:jc w:val="both"/>
        <w:rPr>
          <w:sz w:val="22"/>
          <w:szCs w:val="22"/>
        </w:rPr>
      </w:pPr>
    </w:p>
    <w:p w14:paraId="041FBC36" w14:textId="5E1D132A" w:rsidR="0021055B" w:rsidRPr="003672CC" w:rsidRDefault="0086735C" w:rsidP="000F515D">
      <w:pPr>
        <w:pStyle w:val="Naslov3"/>
      </w:pPr>
      <w:bookmarkStart w:id="5" w:name="_Toc85639803"/>
      <w:r w:rsidRPr="003672CC">
        <w:t>Aktivnost 3.</w:t>
      </w:r>
      <w:r w:rsidR="007B1A44" w:rsidRPr="003672CC">
        <w:t xml:space="preserve"> </w:t>
      </w:r>
      <w:proofErr w:type="spellStart"/>
      <w:r w:rsidR="007B1A44" w:rsidRPr="003672CC">
        <w:t>Presejanje</w:t>
      </w:r>
      <w:proofErr w:type="spellEnd"/>
      <w:r w:rsidR="007B1A44" w:rsidRPr="003672CC">
        <w:t xml:space="preserve"> za redke bolezni z začetkom v odrasli dobi v primarnem zdravstvu</w:t>
      </w:r>
      <w:bookmarkEnd w:id="5"/>
    </w:p>
    <w:p w14:paraId="0A2AFA71" w14:textId="77777777" w:rsidR="0056770F" w:rsidRDefault="0056770F" w:rsidP="00FE4391">
      <w:pPr>
        <w:spacing w:line="360" w:lineRule="auto"/>
        <w:jc w:val="both"/>
        <w:rPr>
          <w:sz w:val="22"/>
          <w:szCs w:val="22"/>
        </w:rPr>
      </w:pPr>
    </w:p>
    <w:p w14:paraId="6FDF3432" w14:textId="572BDA50" w:rsidR="001374F0" w:rsidRPr="003672CC" w:rsidRDefault="004705CE" w:rsidP="00FE4391">
      <w:pPr>
        <w:spacing w:line="360" w:lineRule="auto"/>
        <w:jc w:val="both"/>
      </w:pPr>
      <w:r>
        <w:rPr>
          <w:sz w:val="22"/>
          <w:szCs w:val="22"/>
        </w:rPr>
        <w:t xml:space="preserve">V obdobju </w:t>
      </w:r>
      <w:r w:rsidRPr="004705C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2018</w:t>
      </w:r>
      <w:r>
        <w:rPr>
          <w:sz w:val="22"/>
          <w:szCs w:val="22"/>
        </w:rPr>
        <w:t xml:space="preserve"> do </w:t>
      </w:r>
      <w:r w:rsidRPr="004705CE">
        <w:rPr>
          <w:sz w:val="22"/>
          <w:szCs w:val="22"/>
        </w:rPr>
        <w:t>30.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2021</w:t>
      </w:r>
      <w:r>
        <w:rPr>
          <w:sz w:val="22"/>
          <w:szCs w:val="22"/>
        </w:rPr>
        <w:t xml:space="preserve"> je</w:t>
      </w:r>
      <w:r w:rsidR="00F80B1E" w:rsidRPr="003672CC">
        <w:rPr>
          <w:sz w:val="22"/>
          <w:szCs w:val="22"/>
        </w:rPr>
        <w:t xml:space="preserve"> poteka</w:t>
      </w:r>
      <w:r>
        <w:rPr>
          <w:sz w:val="22"/>
          <w:szCs w:val="22"/>
        </w:rPr>
        <w:t>l</w:t>
      </w:r>
      <w:r w:rsidR="00F80B1E" w:rsidRPr="003672CC">
        <w:rPr>
          <w:sz w:val="22"/>
          <w:szCs w:val="22"/>
        </w:rPr>
        <w:t xml:space="preserve"> raziskovalni projekt</w:t>
      </w:r>
      <w:r>
        <w:rPr>
          <w:sz w:val="22"/>
          <w:szCs w:val="22"/>
        </w:rPr>
        <w:t xml:space="preserve"> pod vodstvom </w:t>
      </w:r>
      <w:r w:rsidRPr="004705CE">
        <w:rPr>
          <w:sz w:val="22"/>
          <w:szCs w:val="22"/>
        </w:rPr>
        <w:t xml:space="preserve">Klemenc Ketiš </w:t>
      </w:r>
      <w:proofErr w:type="spellStart"/>
      <w:r w:rsidRPr="004705CE">
        <w:rPr>
          <w:sz w:val="22"/>
          <w:szCs w:val="22"/>
        </w:rPr>
        <w:t>Zalik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z naslovom</w:t>
      </w:r>
      <w:r w:rsidRPr="004705CE">
        <w:rPr>
          <w:sz w:val="22"/>
          <w:szCs w:val="22"/>
        </w:rPr>
        <w:t xml:space="preserve"> Razvoj algoritma za določanje genetskega tveganja na primarni ravni zdravstvenega varstva: novo orodje primarne preventive</w:t>
      </w:r>
      <w:r w:rsidR="00F80B1E" w:rsidRPr="003672CC">
        <w:rPr>
          <w:sz w:val="22"/>
          <w:szCs w:val="22"/>
        </w:rPr>
        <w:t xml:space="preserve">, ki ga </w:t>
      </w:r>
      <w:r>
        <w:rPr>
          <w:sz w:val="22"/>
          <w:szCs w:val="22"/>
        </w:rPr>
        <w:t xml:space="preserve">je </w:t>
      </w:r>
      <w:r w:rsidR="00F80B1E" w:rsidRPr="003672CC">
        <w:rPr>
          <w:sz w:val="22"/>
          <w:szCs w:val="22"/>
        </w:rPr>
        <w:t>financira</w:t>
      </w:r>
      <w:r>
        <w:rPr>
          <w:sz w:val="22"/>
          <w:szCs w:val="22"/>
        </w:rPr>
        <w:t>l</w:t>
      </w:r>
      <w:r w:rsidR="00F80B1E" w:rsidRPr="003672CC">
        <w:rPr>
          <w:sz w:val="22"/>
          <w:szCs w:val="22"/>
        </w:rPr>
        <w:t xml:space="preserve"> ARRS z namenom razširiti možnost sistematične uporabe družinske anamneze v namen odkrivanja pomembne genetske nagnjenosti za genetsko pogojene bolezni.</w:t>
      </w:r>
      <w:r>
        <w:rPr>
          <w:sz w:val="22"/>
          <w:szCs w:val="22"/>
        </w:rPr>
        <w:t xml:space="preserve"> Ko bodo dosegljivi dokončni rezultati projekta bo skupina pretehtala smiselnost in pomen </w:t>
      </w:r>
      <w:r w:rsidR="001374F0">
        <w:rPr>
          <w:sz w:val="22"/>
          <w:szCs w:val="22"/>
        </w:rPr>
        <w:t>vključitve rezultatov projekta v vsakdanjo prakso in po potrebi vključitev izvajanja priporočil in rezultatov projekta v naslednji akcijski načrt.</w:t>
      </w:r>
    </w:p>
    <w:p w14:paraId="561796A4" w14:textId="65FBEFAB" w:rsidR="00246524" w:rsidRPr="00F80B1E" w:rsidRDefault="00A53F75" w:rsidP="00F80B1E">
      <w:pPr>
        <w:pStyle w:val="Naslov2"/>
      </w:pPr>
      <w:bookmarkStart w:id="6" w:name="_Toc85639804"/>
      <w:r w:rsidRPr="003672CC">
        <w:lastRenderedPageBreak/>
        <w:t xml:space="preserve">Cilj </w:t>
      </w:r>
      <w:r w:rsidR="00246524" w:rsidRPr="003672CC">
        <w:t xml:space="preserve">2. </w:t>
      </w:r>
      <w:r w:rsidR="004D58C5" w:rsidRPr="003672CC">
        <w:t>Vrhunska zdravstvena oskrba</w:t>
      </w:r>
      <w:bookmarkEnd w:id="6"/>
      <w:r w:rsidR="0021055B" w:rsidRPr="003672CC">
        <w:t xml:space="preserve"> </w:t>
      </w:r>
    </w:p>
    <w:p w14:paraId="632D6FA6" w14:textId="77777777" w:rsidR="00AF173A" w:rsidRPr="003672CC" w:rsidRDefault="00AF173A" w:rsidP="00FE4391">
      <w:pPr>
        <w:spacing w:line="360" w:lineRule="auto"/>
        <w:jc w:val="both"/>
        <w:rPr>
          <w:sz w:val="22"/>
          <w:szCs w:val="22"/>
        </w:rPr>
      </w:pPr>
    </w:p>
    <w:p w14:paraId="3B945132" w14:textId="370D1894" w:rsidR="00B0556A" w:rsidRPr="003672CC" w:rsidRDefault="00B0556A" w:rsidP="000F515D">
      <w:pPr>
        <w:pStyle w:val="Naslov3"/>
        <w:rPr>
          <w:sz w:val="22"/>
          <w:szCs w:val="22"/>
        </w:rPr>
      </w:pPr>
      <w:bookmarkStart w:id="7" w:name="_Toc85639805"/>
      <w:r w:rsidRPr="003672CC">
        <w:t xml:space="preserve">Aktivnost 4. </w:t>
      </w:r>
      <w:r w:rsidR="00E830D0" w:rsidRPr="003672CC">
        <w:t>Ustanovitev in k</w:t>
      </w:r>
      <w:r w:rsidRPr="003672CC">
        <w:t xml:space="preserve">repitev </w:t>
      </w:r>
      <w:proofErr w:type="spellStart"/>
      <w:r w:rsidR="00E830D0" w:rsidRPr="003672CC">
        <w:t>multidisclipinarnih</w:t>
      </w:r>
      <w:proofErr w:type="spellEnd"/>
      <w:r w:rsidR="00E830D0" w:rsidRPr="003672CC">
        <w:t xml:space="preserve"> </w:t>
      </w:r>
      <w:r w:rsidRPr="003672CC">
        <w:t>timov zdravstvenih delavcev za obravnavo redkih bolezni v bolnišnicah in za nemoten prehod bolnikov z redkimi boleznimi iz otroške v odraslo dobo za izboljšanje obravnave bolnikov z redkimi boleznimi</w:t>
      </w:r>
      <w:bookmarkEnd w:id="7"/>
    </w:p>
    <w:p w14:paraId="43FBB2A5" w14:textId="77777777" w:rsidR="00B0556A" w:rsidRPr="003672CC" w:rsidRDefault="00B0556A" w:rsidP="00B0556A"/>
    <w:p w14:paraId="6C0B6123" w14:textId="77777777" w:rsidR="00B83895" w:rsidRDefault="00B83895" w:rsidP="00B0556A">
      <w:pPr>
        <w:spacing w:line="360" w:lineRule="auto"/>
        <w:jc w:val="both"/>
        <w:rPr>
          <w:sz w:val="22"/>
          <w:szCs w:val="22"/>
        </w:rPr>
      </w:pPr>
    </w:p>
    <w:p w14:paraId="2A0148B9" w14:textId="2E72253D" w:rsidR="00B0556A" w:rsidRPr="003672CC" w:rsidRDefault="00B0556A" w:rsidP="00B0556A">
      <w:p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Ker Slovenija nima specializiranih ambulant za paciente z redkimi boleznimi, so tovrstni pacienti obravnavani v okviru specialističnih ambulant na specialističnem področju, glede na poglavitne simptome in znake, ki se pri določeni bolezni pojavljajo. Ker se večina redkih bolezni pojavi že v zgodnjem otroštvu, so to v glavnem </w:t>
      </w:r>
      <w:proofErr w:type="spellStart"/>
      <w:r w:rsidRPr="003672CC">
        <w:rPr>
          <w:sz w:val="22"/>
          <w:szCs w:val="22"/>
        </w:rPr>
        <w:t>subspecialistične</w:t>
      </w:r>
      <w:proofErr w:type="spellEnd"/>
      <w:r w:rsidRPr="003672CC">
        <w:rPr>
          <w:sz w:val="22"/>
          <w:szCs w:val="22"/>
        </w:rPr>
        <w:t xml:space="preserve"> pediatrične ambulante. Zaradi vse boljših metod zdravljenja in razvoja novih zdravil imamo vse več bolnikov z redkimi boleznimi tudi v odraslem obdobju. Ugotavljamo, da bi bilo potrebno oblikovati </w:t>
      </w:r>
      <w:r w:rsidRPr="00667EAC">
        <w:rPr>
          <w:sz w:val="22"/>
          <w:szCs w:val="22"/>
        </w:rPr>
        <w:t xml:space="preserve">specializirane </w:t>
      </w:r>
      <w:proofErr w:type="spellStart"/>
      <w:r w:rsidR="00E830D0" w:rsidRPr="00667EAC">
        <w:rPr>
          <w:sz w:val="22"/>
          <w:szCs w:val="22"/>
        </w:rPr>
        <w:t>multidisclipinarne</w:t>
      </w:r>
      <w:proofErr w:type="spellEnd"/>
      <w:r w:rsidR="00E830D0" w:rsidRPr="00667EAC">
        <w:rPr>
          <w:sz w:val="22"/>
          <w:szCs w:val="22"/>
        </w:rPr>
        <w:t xml:space="preserve"> time </w:t>
      </w:r>
      <w:r w:rsidRPr="00667EAC">
        <w:rPr>
          <w:sz w:val="22"/>
          <w:szCs w:val="22"/>
        </w:rPr>
        <w:t>za obravnavo redkih bolezni</w:t>
      </w:r>
      <w:r w:rsidRPr="003672CC">
        <w:rPr>
          <w:sz w:val="22"/>
          <w:szCs w:val="22"/>
        </w:rPr>
        <w:t>, ki bi obravnavale tako otroke kot tudi odrasle bolnike z redkimi boleznimi. T</w:t>
      </w:r>
      <w:r w:rsidR="00E830D0" w:rsidRPr="003672CC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</w:t>
      </w:r>
      <w:r w:rsidR="00E830D0" w:rsidRPr="003672CC">
        <w:rPr>
          <w:sz w:val="22"/>
          <w:szCs w:val="22"/>
        </w:rPr>
        <w:t xml:space="preserve">timi </w:t>
      </w:r>
      <w:r w:rsidRPr="003672CC">
        <w:rPr>
          <w:sz w:val="22"/>
          <w:szCs w:val="22"/>
        </w:rPr>
        <w:t>bi moral</w:t>
      </w:r>
      <w:r w:rsidR="00E830D0" w:rsidRPr="003672CC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biti organiziran</w:t>
      </w:r>
      <w:r w:rsidR="00E830D0" w:rsidRPr="003672CC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na način, da ne bi bolniki hodili v različne ambulante k različnim specialistom, ampak bi vsi specialisti</w:t>
      </w:r>
      <w:r w:rsidR="00E830D0" w:rsidRPr="003672CC">
        <w:rPr>
          <w:sz w:val="22"/>
          <w:szCs w:val="22"/>
        </w:rPr>
        <w:t xml:space="preserve"> in drugi zdravstveni delavci</w:t>
      </w:r>
      <w:r w:rsidRPr="003672CC">
        <w:rPr>
          <w:sz w:val="22"/>
          <w:szCs w:val="22"/>
        </w:rPr>
        <w:t xml:space="preserve">, ki bi jih potreboval posamezni </w:t>
      </w:r>
      <w:r w:rsidR="008A7FCA" w:rsidRPr="003672CC">
        <w:rPr>
          <w:sz w:val="22"/>
          <w:szCs w:val="22"/>
        </w:rPr>
        <w:t>bolnik</w:t>
      </w:r>
      <w:r w:rsidRPr="003672CC">
        <w:rPr>
          <w:sz w:val="22"/>
          <w:szCs w:val="22"/>
        </w:rPr>
        <w:t xml:space="preserve"> z neko redko boleznijo, bolnika obravnavali skupaj, torej timsko. Specifika teh obolenj namreč narekuje, da se v dobrobit teh bolnikov poveže zdravstvena stroka različnih specialnosti, saj lahko le tako pri redkih bolezenskih stanjih dosežemo optimalno obravnavo bolnikov in s tem poskrbimo za njihovo najboljšo oskrbo.</w:t>
      </w:r>
      <w:r w:rsidR="0017289D" w:rsidRPr="003672CC">
        <w:rPr>
          <w:sz w:val="22"/>
          <w:szCs w:val="22"/>
        </w:rPr>
        <w:t xml:space="preserve"> </w:t>
      </w:r>
      <w:r w:rsidRPr="003672CC">
        <w:rPr>
          <w:sz w:val="22"/>
          <w:szCs w:val="22"/>
        </w:rPr>
        <w:t xml:space="preserve">Taka organiziranost bi omogočala celovito obravnavo bolnikov z redkimi boleznimi in </w:t>
      </w:r>
      <w:r w:rsidR="00291AFA" w:rsidRPr="003672CC">
        <w:rPr>
          <w:sz w:val="22"/>
          <w:szCs w:val="22"/>
        </w:rPr>
        <w:t xml:space="preserve">bolniku prijazen in </w:t>
      </w:r>
      <w:r w:rsidRPr="003672CC">
        <w:rPr>
          <w:sz w:val="22"/>
          <w:szCs w:val="22"/>
        </w:rPr>
        <w:t>nemoten prehod iz otroške v odraslo dobo.</w:t>
      </w:r>
      <w:r w:rsidR="00291AFA" w:rsidRPr="003672CC">
        <w:rPr>
          <w:sz w:val="22"/>
          <w:szCs w:val="22"/>
        </w:rPr>
        <w:t xml:space="preserve"> </w:t>
      </w:r>
      <w:r w:rsidRPr="003672CC">
        <w:rPr>
          <w:sz w:val="22"/>
          <w:szCs w:val="22"/>
        </w:rPr>
        <w:t xml:space="preserve">Specializirane </w:t>
      </w:r>
      <w:proofErr w:type="spellStart"/>
      <w:r w:rsidR="00E830D0" w:rsidRPr="003672CC">
        <w:rPr>
          <w:sz w:val="22"/>
          <w:szCs w:val="22"/>
        </w:rPr>
        <w:t>multidisclipinarne</w:t>
      </w:r>
      <w:proofErr w:type="spellEnd"/>
      <w:r w:rsidR="00E830D0" w:rsidRPr="003672CC">
        <w:rPr>
          <w:sz w:val="22"/>
          <w:szCs w:val="22"/>
        </w:rPr>
        <w:t xml:space="preserve"> time </w:t>
      </w:r>
      <w:r w:rsidRPr="003672CC">
        <w:rPr>
          <w:sz w:val="22"/>
          <w:szCs w:val="22"/>
        </w:rPr>
        <w:t>za obravnavo redkih bolezni bi bilo potrebno organizirati tako, da bi lahko zagotavljal</w:t>
      </w:r>
      <w:r w:rsidR="00520CAD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</w:t>
      </w:r>
      <w:r w:rsidR="0017289D" w:rsidRPr="003672CC">
        <w:rPr>
          <w:sz w:val="22"/>
          <w:szCs w:val="22"/>
        </w:rPr>
        <w:t xml:space="preserve">tudi </w:t>
      </w:r>
      <w:r w:rsidRPr="003672CC">
        <w:rPr>
          <w:sz w:val="22"/>
          <w:szCs w:val="22"/>
        </w:rPr>
        <w:t>naslednje aktivnosti:</w:t>
      </w:r>
    </w:p>
    <w:p w14:paraId="0E4FA073" w14:textId="2C69D4E6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izdelava </w:t>
      </w:r>
      <w:r w:rsidR="008A7FCA" w:rsidRPr="003672CC">
        <w:rPr>
          <w:sz w:val="22"/>
          <w:szCs w:val="22"/>
        </w:rPr>
        <w:t xml:space="preserve">individualnega </w:t>
      </w:r>
      <w:r w:rsidRPr="003672CC">
        <w:rPr>
          <w:sz w:val="22"/>
          <w:szCs w:val="22"/>
        </w:rPr>
        <w:t>načrta zdravljenja in/ali oskrbe bolnika/otroka,</w:t>
      </w:r>
    </w:p>
    <w:p w14:paraId="1FCB1AF2" w14:textId="7743F5C2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opredelitev, kateri specialist ali skupina specialistov bolnika/otroka vodi</w:t>
      </w:r>
      <w:r w:rsidR="00AD535D" w:rsidRPr="003672CC">
        <w:rPr>
          <w:sz w:val="22"/>
          <w:szCs w:val="22"/>
        </w:rPr>
        <w:t xml:space="preserve"> po diagnostični obravnavi</w:t>
      </w:r>
      <w:r w:rsidRPr="003672CC">
        <w:rPr>
          <w:sz w:val="22"/>
          <w:szCs w:val="22"/>
        </w:rPr>
        <w:t>,</w:t>
      </w:r>
    </w:p>
    <w:p w14:paraId="4DD56E1C" w14:textId="77777777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poučitev bolnikov/staršev o možnih zapletih osnovne bolezni ter kako zmanjšati tveganje za le-te,</w:t>
      </w:r>
    </w:p>
    <w:p w14:paraId="0FEE0ADB" w14:textId="38F94A7D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možnost izvedbe obiskov kritično bolnih bolnikov na domu,</w:t>
      </w:r>
    </w:p>
    <w:p w14:paraId="160B9874" w14:textId="4D1287FF" w:rsidR="0070004D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paliativn</w:t>
      </w:r>
      <w:r w:rsidR="00E830D0" w:rsidRPr="003672CC">
        <w:rPr>
          <w:sz w:val="22"/>
          <w:szCs w:val="22"/>
        </w:rPr>
        <w:t>a</w:t>
      </w:r>
      <w:r w:rsidRPr="003672CC">
        <w:rPr>
          <w:sz w:val="22"/>
          <w:szCs w:val="22"/>
        </w:rPr>
        <w:t xml:space="preserve"> oskrb</w:t>
      </w:r>
      <w:r w:rsidR="00E830D0" w:rsidRPr="003672CC">
        <w:rPr>
          <w:sz w:val="22"/>
          <w:szCs w:val="22"/>
        </w:rPr>
        <w:t>a</w:t>
      </w:r>
      <w:r w:rsidRPr="003672CC">
        <w:rPr>
          <w:sz w:val="22"/>
          <w:szCs w:val="22"/>
        </w:rPr>
        <w:t>, kadar je le-ta potrebna,</w:t>
      </w:r>
    </w:p>
    <w:p w14:paraId="172DAB40" w14:textId="690C05A4" w:rsidR="00462091" w:rsidRPr="003672CC" w:rsidRDefault="00B0556A" w:rsidP="0070004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izobraževanje in usposabljanje bolnikovih svojcev/staršev otrok z redko boleznijo za ustrezno nego in oskrbo</w:t>
      </w:r>
      <w:r w:rsidR="005A2CE1" w:rsidRPr="003672CC">
        <w:rPr>
          <w:sz w:val="22"/>
          <w:szCs w:val="22"/>
        </w:rPr>
        <w:t>,</w:t>
      </w:r>
    </w:p>
    <w:p w14:paraId="0D4161C9" w14:textId="2D39669A" w:rsidR="00846BA9" w:rsidRPr="00520CAD" w:rsidRDefault="00846BA9" w:rsidP="00520CA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izobraževanje in načrtovanje kliničnih kadrovskih virov ustreznih strok, ki bodo koordinatorji vodenja bolnikov z redkimi boleznimi v odraslosti,</w:t>
      </w:r>
    </w:p>
    <w:p w14:paraId="5D610274" w14:textId="21F65CF1" w:rsidR="00F52A23" w:rsidRPr="003672CC" w:rsidRDefault="00F52A23" w:rsidP="00F52A23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zagotoviti kontinuirano obravnavo </w:t>
      </w:r>
      <w:r w:rsidR="005A2CE1" w:rsidRPr="003672CC">
        <w:rPr>
          <w:sz w:val="22"/>
          <w:szCs w:val="22"/>
        </w:rPr>
        <w:t>bolnikov z redkimi</w:t>
      </w:r>
      <w:r w:rsidRPr="003672CC">
        <w:rPr>
          <w:sz w:val="22"/>
          <w:szCs w:val="22"/>
        </w:rPr>
        <w:t xml:space="preserve"> bolezni</w:t>
      </w:r>
      <w:r w:rsidR="005A2CE1" w:rsidRPr="003672CC">
        <w:rPr>
          <w:sz w:val="22"/>
          <w:szCs w:val="22"/>
        </w:rPr>
        <w:t>mi</w:t>
      </w:r>
      <w:r w:rsidRPr="003672CC">
        <w:rPr>
          <w:sz w:val="22"/>
          <w:szCs w:val="22"/>
        </w:rPr>
        <w:t xml:space="preserve"> od rojstva do smrti v okviru vseh terciarnih ustanov, ki bolnike trenutno vodijo in zdravijo,</w:t>
      </w:r>
    </w:p>
    <w:p w14:paraId="6F692926" w14:textId="0CA4FFC8" w:rsidR="00F52A23" w:rsidRPr="003672CC" w:rsidRDefault="00F52A23" w:rsidP="0070004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lastRenderedPageBreak/>
        <w:t xml:space="preserve">psihološka </w:t>
      </w:r>
      <w:r w:rsidR="00E830D0" w:rsidRPr="003672CC">
        <w:t xml:space="preserve">in socialna </w:t>
      </w:r>
      <w:r w:rsidRPr="003672CC">
        <w:t xml:space="preserve">oskrba bolnikov z redko boleznijo (pilotni projekt </w:t>
      </w:r>
      <w:r w:rsidR="00E830D0" w:rsidRPr="003672CC">
        <w:t xml:space="preserve">psihološke oskrbe </w:t>
      </w:r>
      <w:r w:rsidRPr="003672CC">
        <w:t>koordinira ZRBS s strokovnjaki za duševno zdravje)</w:t>
      </w:r>
      <w:r w:rsidR="005A2CE1" w:rsidRPr="003672CC">
        <w:t>,</w:t>
      </w:r>
    </w:p>
    <w:p w14:paraId="007910D5" w14:textId="6D2FA3DE" w:rsidR="00F52A23" w:rsidRPr="003672CC" w:rsidRDefault="00F52A23" w:rsidP="0070004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t>etični vidiki celostne obravnave redkih bolezni in genskega zdravljenja (pilotni projekt koordinira ZRBS s strokovnjaki Etične komisije RS).</w:t>
      </w:r>
    </w:p>
    <w:p w14:paraId="12926E16" w14:textId="16960D13" w:rsidR="00E830D0" w:rsidRPr="003672CC" w:rsidRDefault="00E830D0" w:rsidP="00667EAC">
      <w:pPr>
        <w:spacing w:line="360" w:lineRule="auto"/>
        <w:jc w:val="both"/>
        <w:rPr>
          <w:sz w:val="22"/>
          <w:szCs w:val="22"/>
        </w:rPr>
      </w:pPr>
    </w:p>
    <w:p w14:paraId="59200D06" w14:textId="663B0608" w:rsidR="00F80B1E" w:rsidRPr="00F80B1E" w:rsidRDefault="00667EAC" w:rsidP="00667E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Dne 22.9.2021 je bilo v okviru ciljnega raziskovalnega projekta</w:t>
      </w:r>
      <w:r w:rsidRPr="00667EAC">
        <w:rPr>
          <w:sz w:val="22"/>
          <w:szCs w:val="22"/>
        </w:rPr>
        <w:t xml:space="preserve"> V3-1912 z naslovom: "Razvoj slovenskega vozlišča za evropske referenčne mreže" organizirano srečanje z naslovom Evropske referenčne mreže in slovenski zdravstveni sistem. Na </w:t>
      </w:r>
      <w:r w:rsidR="001374F0">
        <w:rPr>
          <w:sz w:val="22"/>
          <w:szCs w:val="22"/>
        </w:rPr>
        <w:t>s</w:t>
      </w:r>
      <w:r w:rsidRPr="00667EAC">
        <w:rPr>
          <w:sz w:val="22"/>
          <w:szCs w:val="22"/>
        </w:rPr>
        <w:t xml:space="preserve">rečanju je bilo jasno izraženo, da zaradi vse več odkritih redkih bolezni in vse kompleksnejše obravnave bolnikov z RB sistem obravnave bolnikov z RB v </w:t>
      </w:r>
      <w:r w:rsidRPr="003672CC">
        <w:rPr>
          <w:sz w:val="22"/>
          <w:szCs w:val="22"/>
        </w:rPr>
        <w:t>Slovenij</w:t>
      </w:r>
      <w:r>
        <w:rPr>
          <w:sz w:val="22"/>
          <w:szCs w:val="22"/>
        </w:rPr>
        <w:t>i, ki</w:t>
      </w:r>
      <w:r w:rsidRPr="003672CC">
        <w:rPr>
          <w:sz w:val="22"/>
          <w:szCs w:val="22"/>
        </w:rPr>
        <w:t xml:space="preserve"> nima specializiranih ambulant za paciente z redkimi boleznimi</w:t>
      </w:r>
      <w:r>
        <w:rPr>
          <w:sz w:val="22"/>
          <w:szCs w:val="22"/>
        </w:rPr>
        <w:t xml:space="preserve"> ampak</w:t>
      </w:r>
      <w:r w:rsidRPr="003672CC">
        <w:rPr>
          <w:sz w:val="22"/>
          <w:szCs w:val="22"/>
        </w:rPr>
        <w:t xml:space="preserve"> so tovrstni pacienti obravnavani v okviru specialističnih ambulant na </w:t>
      </w:r>
      <w:r w:rsidR="00520CAD">
        <w:rPr>
          <w:sz w:val="22"/>
          <w:szCs w:val="22"/>
        </w:rPr>
        <w:t xml:space="preserve">posameznem </w:t>
      </w:r>
      <w:r w:rsidRPr="003672CC">
        <w:rPr>
          <w:sz w:val="22"/>
          <w:szCs w:val="22"/>
        </w:rPr>
        <w:t>specialističnem področju</w:t>
      </w:r>
      <w:r>
        <w:rPr>
          <w:sz w:val="22"/>
          <w:szCs w:val="22"/>
        </w:rPr>
        <w:t>, ni več ustrez</w:t>
      </w:r>
      <w:r w:rsidR="00520CAD">
        <w:rPr>
          <w:sz w:val="22"/>
          <w:szCs w:val="22"/>
        </w:rPr>
        <w:t>en</w:t>
      </w:r>
      <w:r>
        <w:rPr>
          <w:sz w:val="22"/>
          <w:szCs w:val="22"/>
        </w:rPr>
        <w:t xml:space="preserve">. Zaključek srečanja je bil med drugim, da </w:t>
      </w:r>
      <w:r w:rsidR="00F80B1E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nujno </w:t>
      </w:r>
      <w:r w:rsidR="00F80B1E">
        <w:rPr>
          <w:sz w:val="22"/>
          <w:szCs w:val="22"/>
        </w:rPr>
        <w:t xml:space="preserve">potrebno </w:t>
      </w:r>
      <w:r>
        <w:rPr>
          <w:sz w:val="22"/>
          <w:szCs w:val="22"/>
        </w:rPr>
        <w:t xml:space="preserve">v sistemu zdravstvenega varstva </w:t>
      </w:r>
      <w:r w:rsidR="00F80B1E">
        <w:rPr>
          <w:sz w:val="22"/>
          <w:szCs w:val="22"/>
        </w:rPr>
        <w:t>organizirati specialne ambu</w:t>
      </w:r>
      <w:r>
        <w:rPr>
          <w:sz w:val="22"/>
          <w:szCs w:val="22"/>
        </w:rPr>
        <w:t>la</w:t>
      </w:r>
      <w:r w:rsidR="00F80B1E">
        <w:rPr>
          <w:sz w:val="22"/>
          <w:szCs w:val="22"/>
        </w:rPr>
        <w:t xml:space="preserve">nte </w:t>
      </w:r>
      <w:r>
        <w:rPr>
          <w:sz w:val="22"/>
          <w:szCs w:val="22"/>
        </w:rPr>
        <w:t xml:space="preserve">za bolnike z </w:t>
      </w:r>
      <w:r w:rsidR="00520CAD">
        <w:rPr>
          <w:sz w:val="22"/>
          <w:szCs w:val="22"/>
        </w:rPr>
        <w:t>redkimi bol</w:t>
      </w:r>
      <w:r w:rsidR="0085033A">
        <w:rPr>
          <w:sz w:val="22"/>
          <w:szCs w:val="22"/>
        </w:rPr>
        <w:t>e</w:t>
      </w:r>
      <w:r w:rsidR="00520CAD">
        <w:rPr>
          <w:sz w:val="22"/>
          <w:szCs w:val="22"/>
        </w:rPr>
        <w:t>znimi</w:t>
      </w:r>
      <w:r>
        <w:rPr>
          <w:sz w:val="22"/>
          <w:szCs w:val="22"/>
        </w:rPr>
        <w:t>.</w:t>
      </w:r>
    </w:p>
    <w:p w14:paraId="16610747" w14:textId="77777777" w:rsidR="00C17FE5" w:rsidRDefault="00C17FE5" w:rsidP="00E830D0">
      <w:pPr>
        <w:spacing w:line="360" w:lineRule="auto"/>
        <w:jc w:val="both"/>
        <w:rPr>
          <w:sz w:val="22"/>
          <w:szCs w:val="22"/>
        </w:rPr>
      </w:pPr>
    </w:p>
    <w:p w14:paraId="7F5BAC6B" w14:textId="1870AB14" w:rsidR="00F80B1E" w:rsidRDefault="00667EAC" w:rsidP="00E830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Zato je v sistem potrebno uvesti </w:t>
      </w:r>
      <w:r w:rsidRPr="00667EAC">
        <w:rPr>
          <w:sz w:val="22"/>
          <w:szCs w:val="22"/>
        </w:rPr>
        <w:t xml:space="preserve">specializirane </w:t>
      </w:r>
      <w:proofErr w:type="spellStart"/>
      <w:r w:rsidRPr="00667EAC">
        <w:rPr>
          <w:sz w:val="22"/>
          <w:szCs w:val="22"/>
        </w:rPr>
        <w:t>multidisclipinarne</w:t>
      </w:r>
      <w:proofErr w:type="spellEnd"/>
      <w:r w:rsidRPr="00667EAC">
        <w:rPr>
          <w:sz w:val="22"/>
          <w:szCs w:val="22"/>
        </w:rPr>
        <w:t xml:space="preserve"> time za obravnavo redkih bolezni</w:t>
      </w:r>
      <w:r w:rsidR="009A35D8">
        <w:rPr>
          <w:sz w:val="22"/>
          <w:szCs w:val="22"/>
        </w:rPr>
        <w:t>. Slovenija potrebuje 4 take time na ravni države, ki bi bili razporejeni na naslednji način:</w:t>
      </w:r>
    </w:p>
    <w:p w14:paraId="355FE752" w14:textId="28072CD0" w:rsidR="009A35D8" w:rsidRPr="009A35D8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</w:pPr>
      <w:r>
        <w:t xml:space="preserve">2 </w:t>
      </w:r>
      <w:r w:rsidRPr="00667EAC">
        <w:rPr>
          <w:sz w:val="22"/>
          <w:szCs w:val="22"/>
        </w:rPr>
        <w:t>specializiran</w:t>
      </w:r>
      <w:r>
        <w:rPr>
          <w:sz w:val="22"/>
          <w:szCs w:val="22"/>
        </w:rPr>
        <w:t>a</w:t>
      </w:r>
      <w:r w:rsidRPr="00667EAC">
        <w:rPr>
          <w:sz w:val="22"/>
          <w:szCs w:val="22"/>
        </w:rPr>
        <w:t xml:space="preserve"> </w:t>
      </w:r>
      <w:proofErr w:type="spellStart"/>
      <w:r w:rsidRPr="00667EAC">
        <w:rPr>
          <w:sz w:val="22"/>
          <w:szCs w:val="22"/>
        </w:rPr>
        <w:t>multidisclipinarn</w:t>
      </w:r>
      <w:r>
        <w:rPr>
          <w:sz w:val="22"/>
          <w:szCs w:val="22"/>
        </w:rPr>
        <w:t>a</w:t>
      </w:r>
      <w:proofErr w:type="spellEnd"/>
      <w:r w:rsidRPr="00667EAC">
        <w:rPr>
          <w:sz w:val="22"/>
          <w:szCs w:val="22"/>
        </w:rPr>
        <w:t xml:space="preserve"> tim</w:t>
      </w:r>
      <w:r>
        <w:rPr>
          <w:sz w:val="22"/>
          <w:szCs w:val="22"/>
        </w:rPr>
        <w:t>a</w:t>
      </w:r>
      <w:r w:rsidRPr="00667EAC">
        <w:rPr>
          <w:sz w:val="22"/>
          <w:szCs w:val="22"/>
        </w:rPr>
        <w:t xml:space="preserve"> za obravnavo redkih bolezni</w:t>
      </w:r>
      <w:r>
        <w:rPr>
          <w:sz w:val="22"/>
          <w:szCs w:val="22"/>
        </w:rPr>
        <w:t xml:space="preserve"> za UKC Ljubljana</w:t>
      </w:r>
      <w:r w:rsidR="000A0192">
        <w:rPr>
          <w:sz w:val="22"/>
          <w:szCs w:val="22"/>
        </w:rPr>
        <w:t xml:space="preserve"> (en tim pretežno za otroke, lociran na Pediatrični kliniki in en tim pretežno za odraslo populacijo, lociran na </w:t>
      </w:r>
      <w:r w:rsidR="00A55311">
        <w:rPr>
          <w:sz w:val="22"/>
          <w:szCs w:val="22"/>
        </w:rPr>
        <w:t xml:space="preserve">Kliničnem inštitutu za </w:t>
      </w:r>
      <w:proofErr w:type="spellStart"/>
      <w:r w:rsidR="00A55311">
        <w:rPr>
          <w:sz w:val="22"/>
          <w:szCs w:val="22"/>
        </w:rPr>
        <w:t>genomsko</w:t>
      </w:r>
      <w:proofErr w:type="spellEnd"/>
      <w:r w:rsidR="00A55311">
        <w:rPr>
          <w:sz w:val="22"/>
          <w:szCs w:val="22"/>
        </w:rPr>
        <w:t xml:space="preserve"> medicino)</w:t>
      </w:r>
      <w:r>
        <w:rPr>
          <w:sz w:val="22"/>
          <w:szCs w:val="22"/>
        </w:rPr>
        <w:t>,</w:t>
      </w:r>
    </w:p>
    <w:p w14:paraId="0740AAEF" w14:textId="14983A79" w:rsidR="009A35D8" w:rsidRPr="009A35D8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t xml:space="preserve">1 </w:t>
      </w:r>
      <w:r w:rsidRPr="00667EAC">
        <w:rPr>
          <w:sz w:val="22"/>
          <w:szCs w:val="22"/>
        </w:rPr>
        <w:t xml:space="preserve">specializiran </w:t>
      </w:r>
      <w:proofErr w:type="spellStart"/>
      <w:r w:rsidRPr="00667EAC">
        <w:rPr>
          <w:sz w:val="22"/>
          <w:szCs w:val="22"/>
        </w:rPr>
        <w:t>multidisclipinar</w:t>
      </w:r>
      <w:r>
        <w:rPr>
          <w:sz w:val="22"/>
          <w:szCs w:val="22"/>
        </w:rPr>
        <w:t>en</w:t>
      </w:r>
      <w:proofErr w:type="spellEnd"/>
      <w:r w:rsidRPr="00667EAC">
        <w:rPr>
          <w:sz w:val="22"/>
          <w:szCs w:val="22"/>
        </w:rPr>
        <w:t xml:space="preserve"> tim za obravnavo redkih bolezni</w:t>
      </w:r>
      <w:r>
        <w:rPr>
          <w:sz w:val="22"/>
          <w:szCs w:val="22"/>
        </w:rPr>
        <w:t xml:space="preserve"> za UKC Maribor in</w:t>
      </w:r>
    </w:p>
    <w:p w14:paraId="5C1B6C72" w14:textId="5FFF9324" w:rsidR="009A35D8" w:rsidRPr="009A35D8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t xml:space="preserve">1 </w:t>
      </w:r>
      <w:r w:rsidRPr="00667EAC">
        <w:rPr>
          <w:sz w:val="22"/>
          <w:szCs w:val="22"/>
        </w:rPr>
        <w:t xml:space="preserve">specializiran </w:t>
      </w:r>
      <w:proofErr w:type="spellStart"/>
      <w:r w:rsidRPr="00667EAC">
        <w:rPr>
          <w:sz w:val="22"/>
          <w:szCs w:val="22"/>
        </w:rPr>
        <w:t>multidisclipinar</w:t>
      </w:r>
      <w:r>
        <w:rPr>
          <w:sz w:val="22"/>
          <w:szCs w:val="22"/>
        </w:rPr>
        <w:t>en</w:t>
      </w:r>
      <w:proofErr w:type="spellEnd"/>
      <w:r w:rsidRPr="00667EAC">
        <w:rPr>
          <w:sz w:val="22"/>
          <w:szCs w:val="22"/>
        </w:rPr>
        <w:t xml:space="preserve"> tim za obravnavo redkih bolezni</w:t>
      </w:r>
      <w:r w:rsidR="00555DC5">
        <w:rPr>
          <w:sz w:val="22"/>
          <w:szCs w:val="22"/>
        </w:rPr>
        <w:t xml:space="preserve"> (redkih rakov)</w:t>
      </w:r>
      <w:r>
        <w:rPr>
          <w:sz w:val="22"/>
          <w:szCs w:val="22"/>
        </w:rPr>
        <w:t xml:space="preserve"> za Onkološki inštitut Ljubljana.</w:t>
      </w:r>
    </w:p>
    <w:p w14:paraId="64950300" w14:textId="77777777" w:rsidR="0085033A" w:rsidRDefault="0085033A" w:rsidP="009A35D8">
      <w:pPr>
        <w:spacing w:line="360" w:lineRule="auto"/>
        <w:jc w:val="both"/>
        <w:rPr>
          <w:sz w:val="22"/>
          <w:szCs w:val="22"/>
        </w:rPr>
      </w:pPr>
    </w:p>
    <w:p w14:paraId="49BBA4C1" w14:textId="4D8AE58C" w:rsidR="009A35D8" w:rsidRPr="009A35D8" w:rsidRDefault="009A35D8" w:rsidP="009A35D8">
      <w:pPr>
        <w:spacing w:line="360" w:lineRule="auto"/>
        <w:jc w:val="both"/>
      </w:pPr>
      <w:r>
        <w:rPr>
          <w:sz w:val="22"/>
          <w:szCs w:val="22"/>
        </w:rPr>
        <w:t>S</w:t>
      </w:r>
      <w:r w:rsidRPr="009A35D8">
        <w:rPr>
          <w:sz w:val="22"/>
          <w:szCs w:val="22"/>
        </w:rPr>
        <w:t xml:space="preserve">pecializiran </w:t>
      </w:r>
      <w:proofErr w:type="spellStart"/>
      <w:r w:rsidRPr="009A35D8">
        <w:rPr>
          <w:sz w:val="22"/>
          <w:szCs w:val="22"/>
        </w:rPr>
        <w:t>multidisclipinar</w:t>
      </w:r>
      <w:r>
        <w:rPr>
          <w:sz w:val="22"/>
          <w:szCs w:val="22"/>
        </w:rPr>
        <w:t>ni</w:t>
      </w:r>
      <w:proofErr w:type="spellEnd"/>
      <w:r w:rsidRPr="009A35D8">
        <w:rPr>
          <w:sz w:val="22"/>
          <w:szCs w:val="22"/>
        </w:rPr>
        <w:t xml:space="preserve"> tim za obravnavo redkih bolezni </w:t>
      </w:r>
      <w:r>
        <w:rPr>
          <w:sz w:val="22"/>
          <w:szCs w:val="22"/>
        </w:rPr>
        <w:t>potrebuje za svoje delovanje naslednje člane:</w:t>
      </w:r>
    </w:p>
    <w:p w14:paraId="41A07E0C" w14:textId="11B1495B" w:rsidR="00667EAC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2</w:t>
      </w:r>
      <w:r w:rsidR="009A35D8" w:rsidRPr="00D44367">
        <w:rPr>
          <w:sz w:val="22"/>
          <w:szCs w:val="22"/>
        </w:rPr>
        <w:t xml:space="preserve"> </w:t>
      </w:r>
      <w:r w:rsidR="00667EAC" w:rsidRPr="00D44367">
        <w:rPr>
          <w:sz w:val="22"/>
          <w:szCs w:val="22"/>
        </w:rPr>
        <w:t>zdravnik</w:t>
      </w:r>
      <w:r w:rsidR="000A0192" w:rsidRPr="00D44367">
        <w:rPr>
          <w:sz w:val="22"/>
          <w:szCs w:val="22"/>
        </w:rPr>
        <w:t>a</w:t>
      </w:r>
      <w:r w:rsidR="00667EAC" w:rsidRPr="00D44367">
        <w:rPr>
          <w:sz w:val="22"/>
          <w:szCs w:val="22"/>
        </w:rPr>
        <w:t xml:space="preserve"> specialist</w:t>
      </w:r>
      <w:r w:rsidRPr="00D44367">
        <w:rPr>
          <w:sz w:val="22"/>
          <w:szCs w:val="22"/>
        </w:rPr>
        <w:t>a</w:t>
      </w:r>
      <w:r w:rsidR="00667EAC" w:rsidRPr="00D44367">
        <w:rPr>
          <w:sz w:val="22"/>
          <w:szCs w:val="22"/>
        </w:rPr>
        <w:t xml:space="preserve">  s specialnimi znanji s področja RB</w:t>
      </w:r>
      <w:r w:rsidRPr="00D44367">
        <w:rPr>
          <w:sz w:val="22"/>
          <w:szCs w:val="22"/>
        </w:rPr>
        <w:t xml:space="preserve"> (za otroke, za odrasle)</w:t>
      </w:r>
    </w:p>
    <w:p w14:paraId="1FDD6BAE" w14:textId="5249F341" w:rsidR="00667EAC" w:rsidRPr="00D44367" w:rsidRDefault="00667EAC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 DMS</w:t>
      </w:r>
    </w:p>
    <w:p w14:paraId="7A05F022" w14:textId="0FDE64B9" w:rsidR="009A35D8" w:rsidRPr="00D44367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 SMS</w:t>
      </w:r>
    </w:p>
    <w:p w14:paraId="0C78AB76" w14:textId="670A76EC" w:rsidR="00667EAC" w:rsidRPr="00D44367" w:rsidRDefault="00667EAC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 administrator</w:t>
      </w:r>
      <w:r w:rsidR="0085033A" w:rsidRPr="00D44367">
        <w:rPr>
          <w:sz w:val="22"/>
          <w:szCs w:val="22"/>
        </w:rPr>
        <w:t>ja</w:t>
      </w:r>
      <w:r w:rsidRPr="00D44367">
        <w:rPr>
          <w:sz w:val="22"/>
          <w:szCs w:val="22"/>
        </w:rPr>
        <w:t xml:space="preserve"> – </w:t>
      </w:r>
      <w:r w:rsidR="009A35D8" w:rsidRPr="00D44367">
        <w:rPr>
          <w:sz w:val="22"/>
          <w:szCs w:val="22"/>
        </w:rPr>
        <w:t>timsk</w:t>
      </w:r>
      <w:r w:rsidR="0085033A" w:rsidRPr="00D44367">
        <w:rPr>
          <w:sz w:val="22"/>
          <w:szCs w:val="22"/>
        </w:rPr>
        <w:t>ega</w:t>
      </w:r>
      <w:r w:rsidR="009A35D8" w:rsidRPr="00D44367">
        <w:rPr>
          <w:sz w:val="22"/>
          <w:szCs w:val="22"/>
        </w:rPr>
        <w:t xml:space="preserve"> </w:t>
      </w:r>
      <w:r w:rsidRPr="00D44367">
        <w:rPr>
          <w:sz w:val="22"/>
          <w:szCs w:val="22"/>
        </w:rPr>
        <w:t>koordinator</w:t>
      </w:r>
      <w:r w:rsidR="0085033A" w:rsidRPr="00D44367">
        <w:rPr>
          <w:sz w:val="22"/>
          <w:szCs w:val="22"/>
        </w:rPr>
        <w:t>ja</w:t>
      </w:r>
    </w:p>
    <w:p w14:paraId="06CCEAF8" w14:textId="3FA5950E" w:rsidR="009A35D8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</w:t>
      </w:r>
      <w:r w:rsidR="009A35D8" w:rsidRPr="00D44367">
        <w:rPr>
          <w:sz w:val="22"/>
          <w:szCs w:val="22"/>
        </w:rPr>
        <w:t xml:space="preserve"> </w:t>
      </w:r>
      <w:r w:rsidR="00B83895" w:rsidRPr="00D44367">
        <w:rPr>
          <w:sz w:val="22"/>
          <w:szCs w:val="22"/>
        </w:rPr>
        <w:t xml:space="preserve">kliničnega </w:t>
      </w:r>
      <w:r w:rsidR="00667EAC" w:rsidRPr="00D44367">
        <w:rPr>
          <w:sz w:val="22"/>
          <w:szCs w:val="22"/>
        </w:rPr>
        <w:t>psihologa</w:t>
      </w:r>
    </w:p>
    <w:p w14:paraId="23FE17A7" w14:textId="27BD1147" w:rsidR="00667EAC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</w:t>
      </w:r>
      <w:r w:rsidR="009A35D8" w:rsidRPr="00D44367">
        <w:rPr>
          <w:sz w:val="22"/>
          <w:szCs w:val="22"/>
        </w:rPr>
        <w:t xml:space="preserve"> </w:t>
      </w:r>
      <w:r w:rsidR="00667EAC" w:rsidRPr="00D44367">
        <w:rPr>
          <w:sz w:val="22"/>
          <w:szCs w:val="22"/>
        </w:rPr>
        <w:t>socialnega delavca</w:t>
      </w:r>
    </w:p>
    <w:p w14:paraId="65DE2ADF" w14:textId="080D0692" w:rsidR="00667EAC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</w:t>
      </w:r>
      <w:r w:rsidR="009A35D8" w:rsidRPr="00D44367">
        <w:rPr>
          <w:sz w:val="22"/>
          <w:szCs w:val="22"/>
        </w:rPr>
        <w:t xml:space="preserve"> </w:t>
      </w:r>
      <w:r w:rsidR="002F7CF0" w:rsidRPr="00D44367">
        <w:rPr>
          <w:sz w:val="22"/>
          <w:szCs w:val="22"/>
        </w:rPr>
        <w:t xml:space="preserve">diplomiranega </w:t>
      </w:r>
      <w:r w:rsidR="00667EAC" w:rsidRPr="00D44367">
        <w:rPr>
          <w:sz w:val="22"/>
          <w:szCs w:val="22"/>
        </w:rPr>
        <w:t>dietetika</w:t>
      </w:r>
      <w:r w:rsidR="0085033A" w:rsidRPr="00D44367">
        <w:rPr>
          <w:sz w:val="22"/>
          <w:szCs w:val="22"/>
        </w:rPr>
        <w:t>.</w:t>
      </w:r>
    </w:p>
    <w:p w14:paraId="47188281" w14:textId="728F4B76" w:rsidR="00F80B1E" w:rsidRDefault="00F80B1E" w:rsidP="00E830D0">
      <w:pPr>
        <w:spacing w:line="360" w:lineRule="auto"/>
        <w:jc w:val="both"/>
        <w:rPr>
          <w:sz w:val="22"/>
          <w:szCs w:val="22"/>
        </w:rPr>
      </w:pPr>
    </w:p>
    <w:p w14:paraId="33732C4B" w14:textId="7EFD70FB" w:rsidR="00B83895" w:rsidRDefault="002F7CF0" w:rsidP="00E830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6770F">
        <w:rPr>
          <w:sz w:val="22"/>
          <w:szCs w:val="22"/>
        </w:rPr>
        <w:t xml:space="preserve">redlagamo, da </w:t>
      </w:r>
      <w:r>
        <w:rPr>
          <w:sz w:val="22"/>
          <w:szCs w:val="22"/>
        </w:rPr>
        <w:t xml:space="preserve">se </w:t>
      </w:r>
      <w:r w:rsidRPr="0056770F">
        <w:rPr>
          <w:sz w:val="22"/>
          <w:szCs w:val="22"/>
        </w:rPr>
        <w:t>v okviru S</w:t>
      </w:r>
      <w:r>
        <w:rPr>
          <w:sz w:val="22"/>
          <w:szCs w:val="22"/>
        </w:rPr>
        <w:t>plošnega dogovora</w:t>
      </w:r>
      <w:r w:rsidRPr="0056770F">
        <w:rPr>
          <w:sz w:val="22"/>
          <w:szCs w:val="22"/>
        </w:rPr>
        <w:t xml:space="preserve"> kot dodatni program </w:t>
      </w:r>
      <w:r>
        <w:rPr>
          <w:sz w:val="22"/>
          <w:szCs w:val="22"/>
        </w:rPr>
        <w:t>zagotovi</w:t>
      </w:r>
      <w:r w:rsidRPr="0056770F">
        <w:rPr>
          <w:sz w:val="22"/>
          <w:szCs w:val="22"/>
        </w:rPr>
        <w:t xml:space="preserve"> financiranje </w:t>
      </w:r>
      <w:r>
        <w:rPr>
          <w:sz w:val="22"/>
          <w:szCs w:val="22"/>
        </w:rPr>
        <w:t xml:space="preserve">štirih </w:t>
      </w:r>
      <w:r w:rsidRPr="00667EAC">
        <w:rPr>
          <w:sz w:val="22"/>
          <w:szCs w:val="22"/>
        </w:rPr>
        <w:t>specializiran</w:t>
      </w:r>
      <w:r>
        <w:rPr>
          <w:sz w:val="22"/>
          <w:szCs w:val="22"/>
        </w:rPr>
        <w:t>ih</w:t>
      </w:r>
      <w:r w:rsidRPr="00667EAC">
        <w:rPr>
          <w:sz w:val="22"/>
          <w:szCs w:val="22"/>
        </w:rPr>
        <w:t xml:space="preserve"> </w:t>
      </w:r>
      <w:proofErr w:type="spellStart"/>
      <w:r w:rsidRPr="00667EAC">
        <w:rPr>
          <w:sz w:val="22"/>
          <w:szCs w:val="22"/>
        </w:rPr>
        <w:t>multidisclipinarn</w:t>
      </w:r>
      <w:r>
        <w:rPr>
          <w:sz w:val="22"/>
          <w:szCs w:val="22"/>
        </w:rPr>
        <w:t>ih</w:t>
      </w:r>
      <w:proofErr w:type="spellEnd"/>
      <w:r w:rsidRPr="00667EAC">
        <w:rPr>
          <w:sz w:val="22"/>
          <w:szCs w:val="22"/>
        </w:rPr>
        <w:t xml:space="preserve"> tim</w:t>
      </w:r>
      <w:r>
        <w:rPr>
          <w:sz w:val="22"/>
          <w:szCs w:val="22"/>
        </w:rPr>
        <w:t>ov</w:t>
      </w:r>
      <w:r w:rsidRPr="00667EAC">
        <w:rPr>
          <w:sz w:val="22"/>
          <w:szCs w:val="22"/>
        </w:rPr>
        <w:t xml:space="preserve"> za obravnavo redkih bolezni</w:t>
      </w:r>
      <w:r>
        <w:rPr>
          <w:sz w:val="22"/>
          <w:szCs w:val="22"/>
        </w:rPr>
        <w:t xml:space="preserve"> </w:t>
      </w:r>
      <w:r w:rsidRPr="0056770F">
        <w:rPr>
          <w:sz w:val="22"/>
          <w:szCs w:val="22"/>
        </w:rPr>
        <w:t>od leta 202</w:t>
      </w:r>
      <w:r>
        <w:rPr>
          <w:sz w:val="22"/>
          <w:szCs w:val="22"/>
        </w:rPr>
        <w:t>2</w:t>
      </w:r>
      <w:r w:rsidRPr="0056770F">
        <w:rPr>
          <w:sz w:val="22"/>
          <w:szCs w:val="22"/>
        </w:rPr>
        <w:t xml:space="preserve"> dalje</w:t>
      </w:r>
      <w:r>
        <w:rPr>
          <w:sz w:val="22"/>
          <w:szCs w:val="22"/>
        </w:rPr>
        <w:t>. Spodnja tabela prikazuje izračun</w:t>
      </w:r>
      <w:r w:rsidR="00D44367">
        <w:rPr>
          <w:sz w:val="22"/>
          <w:szCs w:val="22"/>
        </w:rPr>
        <w:t xml:space="preserve"> letnih</w:t>
      </w:r>
      <w:r>
        <w:rPr>
          <w:sz w:val="22"/>
          <w:szCs w:val="22"/>
        </w:rPr>
        <w:t xml:space="preserve"> stroškov kadra </w:t>
      </w:r>
      <w:r w:rsidRPr="0056770F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en </w:t>
      </w:r>
      <w:r w:rsidRPr="00667EAC">
        <w:rPr>
          <w:sz w:val="22"/>
          <w:szCs w:val="22"/>
        </w:rPr>
        <w:t xml:space="preserve">specializiran </w:t>
      </w:r>
      <w:proofErr w:type="spellStart"/>
      <w:r w:rsidRPr="00667EAC">
        <w:rPr>
          <w:sz w:val="22"/>
          <w:szCs w:val="22"/>
        </w:rPr>
        <w:t>multidisclipinarn</w:t>
      </w:r>
      <w:r>
        <w:rPr>
          <w:sz w:val="22"/>
          <w:szCs w:val="22"/>
        </w:rPr>
        <w:t>i</w:t>
      </w:r>
      <w:proofErr w:type="spellEnd"/>
      <w:r w:rsidRPr="00667EAC">
        <w:rPr>
          <w:sz w:val="22"/>
          <w:szCs w:val="22"/>
        </w:rPr>
        <w:t xml:space="preserve"> tim za obravnavo redkih </w:t>
      </w:r>
      <w:r w:rsidRPr="00667EAC">
        <w:rPr>
          <w:sz w:val="22"/>
          <w:szCs w:val="22"/>
        </w:rPr>
        <w:lastRenderedPageBreak/>
        <w:t>bolezni</w:t>
      </w:r>
      <w:r w:rsidR="005C3AF8">
        <w:rPr>
          <w:sz w:val="22"/>
          <w:szCs w:val="22"/>
        </w:rPr>
        <w:t>,</w:t>
      </w:r>
      <w:r w:rsidR="008D73AC">
        <w:rPr>
          <w:sz w:val="22"/>
          <w:szCs w:val="22"/>
        </w:rPr>
        <w:t xml:space="preserve"> ki ga je pripravil </w:t>
      </w:r>
      <w:r w:rsidR="008D73AC" w:rsidRPr="00913742">
        <w:rPr>
          <w:sz w:val="22"/>
          <w:szCs w:val="22"/>
        </w:rPr>
        <w:t>Sektor za koordinacijo izvajalcev zdravstvene dejavnosti</w:t>
      </w:r>
      <w:r w:rsidR="008D73AC">
        <w:rPr>
          <w:sz w:val="22"/>
          <w:szCs w:val="22"/>
        </w:rPr>
        <w:t xml:space="preserve"> Ministrstva za zdravje.</w:t>
      </w:r>
    </w:p>
    <w:tbl>
      <w:tblPr>
        <w:tblStyle w:val="Tabelamrea"/>
        <w:tblpPr w:leftFromText="141" w:rightFromText="141" w:vertAnchor="text" w:horzAnchor="margin" w:tblpXSpec="center" w:tblpY="253"/>
        <w:tblW w:w="9645" w:type="dxa"/>
        <w:tblLook w:val="04A0" w:firstRow="1" w:lastRow="0" w:firstColumn="1" w:lastColumn="0" w:noHBand="0" w:noVBand="1"/>
      </w:tblPr>
      <w:tblGrid>
        <w:gridCol w:w="1141"/>
        <w:gridCol w:w="845"/>
        <w:gridCol w:w="946"/>
        <w:gridCol w:w="928"/>
        <w:gridCol w:w="981"/>
        <w:gridCol w:w="1255"/>
        <w:gridCol w:w="1134"/>
        <w:gridCol w:w="1541"/>
        <w:gridCol w:w="874"/>
      </w:tblGrid>
      <w:tr w:rsidR="001461E7" w:rsidRPr="008D73AC" w14:paraId="0E244693" w14:textId="77777777" w:rsidTr="001461E7">
        <w:trPr>
          <w:trHeight w:val="262"/>
        </w:trPr>
        <w:tc>
          <w:tcPr>
            <w:tcW w:w="1141" w:type="dxa"/>
            <w:hideMark/>
          </w:tcPr>
          <w:p w14:paraId="4287B16F" w14:textId="77777777" w:rsidR="001461E7" w:rsidRPr="008D73AC" w:rsidRDefault="001461E7" w:rsidP="001461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3AC">
              <w:rPr>
                <w:rFonts w:ascii="Arial" w:hAnsi="Arial" w:cs="Arial"/>
                <w:b/>
                <w:bCs/>
                <w:sz w:val="16"/>
                <w:szCs w:val="16"/>
              </w:rPr>
              <w:t>Stroški dela</w:t>
            </w:r>
          </w:p>
        </w:tc>
        <w:tc>
          <w:tcPr>
            <w:tcW w:w="845" w:type="dxa"/>
            <w:hideMark/>
          </w:tcPr>
          <w:p w14:paraId="6AAEBDC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3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CB3359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121BA17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490E5A9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noWrap/>
            <w:hideMark/>
          </w:tcPr>
          <w:p w14:paraId="46B68FE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BB4F1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0D6B5E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80BF78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1E7" w:rsidRPr="008D73AC" w14:paraId="1FEB0300" w14:textId="77777777" w:rsidTr="001461E7">
        <w:trPr>
          <w:trHeight w:val="988"/>
        </w:trPr>
        <w:tc>
          <w:tcPr>
            <w:tcW w:w="1141" w:type="dxa"/>
            <w:hideMark/>
          </w:tcPr>
          <w:p w14:paraId="20B4216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3AC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</w:p>
        </w:tc>
        <w:tc>
          <w:tcPr>
            <w:tcW w:w="845" w:type="dxa"/>
            <w:hideMark/>
          </w:tcPr>
          <w:p w14:paraId="39719E5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Število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predvi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D73AC">
              <w:rPr>
                <w:rFonts w:ascii="Arial" w:hAnsi="Arial" w:cs="Arial"/>
                <w:sz w:val="16"/>
                <w:szCs w:val="16"/>
              </w:rPr>
              <w:t>denih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 xml:space="preserve"> zaposli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tev</w:t>
            </w:r>
            <w:proofErr w:type="spellEnd"/>
          </w:p>
        </w:tc>
        <w:tc>
          <w:tcPr>
            <w:tcW w:w="946" w:type="dxa"/>
            <w:hideMark/>
          </w:tcPr>
          <w:p w14:paraId="56D4657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Zaposlitve plača</w:t>
            </w:r>
          </w:p>
        </w:tc>
        <w:tc>
          <w:tcPr>
            <w:tcW w:w="928" w:type="dxa"/>
            <w:noWrap/>
            <w:hideMark/>
          </w:tcPr>
          <w:p w14:paraId="2D457BB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Bruto plača</w:t>
            </w:r>
          </w:p>
        </w:tc>
        <w:tc>
          <w:tcPr>
            <w:tcW w:w="981" w:type="dxa"/>
            <w:hideMark/>
          </w:tcPr>
          <w:p w14:paraId="5DA8147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Povprečna plača za DM</w:t>
            </w:r>
          </w:p>
        </w:tc>
        <w:tc>
          <w:tcPr>
            <w:tcW w:w="1255" w:type="dxa"/>
            <w:hideMark/>
          </w:tcPr>
          <w:p w14:paraId="1426E6A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x 12 mesecev za izračun letnega stroška</w:t>
            </w:r>
          </w:p>
        </w:tc>
        <w:tc>
          <w:tcPr>
            <w:tcW w:w="1134" w:type="dxa"/>
            <w:hideMark/>
          </w:tcPr>
          <w:p w14:paraId="336BC6C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Bruto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 xml:space="preserve"> (letni strošek skupaj s prispevki delodajalca)</w:t>
            </w:r>
          </w:p>
        </w:tc>
        <w:tc>
          <w:tcPr>
            <w:tcW w:w="1541" w:type="dxa"/>
            <w:hideMark/>
          </w:tcPr>
          <w:p w14:paraId="48B56A8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UPOŠTEVANO DM</w:t>
            </w:r>
          </w:p>
        </w:tc>
        <w:tc>
          <w:tcPr>
            <w:tcW w:w="874" w:type="dxa"/>
            <w:noWrap/>
            <w:hideMark/>
          </w:tcPr>
          <w:p w14:paraId="72C58E2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Zmnožek</w:t>
            </w:r>
          </w:p>
        </w:tc>
      </w:tr>
      <w:tr w:rsidR="001461E7" w:rsidRPr="008D73AC" w14:paraId="38AA1BF4" w14:textId="77777777" w:rsidTr="001461E7">
        <w:trPr>
          <w:trHeight w:val="987"/>
        </w:trPr>
        <w:tc>
          <w:tcPr>
            <w:tcW w:w="1141" w:type="dxa"/>
            <w:noWrap/>
            <w:hideMark/>
          </w:tcPr>
          <w:p w14:paraId="15DEDDA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zdravnik specialist  s specialnimi znanji s področja RB</w:t>
            </w:r>
          </w:p>
        </w:tc>
        <w:tc>
          <w:tcPr>
            <w:tcW w:w="845" w:type="dxa"/>
            <w:noWrap/>
            <w:hideMark/>
          </w:tcPr>
          <w:p w14:paraId="21EA5AE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36AD7CA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928" w:type="dxa"/>
            <w:noWrap/>
            <w:hideMark/>
          </w:tcPr>
          <w:p w14:paraId="3894B3E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3.729.457</w:t>
            </w:r>
          </w:p>
        </w:tc>
        <w:tc>
          <w:tcPr>
            <w:tcW w:w="981" w:type="dxa"/>
            <w:noWrap/>
            <w:hideMark/>
          </w:tcPr>
          <w:p w14:paraId="3BC610C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4.621</w:t>
            </w:r>
          </w:p>
        </w:tc>
        <w:tc>
          <w:tcPr>
            <w:tcW w:w="1255" w:type="dxa"/>
            <w:noWrap/>
            <w:hideMark/>
          </w:tcPr>
          <w:p w14:paraId="387DE80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55.457</w:t>
            </w:r>
          </w:p>
        </w:tc>
        <w:tc>
          <w:tcPr>
            <w:tcW w:w="1134" w:type="dxa"/>
            <w:noWrap/>
            <w:hideMark/>
          </w:tcPr>
          <w:p w14:paraId="513A15B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  <w:tc>
          <w:tcPr>
            <w:tcW w:w="1541" w:type="dxa"/>
            <w:hideMark/>
          </w:tcPr>
          <w:p w14:paraId="3C5F5BB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VIŠJI ZDRAVNIK SPECIALIST PPD3 (E018025)</w:t>
            </w:r>
          </w:p>
        </w:tc>
        <w:tc>
          <w:tcPr>
            <w:tcW w:w="874" w:type="dxa"/>
            <w:noWrap/>
            <w:hideMark/>
          </w:tcPr>
          <w:p w14:paraId="314ED765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128.770</w:t>
            </w:r>
          </w:p>
        </w:tc>
      </w:tr>
      <w:tr w:rsidR="001461E7" w:rsidRPr="008D73AC" w14:paraId="48528CFB" w14:textId="77777777" w:rsidTr="001461E7">
        <w:trPr>
          <w:trHeight w:val="1257"/>
        </w:trPr>
        <w:tc>
          <w:tcPr>
            <w:tcW w:w="1141" w:type="dxa"/>
            <w:noWrap/>
            <w:hideMark/>
          </w:tcPr>
          <w:p w14:paraId="70FF2672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DMS</w:t>
            </w:r>
          </w:p>
        </w:tc>
        <w:tc>
          <w:tcPr>
            <w:tcW w:w="845" w:type="dxa"/>
            <w:noWrap/>
            <w:hideMark/>
          </w:tcPr>
          <w:p w14:paraId="0772D635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5B906D3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928" w:type="dxa"/>
            <w:noWrap/>
            <w:hideMark/>
          </w:tcPr>
          <w:p w14:paraId="4EBADF8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1.609.818</w:t>
            </w:r>
          </w:p>
        </w:tc>
        <w:tc>
          <w:tcPr>
            <w:tcW w:w="981" w:type="dxa"/>
            <w:noWrap/>
            <w:hideMark/>
          </w:tcPr>
          <w:p w14:paraId="721D096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2.002</w:t>
            </w:r>
          </w:p>
        </w:tc>
        <w:tc>
          <w:tcPr>
            <w:tcW w:w="1255" w:type="dxa"/>
            <w:noWrap/>
            <w:hideMark/>
          </w:tcPr>
          <w:p w14:paraId="5EFE1DA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24.027</w:t>
            </w:r>
          </w:p>
        </w:tc>
        <w:tc>
          <w:tcPr>
            <w:tcW w:w="1134" w:type="dxa"/>
            <w:noWrap/>
            <w:hideMark/>
          </w:tcPr>
          <w:p w14:paraId="55C3EE0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  <w:tc>
          <w:tcPr>
            <w:tcW w:w="1541" w:type="dxa"/>
            <w:hideMark/>
          </w:tcPr>
          <w:p w14:paraId="588F470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DIPL. MEDICINSKA SESTRA S SPECIALNIMI ZNANJI (E037013)</w:t>
            </w:r>
          </w:p>
        </w:tc>
        <w:tc>
          <w:tcPr>
            <w:tcW w:w="874" w:type="dxa"/>
            <w:noWrap/>
            <w:hideMark/>
          </w:tcPr>
          <w:p w14:paraId="0BA4B22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</w:tr>
      <w:tr w:rsidR="001461E7" w:rsidRPr="008D73AC" w14:paraId="0D6EB395" w14:textId="77777777" w:rsidTr="001461E7">
        <w:trPr>
          <w:trHeight w:val="991"/>
        </w:trPr>
        <w:tc>
          <w:tcPr>
            <w:tcW w:w="1141" w:type="dxa"/>
            <w:noWrap/>
            <w:hideMark/>
          </w:tcPr>
          <w:p w14:paraId="21F74FB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SMS</w:t>
            </w:r>
          </w:p>
        </w:tc>
        <w:tc>
          <w:tcPr>
            <w:tcW w:w="845" w:type="dxa"/>
            <w:noWrap/>
            <w:hideMark/>
          </w:tcPr>
          <w:p w14:paraId="27BA648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34AFF76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1.095</w:t>
            </w:r>
          </w:p>
        </w:tc>
        <w:tc>
          <w:tcPr>
            <w:tcW w:w="928" w:type="dxa"/>
            <w:noWrap/>
            <w:hideMark/>
          </w:tcPr>
          <w:p w14:paraId="5DB2C1C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1.176.354</w:t>
            </w:r>
          </w:p>
        </w:tc>
        <w:tc>
          <w:tcPr>
            <w:tcW w:w="981" w:type="dxa"/>
            <w:noWrap/>
            <w:hideMark/>
          </w:tcPr>
          <w:p w14:paraId="2DC17C5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1.074</w:t>
            </w:r>
          </w:p>
        </w:tc>
        <w:tc>
          <w:tcPr>
            <w:tcW w:w="1255" w:type="dxa"/>
            <w:noWrap/>
            <w:hideMark/>
          </w:tcPr>
          <w:p w14:paraId="72CCB9A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12.892</w:t>
            </w:r>
          </w:p>
        </w:tc>
        <w:tc>
          <w:tcPr>
            <w:tcW w:w="1134" w:type="dxa"/>
            <w:noWrap/>
            <w:hideMark/>
          </w:tcPr>
          <w:p w14:paraId="32FBFD0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14.967</w:t>
            </w:r>
          </w:p>
        </w:tc>
        <w:tc>
          <w:tcPr>
            <w:tcW w:w="1541" w:type="dxa"/>
            <w:hideMark/>
          </w:tcPr>
          <w:p w14:paraId="08271E5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SREDNJA MEDICINSKA SESTRA V AMBULANTI (E035009)</w:t>
            </w:r>
          </w:p>
        </w:tc>
        <w:tc>
          <w:tcPr>
            <w:tcW w:w="874" w:type="dxa"/>
            <w:noWrap/>
            <w:hideMark/>
          </w:tcPr>
          <w:p w14:paraId="5FC46BF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14.967</w:t>
            </w:r>
          </w:p>
        </w:tc>
      </w:tr>
      <w:tr w:rsidR="001461E7" w:rsidRPr="008D73AC" w14:paraId="36CFED10" w14:textId="77777777" w:rsidTr="001461E7">
        <w:trPr>
          <w:trHeight w:val="694"/>
        </w:trPr>
        <w:tc>
          <w:tcPr>
            <w:tcW w:w="1141" w:type="dxa"/>
            <w:noWrap/>
            <w:hideMark/>
          </w:tcPr>
          <w:p w14:paraId="6AEC0E3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administrator – timski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koor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5" w:type="dxa"/>
            <w:noWrap/>
            <w:hideMark/>
          </w:tcPr>
          <w:p w14:paraId="7CEAC2A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55396232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28" w:type="dxa"/>
            <w:noWrap/>
            <w:hideMark/>
          </w:tcPr>
          <w:p w14:paraId="1578EB9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433.539</w:t>
            </w:r>
          </w:p>
        </w:tc>
        <w:tc>
          <w:tcPr>
            <w:tcW w:w="981" w:type="dxa"/>
            <w:noWrap/>
            <w:hideMark/>
          </w:tcPr>
          <w:p w14:paraId="5AF1AD2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1.162</w:t>
            </w:r>
          </w:p>
        </w:tc>
        <w:tc>
          <w:tcPr>
            <w:tcW w:w="1255" w:type="dxa"/>
            <w:noWrap/>
            <w:hideMark/>
          </w:tcPr>
          <w:p w14:paraId="048CBA1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13.948</w:t>
            </w:r>
          </w:p>
        </w:tc>
        <w:tc>
          <w:tcPr>
            <w:tcW w:w="1134" w:type="dxa"/>
            <w:noWrap/>
            <w:hideMark/>
          </w:tcPr>
          <w:p w14:paraId="25CACC2F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  <w:tc>
          <w:tcPr>
            <w:tcW w:w="1541" w:type="dxa"/>
            <w:hideMark/>
          </w:tcPr>
          <w:p w14:paraId="7007EEC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ZDRAVSTVENI ADMINISTRATOR II (J025024)</w:t>
            </w:r>
          </w:p>
        </w:tc>
        <w:tc>
          <w:tcPr>
            <w:tcW w:w="874" w:type="dxa"/>
            <w:noWrap/>
            <w:hideMark/>
          </w:tcPr>
          <w:p w14:paraId="7B6041F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</w:tr>
      <w:tr w:rsidR="001461E7" w:rsidRPr="008D73AC" w14:paraId="0C1C34A8" w14:textId="77777777" w:rsidTr="001461E7">
        <w:trPr>
          <w:trHeight w:val="846"/>
        </w:trPr>
        <w:tc>
          <w:tcPr>
            <w:tcW w:w="1141" w:type="dxa"/>
            <w:noWrap/>
            <w:hideMark/>
          </w:tcPr>
          <w:p w14:paraId="61C63F2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klinični psiholog</w:t>
            </w:r>
          </w:p>
        </w:tc>
        <w:tc>
          <w:tcPr>
            <w:tcW w:w="845" w:type="dxa"/>
            <w:noWrap/>
            <w:hideMark/>
          </w:tcPr>
          <w:p w14:paraId="0D727C5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7C17D02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" w:type="dxa"/>
            <w:noWrap/>
            <w:hideMark/>
          </w:tcPr>
          <w:p w14:paraId="3899E9E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5.586</w:t>
            </w:r>
          </w:p>
        </w:tc>
        <w:tc>
          <w:tcPr>
            <w:tcW w:w="981" w:type="dxa"/>
            <w:noWrap/>
            <w:hideMark/>
          </w:tcPr>
          <w:p w14:paraId="03AFD695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67.032</w:t>
            </w:r>
          </w:p>
        </w:tc>
        <w:tc>
          <w:tcPr>
            <w:tcW w:w="1255" w:type="dxa"/>
            <w:noWrap/>
            <w:hideMark/>
          </w:tcPr>
          <w:p w14:paraId="0BC7CF6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77.824</w:t>
            </w:r>
          </w:p>
        </w:tc>
        <w:tc>
          <w:tcPr>
            <w:tcW w:w="1134" w:type="dxa"/>
            <w:noWrap/>
            <w:hideMark/>
          </w:tcPr>
          <w:p w14:paraId="0B6D2C0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90.354</w:t>
            </w:r>
          </w:p>
        </w:tc>
        <w:tc>
          <w:tcPr>
            <w:tcW w:w="1541" w:type="dxa"/>
            <w:hideMark/>
          </w:tcPr>
          <w:p w14:paraId="763F523F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KLINIČNI PSIHOLOG SPECIALIST (E048001)</w:t>
            </w:r>
          </w:p>
        </w:tc>
        <w:tc>
          <w:tcPr>
            <w:tcW w:w="874" w:type="dxa"/>
            <w:noWrap/>
            <w:hideMark/>
          </w:tcPr>
          <w:p w14:paraId="76433A3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90.354</w:t>
            </w:r>
          </w:p>
        </w:tc>
      </w:tr>
      <w:tr w:rsidR="001461E7" w:rsidRPr="008D73AC" w14:paraId="118DF85A" w14:textId="77777777" w:rsidTr="001461E7">
        <w:trPr>
          <w:trHeight w:val="688"/>
        </w:trPr>
        <w:tc>
          <w:tcPr>
            <w:tcW w:w="1141" w:type="dxa"/>
            <w:noWrap/>
            <w:hideMark/>
          </w:tcPr>
          <w:p w14:paraId="311CD63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socialni delavec</w:t>
            </w:r>
          </w:p>
        </w:tc>
        <w:tc>
          <w:tcPr>
            <w:tcW w:w="845" w:type="dxa"/>
            <w:noWrap/>
            <w:hideMark/>
          </w:tcPr>
          <w:p w14:paraId="3A51E26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72666F2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28" w:type="dxa"/>
            <w:noWrap/>
            <w:hideMark/>
          </w:tcPr>
          <w:p w14:paraId="5EC291F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72.092</w:t>
            </w:r>
          </w:p>
        </w:tc>
        <w:tc>
          <w:tcPr>
            <w:tcW w:w="981" w:type="dxa"/>
            <w:noWrap/>
            <w:hideMark/>
          </w:tcPr>
          <w:p w14:paraId="696795E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1.758</w:t>
            </w:r>
          </w:p>
        </w:tc>
        <w:tc>
          <w:tcPr>
            <w:tcW w:w="1255" w:type="dxa"/>
            <w:noWrap/>
            <w:hideMark/>
          </w:tcPr>
          <w:p w14:paraId="45EF074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21.100</w:t>
            </w:r>
          </w:p>
        </w:tc>
        <w:tc>
          <w:tcPr>
            <w:tcW w:w="1134" w:type="dxa"/>
            <w:noWrap/>
            <w:hideMark/>
          </w:tcPr>
          <w:p w14:paraId="7DF6FD6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24.497</w:t>
            </w:r>
          </w:p>
        </w:tc>
        <w:tc>
          <w:tcPr>
            <w:tcW w:w="1541" w:type="dxa"/>
            <w:hideMark/>
          </w:tcPr>
          <w:p w14:paraId="0763D3E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SOCIALNI DELAVEC II (E047068)</w:t>
            </w:r>
          </w:p>
        </w:tc>
        <w:tc>
          <w:tcPr>
            <w:tcW w:w="874" w:type="dxa"/>
            <w:noWrap/>
            <w:hideMark/>
          </w:tcPr>
          <w:p w14:paraId="1BC5E27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24.497</w:t>
            </w:r>
          </w:p>
        </w:tc>
      </w:tr>
      <w:tr w:rsidR="001461E7" w:rsidRPr="008D73AC" w14:paraId="04484C75" w14:textId="77777777" w:rsidTr="001461E7">
        <w:trPr>
          <w:trHeight w:val="712"/>
        </w:trPr>
        <w:tc>
          <w:tcPr>
            <w:tcW w:w="1141" w:type="dxa"/>
            <w:noWrap/>
            <w:hideMark/>
          </w:tcPr>
          <w:p w14:paraId="0E7D579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dietetik</w:t>
            </w:r>
          </w:p>
        </w:tc>
        <w:tc>
          <w:tcPr>
            <w:tcW w:w="845" w:type="dxa"/>
            <w:noWrap/>
            <w:hideMark/>
          </w:tcPr>
          <w:p w14:paraId="7996B70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25F7E8E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28" w:type="dxa"/>
            <w:noWrap/>
            <w:hideMark/>
          </w:tcPr>
          <w:p w14:paraId="32AE8E4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52.315</w:t>
            </w:r>
          </w:p>
        </w:tc>
        <w:tc>
          <w:tcPr>
            <w:tcW w:w="981" w:type="dxa"/>
            <w:noWrap/>
            <w:hideMark/>
          </w:tcPr>
          <w:p w14:paraId="6D961C8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1.414</w:t>
            </w:r>
          </w:p>
        </w:tc>
        <w:tc>
          <w:tcPr>
            <w:tcW w:w="1255" w:type="dxa"/>
            <w:noWrap/>
            <w:hideMark/>
          </w:tcPr>
          <w:p w14:paraId="32D0565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16.967</w:t>
            </w:r>
          </w:p>
        </w:tc>
        <w:tc>
          <w:tcPr>
            <w:tcW w:w="1134" w:type="dxa"/>
            <w:noWrap/>
            <w:hideMark/>
          </w:tcPr>
          <w:p w14:paraId="7D8DC4A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19.699</w:t>
            </w:r>
          </w:p>
        </w:tc>
        <w:tc>
          <w:tcPr>
            <w:tcW w:w="1541" w:type="dxa"/>
            <w:hideMark/>
          </w:tcPr>
          <w:p w14:paraId="42BD8A6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PREHRANSKI SVETOVALEC II (E047049)</w:t>
            </w:r>
          </w:p>
        </w:tc>
        <w:tc>
          <w:tcPr>
            <w:tcW w:w="874" w:type="dxa"/>
            <w:noWrap/>
            <w:hideMark/>
          </w:tcPr>
          <w:p w14:paraId="7C73DF3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19.699</w:t>
            </w:r>
          </w:p>
        </w:tc>
      </w:tr>
      <w:tr w:rsidR="001461E7" w:rsidRPr="008D73AC" w14:paraId="09D169FA" w14:textId="77777777" w:rsidTr="001461E7">
        <w:trPr>
          <w:trHeight w:val="255"/>
        </w:trPr>
        <w:tc>
          <w:tcPr>
            <w:tcW w:w="1141" w:type="dxa"/>
            <w:shd w:val="clear" w:color="auto" w:fill="FFFF00"/>
            <w:noWrap/>
            <w:hideMark/>
          </w:tcPr>
          <w:p w14:paraId="64A9CC9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vsota</w:t>
            </w:r>
          </w:p>
        </w:tc>
        <w:tc>
          <w:tcPr>
            <w:tcW w:w="845" w:type="dxa"/>
            <w:shd w:val="clear" w:color="auto" w:fill="FFFF00"/>
            <w:noWrap/>
            <w:hideMark/>
          </w:tcPr>
          <w:p w14:paraId="611A9D8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FFFF00"/>
            <w:noWrap/>
            <w:hideMark/>
          </w:tcPr>
          <w:p w14:paraId="5519909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FFFF00"/>
            <w:noWrap/>
            <w:hideMark/>
          </w:tcPr>
          <w:p w14:paraId="50CBECA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shd w:val="clear" w:color="auto" w:fill="FFFF00"/>
            <w:noWrap/>
            <w:hideMark/>
          </w:tcPr>
          <w:p w14:paraId="3A43BF8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00"/>
            <w:noWrap/>
            <w:hideMark/>
          </w:tcPr>
          <w:p w14:paraId="5417829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14:paraId="24F9F84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shd w:val="clear" w:color="auto" w:fill="FFFF00"/>
            <w:noWrap/>
            <w:hideMark/>
          </w:tcPr>
          <w:p w14:paraId="24B6ADB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shd w:val="clear" w:color="auto" w:fill="FFFF00"/>
            <w:noWrap/>
            <w:hideMark/>
          </w:tcPr>
          <w:p w14:paraId="0F31F00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322.376</w:t>
            </w:r>
          </w:p>
        </w:tc>
      </w:tr>
      <w:tr w:rsidR="001461E7" w:rsidRPr="008D73AC" w14:paraId="0E9D58F4" w14:textId="77777777" w:rsidTr="001461E7">
        <w:trPr>
          <w:trHeight w:val="563"/>
        </w:trPr>
        <w:tc>
          <w:tcPr>
            <w:tcW w:w="9645" w:type="dxa"/>
            <w:gridSpan w:val="9"/>
            <w:noWrap/>
            <w:hideMark/>
          </w:tcPr>
          <w:p w14:paraId="41DB48D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*zmnožek je povprečna plača za primerljivo DM za mesec oktober 2021iz Portala plač x 12 mesecev za izračun letnega stroška = bruto znesek; * 1,161 = bruto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 xml:space="preserve"> * število predvidenih zaposlitev. (strošek regresa lahko v tem primeru zanemarimo)</w:t>
            </w:r>
          </w:p>
          <w:p w14:paraId="1486B36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1E7" w:rsidRPr="008D73AC" w14:paraId="42EDB469" w14:textId="77777777" w:rsidTr="001461E7">
        <w:trPr>
          <w:trHeight w:val="270"/>
        </w:trPr>
        <w:tc>
          <w:tcPr>
            <w:tcW w:w="9645" w:type="dxa"/>
            <w:gridSpan w:val="9"/>
            <w:noWrap/>
            <w:hideMark/>
          </w:tcPr>
          <w:p w14:paraId="456A36A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Opomba: vsi zneski so v EUR</w:t>
            </w:r>
          </w:p>
          <w:p w14:paraId="16BF460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BE44584" w14:textId="77777777" w:rsidR="008D73AC" w:rsidRDefault="008D73AC" w:rsidP="00E830D0">
      <w:pPr>
        <w:spacing w:line="360" w:lineRule="auto"/>
        <w:jc w:val="both"/>
        <w:rPr>
          <w:sz w:val="22"/>
          <w:szCs w:val="22"/>
        </w:rPr>
      </w:pPr>
    </w:p>
    <w:p w14:paraId="55FDE2AC" w14:textId="06596C15" w:rsidR="00B87D7F" w:rsidRDefault="00B87D7F" w:rsidP="0017289D">
      <w:pPr>
        <w:spacing w:line="360" w:lineRule="auto"/>
        <w:jc w:val="both"/>
        <w:rPr>
          <w:sz w:val="22"/>
          <w:szCs w:val="22"/>
        </w:rPr>
      </w:pPr>
    </w:p>
    <w:p w14:paraId="2DC848A1" w14:textId="3ED09694" w:rsidR="00672B3C" w:rsidRPr="003672CC" w:rsidRDefault="00F1581D" w:rsidP="000F515D">
      <w:pPr>
        <w:pStyle w:val="Naslov3"/>
      </w:pPr>
      <w:bookmarkStart w:id="8" w:name="_Toc85639806"/>
      <w:r w:rsidRPr="003672CC">
        <w:t xml:space="preserve">Aktivnost </w:t>
      </w:r>
      <w:r w:rsidR="002E1E4D" w:rsidRPr="003672CC">
        <w:t>5</w:t>
      </w:r>
      <w:r w:rsidRPr="003672CC">
        <w:t>. Nacionalne mreže</w:t>
      </w:r>
      <w:r w:rsidR="00E96432" w:rsidRPr="003672CC">
        <w:t xml:space="preserve"> v Evropskih referenčnih mrežah</w:t>
      </w:r>
      <w:bookmarkEnd w:id="8"/>
    </w:p>
    <w:p w14:paraId="156D6E27" w14:textId="77777777" w:rsidR="00E32F97" w:rsidRDefault="00E32F97" w:rsidP="00FE4391">
      <w:pPr>
        <w:spacing w:line="360" w:lineRule="auto"/>
        <w:jc w:val="both"/>
        <w:rPr>
          <w:sz w:val="22"/>
          <w:szCs w:val="22"/>
        </w:rPr>
      </w:pPr>
    </w:p>
    <w:p w14:paraId="0BD61762" w14:textId="06FE9CEA" w:rsidR="00E96432" w:rsidRPr="007366D7" w:rsidRDefault="007366D7" w:rsidP="00FE4391">
      <w:pPr>
        <w:spacing w:line="360" w:lineRule="auto"/>
        <w:jc w:val="both"/>
        <w:rPr>
          <w:sz w:val="22"/>
          <w:szCs w:val="22"/>
        </w:rPr>
      </w:pPr>
      <w:r w:rsidRPr="007366D7">
        <w:rPr>
          <w:sz w:val="22"/>
          <w:szCs w:val="22"/>
        </w:rPr>
        <w:t>Z aktivnostjo želimo</w:t>
      </w:r>
      <w:r w:rsidR="00E96432" w:rsidRPr="007366D7">
        <w:rPr>
          <w:sz w:val="22"/>
          <w:szCs w:val="22"/>
        </w:rPr>
        <w:t xml:space="preserve"> povečati učinkovitost </w:t>
      </w:r>
      <w:r w:rsidR="000D413C" w:rsidRPr="007366D7">
        <w:rPr>
          <w:sz w:val="22"/>
          <w:szCs w:val="22"/>
        </w:rPr>
        <w:t xml:space="preserve">institucij in </w:t>
      </w:r>
      <w:r w:rsidR="00912C28" w:rsidRPr="007366D7">
        <w:rPr>
          <w:sz w:val="22"/>
          <w:szCs w:val="22"/>
        </w:rPr>
        <w:t>strokovn</w:t>
      </w:r>
      <w:r w:rsidR="000875C3" w:rsidRPr="007366D7">
        <w:rPr>
          <w:sz w:val="22"/>
          <w:szCs w:val="22"/>
        </w:rPr>
        <w:t>ega</w:t>
      </w:r>
      <w:r w:rsidR="00912C28" w:rsidRPr="007366D7">
        <w:rPr>
          <w:sz w:val="22"/>
          <w:szCs w:val="22"/>
        </w:rPr>
        <w:t xml:space="preserve"> mrež</w:t>
      </w:r>
      <w:r w:rsidR="000875C3" w:rsidRPr="007366D7">
        <w:rPr>
          <w:sz w:val="22"/>
          <w:szCs w:val="22"/>
        </w:rPr>
        <w:t>enja</w:t>
      </w:r>
      <w:r w:rsidR="000A5095" w:rsidRPr="007366D7">
        <w:rPr>
          <w:sz w:val="22"/>
          <w:szCs w:val="22"/>
        </w:rPr>
        <w:t xml:space="preserve"> v slovenskem zdravstvenem sistemu</w:t>
      </w:r>
      <w:r w:rsidR="00146C59" w:rsidRPr="007366D7">
        <w:rPr>
          <w:sz w:val="22"/>
          <w:szCs w:val="22"/>
        </w:rPr>
        <w:t xml:space="preserve"> in podpreti slovenske partnerje v </w:t>
      </w:r>
      <w:r w:rsidR="0084570D" w:rsidRPr="007366D7">
        <w:rPr>
          <w:sz w:val="22"/>
          <w:szCs w:val="22"/>
        </w:rPr>
        <w:t xml:space="preserve">Evropskih referenčnih mrežah. Za </w:t>
      </w:r>
      <w:r w:rsidR="00CE410F" w:rsidRPr="007366D7">
        <w:rPr>
          <w:sz w:val="22"/>
          <w:szCs w:val="22"/>
        </w:rPr>
        <w:t>partnerstvo in s tem enakovredno sodelovanje Slovenij</w:t>
      </w:r>
      <w:r w:rsidR="0008492F" w:rsidRPr="007366D7">
        <w:rPr>
          <w:sz w:val="22"/>
          <w:szCs w:val="22"/>
        </w:rPr>
        <w:t xml:space="preserve">e so namreč potrebne dodatne </w:t>
      </w:r>
      <w:r w:rsidR="001D1202" w:rsidRPr="007366D7">
        <w:rPr>
          <w:sz w:val="22"/>
          <w:szCs w:val="22"/>
        </w:rPr>
        <w:t xml:space="preserve">strokovne in organizacijske </w:t>
      </w:r>
      <w:r w:rsidR="0008492F" w:rsidRPr="007366D7">
        <w:rPr>
          <w:sz w:val="22"/>
          <w:szCs w:val="22"/>
        </w:rPr>
        <w:t>aktivnosti</w:t>
      </w:r>
      <w:r w:rsidR="001D1202" w:rsidRPr="007366D7">
        <w:rPr>
          <w:sz w:val="22"/>
          <w:szCs w:val="22"/>
        </w:rPr>
        <w:t xml:space="preserve"> predvidene preko ERN mehanizma</w:t>
      </w:r>
      <w:r w:rsidR="00F82E51" w:rsidRPr="007366D7">
        <w:rPr>
          <w:sz w:val="22"/>
          <w:szCs w:val="22"/>
        </w:rPr>
        <w:t>, ki od slovenskih partnerjev posledično zahtevajo dodatne vire</w:t>
      </w:r>
      <w:r w:rsidR="000875C3" w:rsidRPr="007366D7">
        <w:rPr>
          <w:sz w:val="22"/>
          <w:szCs w:val="22"/>
        </w:rPr>
        <w:t>.</w:t>
      </w:r>
      <w:r w:rsidR="00EB43E8" w:rsidRPr="007366D7">
        <w:rPr>
          <w:sz w:val="22"/>
          <w:szCs w:val="22"/>
        </w:rPr>
        <w:t xml:space="preserve"> </w:t>
      </w:r>
      <w:r w:rsidR="008827C5" w:rsidRPr="007366D7">
        <w:rPr>
          <w:sz w:val="22"/>
          <w:szCs w:val="22"/>
        </w:rPr>
        <w:t>Slednje vključujejo</w:t>
      </w:r>
      <w:r w:rsidR="008E5B13" w:rsidRPr="007366D7">
        <w:rPr>
          <w:sz w:val="22"/>
          <w:szCs w:val="22"/>
        </w:rPr>
        <w:t xml:space="preserve"> bolnikom prilagojeno</w:t>
      </w:r>
      <w:r w:rsidR="00F87787" w:rsidRPr="007366D7">
        <w:rPr>
          <w:sz w:val="22"/>
          <w:szCs w:val="22"/>
        </w:rPr>
        <w:t>,</w:t>
      </w:r>
      <w:r w:rsidR="008E5B13" w:rsidRPr="007366D7">
        <w:rPr>
          <w:sz w:val="22"/>
          <w:szCs w:val="22"/>
        </w:rPr>
        <w:t xml:space="preserve"> </w:t>
      </w:r>
      <w:r w:rsidR="008827C5" w:rsidRPr="007366D7">
        <w:rPr>
          <w:sz w:val="22"/>
          <w:szCs w:val="22"/>
        </w:rPr>
        <w:t>integrirano</w:t>
      </w:r>
      <w:r w:rsidR="00A307EC" w:rsidRPr="007366D7">
        <w:rPr>
          <w:sz w:val="22"/>
          <w:szCs w:val="22"/>
        </w:rPr>
        <w:t>, multidisciplinarno</w:t>
      </w:r>
      <w:r w:rsidR="008827C5" w:rsidRPr="007366D7">
        <w:rPr>
          <w:sz w:val="22"/>
          <w:szCs w:val="22"/>
        </w:rPr>
        <w:t xml:space="preserve"> medicinsko  </w:t>
      </w:r>
      <w:r w:rsidR="0019468E" w:rsidRPr="007366D7">
        <w:rPr>
          <w:sz w:val="22"/>
          <w:szCs w:val="22"/>
        </w:rPr>
        <w:t>in socialno oskrbo</w:t>
      </w:r>
      <w:r w:rsidR="005D2DD6" w:rsidRPr="007366D7">
        <w:rPr>
          <w:sz w:val="22"/>
          <w:szCs w:val="22"/>
        </w:rPr>
        <w:t xml:space="preserve"> kakor tudi razvoj nacionalnih</w:t>
      </w:r>
      <w:r w:rsidR="00A722E2" w:rsidRPr="007366D7">
        <w:rPr>
          <w:sz w:val="22"/>
          <w:szCs w:val="22"/>
        </w:rPr>
        <w:t xml:space="preserve"> poti oskrbe za posamezne skupine z RB v slovenskem zdravstvenem sistemu.</w:t>
      </w:r>
    </w:p>
    <w:p w14:paraId="0A853763" w14:textId="6B458757" w:rsidR="00E96432" w:rsidRPr="007366D7" w:rsidRDefault="00E96432" w:rsidP="00FE4391">
      <w:pPr>
        <w:spacing w:line="360" w:lineRule="auto"/>
        <w:jc w:val="both"/>
        <w:rPr>
          <w:sz w:val="22"/>
          <w:szCs w:val="22"/>
        </w:rPr>
      </w:pPr>
    </w:p>
    <w:p w14:paraId="7F0A0FE9" w14:textId="01F5540B" w:rsidR="007366D7" w:rsidRPr="007366D7" w:rsidRDefault="007366D7" w:rsidP="00FE4391">
      <w:pPr>
        <w:spacing w:line="360" w:lineRule="auto"/>
        <w:jc w:val="both"/>
        <w:rPr>
          <w:sz w:val="22"/>
          <w:szCs w:val="22"/>
        </w:rPr>
      </w:pPr>
      <w:r w:rsidRPr="007366D7">
        <w:rPr>
          <w:sz w:val="22"/>
          <w:szCs w:val="22"/>
        </w:rPr>
        <w:lastRenderedPageBreak/>
        <w:t xml:space="preserve">Predvidevamo, da bi te aktivnosti za obdobje akcijskega načrta za obdobje 2022 in 2023 potekala preko uvedbe prvih štirih specializiranih </w:t>
      </w:r>
      <w:proofErr w:type="spellStart"/>
      <w:r w:rsidRPr="007366D7">
        <w:rPr>
          <w:sz w:val="22"/>
          <w:szCs w:val="22"/>
        </w:rPr>
        <w:t>multidisclipinarnih</w:t>
      </w:r>
      <w:proofErr w:type="spellEnd"/>
      <w:r w:rsidRPr="007366D7">
        <w:rPr>
          <w:sz w:val="22"/>
          <w:szCs w:val="22"/>
        </w:rPr>
        <w:t xml:space="preserve"> timov za obravnavo redkih bolezni, predvidenih v aktivnosti 4. Predvidene so nadaljnje širitve do leta 2030, če se bodo za to izkazale potrebe.</w:t>
      </w:r>
    </w:p>
    <w:p w14:paraId="331E01A7" w14:textId="5AE0D04D" w:rsidR="005A2CE1" w:rsidRPr="00395CE0" w:rsidRDefault="005A2CE1" w:rsidP="00FE4391">
      <w:pPr>
        <w:spacing w:line="360" w:lineRule="auto"/>
        <w:jc w:val="both"/>
        <w:rPr>
          <w:sz w:val="22"/>
          <w:szCs w:val="22"/>
        </w:rPr>
      </w:pPr>
    </w:p>
    <w:p w14:paraId="37AA0F78" w14:textId="228CD7B4" w:rsidR="001374F0" w:rsidRDefault="001374F0" w:rsidP="00395CE0">
      <w:pPr>
        <w:spacing w:line="360" w:lineRule="auto"/>
        <w:jc w:val="both"/>
        <w:rPr>
          <w:sz w:val="22"/>
          <w:szCs w:val="22"/>
        </w:rPr>
      </w:pPr>
      <w:r w:rsidRPr="00395CE0">
        <w:rPr>
          <w:sz w:val="22"/>
          <w:szCs w:val="22"/>
        </w:rPr>
        <w:t xml:space="preserve">V obdobju december 2019 do november 2021 je potekal </w:t>
      </w:r>
      <w:r w:rsidR="00FC4119">
        <w:rPr>
          <w:sz w:val="22"/>
          <w:szCs w:val="22"/>
        </w:rPr>
        <w:t>ciljni raziskovalni projekt</w:t>
      </w:r>
      <w:r w:rsidR="00FC4119" w:rsidRPr="00667EAC">
        <w:rPr>
          <w:sz w:val="22"/>
          <w:szCs w:val="22"/>
        </w:rPr>
        <w:t xml:space="preserve"> V3-1912 z naslovom: "Razvoj slovenskega vozlišča za evropske referenčne mreže</w:t>
      </w:r>
      <w:r w:rsidR="00FC4119">
        <w:rPr>
          <w:sz w:val="22"/>
          <w:szCs w:val="22"/>
        </w:rPr>
        <w:t xml:space="preserve">« (v nadaljnjem besedilu ERM). </w:t>
      </w:r>
      <w:r w:rsidRPr="00395CE0">
        <w:rPr>
          <w:sz w:val="22"/>
          <w:szCs w:val="22"/>
        </w:rPr>
        <w:t>Projekt se zaključuje in pripr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 xml:space="preserve">vlja se končno poročilo. </w:t>
      </w:r>
      <w:r w:rsidR="00FC4119">
        <w:rPr>
          <w:sz w:val="22"/>
          <w:szCs w:val="22"/>
        </w:rPr>
        <w:t xml:space="preserve">Dne 22.9.2021 je bilo v okviru tega projekta </w:t>
      </w:r>
      <w:r w:rsidR="00FC4119" w:rsidRPr="00667EAC">
        <w:rPr>
          <w:sz w:val="22"/>
          <w:szCs w:val="22"/>
        </w:rPr>
        <w:t>organizirano srečanje z naslovom Evropske referenčne mreže in slovenski zdravstveni sistem.</w:t>
      </w:r>
      <w:r w:rsidR="00FC4119">
        <w:rPr>
          <w:sz w:val="22"/>
          <w:szCs w:val="22"/>
        </w:rPr>
        <w:t xml:space="preserve"> </w:t>
      </w:r>
      <w:r w:rsidR="00FC4119" w:rsidRPr="00667EAC">
        <w:rPr>
          <w:sz w:val="22"/>
          <w:szCs w:val="22"/>
        </w:rPr>
        <w:t xml:space="preserve">Na </w:t>
      </w:r>
      <w:r w:rsidR="00FC4119">
        <w:rPr>
          <w:sz w:val="22"/>
          <w:szCs w:val="22"/>
        </w:rPr>
        <w:t>s</w:t>
      </w:r>
      <w:r w:rsidR="00FC4119" w:rsidRPr="00667EAC">
        <w:rPr>
          <w:sz w:val="22"/>
          <w:szCs w:val="22"/>
        </w:rPr>
        <w:t>rečanju je bil</w:t>
      </w:r>
      <w:r w:rsidR="00FC4119">
        <w:rPr>
          <w:sz w:val="22"/>
          <w:szCs w:val="22"/>
        </w:rPr>
        <w:t>a</w:t>
      </w:r>
      <w:r w:rsidR="00FC4119" w:rsidRPr="00667EAC">
        <w:rPr>
          <w:sz w:val="22"/>
          <w:szCs w:val="22"/>
        </w:rPr>
        <w:t xml:space="preserve"> jasno izražen</w:t>
      </w:r>
      <w:r w:rsidR="00FC4119">
        <w:rPr>
          <w:sz w:val="22"/>
          <w:szCs w:val="22"/>
        </w:rPr>
        <w:t xml:space="preserve">a </w:t>
      </w:r>
      <w:r w:rsidRPr="00395CE0">
        <w:rPr>
          <w:sz w:val="22"/>
          <w:szCs w:val="22"/>
        </w:rPr>
        <w:t>potreb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 xml:space="preserve"> pa nacionalnem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 xml:space="preserve">vozlišču za </w:t>
      </w:r>
      <w:r w:rsidR="00FC4119">
        <w:rPr>
          <w:sz w:val="22"/>
          <w:szCs w:val="22"/>
        </w:rPr>
        <w:t>ERM</w:t>
      </w:r>
      <w:r w:rsidRPr="00395CE0">
        <w:rPr>
          <w:sz w:val="22"/>
          <w:szCs w:val="22"/>
        </w:rPr>
        <w:t xml:space="preserve">. </w:t>
      </w:r>
      <w:r w:rsidR="00FC4119" w:rsidRPr="00395CE0">
        <w:rPr>
          <w:sz w:val="22"/>
          <w:szCs w:val="22"/>
        </w:rPr>
        <w:t>ERM</w:t>
      </w:r>
      <w:r w:rsidRPr="00395CE0">
        <w:rPr>
          <w:sz w:val="22"/>
          <w:szCs w:val="22"/>
        </w:rPr>
        <w:t>, predvsem članstvo v njih in sodelovanje, daje slovenskemu zdravstvu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in inštitucijam priznanje, bolnikom z redkimi boleznimi pa priložnost najboljše obravnave, kot si jo tudi zaslužijo. Strokovnjaki, ki deluje</w:t>
      </w:r>
      <w:r w:rsidR="00FC4119" w:rsidRPr="00395CE0">
        <w:rPr>
          <w:sz w:val="22"/>
          <w:szCs w:val="22"/>
        </w:rPr>
        <w:t>jo</w:t>
      </w:r>
      <w:r w:rsidRPr="00395CE0">
        <w:rPr>
          <w:sz w:val="22"/>
          <w:szCs w:val="22"/>
        </w:rPr>
        <w:t xml:space="preserve"> na področju redkih bolezni so zaradi redkosti le-teh pogosto v nezavidljivem položaju, pridruževanje vsem 24 ER</w:t>
      </w:r>
      <w:r w:rsidR="00FC4119" w:rsidRPr="00395CE0">
        <w:rPr>
          <w:sz w:val="22"/>
          <w:szCs w:val="22"/>
        </w:rPr>
        <w:t>M</w:t>
      </w:r>
      <w:r w:rsidRPr="00395CE0">
        <w:rPr>
          <w:sz w:val="22"/>
          <w:szCs w:val="22"/>
        </w:rPr>
        <w:t xml:space="preserve"> pa </w:t>
      </w:r>
      <w:r w:rsidR="00FC4119" w:rsidRPr="00395CE0">
        <w:rPr>
          <w:sz w:val="22"/>
          <w:szCs w:val="22"/>
        </w:rPr>
        <w:t>jim</w:t>
      </w:r>
      <w:r w:rsidRPr="00395CE0">
        <w:rPr>
          <w:sz w:val="22"/>
          <w:szCs w:val="22"/>
        </w:rPr>
        <w:t xml:space="preserve"> daje možnost izmenjave znanj in napredovanja tudi na teh redkih področjih. E</w:t>
      </w:r>
      <w:r w:rsidR="006E189B">
        <w:rPr>
          <w:sz w:val="22"/>
          <w:szCs w:val="22"/>
        </w:rPr>
        <w:t>vropska unija</w:t>
      </w:r>
      <w:r w:rsidRPr="00395CE0">
        <w:rPr>
          <w:sz w:val="22"/>
          <w:szCs w:val="22"/>
        </w:rPr>
        <w:t xml:space="preserve"> in E</w:t>
      </w:r>
      <w:r w:rsidR="006E189B">
        <w:rPr>
          <w:sz w:val="22"/>
          <w:szCs w:val="22"/>
        </w:rPr>
        <w:t>vropska komisija</w:t>
      </w:r>
      <w:r w:rsidRPr="00395CE0">
        <w:rPr>
          <w:sz w:val="22"/>
          <w:szCs w:val="22"/>
        </w:rPr>
        <w:t xml:space="preserve"> nadaljuje</w:t>
      </w:r>
      <w:r w:rsidR="006E189B">
        <w:rPr>
          <w:sz w:val="22"/>
          <w:szCs w:val="22"/>
        </w:rPr>
        <w:t>ta</w:t>
      </w:r>
      <w:r w:rsidRPr="00395CE0">
        <w:rPr>
          <w:sz w:val="22"/>
          <w:szCs w:val="22"/>
        </w:rPr>
        <w:t xml:space="preserve"> s podporo </w:t>
      </w:r>
      <w:r w:rsidR="00FC4119" w:rsidRPr="00395CE0">
        <w:rPr>
          <w:sz w:val="22"/>
          <w:szCs w:val="22"/>
        </w:rPr>
        <w:t>ERM</w:t>
      </w:r>
      <w:r w:rsidRPr="00395CE0">
        <w:rPr>
          <w:sz w:val="22"/>
          <w:szCs w:val="22"/>
        </w:rPr>
        <w:t xml:space="preserve"> in v majhni državi, kot je Slovenija, je ključnega pomena, da delujemo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harmonizirano in da smo na tekočem z dogajanjem. V 24 ER</w:t>
      </w:r>
      <w:r w:rsidR="00FC4119" w:rsidRPr="00395CE0">
        <w:rPr>
          <w:sz w:val="22"/>
          <w:szCs w:val="22"/>
        </w:rPr>
        <w:t>M</w:t>
      </w:r>
      <w:r w:rsidRPr="00395CE0">
        <w:rPr>
          <w:sz w:val="22"/>
          <w:szCs w:val="22"/>
        </w:rPr>
        <w:t xml:space="preserve"> sodelujeta predvsem UKCL z različnimi klinikami in oddelki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ter Onkološki inštitut. Usklajeno delovanje je ključnega pomena in podporo nacionalnemu vozlišču so izkazali tudi vsi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nacionalni koordinatorji, ki so v okviru srečanja podali svoj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 xml:space="preserve"> mnenj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>.</w:t>
      </w:r>
      <w:r w:rsidR="00FC4119" w:rsidRPr="00395CE0">
        <w:rPr>
          <w:sz w:val="22"/>
          <w:szCs w:val="22"/>
        </w:rPr>
        <w:t xml:space="preserve"> V</w:t>
      </w:r>
      <w:r w:rsidRPr="00395CE0">
        <w:rPr>
          <w:sz w:val="22"/>
          <w:szCs w:val="22"/>
        </w:rPr>
        <w:t xml:space="preserve"> skupnem interesu omenjenih zdravstvenih zavodov, politike na področju zdravstva in MZ</w:t>
      </w:r>
      <w:r w:rsidR="00FC4119" w:rsidRPr="00395CE0">
        <w:rPr>
          <w:sz w:val="22"/>
          <w:szCs w:val="22"/>
        </w:rPr>
        <w:t xml:space="preserve"> je</w:t>
      </w:r>
      <w:r w:rsidRPr="00395CE0">
        <w:rPr>
          <w:sz w:val="22"/>
          <w:szCs w:val="22"/>
        </w:rPr>
        <w:t>, da se</w:t>
      </w:r>
      <w:r w:rsidR="00FC4119" w:rsidRPr="00395CE0">
        <w:rPr>
          <w:sz w:val="22"/>
          <w:szCs w:val="22"/>
        </w:rPr>
        <w:t xml:space="preserve"> projekt slovenskega vozlišča za ERM</w:t>
      </w:r>
      <w:r w:rsidRPr="00395CE0">
        <w:rPr>
          <w:sz w:val="22"/>
          <w:szCs w:val="22"/>
        </w:rPr>
        <w:t xml:space="preserve"> nadaljuje in da se poiščejo sredstva, ki bodo to omogočila. Aktivnosti na tem področju je veliko in</w:t>
      </w:r>
      <w:r w:rsid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za nemoteno delovanje vozlišča bi potrebovali zaposlitev zdravnika in administrativne podpore. </w:t>
      </w:r>
    </w:p>
    <w:p w14:paraId="360262F3" w14:textId="149ACDA3" w:rsidR="00395CE0" w:rsidRDefault="00395CE0" w:rsidP="00395CE0">
      <w:pPr>
        <w:spacing w:line="360" w:lineRule="auto"/>
        <w:jc w:val="both"/>
        <w:rPr>
          <w:sz w:val="22"/>
          <w:szCs w:val="22"/>
        </w:rPr>
      </w:pPr>
    </w:p>
    <w:p w14:paraId="460E3A5E" w14:textId="5566E84C" w:rsidR="000613DE" w:rsidRDefault="00395CE0" w:rsidP="00395CE0">
      <w:pPr>
        <w:spacing w:line="360" w:lineRule="auto"/>
        <w:jc w:val="both"/>
        <w:rPr>
          <w:sz w:val="22"/>
          <w:szCs w:val="22"/>
        </w:rPr>
      </w:pPr>
      <w:r w:rsidRPr="0056770F">
        <w:rPr>
          <w:sz w:val="22"/>
          <w:szCs w:val="22"/>
        </w:rPr>
        <w:t xml:space="preserve">Zato predlagamo, da se </w:t>
      </w:r>
      <w:r>
        <w:rPr>
          <w:sz w:val="22"/>
          <w:szCs w:val="22"/>
        </w:rPr>
        <w:t xml:space="preserve">v okviru UKC Ljubljana ustanovi </w:t>
      </w:r>
      <w:r w:rsidRPr="00667EAC">
        <w:rPr>
          <w:sz w:val="22"/>
          <w:szCs w:val="22"/>
        </w:rPr>
        <w:t>slovensk</w:t>
      </w:r>
      <w:r>
        <w:rPr>
          <w:sz w:val="22"/>
          <w:szCs w:val="22"/>
        </w:rPr>
        <w:t>o</w:t>
      </w:r>
      <w:r w:rsidRPr="00667EAC">
        <w:rPr>
          <w:sz w:val="22"/>
          <w:szCs w:val="22"/>
        </w:rPr>
        <w:t xml:space="preserve"> vozlišč</w:t>
      </w:r>
      <w:r>
        <w:rPr>
          <w:sz w:val="22"/>
          <w:szCs w:val="22"/>
        </w:rPr>
        <w:t>e</w:t>
      </w:r>
      <w:r w:rsidRPr="00667EAC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ERM (slovenski ERN – HUB) </w:t>
      </w:r>
      <w:r w:rsidRPr="0056770F">
        <w:rPr>
          <w:sz w:val="22"/>
          <w:szCs w:val="22"/>
        </w:rPr>
        <w:t xml:space="preserve">v sestavi </w:t>
      </w:r>
      <w:r w:rsidRPr="00645EFF">
        <w:rPr>
          <w:sz w:val="22"/>
          <w:szCs w:val="22"/>
        </w:rPr>
        <w:t xml:space="preserve">enega zdravnika </w:t>
      </w:r>
      <w:r>
        <w:rPr>
          <w:sz w:val="22"/>
          <w:szCs w:val="22"/>
        </w:rPr>
        <w:t>specialista</w:t>
      </w:r>
      <w:r w:rsidRPr="00645EFF">
        <w:rPr>
          <w:sz w:val="22"/>
          <w:szCs w:val="22"/>
        </w:rPr>
        <w:t xml:space="preserve"> in ene</w:t>
      </w:r>
      <w:r>
        <w:rPr>
          <w:sz w:val="22"/>
          <w:szCs w:val="22"/>
        </w:rPr>
        <w:t xml:space="preserve">ga administratorja in da se </w:t>
      </w:r>
      <w:r w:rsidRPr="0056770F">
        <w:rPr>
          <w:sz w:val="22"/>
          <w:szCs w:val="22"/>
        </w:rPr>
        <w:t>v okviru S</w:t>
      </w:r>
      <w:r>
        <w:rPr>
          <w:sz w:val="22"/>
          <w:szCs w:val="22"/>
        </w:rPr>
        <w:t>plošnega dogovora</w:t>
      </w:r>
      <w:r w:rsidRPr="005677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potrdi </w:t>
      </w:r>
      <w:r w:rsidRPr="0056770F">
        <w:rPr>
          <w:sz w:val="22"/>
          <w:szCs w:val="22"/>
        </w:rPr>
        <w:t>kot dodatni program in poskrbi za njegovo financiranje od leta 202</w:t>
      </w:r>
      <w:r w:rsidR="006E189B">
        <w:rPr>
          <w:sz w:val="22"/>
          <w:szCs w:val="22"/>
        </w:rPr>
        <w:t>2</w:t>
      </w:r>
      <w:r w:rsidRPr="0056770F">
        <w:rPr>
          <w:sz w:val="22"/>
          <w:szCs w:val="22"/>
        </w:rPr>
        <w:t xml:space="preserve"> dalje. </w:t>
      </w:r>
      <w:r>
        <w:rPr>
          <w:sz w:val="22"/>
          <w:szCs w:val="22"/>
        </w:rPr>
        <w:t xml:space="preserve">Spodnja tabela prikazuje izračun </w:t>
      </w:r>
      <w:r w:rsidR="006E189B">
        <w:rPr>
          <w:sz w:val="22"/>
          <w:szCs w:val="22"/>
        </w:rPr>
        <w:t xml:space="preserve">letnih </w:t>
      </w:r>
      <w:r>
        <w:rPr>
          <w:sz w:val="22"/>
          <w:szCs w:val="22"/>
        </w:rPr>
        <w:t>stroškov kadra za slovenski ERN - HUB</w:t>
      </w:r>
      <w:r w:rsidRPr="0056770F">
        <w:rPr>
          <w:sz w:val="22"/>
          <w:szCs w:val="22"/>
        </w:rPr>
        <w:t xml:space="preserve"> v okviru UKC Ljubljana</w:t>
      </w:r>
      <w:r w:rsidR="006E189B">
        <w:rPr>
          <w:sz w:val="22"/>
          <w:szCs w:val="22"/>
        </w:rPr>
        <w:t xml:space="preserve">, </w:t>
      </w:r>
      <w:r w:rsidR="00F60D97">
        <w:rPr>
          <w:sz w:val="22"/>
          <w:szCs w:val="22"/>
        </w:rPr>
        <w:t xml:space="preserve">ki ga je pripravil </w:t>
      </w:r>
      <w:r w:rsidR="00F60D97" w:rsidRPr="00913742">
        <w:rPr>
          <w:sz w:val="22"/>
          <w:szCs w:val="22"/>
        </w:rPr>
        <w:t>Sektor za koordinacijo izvajalcev zdravstvene dejavnosti</w:t>
      </w:r>
      <w:r w:rsidR="00F60D97">
        <w:rPr>
          <w:sz w:val="22"/>
          <w:szCs w:val="22"/>
        </w:rPr>
        <w:t xml:space="preserve"> Ministrstva za zdravje.</w:t>
      </w:r>
    </w:p>
    <w:p w14:paraId="67EA7C74" w14:textId="77777777" w:rsidR="000613DE" w:rsidRPr="000613DE" w:rsidRDefault="000613DE" w:rsidP="00395CE0">
      <w:pPr>
        <w:spacing w:line="360" w:lineRule="auto"/>
        <w:jc w:val="both"/>
        <w:rPr>
          <w:sz w:val="8"/>
          <w:szCs w:val="8"/>
        </w:rPr>
      </w:pPr>
    </w:p>
    <w:tbl>
      <w:tblPr>
        <w:tblStyle w:val="Tabelamrea"/>
        <w:tblW w:w="9498" w:type="dxa"/>
        <w:tblLook w:val="04A0" w:firstRow="1" w:lastRow="0" w:firstColumn="1" w:lastColumn="0" w:noHBand="0" w:noVBand="1"/>
      </w:tblPr>
      <w:tblGrid>
        <w:gridCol w:w="1293"/>
        <w:gridCol w:w="829"/>
        <w:gridCol w:w="992"/>
        <w:gridCol w:w="928"/>
        <w:gridCol w:w="981"/>
        <w:gridCol w:w="857"/>
        <w:gridCol w:w="1203"/>
        <w:gridCol w:w="1541"/>
        <w:gridCol w:w="874"/>
      </w:tblGrid>
      <w:tr w:rsidR="000613DE" w:rsidRPr="00F60D97" w14:paraId="551C2ADB" w14:textId="77777777" w:rsidTr="000613DE">
        <w:trPr>
          <w:trHeight w:val="127"/>
        </w:trPr>
        <w:tc>
          <w:tcPr>
            <w:tcW w:w="1293" w:type="dxa"/>
            <w:hideMark/>
          </w:tcPr>
          <w:p w14:paraId="1A7F85EC" w14:textId="77777777" w:rsidR="00F60D97" w:rsidRPr="00F60D97" w:rsidRDefault="00F60D97" w:rsidP="00F60D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D97">
              <w:rPr>
                <w:rFonts w:ascii="Arial" w:hAnsi="Arial" w:cs="Arial"/>
                <w:b/>
                <w:bCs/>
                <w:sz w:val="16"/>
                <w:szCs w:val="16"/>
              </w:rPr>
              <w:t>Stroški dela</w:t>
            </w:r>
          </w:p>
        </w:tc>
        <w:tc>
          <w:tcPr>
            <w:tcW w:w="829" w:type="dxa"/>
            <w:hideMark/>
          </w:tcPr>
          <w:p w14:paraId="294166D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D13BB4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09042C7F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hideMark/>
          </w:tcPr>
          <w:p w14:paraId="002BC33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hideMark/>
          </w:tcPr>
          <w:p w14:paraId="29ED5FA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3" w:type="dxa"/>
            <w:hideMark/>
          </w:tcPr>
          <w:p w14:paraId="127BBD33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hideMark/>
          </w:tcPr>
          <w:p w14:paraId="3016177C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A8FAE3C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3DE" w:rsidRPr="00F60D97" w14:paraId="3C183416" w14:textId="77777777" w:rsidTr="000613DE">
        <w:trPr>
          <w:trHeight w:val="1010"/>
        </w:trPr>
        <w:tc>
          <w:tcPr>
            <w:tcW w:w="1293" w:type="dxa"/>
            <w:hideMark/>
          </w:tcPr>
          <w:p w14:paraId="34A50573" w14:textId="77777777" w:rsidR="00F60D97" w:rsidRPr="00F60D97" w:rsidRDefault="00F60D97" w:rsidP="00F60D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D97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</w:p>
        </w:tc>
        <w:tc>
          <w:tcPr>
            <w:tcW w:w="829" w:type="dxa"/>
            <w:hideMark/>
          </w:tcPr>
          <w:p w14:paraId="39CEEA37" w14:textId="5DE74C06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 xml:space="preserve">Število 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predvi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60D97">
              <w:rPr>
                <w:rFonts w:ascii="Arial" w:hAnsi="Arial" w:cs="Arial"/>
                <w:sz w:val="16"/>
                <w:szCs w:val="16"/>
              </w:rPr>
              <w:t>denih</w:t>
            </w:r>
            <w:proofErr w:type="spellEnd"/>
            <w:r w:rsidRPr="00F60D97">
              <w:rPr>
                <w:rFonts w:ascii="Arial" w:hAnsi="Arial" w:cs="Arial"/>
                <w:sz w:val="16"/>
                <w:szCs w:val="16"/>
              </w:rPr>
              <w:t xml:space="preserve"> zaposli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tev</w:t>
            </w:r>
            <w:proofErr w:type="spellEnd"/>
          </w:p>
        </w:tc>
        <w:tc>
          <w:tcPr>
            <w:tcW w:w="992" w:type="dxa"/>
            <w:hideMark/>
          </w:tcPr>
          <w:p w14:paraId="51FC06DD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Zaposlitve plača</w:t>
            </w:r>
          </w:p>
        </w:tc>
        <w:tc>
          <w:tcPr>
            <w:tcW w:w="928" w:type="dxa"/>
            <w:noWrap/>
            <w:hideMark/>
          </w:tcPr>
          <w:p w14:paraId="4CA01FAE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Bruto plača</w:t>
            </w:r>
          </w:p>
        </w:tc>
        <w:tc>
          <w:tcPr>
            <w:tcW w:w="981" w:type="dxa"/>
            <w:hideMark/>
          </w:tcPr>
          <w:p w14:paraId="35EC366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Povprečna plača za DM</w:t>
            </w:r>
          </w:p>
        </w:tc>
        <w:tc>
          <w:tcPr>
            <w:tcW w:w="857" w:type="dxa"/>
            <w:hideMark/>
          </w:tcPr>
          <w:p w14:paraId="41F0896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x 12 mesecev za izračun letnega stroška</w:t>
            </w:r>
          </w:p>
        </w:tc>
        <w:tc>
          <w:tcPr>
            <w:tcW w:w="1203" w:type="dxa"/>
            <w:hideMark/>
          </w:tcPr>
          <w:p w14:paraId="43D408C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 xml:space="preserve">Bruto 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F60D97">
              <w:rPr>
                <w:rFonts w:ascii="Arial" w:hAnsi="Arial" w:cs="Arial"/>
                <w:sz w:val="16"/>
                <w:szCs w:val="16"/>
              </w:rPr>
              <w:t xml:space="preserve"> (letni strošek skupaj s prispevki delodajalca)</w:t>
            </w:r>
          </w:p>
        </w:tc>
        <w:tc>
          <w:tcPr>
            <w:tcW w:w="1541" w:type="dxa"/>
            <w:hideMark/>
          </w:tcPr>
          <w:p w14:paraId="3861F51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UPOŠTEVANO DM</w:t>
            </w:r>
          </w:p>
        </w:tc>
        <w:tc>
          <w:tcPr>
            <w:tcW w:w="874" w:type="dxa"/>
            <w:noWrap/>
            <w:hideMark/>
          </w:tcPr>
          <w:p w14:paraId="210446AE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Zmnožek</w:t>
            </w:r>
          </w:p>
        </w:tc>
      </w:tr>
      <w:tr w:rsidR="000613DE" w:rsidRPr="00F60D97" w14:paraId="62506E50" w14:textId="77777777" w:rsidTr="000613DE">
        <w:trPr>
          <w:trHeight w:val="622"/>
        </w:trPr>
        <w:tc>
          <w:tcPr>
            <w:tcW w:w="1293" w:type="dxa"/>
            <w:noWrap/>
            <w:hideMark/>
          </w:tcPr>
          <w:p w14:paraId="079316A6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zdravnik specialist</w:t>
            </w:r>
          </w:p>
        </w:tc>
        <w:tc>
          <w:tcPr>
            <w:tcW w:w="829" w:type="dxa"/>
            <w:noWrap/>
            <w:hideMark/>
          </w:tcPr>
          <w:p w14:paraId="30D88BF0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7D4169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928" w:type="dxa"/>
            <w:noWrap/>
            <w:hideMark/>
          </w:tcPr>
          <w:p w14:paraId="2643676F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3.729.457</w:t>
            </w:r>
          </w:p>
        </w:tc>
        <w:tc>
          <w:tcPr>
            <w:tcW w:w="981" w:type="dxa"/>
            <w:noWrap/>
            <w:hideMark/>
          </w:tcPr>
          <w:p w14:paraId="02E3E4C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4.621</w:t>
            </w:r>
          </w:p>
        </w:tc>
        <w:tc>
          <w:tcPr>
            <w:tcW w:w="857" w:type="dxa"/>
            <w:noWrap/>
            <w:hideMark/>
          </w:tcPr>
          <w:p w14:paraId="7BCC0C11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55.457</w:t>
            </w:r>
          </w:p>
        </w:tc>
        <w:tc>
          <w:tcPr>
            <w:tcW w:w="1203" w:type="dxa"/>
            <w:noWrap/>
            <w:hideMark/>
          </w:tcPr>
          <w:p w14:paraId="5DF7D25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  <w:tc>
          <w:tcPr>
            <w:tcW w:w="1541" w:type="dxa"/>
            <w:hideMark/>
          </w:tcPr>
          <w:p w14:paraId="074D9FF0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VIŠJI ZDRAVNIK SPECIALIST PPD3 (E018025)</w:t>
            </w:r>
          </w:p>
        </w:tc>
        <w:tc>
          <w:tcPr>
            <w:tcW w:w="874" w:type="dxa"/>
            <w:noWrap/>
            <w:hideMark/>
          </w:tcPr>
          <w:p w14:paraId="47FD7A7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</w:tr>
      <w:tr w:rsidR="000613DE" w:rsidRPr="00F60D97" w14:paraId="6398BC2C" w14:textId="77777777" w:rsidTr="000613DE">
        <w:trPr>
          <w:trHeight w:val="560"/>
        </w:trPr>
        <w:tc>
          <w:tcPr>
            <w:tcW w:w="1293" w:type="dxa"/>
            <w:noWrap/>
            <w:hideMark/>
          </w:tcPr>
          <w:p w14:paraId="42A4E4A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administrativno tehnični delavec</w:t>
            </w:r>
          </w:p>
        </w:tc>
        <w:tc>
          <w:tcPr>
            <w:tcW w:w="829" w:type="dxa"/>
            <w:noWrap/>
            <w:hideMark/>
          </w:tcPr>
          <w:p w14:paraId="4AE4C298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0A1896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28" w:type="dxa"/>
            <w:noWrap/>
            <w:hideMark/>
          </w:tcPr>
          <w:p w14:paraId="2F5E0464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433.539</w:t>
            </w:r>
          </w:p>
        </w:tc>
        <w:tc>
          <w:tcPr>
            <w:tcW w:w="981" w:type="dxa"/>
            <w:noWrap/>
            <w:hideMark/>
          </w:tcPr>
          <w:p w14:paraId="44DB3842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1.162</w:t>
            </w:r>
          </w:p>
        </w:tc>
        <w:tc>
          <w:tcPr>
            <w:tcW w:w="857" w:type="dxa"/>
            <w:noWrap/>
            <w:hideMark/>
          </w:tcPr>
          <w:p w14:paraId="290A2434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13.948</w:t>
            </w:r>
          </w:p>
        </w:tc>
        <w:tc>
          <w:tcPr>
            <w:tcW w:w="1203" w:type="dxa"/>
            <w:noWrap/>
            <w:hideMark/>
          </w:tcPr>
          <w:p w14:paraId="051BABC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  <w:tc>
          <w:tcPr>
            <w:tcW w:w="1541" w:type="dxa"/>
            <w:hideMark/>
          </w:tcPr>
          <w:p w14:paraId="119965F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ZDRAVSTVENI ADMINISTRATOR II (J025024)</w:t>
            </w:r>
          </w:p>
        </w:tc>
        <w:tc>
          <w:tcPr>
            <w:tcW w:w="874" w:type="dxa"/>
            <w:noWrap/>
            <w:hideMark/>
          </w:tcPr>
          <w:p w14:paraId="44EA179D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</w:tr>
      <w:tr w:rsidR="000613DE" w:rsidRPr="00F60D97" w14:paraId="385D50F1" w14:textId="77777777" w:rsidTr="000613DE">
        <w:trPr>
          <w:trHeight w:val="283"/>
        </w:trPr>
        <w:tc>
          <w:tcPr>
            <w:tcW w:w="1293" w:type="dxa"/>
            <w:shd w:val="clear" w:color="auto" w:fill="FFFF00"/>
            <w:noWrap/>
            <w:hideMark/>
          </w:tcPr>
          <w:p w14:paraId="7577D18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vsota</w:t>
            </w:r>
          </w:p>
        </w:tc>
        <w:tc>
          <w:tcPr>
            <w:tcW w:w="829" w:type="dxa"/>
            <w:shd w:val="clear" w:color="auto" w:fill="FFFF00"/>
            <w:noWrap/>
            <w:hideMark/>
          </w:tcPr>
          <w:p w14:paraId="10AE1751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01C127DE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FFFF00"/>
            <w:noWrap/>
            <w:hideMark/>
          </w:tcPr>
          <w:p w14:paraId="6A230DE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shd w:val="clear" w:color="auto" w:fill="FFFF00"/>
            <w:noWrap/>
            <w:hideMark/>
          </w:tcPr>
          <w:p w14:paraId="5DD9D8E6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shd w:val="clear" w:color="auto" w:fill="FFFF00"/>
            <w:noWrap/>
            <w:hideMark/>
          </w:tcPr>
          <w:p w14:paraId="0962C8F3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FFFF00"/>
            <w:noWrap/>
            <w:hideMark/>
          </w:tcPr>
          <w:p w14:paraId="2DC3BA24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shd w:val="clear" w:color="auto" w:fill="FFFF00"/>
            <w:noWrap/>
            <w:hideMark/>
          </w:tcPr>
          <w:p w14:paraId="48C8C2D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shd w:val="clear" w:color="auto" w:fill="FFFF00"/>
            <w:noWrap/>
            <w:hideMark/>
          </w:tcPr>
          <w:p w14:paraId="58E7315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80.578</w:t>
            </w:r>
          </w:p>
        </w:tc>
      </w:tr>
      <w:tr w:rsidR="000613DE" w:rsidRPr="00F60D97" w14:paraId="3852D03A" w14:textId="77777777" w:rsidTr="000613DE">
        <w:trPr>
          <w:trHeight w:val="353"/>
        </w:trPr>
        <w:tc>
          <w:tcPr>
            <w:tcW w:w="9498" w:type="dxa"/>
            <w:gridSpan w:val="9"/>
            <w:noWrap/>
            <w:hideMark/>
          </w:tcPr>
          <w:p w14:paraId="1517422F" w14:textId="2D6927FA" w:rsidR="000613DE" w:rsidRPr="00F60D97" w:rsidRDefault="000613DE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 xml:space="preserve">*zmnožek je povprečna plača za primerljivo DM za mesec oktober 2021iz Portala plač x 12 mesecev za izračun letnega stroška = bruto znesek; * 1,161 = bruto 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F60D97">
              <w:rPr>
                <w:rFonts w:ascii="Arial" w:hAnsi="Arial" w:cs="Arial"/>
                <w:sz w:val="16"/>
                <w:szCs w:val="16"/>
              </w:rPr>
              <w:t xml:space="preserve"> * število predvidenih zaposlitev. (strošek regresa lahko v tem primeru zanemarimo)</w:t>
            </w:r>
          </w:p>
        </w:tc>
      </w:tr>
      <w:tr w:rsidR="000613DE" w:rsidRPr="00F60D97" w14:paraId="5A62FE6D" w14:textId="77777777" w:rsidTr="000613DE">
        <w:trPr>
          <w:trHeight w:val="259"/>
        </w:trPr>
        <w:tc>
          <w:tcPr>
            <w:tcW w:w="9498" w:type="dxa"/>
            <w:gridSpan w:val="9"/>
            <w:noWrap/>
            <w:hideMark/>
          </w:tcPr>
          <w:p w14:paraId="27B3A0C4" w14:textId="77777777" w:rsidR="000613DE" w:rsidRPr="00F60D97" w:rsidRDefault="000613DE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Opomba: vsi zneski so v EUR</w:t>
            </w:r>
          </w:p>
          <w:p w14:paraId="32254208" w14:textId="72D31AAF" w:rsidR="000613DE" w:rsidRPr="00F60D97" w:rsidRDefault="000613DE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6B8A1DA" w14:textId="1A46CC4E" w:rsidR="00033127" w:rsidRPr="003672CC" w:rsidRDefault="00033127" w:rsidP="000F515D">
      <w:pPr>
        <w:pStyle w:val="Naslov3"/>
      </w:pPr>
      <w:bookmarkStart w:id="9" w:name="_Toc85639807"/>
      <w:r w:rsidRPr="003672CC">
        <w:lastRenderedPageBreak/>
        <w:t xml:space="preserve">Aktivnost </w:t>
      </w:r>
      <w:r w:rsidR="002E1E4D" w:rsidRPr="003672CC">
        <w:t>6</w:t>
      </w:r>
      <w:r w:rsidRPr="003672CC">
        <w:t>.</w:t>
      </w:r>
      <w:r w:rsidR="008E2BF4" w:rsidRPr="003672CC">
        <w:t xml:space="preserve"> </w:t>
      </w:r>
      <w:r w:rsidR="00AF352D" w:rsidRPr="003672CC">
        <w:t>Nacionalni koordinacijski center za redke bolezni</w:t>
      </w:r>
      <w:bookmarkEnd w:id="9"/>
    </w:p>
    <w:p w14:paraId="5944E0E3" w14:textId="77777777" w:rsidR="007366D7" w:rsidRDefault="007366D7" w:rsidP="00FE4391">
      <w:pPr>
        <w:spacing w:line="360" w:lineRule="auto"/>
        <w:jc w:val="both"/>
        <w:rPr>
          <w:sz w:val="22"/>
          <w:szCs w:val="22"/>
        </w:rPr>
      </w:pPr>
    </w:p>
    <w:p w14:paraId="62237EA1" w14:textId="2C3032EA" w:rsidR="007366D7" w:rsidRDefault="00821398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Ustanovitev nacionalnega </w:t>
      </w:r>
      <w:r w:rsidRPr="003672CC">
        <w:rPr>
          <w:sz w:val="22"/>
          <w:szCs w:val="22"/>
        </w:rPr>
        <w:t>koordinacijsk</w:t>
      </w:r>
      <w:r>
        <w:rPr>
          <w:sz w:val="22"/>
          <w:szCs w:val="22"/>
        </w:rPr>
        <w:t>ega</w:t>
      </w:r>
      <w:r w:rsidRPr="003672CC">
        <w:rPr>
          <w:sz w:val="22"/>
          <w:szCs w:val="22"/>
        </w:rPr>
        <w:t xml:space="preserve"> cent</w:t>
      </w:r>
      <w:r>
        <w:rPr>
          <w:sz w:val="22"/>
          <w:szCs w:val="22"/>
        </w:rPr>
        <w:t>ra je predvidena za leto 2025, zato bodo a</w:t>
      </w:r>
      <w:r w:rsidR="007366D7">
        <w:rPr>
          <w:sz w:val="22"/>
          <w:szCs w:val="22"/>
        </w:rPr>
        <w:t xml:space="preserve">ktivnosti za oblikovanje in ustanovitev </w:t>
      </w:r>
      <w:r>
        <w:rPr>
          <w:sz w:val="22"/>
          <w:szCs w:val="22"/>
        </w:rPr>
        <w:t>le-tega predmet kasnejših akcijskih načrtov.</w:t>
      </w:r>
    </w:p>
    <w:p w14:paraId="3876E8F7" w14:textId="77777777" w:rsidR="007366D7" w:rsidRDefault="007366D7" w:rsidP="00FE4391">
      <w:pPr>
        <w:spacing w:line="360" w:lineRule="auto"/>
        <w:jc w:val="both"/>
        <w:rPr>
          <w:sz w:val="22"/>
          <w:szCs w:val="22"/>
        </w:rPr>
      </w:pPr>
    </w:p>
    <w:p w14:paraId="3E657DEB" w14:textId="77777777" w:rsidR="00B968FD" w:rsidRPr="003672CC" w:rsidRDefault="00B968FD" w:rsidP="00FE4391">
      <w:pPr>
        <w:spacing w:line="360" w:lineRule="auto"/>
        <w:jc w:val="both"/>
        <w:rPr>
          <w:sz w:val="22"/>
          <w:szCs w:val="22"/>
        </w:rPr>
      </w:pPr>
    </w:p>
    <w:p w14:paraId="5A40BD1E" w14:textId="1A2DCD41" w:rsidR="002571E7" w:rsidRPr="003672CC" w:rsidRDefault="002571E7" w:rsidP="000F515D">
      <w:pPr>
        <w:pStyle w:val="Naslov3"/>
      </w:pPr>
      <w:bookmarkStart w:id="10" w:name="_Toc85639808"/>
      <w:r w:rsidRPr="003672CC">
        <w:t xml:space="preserve">Aktivnost </w:t>
      </w:r>
      <w:r w:rsidR="001D4A06" w:rsidRPr="003672CC">
        <w:t>7.</w:t>
      </w:r>
      <w:r w:rsidR="009A516A" w:rsidRPr="003672CC">
        <w:t xml:space="preserve"> </w:t>
      </w:r>
      <w:r w:rsidR="00BF526E" w:rsidRPr="003672CC">
        <w:t>Dostopnost do zdravil sirot</w:t>
      </w:r>
      <w:bookmarkEnd w:id="10"/>
    </w:p>
    <w:p w14:paraId="2D3AD8B2" w14:textId="77777777" w:rsidR="00821398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1D86722F" w14:textId="326BB6B7" w:rsidR="00821398" w:rsidRDefault="00821398" w:rsidP="00821398">
      <w:pPr>
        <w:spacing w:line="360" w:lineRule="auto"/>
        <w:jc w:val="both"/>
        <w:rPr>
          <w:sz w:val="22"/>
          <w:szCs w:val="22"/>
        </w:rPr>
      </w:pPr>
      <w:r w:rsidRPr="00821398">
        <w:rPr>
          <w:sz w:val="22"/>
          <w:szCs w:val="22"/>
        </w:rPr>
        <w:t>Komisija za razvrščanje zdravil zdravila za redke bolezni razvršča hitro in sproti. V večini primerov so ta zdravila razvrščena v enakem časovnem obdobju, kot v večini evropskih državah. Po potrebi Komisija za zdravila za mnenje zaprosi RSK ustrezne stroke ali posamezne strokovnjake posameznih področij. ZZZS z različnimi ukrepi</w:t>
      </w:r>
      <w:r>
        <w:rPr>
          <w:sz w:val="22"/>
          <w:szCs w:val="22"/>
        </w:rPr>
        <w:t>, kot npr.</w:t>
      </w:r>
      <w:r w:rsidRPr="00821398">
        <w:rPr>
          <w:sz w:val="22"/>
          <w:szCs w:val="22"/>
        </w:rPr>
        <w:t xml:space="preserve"> dogovori o cenah, krovni dogovori, opozarjanje na racionalno predpisovanje skrbi, da se in se bodo še v</w:t>
      </w:r>
      <w:r>
        <w:rPr>
          <w:sz w:val="22"/>
          <w:szCs w:val="22"/>
        </w:rPr>
        <w:t xml:space="preserve"> </w:t>
      </w:r>
      <w:r w:rsidRPr="00821398">
        <w:rPr>
          <w:sz w:val="22"/>
          <w:szCs w:val="22"/>
        </w:rPr>
        <w:t xml:space="preserve">naprej razvrščala vsa potrebna zdravila.   </w:t>
      </w:r>
      <w:r w:rsidRPr="00821398">
        <w:rPr>
          <w:sz w:val="22"/>
          <w:szCs w:val="22"/>
        </w:rPr>
        <w:br/>
      </w:r>
    </w:p>
    <w:p w14:paraId="694D56D5" w14:textId="31B8DDCE" w:rsidR="00821398" w:rsidRDefault="00821398" w:rsidP="008213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Potrebno je prednostno urediti področje terapije na domu.</w:t>
      </w:r>
    </w:p>
    <w:p w14:paraId="69C73EF4" w14:textId="5E458B6D" w:rsidR="00B968FD" w:rsidRDefault="00B968FD" w:rsidP="00FE4391">
      <w:pPr>
        <w:spacing w:line="360" w:lineRule="auto"/>
        <w:jc w:val="both"/>
        <w:rPr>
          <w:sz w:val="22"/>
          <w:szCs w:val="22"/>
        </w:rPr>
      </w:pPr>
    </w:p>
    <w:p w14:paraId="2D02B628" w14:textId="77777777" w:rsidR="00821398" w:rsidRPr="003672CC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44F1497B" w14:textId="361DED32" w:rsidR="00580688" w:rsidRPr="003672CC" w:rsidRDefault="00580688" w:rsidP="000F515D">
      <w:pPr>
        <w:pStyle w:val="Naslov3"/>
      </w:pPr>
      <w:bookmarkStart w:id="11" w:name="_Toc85639809"/>
      <w:r w:rsidRPr="003672CC">
        <w:t xml:space="preserve">Aktivnost </w:t>
      </w:r>
      <w:r w:rsidR="001D4A06" w:rsidRPr="003672CC">
        <w:t>8.</w:t>
      </w:r>
      <w:r w:rsidRPr="003672CC">
        <w:t xml:space="preserve"> </w:t>
      </w:r>
      <w:r w:rsidR="007D6B13" w:rsidRPr="003672CC">
        <w:t xml:space="preserve">Nova zdravljenja redkih bolezni in napredno </w:t>
      </w:r>
      <w:r w:rsidR="00EA6B6A" w:rsidRPr="003672CC">
        <w:t xml:space="preserve">gensko </w:t>
      </w:r>
      <w:r w:rsidRPr="003672CC">
        <w:t>zdravljenje</w:t>
      </w:r>
      <w:r w:rsidR="004F04C4" w:rsidRPr="003672CC">
        <w:t xml:space="preserve"> redkih bolezni</w:t>
      </w:r>
      <w:bookmarkEnd w:id="11"/>
    </w:p>
    <w:p w14:paraId="7AA7FFE3" w14:textId="77777777" w:rsidR="00821398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2E600378" w14:textId="4168EE37" w:rsidR="00E96432" w:rsidRPr="003672CC" w:rsidRDefault="00821398" w:rsidP="000446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aktivnostjo 8 želimo</w:t>
      </w:r>
      <w:r w:rsidR="00EB7339" w:rsidRPr="003672CC">
        <w:rPr>
          <w:sz w:val="22"/>
          <w:szCs w:val="22"/>
        </w:rPr>
        <w:t xml:space="preserve"> </w:t>
      </w:r>
      <w:r w:rsidR="007D6B13" w:rsidRPr="003672CC">
        <w:rPr>
          <w:sz w:val="22"/>
          <w:szCs w:val="22"/>
        </w:rPr>
        <w:t xml:space="preserve">omogočiti klinično in laboratorijsko infrastrukturo za nova zdravljenja redkih bolezni in </w:t>
      </w:r>
      <w:r w:rsidR="00EB7339" w:rsidRPr="003672CC">
        <w:rPr>
          <w:sz w:val="22"/>
          <w:szCs w:val="22"/>
        </w:rPr>
        <w:t xml:space="preserve">preučiti možnosti za oblikovanja nacionalnega centra za </w:t>
      </w:r>
      <w:r w:rsidR="00EA6B6A" w:rsidRPr="003672CC">
        <w:rPr>
          <w:sz w:val="22"/>
          <w:szCs w:val="22"/>
        </w:rPr>
        <w:t xml:space="preserve">napredno </w:t>
      </w:r>
      <w:r w:rsidR="00EB7339" w:rsidRPr="003672CC">
        <w:rPr>
          <w:sz w:val="22"/>
          <w:szCs w:val="22"/>
        </w:rPr>
        <w:t>gensko zdravljenje</w:t>
      </w:r>
      <w:r w:rsidR="00B75075" w:rsidRPr="003672CC">
        <w:rPr>
          <w:sz w:val="22"/>
          <w:szCs w:val="22"/>
        </w:rPr>
        <w:t xml:space="preserve"> z združitvijo aktivnosti, ki na tem področju že potekajo</w:t>
      </w:r>
      <w:r w:rsidR="00B23F34" w:rsidRPr="003672CC">
        <w:rPr>
          <w:sz w:val="22"/>
          <w:szCs w:val="22"/>
        </w:rPr>
        <w:t xml:space="preserve"> in nadgraditvijo v smeri prenosa v medicinsko okolje.</w:t>
      </w:r>
      <w:r w:rsidR="00983DE9" w:rsidRPr="003672CC">
        <w:rPr>
          <w:sz w:val="22"/>
          <w:szCs w:val="22"/>
        </w:rPr>
        <w:t xml:space="preserve"> </w:t>
      </w:r>
      <w:r w:rsidR="00044679">
        <w:rPr>
          <w:sz w:val="22"/>
          <w:szCs w:val="22"/>
        </w:rPr>
        <w:t xml:space="preserve">Za ta namen je potrebno v sodelovanju z ARRS razpisati </w:t>
      </w:r>
      <w:r w:rsidR="00044679" w:rsidRPr="003672CC">
        <w:rPr>
          <w:sz w:val="22"/>
          <w:szCs w:val="22"/>
        </w:rPr>
        <w:t xml:space="preserve">CRP projekt v </w:t>
      </w:r>
      <w:r w:rsidR="00044679">
        <w:rPr>
          <w:sz w:val="22"/>
          <w:szCs w:val="22"/>
        </w:rPr>
        <w:t xml:space="preserve">letu </w:t>
      </w:r>
      <w:r w:rsidR="00044679" w:rsidRPr="003672CC">
        <w:rPr>
          <w:sz w:val="22"/>
          <w:szCs w:val="22"/>
        </w:rPr>
        <w:t xml:space="preserve">2023, nadaljnja dinamika </w:t>
      </w:r>
      <w:r w:rsidR="00044679">
        <w:rPr>
          <w:sz w:val="22"/>
          <w:szCs w:val="22"/>
        </w:rPr>
        <w:t xml:space="preserve">pa bo </w:t>
      </w:r>
      <w:r w:rsidR="00044679" w:rsidRPr="003672CC">
        <w:rPr>
          <w:sz w:val="22"/>
          <w:szCs w:val="22"/>
        </w:rPr>
        <w:t>odvisna od rezultatov projekta</w:t>
      </w:r>
      <w:r w:rsidR="00044679">
        <w:rPr>
          <w:sz w:val="22"/>
          <w:szCs w:val="22"/>
        </w:rPr>
        <w:t>.</w:t>
      </w:r>
    </w:p>
    <w:p w14:paraId="245A6118" w14:textId="703F4654" w:rsidR="00821398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4679F669" w14:textId="77777777" w:rsidR="00821398" w:rsidRPr="003672CC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75212E3E" w14:textId="0945DFCB" w:rsidR="009F0D76" w:rsidRPr="003672CC" w:rsidRDefault="00B72420" w:rsidP="000F515D">
      <w:pPr>
        <w:pStyle w:val="Naslov2"/>
      </w:pPr>
      <w:bookmarkStart w:id="12" w:name="_Toc85639810"/>
      <w:r w:rsidRPr="003672CC">
        <w:t xml:space="preserve">Cilj </w:t>
      </w:r>
      <w:r w:rsidR="009F0D76" w:rsidRPr="003672CC">
        <w:t>3. Deljenje informacij za skupen napredek</w:t>
      </w:r>
      <w:bookmarkEnd w:id="12"/>
    </w:p>
    <w:p w14:paraId="7561A51A" w14:textId="77777777" w:rsidR="00044679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4243733B" w14:textId="77777777" w:rsidR="00E0225C" w:rsidRPr="003672CC" w:rsidRDefault="00E0225C" w:rsidP="00FE4391">
      <w:pPr>
        <w:spacing w:line="360" w:lineRule="auto"/>
        <w:jc w:val="both"/>
        <w:rPr>
          <w:sz w:val="22"/>
          <w:szCs w:val="22"/>
        </w:rPr>
      </w:pPr>
    </w:p>
    <w:p w14:paraId="66C367BC" w14:textId="6DB6999D" w:rsidR="006A47E9" w:rsidRPr="003672CC" w:rsidRDefault="006A47E9" w:rsidP="002172A4">
      <w:pPr>
        <w:pStyle w:val="Naslov3"/>
      </w:pPr>
      <w:bookmarkStart w:id="13" w:name="_Toc85639811"/>
      <w:r w:rsidRPr="003672CC">
        <w:t xml:space="preserve">Aktivnost </w:t>
      </w:r>
      <w:r w:rsidR="007232BE" w:rsidRPr="003672CC">
        <w:t>9</w:t>
      </w:r>
      <w:r w:rsidRPr="003672CC">
        <w:t>. Integriran</w:t>
      </w:r>
      <w:r w:rsidR="00215CAD" w:rsidRPr="003672CC">
        <w:t>a nacionalna baza</w:t>
      </w:r>
      <w:r w:rsidR="006F7F5D" w:rsidRPr="003672CC">
        <w:t xml:space="preserve"> podatkov</w:t>
      </w:r>
      <w:r w:rsidRPr="003672CC">
        <w:t xml:space="preserve"> </w:t>
      </w:r>
      <w:r w:rsidR="00E60EED" w:rsidRPr="003672CC">
        <w:t>za RB</w:t>
      </w:r>
      <w:bookmarkEnd w:id="13"/>
      <w:r w:rsidR="00E60EED" w:rsidRPr="003672CC">
        <w:t xml:space="preserve"> </w:t>
      </w:r>
    </w:p>
    <w:p w14:paraId="4A081AFD" w14:textId="77777777" w:rsidR="00044679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698B70E2" w14:textId="1256EBD1" w:rsidR="00044679" w:rsidRDefault="00044679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okviru aktivnosti 9 deluje v okviru Ministrstva za zdravje posebna delovna skupina za </w:t>
      </w:r>
      <w:r>
        <w:rPr>
          <w:color w:val="000000"/>
        </w:rPr>
        <w:t xml:space="preserve">ureditev registra redkih </w:t>
      </w:r>
      <w:proofErr w:type="spellStart"/>
      <w:r>
        <w:rPr>
          <w:color w:val="000000"/>
        </w:rPr>
        <w:t>nemalignih</w:t>
      </w:r>
      <w:proofErr w:type="spellEnd"/>
      <w:r>
        <w:rPr>
          <w:color w:val="000000"/>
        </w:rPr>
        <w:t xml:space="preserve"> bolezni. Delovna skupina je v oktobru 2021 pripravila in potrdila </w:t>
      </w:r>
      <w:proofErr w:type="spellStart"/>
      <w:r>
        <w:rPr>
          <w:color w:val="000000"/>
        </w:rPr>
        <w:t>Vzpostavitveni</w:t>
      </w:r>
      <w:proofErr w:type="spellEnd"/>
      <w:r>
        <w:rPr>
          <w:color w:val="000000"/>
        </w:rPr>
        <w:t xml:space="preserve"> dokument projekta, ki bo služil za finančno oceno stroškov vzpostavitve projekta in nadaljnje delo na področju registra redkih </w:t>
      </w:r>
      <w:proofErr w:type="spellStart"/>
      <w:r>
        <w:rPr>
          <w:color w:val="000000"/>
        </w:rPr>
        <w:t>nemalignih</w:t>
      </w:r>
      <w:proofErr w:type="spellEnd"/>
      <w:r>
        <w:rPr>
          <w:color w:val="000000"/>
        </w:rPr>
        <w:t xml:space="preserve"> bolezni.</w:t>
      </w:r>
    </w:p>
    <w:p w14:paraId="5F800950" w14:textId="2BA17111" w:rsidR="00AF6458" w:rsidRDefault="00AF6458" w:rsidP="00FE4391">
      <w:pPr>
        <w:spacing w:line="360" w:lineRule="auto"/>
        <w:jc w:val="both"/>
        <w:rPr>
          <w:sz w:val="22"/>
          <w:szCs w:val="22"/>
        </w:rPr>
      </w:pPr>
    </w:p>
    <w:p w14:paraId="6B7B5F3B" w14:textId="77777777" w:rsidR="00044679" w:rsidRPr="003672CC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1F4B3132" w14:textId="0F9E6788" w:rsidR="00153C63" w:rsidRPr="003672CC" w:rsidRDefault="00153C63" w:rsidP="000F515D">
      <w:pPr>
        <w:pStyle w:val="Naslov3"/>
      </w:pPr>
      <w:bookmarkStart w:id="14" w:name="_Toc85639812"/>
      <w:r w:rsidRPr="003672CC">
        <w:lastRenderedPageBreak/>
        <w:t xml:space="preserve">Aktivnost 10. Spodbujanje povezovanja </w:t>
      </w:r>
      <w:r w:rsidR="00A757A9" w:rsidRPr="003672CC">
        <w:t xml:space="preserve">bolnikov oz. </w:t>
      </w:r>
      <w:r w:rsidRPr="003672CC">
        <w:t>staršev otrok z redko boleznijo med seboj</w:t>
      </w:r>
      <w:bookmarkEnd w:id="14"/>
    </w:p>
    <w:p w14:paraId="2E76AA98" w14:textId="77777777" w:rsidR="0001629C" w:rsidRDefault="0001629C" w:rsidP="00153C63">
      <w:pPr>
        <w:spacing w:line="360" w:lineRule="auto"/>
        <w:jc w:val="both"/>
        <w:rPr>
          <w:sz w:val="22"/>
          <w:szCs w:val="22"/>
        </w:rPr>
      </w:pPr>
    </w:p>
    <w:p w14:paraId="010EC131" w14:textId="55B58AB3" w:rsidR="0001629C" w:rsidRDefault="0001629C" w:rsidP="000162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okviru aktivnosti 10 spodbujamo </w:t>
      </w:r>
      <w:r w:rsidRPr="003672CC">
        <w:rPr>
          <w:sz w:val="22"/>
          <w:szCs w:val="22"/>
        </w:rPr>
        <w:t>krovn</w:t>
      </w:r>
      <w:r>
        <w:rPr>
          <w:sz w:val="22"/>
          <w:szCs w:val="22"/>
        </w:rPr>
        <w:t>o</w:t>
      </w:r>
      <w:r w:rsidRPr="003672CC">
        <w:rPr>
          <w:sz w:val="22"/>
          <w:szCs w:val="22"/>
        </w:rPr>
        <w:t xml:space="preserve"> organizacij</w:t>
      </w:r>
      <w:r>
        <w:rPr>
          <w:sz w:val="22"/>
          <w:szCs w:val="22"/>
        </w:rPr>
        <w:t>o</w:t>
      </w:r>
      <w:r w:rsidRPr="003672CC">
        <w:rPr>
          <w:sz w:val="22"/>
          <w:szCs w:val="22"/>
        </w:rPr>
        <w:t xml:space="preserve"> bolnikov z RB v Sloveniji </w:t>
      </w:r>
      <w:r>
        <w:rPr>
          <w:sz w:val="22"/>
          <w:szCs w:val="22"/>
        </w:rPr>
        <w:t xml:space="preserve">– </w:t>
      </w:r>
      <w:r w:rsidRPr="003672CC">
        <w:rPr>
          <w:sz w:val="22"/>
          <w:szCs w:val="22"/>
        </w:rPr>
        <w:t>Z</w:t>
      </w:r>
      <w:r>
        <w:rPr>
          <w:sz w:val="22"/>
          <w:szCs w:val="22"/>
        </w:rPr>
        <w:t>druženje za redke bolezni Slovenije (Z</w:t>
      </w:r>
      <w:r w:rsidRPr="003672CC">
        <w:rPr>
          <w:sz w:val="22"/>
          <w:szCs w:val="22"/>
        </w:rPr>
        <w:t>RBS</w:t>
      </w:r>
      <w:r>
        <w:rPr>
          <w:sz w:val="22"/>
          <w:szCs w:val="22"/>
        </w:rPr>
        <w:t xml:space="preserve">), ki </w:t>
      </w:r>
      <w:r w:rsidRPr="003672CC">
        <w:rPr>
          <w:sz w:val="22"/>
          <w:szCs w:val="22"/>
        </w:rPr>
        <w:t>že združuje nekatera društva na področju redkih bolezni</w:t>
      </w:r>
      <w:r>
        <w:rPr>
          <w:sz w:val="22"/>
          <w:szCs w:val="22"/>
        </w:rPr>
        <w:t xml:space="preserve"> k aktivnostim, </w:t>
      </w:r>
      <w:r w:rsidRPr="003672CC">
        <w:rPr>
          <w:sz w:val="22"/>
          <w:szCs w:val="22"/>
        </w:rPr>
        <w:t xml:space="preserve"> da bi v svoje okrilje združilo čim več različnih društev na področju redkih bolezni.</w:t>
      </w:r>
      <w:r>
        <w:rPr>
          <w:sz w:val="22"/>
          <w:szCs w:val="22"/>
        </w:rPr>
        <w:t xml:space="preserve"> </w:t>
      </w:r>
      <w:r w:rsidR="00564D2D" w:rsidRPr="003672CC">
        <w:rPr>
          <w:sz w:val="22"/>
          <w:szCs w:val="22"/>
        </w:rPr>
        <w:t xml:space="preserve">Največjo težavo za združevanje bolnikov v društva pa predstavljajo bolniki z boleznimi, ki so tako redke, da sta morda v Sloveniji samo en do dva bolnika s tako boleznijo. </w:t>
      </w:r>
      <w:r w:rsidR="003B0AA3">
        <w:rPr>
          <w:sz w:val="22"/>
          <w:szCs w:val="22"/>
        </w:rPr>
        <w:t xml:space="preserve"> Rešitve se iščejo s pomočjo tesnejšega sodelovanja z Nacionalno kontaktno točko za </w:t>
      </w:r>
      <w:r w:rsidR="00597B82">
        <w:rPr>
          <w:sz w:val="22"/>
          <w:szCs w:val="22"/>
        </w:rPr>
        <w:t>r</w:t>
      </w:r>
      <w:r w:rsidR="003B0AA3">
        <w:rPr>
          <w:sz w:val="22"/>
          <w:szCs w:val="22"/>
        </w:rPr>
        <w:t>edke bolezni</w:t>
      </w:r>
      <w:r w:rsidR="00597B82">
        <w:rPr>
          <w:sz w:val="22"/>
          <w:szCs w:val="22"/>
        </w:rPr>
        <w:t xml:space="preserve"> in civilno družbo</w:t>
      </w:r>
      <w:r w:rsidR="003B0AA3">
        <w:rPr>
          <w:sz w:val="22"/>
          <w:szCs w:val="22"/>
        </w:rPr>
        <w:t xml:space="preserve">. </w:t>
      </w:r>
      <w:r w:rsidR="008A635F">
        <w:rPr>
          <w:sz w:val="22"/>
          <w:szCs w:val="22"/>
        </w:rPr>
        <w:t>V prihodnosti bi bila p</w:t>
      </w:r>
      <w:r w:rsidR="003B0AA3">
        <w:rPr>
          <w:sz w:val="22"/>
          <w:szCs w:val="22"/>
        </w:rPr>
        <w:t>otreb</w:t>
      </w:r>
      <w:r w:rsidR="00597B82">
        <w:rPr>
          <w:sz w:val="22"/>
          <w:szCs w:val="22"/>
        </w:rPr>
        <w:t>na</w:t>
      </w:r>
      <w:r w:rsidR="003B0AA3">
        <w:rPr>
          <w:sz w:val="22"/>
          <w:szCs w:val="22"/>
        </w:rPr>
        <w:t xml:space="preserve"> zaposlitev </w:t>
      </w:r>
      <w:r w:rsidR="008A635F">
        <w:rPr>
          <w:sz w:val="22"/>
          <w:szCs w:val="22"/>
        </w:rPr>
        <w:t xml:space="preserve">vsaj </w:t>
      </w:r>
      <w:r w:rsidR="003B0AA3">
        <w:rPr>
          <w:sz w:val="22"/>
          <w:szCs w:val="22"/>
        </w:rPr>
        <w:t>ene osebe</w:t>
      </w:r>
      <w:r w:rsidR="00597B82">
        <w:rPr>
          <w:sz w:val="22"/>
          <w:szCs w:val="22"/>
        </w:rPr>
        <w:t xml:space="preserve"> na ZRBS.</w:t>
      </w:r>
    </w:p>
    <w:p w14:paraId="25026FB5" w14:textId="69844818" w:rsidR="008A635F" w:rsidRDefault="008A635F" w:rsidP="0001629C">
      <w:pPr>
        <w:spacing w:line="360" w:lineRule="auto"/>
        <w:jc w:val="both"/>
        <w:rPr>
          <w:sz w:val="22"/>
          <w:szCs w:val="22"/>
        </w:rPr>
      </w:pPr>
    </w:p>
    <w:p w14:paraId="11AABF09" w14:textId="77777777" w:rsidR="0001629C" w:rsidRPr="003672CC" w:rsidRDefault="0001629C" w:rsidP="00FE4391">
      <w:pPr>
        <w:spacing w:line="360" w:lineRule="auto"/>
        <w:jc w:val="both"/>
      </w:pPr>
    </w:p>
    <w:p w14:paraId="68777295" w14:textId="49309C0B" w:rsidR="00CA1169" w:rsidRPr="003672CC" w:rsidRDefault="00B72420" w:rsidP="000F515D">
      <w:pPr>
        <w:pStyle w:val="Naslov2"/>
      </w:pPr>
      <w:bookmarkStart w:id="15" w:name="_Toc85639813"/>
      <w:r w:rsidRPr="003672CC">
        <w:t xml:space="preserve">Cilj </w:t>
      </w:r>
      <w:r w:rsidR="00CA1169" w:rsidRPr="003672CC">
        <w:t>4.</w:t>
      </w:r>
      <w:r w:rsidR="00B73FD2" w:rsidRPr="003672CC">
        <w:t xml:space="preserve"> Integrirana socialna oskrba </w:t>
      </w:r>
      <w:r w:rsidR="00285532" w:rsidRPr="003672CC">
        <w:t>in izobraževanje</w:t>
      </w:r>
      <w:bookmarkEnd w:id="15"/>
    </w:p>
    <w:p w14:paraId="605552F7" w14:textId="46AE43B3" w:rsidR="00661DCF" w:rsidRDefault="00661DCF" w:rsidP="00FE4391">
      <w:pPr>
        <w:spacing w:line="360" w:lineRule="auto"/>
        <w:jc w:val="both"/>
        <w:rPr>
          <w:sz w:val="22"/>
          <w:szCs w:val="22"/>
        </w:rPr>
      </w:pPr>
    </w:p>
    <w:p w14:paraId="2667F3AF" w14:textId="77777777" w:rsidR="005F7F5C" w:rsidRPr="003672CC" w:rsidRDefault="005F7F5C" w:rsidP="00FE4391">
      <w:pPr>
        <w:spacing w:line="360" w:lineRule="auto"/>
        <w:jc w:val="both"/>
        <w:rPr>
          <w:sz w:val="22"/>
          <w:szCs w:val="22"/>
        </w:rPr>
      </w:pPr>
    </w:p>
    <w:p w14:paraId="347DDC37" w14:textId="4E166BA5" w:rsidR="00661DCF" w:rsidRPr="003672CC" w:rsidRDefault="00661DCF" w:rsidP="002172A4">
      <w:pPr>
        <w:pStyle w:val="Naslov3"/>
      </w:pPr>
      <w:bookmarkStart w:id="16" w:name="_Toc85639814"/>
      <w:r w:rsidRPr="003672CC">
        <w:t xml:space="preserve">Aktivnost </w:t>
      </w:r>
      <w:r w:rsidR="007232BE" w:rsidRPr="003672CC">
        <w:t>1</w:t>
      </w:r>
      <w:r w:rsidR="00246ECF" w:rsidRPr="003672CC">
        <w:t>1</w:t>
      </w:r>
      <w:r w:rsidRPr="003672CC">
        <w:t xml:space="preserve">. </w:t>
      </w:r>
      <w:r w:rsidR="008F2B33" w:rsidRPr="003672CC">
        <w:t>G</w:t>
      </w:r>
      <w:r w:rsidR="005812A5" w:rsidRPr="003672CC">
        <w:t xml:space="preserve">las bolnikov </w:t>
      </w:r>
      <w:r w:rsidR="00540845" w:rsidRPr="003672CC">
        <w:t>za</w:t>
      </w:r>
      <w:r w:rsidR="005812A5" w:rsidRPr="003672CC">
        <w:t xml:space="preserve"> oblikovanje politik</w:t>
      </w:r>
      <w:bookmarkEnd w:id="16"/>
    </w:p>
    <w:p w14:paraId="4766C36F" w14:textId="77777777" w:rsidR="0001629C" w:rsidRDefault="0001629C" w:rsidP="00FE4391">
      <w:pPr>
        <w:spacing w:line="360" w:lineRule="auto"/>
        <w:jc w:val="both"/>
        <w:rPr>
          <w:sz w:val="22"/>
          <w:szCs w:val="22"/>
        </w:rPr>
      </w:pPr>
    </w:p>
    <w:p w14:paraId="53A49420" w14:textId="77777777" w:rsidR="0001629C" w:rsidRPr="00BA432C" w:rsidRDefault="00BC0DB0" w:rsidP="00FE4391">
      <w:pPr>
        <w:spacing w:line="360" w:lineRule="auto"/>
        <w:jc w:val="both"/>
        <w:rPr>
          <w:sz w:val="22"/>
          <w:szCs w:val="22"/>
        </w:rPr>
      </w:pPr>
      <w:r w:rsidRPr="00BA432C">
        <w:rPr>
          <w:sz w:val="22"/>
          <w:szCs w:val="22"/>
        </w:rPr>
        <w:t>Namen aktivnosti</w:t>
      </w:r>
      <w:r w:rsidR="0001629C" w:rsidRPr="00BA432C">
        <w:rPr>
          <w:sz w:val="22"/>
          <w:szCs w:val="22"/>
        </w:rPr>
        <w:t xml:space="preserve"> 11</w:t>
      </w:r>
      <w:r w:rsidRPr="00BA432C">
        <w:rPr>
          <w:sz w:val="22"/>
          <w:szCs w:val="22"/>
        </w:rPr>
        <w:t xml:space="preserve"> je zagotoviti </w:t>
      </w:r>
      <w:r w:rsidR="005B539C" w:rsidRPr="00BA432C">
        <w:rPr>
          <w:sz w:val="22"/>
          <w:szCs w:val="22"/>
        </w:rPr>
        <w:t xml:space="preserve">ustrezno okolje za </w:t>
      </w:r>
      <w:r w:rsidR="00ED2E9A" w:rsidRPr="00BA432C">
        <w:rPr>
          <w:sz w:val="22"/>
          <w:szCs w:val="22"/>
        </w:rPr>
        <w:t xml:space="preserve">oblikovanje socialnih politik </w:t>
      </w:r>
      <w:r w:rsidR="0071101B" w:rsidRPr="00BA432C">
        <w:rPr>
          <w:sz w:val="22"/>
          <w:szCs w:val="22"/>
        </w:rPr>
        <w:t xml:space="preserve">ter servisov </w:t>
      </w:r>
      <w:r w:rsidR="00ED2E9A" w:rsidRPr="00BA432C">
        <w:rPr>
          <w:sz w:val="22"/>
          <w:szCs w:val="22"/>
        </w:rPr>
        <w:t xml:space="preserve">in </w:t>
      </w:r>
      <w:r w:rsidRPr="00BA432C">
        <w:rPr>
          <w:sz w:val="22"/>
          <w:szCs w:val="22"/>
        </w:rPr>
        <w:t xml:space="preserve">aktivno sodelovanje bolnikov in njihovih organizacij pri </w:t>
      </w:r>
      <w:r w:rsidR="00C3512F" w:rsidRPr="00BA432C">
        <w:rPr>
          <w:sz w:val="22"/>
          <w:szCs w:val="22"/>
        </w:rPr>
        <w:t>identifikaciji potreb bolnikov in njihovi</w:t>
      </w:r>
      <w:r w:rsidR="00415C6A" w:rsidRPr="00BA432C">
        <w:rPr>
          <w:sz w:val="22"/>
          <w:szCs w:val="22"/>
        </w:rPr>
        <w:t>h</w:t>
      </w:r>
      <w:r w:rsidR="00C3512F" w:rsidRPr="00BA432C">
        <w:rPr>
          <w:sz w:val="22"/>
          <w:szCs w:val="22"/>
        </w:rPr>
        <w:t xml:space="preserve"> družin v Sloveniji  pri iskanju inovativnih rešitev</w:t>
      </w:r>
      <w:r w:rsidR="004E4FCB" w:rsidRPr="00BA432C">
        <w:rPr>
          <w:sz w:val="22"/>
          <w:szCs w:val="22"/>
        </w:rPr>
        <w:t xml:space="preserve"> za </w:t>
      </w:r>
      <w:r w:rsidR="008B7557" w:rsidRPr="00BA432C">
        <w:rPr>
          <w:sz w:val="22"/>
          <w:szCs w:val="22"/>
        </w:rPr>
        <w:t>povečanje avtonomije, i</w:t>
      </w:r>
      <w:r w:rsidR="004E4FCB" w:rsidRPr="00BA432C">
        <w:rPr>
          <w:sz w:val="22"/>
          <w:szCs w:val="22"/>
        </w:rPr>
        <w:t>zboljšanje kvalitete življenja</w:t>
      </w:r>
      <w:r w:rsidR="00571D39" w:rsidRPr="00BA432C">
        <w:rPr>
          <w:sz w:val="22"/>
          <w:szCs w:val="22"/>
        </w:rPr>
        <w:t>, izobraževanja ter zaposlovanja</w:t>
      </w:r>
      <w:r w:rsidR="00D77915" w:rsidRPr="00BA432C">
        <w:rPr>
          <w:sz w:val="22"/>
          <w:szCs w:val="22"/>
        </w:rPr>
        <w:t xml:space="preserve"> in participacijo bolnikov z RB v slovenski družbi</w:t>
      </w:r>
      <w:r w:rsidR="00C3512F" w:rsidRPr="00BA432C">
        <w:rPr>
          <w:sz w:val="22"/>
          <w:szCs w:val="22"/>
        </w:rPr>
        <w:t>.</w:t>
      </w:r>
      <w:r w:rsidR="00ED2E9A" w:rsidRPr="00BA432C">
        <w:rPr>
          <w:sz w:val="22"/>
          <w:szCs w:val="22"/>
        </w:rPr>
        <w:t xml:space="preserve"> </w:t>
      </w:r>
    </w:p>
    <w:p w14:paraId="2AE3307D" w14:textId="70297DCC" w:rsidR="0001629C" w:rsidRDefault="0001629C" w:rsidP="00FE4391">
      <w:pPr>
        <w:spacing w:line="360" w:lineRule="auto"/>
        <w:jc w:val="both"/>
        <w:rPr>
          <w:sz w:val="22"/>
          <w:szCs w:val="22"/>
        </w:rPr>
      </w:pPr>
      <w:r w:rsidRPr="00BA432C">
        <w:rPr>
          <w:sz w:val="22"/>
          <w:szCs w:val="22"/>
        </w:rPr>
        <w:t xml:space="preserve">Ministrstvo za zdravje bo skušalo v prihodnjih letih zagotoviti </w:t>
      </w:r>
      <w:r w:rsidR="00BA432C" w:rsidRPr="00BA432C">
        <w:rPr>
          <w:sz w:val="22"/>
          <w:szCs w:val="22"/>
        </w:rPr>
        <w:t>sofinanciranje programov neposredne pomoči, svetovanja in oskrbe ranljivih, ogroženih oseb, ki jih izvajajo humanitarne organizacije</w:t>
      </w:r>
      <w:r w:rsidR="00BA432C">
        <w:rPr>
          <w:sz w:val="22"/>
          <w:szCs w:val="22"/>
        </w:rPr>
        <w:t>, iz področja redkih bolezni.</w:t>
      </w:r>
    </w:p>
    <w:p w14:paraId="58006DA7" w14:textId="77777777" w:rsidR="0001629C" w:rsidRDefault="0001629C" w:rsidP="00FE4391">
      <w:pPr>
        <w:spacing w:line="360" w:lineRule="auto"/>
        <w:jc w:val="both"/>
        <w:rPr>
          <w:sz w:val="22"/>
          <w:szCs w:val="22"/>
        </w:rPr>
      </w:pPr>
    </w:p>
    <w:p w14:paraId="1D913401" w14:textId="77777777" w:rsidR="00FB1B2C" w:rsidRPr="003672CC" w:rsidRDefault="00FB1B2C" w:rsidP="00FE4391">
      <w:pPr>
        <w:spacing w:line="360" w:lineRule="auto"/>
        <w:jc w:val="both"/>
        <w:rPr>
          <w:sz w:val="22"/>
          <w:szCs w:val="22"/>
        </w:rPr>
      </w:pPr>
    </w:p>
    <w:p w14:paraId="2C10AEE8" w14:textId="242F1FD3" w:rsidR="00141BFE" w:rsidRPr="003672CC" w:rsidRDefault="00285532" w:rsidP="000F515D">
      <w:pPr>
        <w:pStyle w:val="Naslov3"/>
      </w:pPr>
      <w:bookmarkStart w:id="17" w:name="_Toc85639815"/>
      <w:r w:rsidRPr="003672CC">
        <w:t xml:space="preserve">Aktivnost </w:t>
      </w:r>
      <w:r w:rsidR="002E1E4D" w:rsidRPr="003672CC">
        <w:t>1</w:t>
      </w:r>
      <w:r w:rsidR="00643740" w:rsidRPr="003672CC">
        <w:t>2</w:t>
      </w:r>
      <w:r w:rsidR="000431E6" w:rsidRPr="003672CC">
        <w:t>. Izobraževanje za sodelovanje</w:t>
      </w:r>
      <w:bookmarkEnd w:id="17"/>
    </w:p>
    <w:p w14:paraId="090A9C08" w14:textId="77777777" w:rsidR="00044679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2FA43571" w14:textId="481AD293" w:rsidR="000431E6" w:rsidRPr="003672CC" w:rsidRDefault="00BA432C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Predvideno je, da </w:t>
      </w:r>
      <w:bookmarkStart w:id="18" w:name="_Hlk85639663"/>
      <w:r w:rsidR="006C62A0" w:rsidRPr="003672CC">
        <w:rPr>
          <w:sz w:val="22"/>
          <w:szCs w:val="22"/>
        </w:rPr>
        <w:t>aktivnosti prevzame Nacionalni koordinacijski center za redke bolezni</w:t>
      </w:r>
      <w:r>
        <w:rPr>
          <w:sz w:val="22"/>
          <w:szCs w:val="22"/>
        </w:rPr>
        <w:t xml:space="preserve"> po svoji ustanovitvi v letu 2025.</w:t>
      </w:r>
    </w:p>
    <w:bookmarkEnd w:id="18"/>
    <w:p w14:paraId="5091DF60" w14:textId="07333587" w:rsidR="004E5A2E" w:rsidRDefault="004E5A2E" w:rsidP="0039131B">
      <w:pPr>
        <w:spacing w:line="276" w:lineRule="auto"/>
        <w:rPr>
          <w:sz w:val="22"/>
          <w:szCs w:val="22"/>
        </w:rPr>
      </w:pPr>
    </w:p>
    <w:sectPr w:rsidR="004E5A2E" w:rsidSect="00B9628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61D9" w14:textId="77777777" w:rsidR="00173ADC" w:rsidRDefault="00173ADC" w:rsidP="008658AD">
      <w:r>
        <w:separator/>
      </w:r>
    </w:p>
  </w:endnote>
  <w:endnote w:type="continuationSeparator" w:id="0">
    <w:p w14:paraId="04B50875" w14:textId="77777777" w:rsidR="00173ADC" w:rsidRDefault="00173ADC" w:rsidP="008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132304173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670CE5A" w14:textId="491227EB" w:rsidR="008D73AC" w:rsidRDefault="008D73AC" w:rsidP="007366D7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2367F6B9" w14:textId="77777777" w:rsidR="008D73AC" w:rsidRDefault="008D73AC" w:rsidP="008658A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7498185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4C3FC7DD" w14:textId="6CF23675" w:rsidR="008D73AC" w:rsidRDefault="008D73AC" w:rsidP="007366D7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2168CAFB" w14:textId="77777777" w:rsidR="008D73AC" w:rsidRDefault="008D73AC" w:rsidP="008658A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6C31" w14:textId="77777777" w:rsidR="00173ADC" w:rsidRDefault="00173ADC" w:rsidP="008658AD">
      <w:r>
        <w:separator/>
      </w:r>
    </w:p>
  </w:footnote>
  <w:footnote w:type="continuationSeparator" w:id="0">
    <w:p w14:paraId="0831D2BE" w14:textId="77777777" w:rsidR="00173ADC" w:rsidRDefault="00173ADC" w:rsidP="0086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FD5"/>
    <w:multiLevelType w:val="hybridMultilevel"/>
    <w:tmpl w:val="2A36B5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8C1"/>
    <w:multiLevelType w:val="hybridMultilevel"/>
    <w:tmpl w:val="213C6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3B4"/>
    <w:multiLevelType w:val="multilevel"/>
    <w:tmpl w:val="9840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61D74"/>
    <w:multiLevelType w:val="hybridMultilevel"/>
    <w:tmpl w:val="1F267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3292"/>
    <w:multiLevelType w:val="multilevel"/>
    <w:tmpl w:val="818A0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34F2B"/>
    <w:multiLevelType w:val="hybridMultilevel"/>
    <w:tmpl w:val="7ED8B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F3AC8"/>
    <w:multiLevelType w:val="hybridMultilevel"/>
    <w:tmpl w:val="59964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F5749"/>
    <w:multiLevelType w:val="multilevel"/>
    <w:tmpl w:val="C16A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87CA2"/>
    <w:multiLevelType w:val="hybridMultilevel"/>
    <w:tmpl w:val="49C6B296"/>
    <w:lvl w:ilvl="0" w:tplc="63D8EC1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7386"/>
    <w:multiLevelType w:val="multilevel"/>
    <w:tmpl w:val="3BB86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330F5"/>
    <w:multiLevelType w:val="multilevel"/>
    <w:tmpl w:val="CA164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C3B94"/>
    <w:multiLevelType w:val="multilevel"/>
    <w:tmpl w:val="DA64D6EC"/>
    <w:lvl w:ilvl="0"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DD07BF"/>
    <w:multiLevelType w:val="hybridMultilevel"/>
    <w:tmpl w:val="D7E4F48E"/>
    <w:lvl w:ilvl="0" w:tplc="4106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AD"/>
    <w:rsid w:val="00001256"/>
    <w:rsid w:val="000016DE"/>
    <w:rsid w:val="00001CD6"/>
    <w:rsid w:val="00001FA4"/>
    <w:rsid w:val="00003757"/>
    <w:rsid w:val="00004663"/>
    <w:rsid w:val="00012024"/>
    <w:rsid w:val="00013C54"/>
    <w:rsid w:val="0001629C"/>
    <w:rsid w:val="0001644B"/>
    <w:rsid w:val="000169C9"/>
    <w:rsid w:val="0001754F"/>
    <w:rsid w:val="00017DDA"/>
    <w:rsid w:val="00020767"/>
    <w:rsid w:val="000229AB"/>
    <w:rsid w:val="00027656"/>
    <w:rsid w:val="00033127"/>
    <w:rsid w:val="0003394E"/>
    <w:rsid w:val="00033FBE"/>
    <w:rsid w:val="00037DD2"/>
    <w:rsid w:val="00042542"/>
    <w:rsid w:val="000431E6"/>
    <w:rsid w:val="00044679"/>
    <w:rsid w:val="000544D5"/>
    <w:rsid w:val="000551FA"/>
    <w:rsid w:val="000613DE"/>
    <w:rsid w:val="00063752"/>
    <w:rsid w:val="000664B6"/>
    <w:rsid w:val="000676DB"/>
    <w:rsid w:val="00070B83"/>
    <w:rsid w:val="000719C7"/>
    <w:rsid w:val="000754C3"/>
    <w:rsid w:val="00077AF7"/>
    <w:rsid w:val="000843B8"/>
    <w:rsid w:val="0008492F"/>
    <w:rsid w:val="0008584A"/>
    <w:rsid w:val="000862C7"/>
    <w:rsid w:val="0008739A"/>
    <w:rsid w:val="000875C3"/>
    <w:rsid w:val="00091579"/>
    <w:rsid w:val="000918B2"/>
    <w:rsid w:val="000948ED"/>
    <w:rsid w:val="00095F7F"/>
    <w:rsid w:val="000961EA"/>
    <w:rsid w:val="000A0192"/>
    <w:rsid w:val="000A2E57"/>
    <w:rsid w:val="000A3E7F"/>
    <w:rsid w:val="000A3FB8"/>
    <w:rsid w:val="000A5095"/>
    <w:rsid w:val="000A756E"/>
    <w:rsid w:val="000B1A03"/>
    <w:rsid w:val="000B3DD8"/>
    <w:rsid w:val="000B7173"/>
    <w:rsid w:val="000B7D2F"/>
    <w:rsid w:val="000C2666"/>
    <w:rsid w:val="000C36C8"/>
    <w:rsid w:val="000D0B83"/>
    <w:rsid w:val="000D20C6"/>
    <w:rsid w:val="000D413C"/>
    <w:rsid w:val="000D49AF"/>
    <w:rsid w:val="000D5639"/>
    <w:rsid w:val="000D78A4"/>
    <w:rsid w:val="000E13D6"/>
    <w:rsid w:val="000E2D25"/>
    <w:rsid w:val="000E3237"/>
    <w:rsid w:val="000E3B6B"/>
    <w:rsid w:val="000E3CC3"/>
    <w:rsid w:val="000E3E4A"/>
    <w:rsid w:val="000E4422"/>
    <w:rsid w:val="000E5767"/>
    <w:rsid w:val="000E6007"/>
    <w:rsid w:val="000F515D"/>
    <w:rsid w:val="001015EE"/>
    <w:rsid w:val="00102962"/>
    <w:rsid w:val="001029E3"/>
    <w:rsid w:val="00103596"/>
    <w:rsid w:val="00103B27"/>
    <w:rsid w:val="001045B6"/>
    <w:rsid w:val="00113DF1"/>
    <w:rsid w:val="00117224"/>
    <w:rsid w:val="00117777"/>
    <w:rsid w:val="0012269A"/>
    <w:rsid w:val="001255DB"/>
    <w:rsid w:val="001303C1"/>
    <w:rsid w:val="0013143E"/>
    <w:rsid w:val="00132ABA"/>
    <w:rsid w:val="001341E6"/>
    <w:rsid w:val="001355B8"/>
    <w:rsid w:val="001368F0"/>
    <w:rsid w:val="001374F0"/>
    <w:rsid w:val="0014055B"/>
    <w:rsid w:val="00141BFE"/>
    <w:rsid w:val="00145A4B"/>
    <w:rsid w:val="001461E7"/>
    <w:rsid w:val="00146C59"/>
    <w:rsid w:val="00151676"/>
    <w:rsid w:val="00153BC8"/>
    <w:rsid w:val="00153C63"/>
    <w:rsid w:val="00153CB4"/>
    <w:rsid w:val="0015453C"/>
    <w:rsid w:val="001603E3"/>
    <w:rsid w:val="00163C48"/>
    <w:rsid w:val="0016470B"/>
    <w:rsid w:val="00164E48"/>
    <w:rsid w:val="001658D8"/>
    <w:rsid w:val="00170EAA"/>
    <w:rsid w:val="00171160"/>
    <w:rsid w:val="0017289D"/>
    <w:rsid w:val="00173890"/>
    <w:rsid w:val="00173ADC"/>
    <w:rsid w:val="00175FBB"/>
    <w:rsid w:val="00180391"/>
    <w:rsid w:val="001837F4"/>
    <w:rsid w:val="00190591"/>
    <w:rsid w:val="00190CCB"/>
    <w:rsid w:val="0019468E"/>
    <w:rsid w:val="001A3365"/>
    <w:rsid w:val="001A471C"/>
    <w:rsid w:val="001B21F8"/>
    <w:rsid w:val="001B6D9D"/>
    <w:rsid w:val="001B7641"/>
    <w:rsid w:val="001B7CEC"/>
    <w:rsid w:val="001B7E46"/>
    <w:rsid w:val="001C26FF"/>
    <w:rsid w:val="001C2E9B"/>
    <w:rsid w:val="001C6720"/>
    <w:rsid w:val="001C69D2"/>
    <w:rsid w:val="001C6AA1"/>
    <w:rsid w:val="001D1202"/>
    <w:rsid w:val="001D17BE"/>
    <w:rsid w:val="001D4A06"/>
    <w:rsid w:val="001D4F67"/>
    <w:rsid w:val="001D67F0"/>
    <w:rsid w:val="001D7A2C"/>
    <w:rsid w:val="001D7FB0"/>
    <w:rsid w:val="001E270B"/>
    <w:rsid w:val="001E2C93"/>
    <w:rsid w:val="001E5391"/>
    <w:rsid w:val="001F1D13"/>
    <w:rsid w:val="001F67EF"/>
    <w:rsid w:val="001F7F10"/>
    <w:rsid w:val="002016B8"/>
    <w:rsid w:val="00210373"/>
    <w:rsid w:val="0021055B"/>
    <w:rsid w:val="0021299D"/>
    <w:rsid w:val="00215921"/>
    <w:rsid w:val="00215CAD"/>
    <w:rsid w:val="002172A4"/>
    <w:rsid w:val="002258B9"/>
    <w:rsid w:val="002267C2"/>
    <w:rsid w:val="00231A37"/>
    <w:rsid w:val="00232AF6"/>
    <w:rsid w:val="00232D49"/>
    <w:rsid w:val="0023507D"/>
    <w:rsid w:val="00235125"/>
    <w:rsid w:val="0023533F"/>
    <w:rsid w:val="00235AE4"/>
    <w:rsid w:val="00245C55"/>
    <w:rsid w:val="00246524"/>
    <w:rsid w:val="00246ECF"/>
    <w:rsid w:val="0025070A"/>
    <w:rsid w:val="002516B2"/>
    <w:rsid w:val="00252BF5"/>
    <w:rsid w:val="00253650"/>
    <w:rsid w:val="002571E7"/>
    <w:rsid w:val="002606DA"/>
    <w:rsid w:val="0026531A"/>
    <w:rsid w:val="00267912"/>
    <w:rsid w:val="00271BAF"/>
    <w:rsid w:val="002720C3"/>
    <w:rsid w:val="00272670"/>
    <w:rsid w:val="00277BA2"/>
    <w:rsid w:val="0028149D"/>
    <w:rsid w:val="00281601"/>
    <w:rsid w:val="00285532"/>
    <w:rsid w:val="002860C2"/>
    <w:rsid w:val="00291AFA"/>
    <w:rsid w:val="00293320"/>
    <w:rsid w:val="002938EE"/>
    <w:rsid w:val="002A173F"/>
    <w:rsid w:val="002A5BD1"/>
    <w:rsid w:val="002A71B5"/>
    <w:rsid w:val="002B5169"/>
    <w:rsid w:val="002B65AC"/>
    <w:rsid w:val="002C0E8F"/>
    <w:rsid w:val="002C3DA1"/>
    <w:rsid w:val="002D4CC7"/>
    <w:rsid w:val="002D76B6"/>
    <w:rsid w:val="002D7E06"/>
    <w:rsid w:val="002E03AA"/>
    <w:rsid w:val="002E1E4D"/>
    <w:rsid w:val="002E28CF"/>
    <w:rsid w:val="002E3FC6"/>
    <w:rsid w:val="002E4F59"/>
    <w:rsid w:val="002E7972"/>
    <w:rsid w:val="002E7A28"/>
    <w:rsid w:val="002F2A9B"/>
    <w:rsid w:val="002F4ABD"/>
    <w:rsid w:val="002F6D8E"/>
    <w:rsid w:val="002F7CF0"/>
    <w:rsid w:val="0030406E"/>
    <w:rsid w:val="003046BF"/>
    <w:rsid w:val="00306FCA"/>
    <w:rsid w:val="003105C7"/>
    <w:rsid w:val="00311B2A"/>
    <w:rsid w:val="00315449"/>
    <w:rsid w:val="0031694A"/>
    <w:rsid w:val="00320032"/>
    <w:rsid w:val="003206BD"/>
    <w:rsid w:val="00320F45"/>
    <w:rsid w:val="003210F0"/>
    <w:rsid w:val="0032784E"/>
    <w:rsid w:val="00327E40"/>
    <w:rsid w:val="00340073"/>
    <w:rsid w:val="00344623"/>
    <w:rsid w:val="00346A19"/>
    <w:rsid w:val="00351DF0"/>
    <w:rsid w:val="00354734"/>
    <w:rsid w:val="003549CA"/>
    <w:rsid w:val="00360D34"/>
    <w:rsid w:val="00361EF0"/>
    <w:rsid w:val="003665C6"/>
    <w:rsid w:val="003672CC"/>
    <w:rsid w:val="003709F8"/>
    <w:rsid w:val="003736C5"/>
    <w:rsid w:val="00377CDD"/>
    <w:rsid w:val="00382DB8"/>
    <w:rsid w:val="003835B1"/>
    <w:rsid w:val="00383A8D"/>
    <w:rsid w:val="00384296"/>
    <w:rsid w:val="00387B88"/>
    <w:rsid w:val="0039131B"/>
    <w:rsid w:val="00395CE0"/>
    <w:rsid w:val="00396071"/>
    <w:rsid w:val="00397E76"/>
    <w:rsid w:val="003A5981"/>
    <w:rsid w:val="003A7A7B"/>
    <w:rsid w:val="003B0AA3"/>
    <w:rsid w:val="003B0D53"/>
    <w:rsid w:val="003B3546"/>
    <w:rsid w:val="003B4CE1"/>
    <w:rsid w:val="003B7C4C"/>
    <w:rsid w:val="003B7EA5"/>
    <w:rsid w:val="003C0529"/>
    <w:rsid w:val="003C45BF"/>
    <w:rsid w:val="003C4696"/>
    <w:rsid w:val="003C4965"/>
    <w:rsid w:val="003C7368"/>
    <w:rsid w:val="003D7BB4"/>
    <w:rsid w:val="003E1E99"/>
    <w:rsid w:val="003E2629"/>
    <w:rsid w:val="003E5FD7"/>
    <w:rsid w:val="003F1CBC"/>
    <w:rsid w:val="003F247C"/>
    <w:rsid w:val="003F444C"/>
    <w:rsid w:val="004009E4"/>
    <w:rsid w:val="004012AD"/>
    <w:rsid w:val="004058AF"/>
    <w:rsid w:val="004109AC"/>
    <w:rsid w:val="00411120"/>
    <w:rsid w:val="00414768"/>
    <w:rsid w:val="00414ABE"/>
    <w:rsid w:val="004157E0"/>
    <w:rsid w:val="00415C6A"/>
    <w:rsid w:val="00426619"/>
    <w:rsid w:val="004273A0"/>
    <w:rsid w:val="00430494"/>
    <w:rsid w:val="00444FEC"/>
    <w:rsid w:val="00446FED"/>
    <w:rsid w:val="004471F8"/>
    <w:rsid w:val="0045030E"/>
    <w:rsid w:val="004528AC"/>
    <w:rsid w:val="00455ADD"/>
    <w:rsid w:val="0045643C"/>
    <w:rsid w:val="004564D3"/>
    <w:rsid w:val="004574E4"/>
    <w:rsid w:val="00457F0C"/>
    <w:rsid w:val="0046054C"/>
    <w:rsid w:val="00460FBC"/>
    <w:rsid w:val="00462091"/>
    <w:rsid w:val="004622A2"/>
    <w:rsid w:val="0046754C"/>
    <w:rsid w:val="00467D97"/>
    <w:rsid w:val="004705CE"/>
    <w:rsid w:val="00470762"/>
    <w:rsid w:val="00470CF3"/>
    <w:rsid w:val="00472393"/>
    <w:rsid w:val="00472FFE"/>
    <w:rsid w:val="00483CBC"/>
    <w:rsid w:val="004846A6"/>
    <w:rsid w:val="00484D54"/>
    <w:rsid w:val="0049475D"/>
    <w:rsid w:val="00495CBE"/>
    <w:rsid w:val="004A01A8"/>
    <w:rsid w:val="004A02A6"/>
    <w:rsid w:val="004A0728"/>
    <w:rsid w:val="004A51E8"/>
    <w:rsid w:val="004B0504"/>
    <w:rsid w:val="004B295A"/>
    <w:rsid w:val="004B3115"/>
    <w:rsid w:val="004B644C"/>
    <w:rsid w:val="004B64D7"/>
    <w:rsid w:val="004C0989"/>
    <w:rsid w:val="004C1F60"/>
    <w:rsid w:val="004C2E9B"/>
    <w:rsid w:val="004C2F68"/>
    <w:rsid w:val="004C523A"/>
    <w:rsid w:val="004C73FC"/>
    <w:rsid w:val="004D58C5"/>
    <w:rsid w:val="004E06CF"/>
    <w:rsid w:val="004E1017"/>
    <w:rsid w:val="004E270B"/>
    <w:rsid w:val="004E3220"/>
    <w:rsid w:val="004E367D"/>
    <w:rsid w:val="004E3E69"/>
    <w:rsid w:val="004E4FCB"/>
    <w:rsid w:val="004E5A2E"/>
    <w:rsid w:val="004E65B0"/>
    <w:rsid w:val="004E7B0C"/>
    <w:rsid w:val="004F04C4"/>
    <w:rsid w:val="004F05CE"/>
    <w:rsid w:val="004F19D8"/>
    <w:rsid w:val="004F42AD"/>
    <w:rsid w:val="004F46DF"/>
    <w:rsid w:val="004F4DCE"/>
    <w:rsid w:val="004F584E"/>
    <w:rsid w:val="0050100A"/>
    <w:rsid w:val="00501A2F"/>
    <w:rsid w:val="005040A0"/>
    <w:rsid w:val="00507922"/>
    <w:rsid w:val="00510254"/>
    <w:rsid w:val="005105CA"/>
    <w:rsid w:val="005122F9"/>
    <w:rsid w:val="00512506"/>
    <w:rsid w:val="00513887"/>
    <w:rsid w:val="0051533D"/>
    <w:rsid w:val="00515753"/>
    <w:rsid w:val="00515D5E"/>
    <w:rsid w:val="005206D5"/>
    <w:rsid w:val="00520CAD"/>
    <w:rsid w:val="005215FD"/>
    <w:rsid w:val="00525780"/>
    <w:rsid w:val="0052591E"/>
    <w:rsid w:val="00527D0C"/>
    <w:rsid w:val="00531123"/>
    <w:rsid w:val="00532F45"/>
    <w:rsid w:val="00533334"/>
    <w:rsid w:val="0053424E"/>
    <w:rsid w:val="005360BB"/>
    <w:rsid w:val="00540845"/>
    <w:rsid w:val="00542E0D"/>
    <w:rsid w:val="00544DC0"/>
    <w:rsid w:val="005513D0"/>
    <w:rsid w:val="00553BC1"/>
    <w:rsid w:val="00555DC5"/>
    <w:rsid w:val="005575F3"/>
    <w:rsid w:val="00561BFA"/>
    <w:rsid w:val="00564538"/>
    <w:rsid w:val="00564D2D"/>
    <w:rsid w:val="0056518E"/>
    <w:rsid w:val="00566DE5"/>
    <w:rsid w:val="0056770F"/>
    <w:rsid w:val="00567740"/>
    <w:rsid w:val="00570912"/>
    <w:rsid w:val="00571146"/>
    <w:rsid w:val="00571D39"/>
    <w:rsid w:val="00574695"/>
    <w:rsid w:val="005777A0"/>
    <w:rsid w:val="00580688"/>
    <w:rsid w:val="005812A5"/>
    <w:rsid w:val="005855D7"/>
    <w:rsid w:val="0058589C"/>
    <w:rsid w:val="00586D2C"/>
    <w:rsid w:val="00587375"/>
    <w:rsid w:val="00587840"/>
    <w:rsid w:val="00590BB4"/>
    <w:rsid w:val="00594104"/>
    <w:rsid w:val="0059593C"/>
    <w:rsid w:val="005962AC"/>
    <w:rsid w:val="005973D4"/>
    <w:rsid w:val="00597B82"/>
    <w:rsid w:val="005A216C"/>
    <w:rsid w:val="005A258C"/>
    <w:rsid w:val="005A2CE1"/>
    <w:rsid w:val="005A4DAD"/>
    <w:rsid w:val="005B09C0"/>
    <w:rsid w:val="005B25C3"/>
    <w:rsid w:val="005B539C"/>
    <w:rsid w:val="005C062D"/>
    <w:rsid w:val="005C2820"/>
    <w:rsid w:val="005C3AF8"/>
    <w:rsid w:val="005C453D"/>
    <w:rsid w:val="005C4BDB"/>
    <w:rsid w:val="005D2DD6"/>
    <w:rsid w:val="005E187A"/>
    <w:rsid w:val="005E53E1"/>
    <w:rsid w:val="005E66F2"/>
    <w:rsid w:val="005E79C7"/>
    <w:rsid w:val="005F0016"/>
    <w:rsid w:val="005F2959"/>
    <w:rsid w:val="005F302E"/>
    <w:rsid w:val="005F48DD"/>
    <w:rsid w:val="005F5147"/>
    <w:rsid w:val="005F543C"/>
    <w:rsid w:val="005F57B2"/>
    <w:rsid w:val="005F6018"/>
    <w:rsid w:val="005F651F"/>
    <w:rsid w:val="005F6690"/>
    <w:rsid w:val="005F7F5C"/>
    <w:rsid w:val="0060049C"/>
    <w:rsid w:val="00601F69"/>
    <w:rsid w:val="00605AB2"/>
    <w:rsid w:val="00611686"/>
    <w:rsid w:val="0061171B"/>
    <w:rsid w:val="00612062"/>
    <w:rsid w:val="00613785"/>
    <w:rsid w:val="00620DE2"/>
    <w:rsid w:val="00625E15"/>
    <w:rsid w:val="00626FAE"/>
    <w:rsid w:val="00627900"/>
    <w:rsid w:val="006279BD"/>
    <w:rsid w:val="0063102C"/>
    <w:rsid w:val="006321DC"/>
    <w:rsid w:val="006328AA"/>
    <w:rsid w:val="00633872"/>
    <w:rsid w:val="00633EDF"/>
    <w:rsid w:val="00636A67"/>
    <w:rsid w:val="006402EF"/>
    <w:rsid w:val="00640CDF"/>
    <w:rsid w:val="00643740"/>
    <w:rsid w:val="00645EFF"/>
    <w:rsid w:val="00651ED7"/>
    <w:rsid w:val="00651F6C"/>
    <w:rsid w:val="006524C0"/>
    <w:rsid w:val="00656384"/>
    <w:rsid w:val="00656D6F"/>
    <w:rsid w:val="006617DB"/>
    <w:rsid w:val="00661DCF"/>
    <w:rsid w:val="006650AD"/>
    <w:rsid w:val="00667EAC"/>
    <w:rsid w:val="00672B3C"/>
    <w:rsid w:val="00674608"/>
    <w:rsid w:val="006772BA"/>
    <w:rsid w:val="00677C6F"/>
    <w:rsid w:val="00683580"/>
    <w:rsid w:val="00683818"/>
    <w:rsid w:val="006869ED"/>
    <w:rsid w:val="006872ED"/>
    <w:rsid w:val="006910B8"/>
    <w:rsid w:val="006916E7"/>
    <w:rsid w:val="00693FE6"/>
    <w:rsid w:val="00695D32"/>
    <w:rsid w:val="00696589"/>
    <w:rsid w:val="006A01A1"/>
    <w:rsid w:val="006A1766"/>
    <w:rsid w:val="006A47E9"/>
    <w:rsid w:val="006C262E"/>
    <w:rsid w:val="006C571C"/>
    <w:rsid w:val="006C62A0"/>
    <w:rsid w:val="006C65EE"/>
    <w:rsid w:val="006D2CB9"/>
    <w:rsid w:val="006D453D"/>
    <w:rsid w:val="006D6CDD"/>
    <w:rsid w:val="006E189B"/>
    <w:rsid w:val="006E3099"/>
    <w:rsid w:val="006E3812"/>
    <w:rsid w:val="006F42BB"/>
    <w:rsid w:val="006F5E1E"/>
    <w:rsid w:val="006F7F5D"/>
    <w:rsid w:val="0070004D"/>
    <w:rsid w:val="0070564E"/>
    <w:rsid w:val="0071101B"/>
    <w:rsid w:val="00711ADA"/>
    <w:rsid w:val="007124DC"/>
    <w:rsid w:val="0072123C"/>
    <w:rsid w:val="007232BE"/>
    <w:rsid w:val="00723BC4"/>
    <w:rsid w:val="0072521C"/>
    <w:rsid w:val="00726B0E"/>
    <w:rsid w:val="00732CCD"/>
    <w:rsid w:val="00735CBA"/>
    <w:rsid w:val="00735D01"/>
    <w:rsid w:val="007366D7"/>
    <w:rsid w:val="007404B9"/>
    <w:rsid w:val="0074244E"/>
    <w:rsid w:val="00744E2F"/>
    <w:rsid w:val="007456EA"/>
    <w:rsid w:val="007461FB"/>
    <w:rsid w:val="007516A7"/>
    <w:rsid w:val="00755C24"/>
    <w:rsid w:val="0076025B"/>
    <w:rsid w:val="0076124A"/>
    <w:rsid w:val="007705E1"/>
    <w:rsid w:val="00774B7C"/>
    <w:rsid w:val="00776027"/>
    <w:rsid w:val="00780057"/>
    <w:rsid w:val="0078043F"/>
    <w:rsid w:val="007823CA"/>
    <w:rsid w:val="007864A4"/>
    <w:rsid w:val="00797B44"/>
    <w:rsid w:val="007A16F0"/>
    <w:rsid w:val="007A5C21"/>
    <w:rsid w:val="007B1A44"/>
    <w:rsid w:val="007B2B6F"/>
    <w:rsid w:val="007B4234"/>
    <w:rsid w:val="007C1C23"/>
    <w:rsid w:val="007C5848"/>
    <w:rsid w:val="007C5E2C"/>
    <w:rsid w:val="007D1849"/>
    <w:rsid w:val="007D2E3D"/>
    <w:rsid w:val="007D3461"/>
    <w:rsid w:val="007D56A1"/>
    <w:rsid w:val="007D6B13"/>
    <w:rsid w:val="007D71E3"/>
    <w:rsid w:val="007E1592"/>
    <w:rsid w:val="007E2040"/>
    <w:rsid w:val="007E5BD4"/>
    <w:rsid w:val="007E6948"/>
    <w:rsid w:val="007E699B"/>
    <w:rsid w:val="007E71F3"/>
    <w:rsid w:val="007F5C63"/>
    <w:rsid w:val="007F65E3"/>
    <w:rsid w:val="007F779B"/>
    <w:rsid w:val="007F7EF6"/>
    <w:rsid w:val="00800358"/>
    <w:rsid w:val="008061D0"/>
    <w:rsid w:val="00806A29"/>
    <w:rsid w:val="008138F7"/>
    <w:rsid w:val="00813AA9"/>
    <w:rsid w:val="00821398"/>
    <w:rsid w:val="008213CD"/>
    <w:rsid w:val="0082374B"/>
    <w:rsid w:val="00831C22"/>
    <w:rsid w:val="00832484"/>
    <w:rsid w:val="0083267F"/>
    <w:rsid w:val="00834C27"/>
    <w:rsid w:val="00836649"/>
    <w:rsid w:val="0083772C"/>
    <w:rsid w:val="00837804"/>
    <w:rsid w:val="0084570D"/>
    <w:rsid w:val="00845D6F"/>
    <w:rsid w:val="0084638A"/>
    <w:rsid w:val="00846504"/>
    <w:rsid w:val="00846BA9"/>
    <w:rsid w:val="008476AD"/>
    <w:rsid w:val="008502D2"/>
    <w:rsid w:val="0085033A"/>
    <w:rsid w:val="00855E83"/>
    <w:rsid w:val="00860BC4"/>
    <w:rsid w:val="00862138"/>
    <w:rsid w:val="00862318"/>
    <w:rsid w:val="00863C33"/>
    <w:rsid w:val="00863CB1"/>
    <w:rsid w:val="00865568"/>
    <w:rsid w:val="008658AD"/>
    <w:rsid w:val="0086735C"/>
    <w:rsid w:val="00870DA0"/>
    <w:rsid w:val="00872EA4"/>
    <w:rsid w:val="00873163"/>
    <w:rsid w:val="00875355"/>
    <w:rsid w:val="00877235"/>
    <w:rsid w:val="008802CA"/>
    <w:rsid w:val="008826D4"/>
    <w:rsid w:val="008827C5"/>
    <w:rsid w:val="00883345"/>
    <w:rsid w:val="00884F5F"/>
    <w:rsid w:val="008860A9"/>
    <w:rsid w:val="008923F1"/>
    <w:rsid w:val="00892AD5"/>
    <w:rsid w:val="00896FBB"/>
    <w:rsid w:val="008A635F"/>
    <w:rsid w:val="008A74BA"/>
    <w:rsid w:val="008A751F"/>
    <w:rsid w:val="008A7FCA"/>
    <w:rsid w:val="008B0B20"/>
    <w:rsid w:val="008B3120"/>
    <w:rsid w:val="008B3FAD"/>
    <w:rsid w:val="008B5DE4"/>
    <w:rsid w:val="008B7557"/>
    <w:rsid w:val="008C3A46"/>
    <w:rsid w:val="008D1B32"/>
    <w:rsid w:val="008D4415"/>
    <w:rsid w:val="008D73AC"/>
    <w:rsid w:val="008E2BF4"/>
    <w:rsid w:val="008E5B13"/>
    <w:rsid w:val="008F2B33"/>
    <w:rsid w:val="008F48D8"/>
    <w:rsid w:val="008F5CF5"/>
    <w:rsid w:val="008F5E13"/>
    <w:rsid w:val="0090124A"/>
    <w:rsid w:val="009030BA"/>
    <w:rsid w:val="00903EA2"/>
    <w:rsid w:val="00904206"/>
    <w:rsid w:val="00912392"/>
    <w:rsid w:val="00912C28"/>
    <w:rsid w:val="00913742"/>
    <w:rsid w:val="00915064"/>
    <w:rsid w:val="0091587D"/>
    <w:rsid w:val="00921238"/>
    <w:rsid w:val="00921291"/>
    <w:rsid w:val="00923E23"/>
    <w:rsid w:val="00924C30"/>
    <w:rsid w:val="009271EB"/>
    <w:rsid w:val="00932A1A"/>
    <w:rsid w:val="00935540"/>
    <w:rsid w:val="00937BAA"/>
    <w:rsid w:val="00941413"/>
    <w:rsid w:val="009432AB"/>
    <w:rsid w:val="00943FE1"/>
    <w:rsid w:val="00944B40"/>
    <w:rsid w:val="00944D9B"/>
    <w:rsid w:val="00951CEB"/>
    <w:rsid w:val="009531AA"/>
    <w:rsid w:val="00955476"/>
    <w:rsid w:val="00955825"/>
    <w:rsid w:val="00960268"/>
    <w:rsid w:val="00961617"/>
    <w:rsid w:val="009637E4"/>
    <w:rsid w:val="0097012D"/>
    <w:rsid w:val="00970EC8"/>
    <w:rsid w:val="00972D10"/>
    <w:rsid w:val="009749AD"/>
    <w:rsid w:val="00975468"/>
    <w:rsid w:val="00976D9E"/>
    <w:rsid w:val="00983DE9"/>
    <w:rsid w:val="00983E3B"/>
    <w:rsid w:val="0098420D"/>
    <w:rsid w:val="0098456B"/>
    <w:rsid w:val="0098573F"/>
    <w:rsid w:val="0098669A"/>
    <w:rsid w:val="00987496"/>
    <w:rsid w:val="0099063F"/>
    <w:rsid w:val="00994BE4"/>
    <w:rsid w:val="009961D7"/>
    <w:rsid w:val="0099654C"/>
    <w:rsid w:val="009A1360"/>
    <w:rsid w:val="009A1952"/>
    <w:rsid w:val="009A3441"/>
    <w:rsid w:val="009A3580"/>
    <w:rsid w:val="009A35D8"/>
    <w:rsid w:val="009A3A70"/>
    <w:rsid w:val="009A516A"/>
    <w:rsid w:val="009A5805"/>
    <w:rsid w:val="009B0CBE"/>
    <w:rsid w:val="009B2AB7"/>
    <w:rsid w:val="009B2E5C"/>
    <w:rsid w:val="009B589C"/>
    <w:rsid w:val="009C1BDF"/>
    <w:rsid w:val="009C4508"/>
    <w:rsid w:val="009D49AE"/>
    <w:rsid w:val="009D4C70"/>
    <w:rsid w:val="009D571A"/>
    <w:rsid w:val="009D6C53"/>
    <w:rsid w:val="009E01E7"/>
    <w:rsid w:val="009E0B35"/>
    <w:rsid w:val="009E1C59"/>
    <w:rsid w:val="009E1F94"/>
    <w:rsid w:val="009E3A97"/>
    <w:rsid w:val="009E4A22"/>
    <w:rsid w:val="009E79F7"/>
    <w:rsid w:val="009F0D76"/>
    <w:rsid w:val="009F1B2C"/>
    <w:rsid w:val="009F61AF"/>
    <w:rsid w:val="009F724C"/>
    <w:rsid w:val="00A04653"/>
    <w:rsid w:val="00A05307"/>
    <w:rsid w:val="00A13BB5"/>
    <w:rsid w:val="00A142EA"/>
    <w:rsid w:val="00A203A3"/>
    <w:rsid w:val="00A23F0F"/>
    <w:rsid w:val="00A267DC"/>
    <w:rsid w:val="00A27771"/>
    <w:rsid w:val="00A27D02"/>
    <w:rsid w:val="00A307EC"/>
    <w:rsid w:val="00A323E1"/>
    <w:rsid w:val="00A345A8"/>
    <w:rsid w:val="00A43D15"/>
    <w:rsid w:val="00A46B23"/>
    <w:rsid w:val="00A52A33"/>
    <w:rsid w:val="00A53F75"/>
    <w:rsid w:val="00A55311"/>
    <w:rsid w:val="00A60454"/>
    <w:rsid w:val="00A6049C"/>
    <w:rsid w:val="00A6110B"/>
    <w:rsid w:val="00A6127A"/>
    <w:rsid w:val="00A6198D"/>
    <w:rsid w:val="00A65D08"/>
    <w:rsid w:val="00A66417"/>
    <w:rsid w:val="00A6773B"/>
    <w:rsid w:val="00A7024C"/>
    <w:rsid w:val="00A70FC9"/>
    <w:rsid w:val="00A722E2"/>
    <w:rsid w:val="00A73B44"/>
    <w:rsid w:val="00A74A86"/>
    <w:rsid w:val="00A757A9"/>
    <w:rsid w:val="00A82EB6"/>
    <w:rsid w:val="00A84ED0"/>
    <w:rsid w:val="00A91F46"/>
    <w:rsid w:val="00A92A44"/>
    <w:rsid w:val="00A93856"/>
    <w:rsid w:val="00A95A18"/>
    <w:rsid w:val="00AA1DBF"/>
    <w:rsid w:val="00AA3B81"/>
    <w:rsid w:val="00AA42FF"/>
    <w:rsid w:val="00AB21B5"/>
    <w:rsid w:val="00AB4CD9"/>
    <w:rsid w:val="00AB64C9"/>
    <w:rsid w:val="00AC379F"/>
    <w:rsid w:val="00AC4E67"/>
    <w:rsid w:val="00AC57E5"/>
    <w:rsid w:val="00AC6C57"/>
    <w:rsid w:val="00AD325C"/>
    <w:rsid w:val="00AD535D"/>
    <w:rsid w:val="00AE0B39"/>
    <w:rsid w:val="00AE474E"/>
    <w:rsid w:val="00AE76E0"/>
    <w:rsid w:val="00AF173A"/>
    <w:rsid w:val="00AF1C19"/>
    <w:rsid w:val="00AF2B4A"/>
    <w:rsid w:val="00AF352D"/>
    <w:rsid w:val="00AF6458"/>
    <w:rsid w:val="00B017B6"/>
    <w:rsid w:val="00B0556A"/>
    <w:rsid w:val="00B14619"/>
    <w:rsid w:val="00B162A3"/>
    <w:rsid w:val="00B17684"/>
    <w:rsid w:val="00B224EB"/>
    <w:rsid w:val="00B2361B"/>
    <w:rsid w:val="00B23F34"/>
    <w:rsid w:val="00B312A1"/>
    <w:rsid w:val="00B31754"/>
    <w:rsid w:val="00B329BA"/>
    <w:rsid w:val="00B35953"/>
    <w:rsid w:val="00B40C17"/>
    <w:rsid w:val="00B43555"/>
    <w:rsid w:val="00B435FF"/>
    <w:rsid w:val="00B4469C"/>
    <w:rsid w:val="00B44770"/>
    <w:rsid w:val="00B47A14"/>
    <w:rsid w:val="00B57CBD"/>
    <w:rsid w:val="00B62BC5"/>
    <w:rsid w:val="00B62EEE"/>
    <w:rsid w:val="00B6310F"/>
    <w:rsid w:val="00B718A7"/>
    <w:rsid w:val="00B72420"/>
    <w:rsid w:val="00B73FD2"/>
    <w:rsid w:val="00B74582"/>
    <w:rsid w:val="00B75075"/>
    <w:rsid w:val="00B75170"/>
    <w:rsid w:val="00B7680A"/>
    <w:rsid w:val="00B77F4D"/>
    <w:rsid w:val="00B832AB"/>
    <w:rsid w:val="00B83895"/>
    <w:rsid w:val="00B87D7F"/>
    <w:rsid w:val="00B90388"/>
    <w:rsid w:val="00B93586"/>
    <w:rsid w:val="00B93724"/>
    <w:rsid w:val="00B93765"/>
    <w:rsid w:val="00B93996"/>
    <w:rsid w:val="00B94825"/>
    <w:rsid w:val="00B96281"/>
    <w:rsid w:val="00B968FD"/>
    <w:rsid w:val="00B97D44"/>
    <w:rsid w:val="00BA1D4E"/>
    <w:rsid w:val="00BA2401"/>
    <w:rsid w:val="00BA30B4"/>
    <w:rsid w:val="00BA432C"/>
    <w:rsid w:val="00BA49C6"/>
    <w:rsid w:val="00BA7916"/>
    <w:rsid w:val="00BB273B"/>
    <w:rsid w:val="00BB339E"/>
    <w:rsid w:val="00BB43F4"/>
    <w:rsid w:val="00BB554F"/>
    <w:rsid w:val="00BB6A81"/>
    <w:rsid w:val="00BB7D58"/>
    <w:rsid w:val="00BC057F"/>
    <w:rsid w:val="00BC0DB0"/>
    <w:rsid w:val="00BC571D"/>
    <w:rsid w:val="00BC7604"/>
    <w:rsid w:val="00BD2658"/>
    <w:rsid w:val="00BD6E4E"/>
    <w:rsid w:val="00BE11B6"/>
    <w:rsid w:val="00BF063D"/>
    <w:rsid w:val="00BF12CB"/>
    <w:rsid w:val="00BF1F09"/>
    <w:rsid w:val="00BF4036"/>
    <w:rsid w:val="00BF526E"/>
    <w:rsid w:val="00BF695D"/>
    <w:rsid w:val="00C0278C"/>
    <w:rsid w:val="00C050A9"/>
    <w:rsid w:val="00C10FA3"/>
    <w:rsid w:val="00C12BCE"/>
    <w:rsid w:val="00C13B13"/>
    <w:rsid w:val="00C14E7D"/>
    <w:rsid w:val="00C150B6"/>
    <w:rsid w:val="00C15387"/>
    <w:rsid w:val="00C17FE5"/>
    <w:rsid w:val="00C219E1"/>
    <w:rsid w:val="00C260AB"/>
    <w:rsid w:val="00C30892"/>
    <w:rsid w:val="00C32C87"/>
    <w:rsid w:val="00C33E8C"/>
    <w:rsid w:val="00C3512F"/>
    <w:rsid w:val="00C35A4A"/>
    <w:rsid w:val="00C372DC"/>
    <w:rsid w:val="00C474D6"/>
    <w:rsid w:val="00C512EE"/>
    <w:rsid w:val="00C51579"/>
    <w:rsid w:val="00C53A80"/>
    <w:rsid w:val="00C57444"/>
    <w:rsid w:val="00C652D2"/>
    <w:rsid w:val="00C67226"/>
    <w:rsid w:val="00C71099"/>
    <w:rsid w:val="00C71C2B"/>
    <w:rsid w:val="00C7361F"/>
    <w:rsid w:val="00C738C2"/>
    <w:rsid w:val="00C75CEC"/>
    <w:rsid w:val="00C8176F"/>
    <w:rsid w:val="00C8198D"/>
    <w:rsid w:val="00C85204"/>
    <w:rsid w:val="00C90693"/>
    <w:rsid w:val="00C91024"/>
    <w:rsid w:val="00C915C2"/>
    <w:rsid w:val="00C933CE"/>
    <w:rsid w:val="00C96C87"/>
    <w:rsid w:val="00CA1169"/>
    <w:rsid w:val="00CA3336"/>
    <w:rsid w:val="00CA35CF"/>
    <w:rsid w:val="00CA657E"/>
    <w:rsid w:val="00CA68E3"/>
    <w:rsid w:val="00CA7C87"/>
    <w:rsid w:val="00CB0923"/>
    <w:rsid w:val="00CB0B08"/>
    <w:rsid w:val="00CB3657"/>
    <w:rsid w:val="00CB4546"/>
    <w:rsid w:val="00CB4E6D"/>
    <w:rsid w:val="00CB6740"/>
    <w:rsid w:val="00CB68B9"/>
    <w:rsid w:val="00CC0C8C"/>
    <w:rsid w:val="00CC1DC5"/>
    <w:rsid w:val="00CC1FE9"/>
    <w:rsid w:val="00CC5FE8"/>
    <w:rsid w:val="00CC7ACC"/>
    <w:rsid w:val="00CD3C78"/>
    <w:rsid w:val="00CD5764"/>
    <w:rsid w:val="00CD5D26"/>
    <w:rsid w:val="00CD614C"/>
    <w:rsid w:val="00CE19C0"/>
    <w:rsid w:val="00CE2542"/>
    <w:rsid w:val="00CE410F"/>
    <w:rsid w:val="00CE6ACA"/>
    <w:rsid w:val="00CF04D3"/>
    <w:rsid w:val="00CF114C"/>
    <w:rsid w:val="00CF3B0D"/>
    <w:rsid w:val="00CF59F8"/>
    <w:rsid w:val="00CF7165"/>
    <w:rsid w:val="00D000F6"/>
    <w:rsid w:val="00D019C2"/>
    <w:rsid w:val="00D057EF"/>
    <w:rsid w:val="00D06343"/>
    <w:rsid w:val="00D1159D"/>
    <w:rsid w:val="00D11A26"/>
    <w:rsid w:val="00D11F1A"/>
    <w:rsid w:val="00D1477C"/>
    <w:rsid w:val="00D24401"/>
    <w:rsid w:val="00D30CD1"/>
    <w:rsid w:val="00D33B9C"/>
    <w:rsid w:val="00D41868"/>
    <w:rsid w:val="00D44367"/>
    <w:rsid w:val="00D46C0D"/>
    <w:rsid w:val="00D46C51"/>
    <w:rsid w:val="00D4796E"/>
    <w:rsid w:val="00D53D29"/>
    <w:rsid w:val="00D55F68"/>
    <w:rsid w:val="00D570A1"/>
    <w:rsid w:val="00D6147D"/>
    <w:rsid w:val="00D63BF8"/>
    <w:rsid w:val="00D66C65"/>
    <w:rsid w:val="00D66D27"/>
    <w:rsid w:val="00D72A1F"/>
    <w:rsid w:val="00D72A3E"/>
    <w:rsid w:val="00D75625"/>
    <w:rsid w:val="00D775AC"/>
    <w:rsid w:val="00D77915"/>
    <w:rsid w:val="00D77A5F"/>
    <w:rsid w:val="00D77F00"/>
    <w:rsid w:val="00D86137"/>
    <w:rsid w:val="00D93C00"/>
    <w:rsid w:val="00D96F80"/>
    <w:rsid w:val="00DA0041"/>
    <w:rsid w:val="00DA2706"/>
    <w:rsid w:val="00DB1756"/>
    <w:rsid w:val="00DC0745"/>
    <w:rsid w:val="00DC3B55"/>
    <w:rsid w:val="00DC3E36"/>
    <w:rsid w:val="00DC47BE"/>
    <w:rsid w:val="00DC50EB"/>
    <w:rsid w:val="00DC5962"/>
    <w:rsid w:val="00DD028C"/>
    <w:rsid w:val="00DD4654"/>
    <w:rsid w:val="00DD4FB0"/>
    <w:rsid w:val="00DD52D5"/>
    <w:rsid w:val="00DD7CCE"/>
    <w:rsid w:val="00DE4B92"/>
    <w:rsid w:val="00DF5480"/>
    <w:rsid w:val="00DF7161"/>
    <w:rsid w:val="00DF747E"/>
    <w:rsid w:val="00DF7948"/>
    <w:rsid w:val="00E021A5"/>
    <w:rsid w:val="00E0225C"/>
    <w:rsid w:val="00E03E8C"/>
    <w:rsid w:val="00E11555"/>
    <w:rsid w:val="00E11EE7"/>
    <w:rsid w:val="00E16845"/>
    <w:rsid w:val="00E16E21"/>
    <w:rsid w:val="00E17E89"/>
    <w:rsid w:val="00E22079"/>
    <w:rsid w:val="00E245D6"/>
    <w:rsid w:val="00E25ABC"/>
    <w:rsid w:val="00E260F7"/>
    <w:rsid w:val="00E2710A"/>
    <w:rsid w:val="00E27F16"/>
    <w:rsid w:val="00E32F97"/>
    <w:rsid w:val="00E355B5"/>
    <w:rsid w:val="00E37245"/>
    <w:rsid w:val="00E407CC"/>
    <w:rsid w:val="00E40CDE"/>
    <w:rsid w:val="00E42780"/>
    <w:rsid w:val="00E4635E"/>
    <w:rsid w:val="00E50BEB"/>
    <w:rsid w:val="00E52F9A"/>
    <w:rsid w:val="00E53B18"/>
    <w:rsid w:val="00E55E54"/>
    <w:rsid w:val="00E56BAE"/>
    <w:rsid w:val="00E574BD"/>
    <w:rsid w:val="00E604EB"/>
    <w:rsid w:val="00E60EED"/>
    <w:rsid w:val="00E61D7E"/>
    <w:rsid w:val="00E620AD"/>
    <w:rsid w:val="00E65D71"/>
    <w:rsid w:val="00E75EFD"/>
    <w:rsid w:val="00E816C7"/>
    <w:rsid w:val="00E830D0"/>
    <w:rsid w:val="00E84386"/>
    <w:rsid w:val="00E84452"/>
    <w:rsid w:val="00E8509D"/>
    <w:rsid w:val="00E90421"/>
    <w:rsid w:val="00E90F9A"/>
    <w:rsid w:val="00E9480B"/>
    <w:rsid w:val="00E954C6"/>
    <w:rsid w:val="00E96432"/>
    <w:rsid w:val="00EA02A7"/>
    <w:rsid w:val="00EA1893"/>
    <w:rsid w:val="00EA283F"/>
    <w:rsid w:val="00EA349A"/>
    <w:rsid w:val="00EA699D"/>
    <w:rsid w:val="00EA6B6A"/>
    <w:rsid w:val="00EA6F70"/>
    <w:rsid w:val="00EB2F11"/>
    <w:rsid w:val="00EB30FD"/>
    <w:rsid w:val="00EB43E8"/>
    <w:rsid w:val="00EB5620"/>
    <w:rsid w:val="00EB6BED"/>
    <w:rsid w:val="00EB7339"/>
    <w:rsid w:val="00EB769C"/>
    <w:rsid w:val="00EC1C20"/>
    <w:rsid w:val="00EC5E46"/>
    <w:rsid w:val="00EC76AE"/>
    <w:rsid w:val="00EC79AE"/>
    <w:rsid w:val="00ED1390"/>
    <w:rsid w:val="00ED18CD"/>
    <w:rsid w:val="00ED1DB3"/>
    <w:rsid w:val="00ED2E9A"/>
    <w:rsid w:val="00ED34F0"/>
    <w:rsid w:val="00ED3C8E"/>
    <w:rsid w:val="00EE0E72"/>
    <w:rsid w:val="00EE219A"/>
    <w:rsid w:val="00EE3B1B"/>
    <w:rsid w:val="00EE578D"/>
    <w:rsid w:val="00F00864"/>
    <w:rsid w:val="00F018C6"/>
    <w:rsid w:val="00F0351D"/>
    <w:rsid w:val="00F0567E"/>
    <w:rsid w:val="00F1108E"/>
    <w:rsid w:val="00F13F7F"/>
    <w:rsid w:val="00F14696"/>
    <w:rsid w:val="00F1581D"/>
    <w:rsid w:val="00F15D03"/>
    <w:rsid w:val="00F21007"/>
    <w:rsid w:val="00F323C6"/>
    <w:rsid w:val="00F32A25"/>
    <w:rsid w:val="00F37C2D"/>
    <w:rsid w:val="00F42119"/>
    <w:rsid w:val="00F4226E"/>
    <w:rsid w:val="00F429BE"/>
    <w:rsid w:val="00F43391"/>
    <w:rsid w:val="00F43677"/>
    <w:rsid w:val="00F4558E"/>
    <w:rsid w:val="00F5079B"/>
    <w:rsid w:val="00F52A23"/>
    <w:rsid w:val="00F536B7"/>
    <w:rsid w:val="00F53739"/>
    <w:rsid w:val="00F55474"/>
    <w:rsid w:val="00F5568E"/>
    <w:rsid w:val="00F55F7C"/>
    <w:rsid w:val="00F57A44"/>
    <w:rsid w:val="00F60D97"/>
    <w:rsid w:val="00F671FB"/>
    <w:rsid w:val="00F70285"/>
    <w:rsid w:val="00F717C1"/>
    <w:rsid w:val="00F73A6E"/>
    <w:rsid w:val="00F73AE9"/>
    <w:rsid w:val="00F73D0C"/>
    <w:rsid w:val="00F75848"/>
    <w:rsid w:val="00F80B1E"/>
    <w:rsid w:val="00F8111E"/>
    <w:rsid w:val="00F822AA"/>
    <w:rsid w:val="00F82E51"/>
    <w:rsid w:val="00F87787"/>
    <w:rsid w:val="00F924DF"/>
    <w:rsid w:val="00F94343"/>
    <w:rsid w:val="00FA5D22"/>
    <w:rsid w:val="00FA61F9"/>
    <w:rsid w:val="00FB1B2C"/>
    <w:rsid w:val="00FB7C78"/>
    <w:rsid w:val="00FC3F98"/>
    <w:rsid w:val="00FC4119"/>
    <w:rsid w:val="00FC62D2"/>
    <w:rsid w:val="00FC6AC7"/>
    <w:rsid w:val="00FC7D72"/>
    <w:rsid w:val="00FD65E5"/>
    <w:rsid w:val="00FD6B7E"/>
    <w:rsid w:val="00FE08EE"/>
    <w:rsid w:val="00FE2D38"/>
    <w:rsid w:val="00FE4391"/>
    <w:rsid w:val="00FE469C"/>
    <w:rsid w:val="00FE5FEC"/>
    <w:rsid w:val="00FE78AE"/>
    <w:rsid w:val="00FF19DB"/>
    <w:rsid w:val="00FF43B2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D53C"/>
  <w15:chartTrackingRefBased/>
  <w15:docId w15:val="{156D89DA-6E67-FD47-89BC-EA786F57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7740"/>
    <w:rPr>
      <w:rFonts w:ascii="Times New Roman" w:eastAsia="Times New Roman" w:hAnsi="Times New Roman" w:cs="Times New Roman"/>
      <w:lang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5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F5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F5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21291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0BEB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0BEB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046B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658A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658AD"/>
    <w:rPr>
      <w:rFonts w:ascii="Times New Roman" w:eastAsia="Times New Roman" w:hAnsi="Times New Roman" w:cs="Times New Roman"/>
      <w:lang w:eastAsia="en-GB"/>
    </w:rPr>
  </w:style>
  <w:style w:type="character" w:styleId="tevilkastrani">
    <w:name w:val="page number"/>
    <w:basedOn w:val="Privzetapisavaodstavka"/>
    <w:uiPriority w:val="99"/>
    <w:semiHidden/>
    <w:unhideWhenUsed/>
    <w:rsid w:val="008658AD"/>
  </w:style>
  <w:style w:type="paragraph" w:styleId="Glava">
    <w:name w:val="header"/>
    <w:basedOn w:val="Navaden"/>
    <w:link w:val="GlavaZnak"/>
    <w:uiPriority w:val="99"/>
    <w:unhideWhenUsed/>
    <w:rsid w:val="008658A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58AD"/>
    <w:rPr>
      <w:rFonts w:ascii="Times New Roman" w:eastAsia="Times New Roman" w:hAnsi="Times New Roman" w:cs="Times New Roman"/>
      <w:lang w:eastAsia="en-GB"/>
    </w:rPr>
  </w:style>
  <w:style w:type="character" w:styleId="Hiperpovezava">
    <w:name w:val="Hyperlink"/>
    <w:basedOn w:val="Privzetapisavaodstavka"/>
    <w:uiPriority w:val="99"/>
    <w:unhideWhenUsed/>
    <w:rsid w:val="00D33B9C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33B9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B9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E4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39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439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3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439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zija">
    <w:name w:val="Revision"/>
    <w:hidden/>
    <w:uiPriority w:val="99"/>
    <w:semiHidden/>
    <w:rsid w:val="00FB1B2C"/>
    <w:rPr>
      <w:rFonts w:ascii="Times New Roman" w:eastAsia="Times New Roman" w:hAnsi="Times New Roman" w:cs="Times New Roman"/>
      <w:lang w:eastAsia="en-GB"/>
    </w:rPr>
  </w:style>
  <w:style w:type="paragraph" w:customStyle="1" w:styleId="Standard">
    <w:name w:val="Standard"/>
    <w:rsid w:val="0034462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customStyle="1" w:styleId="Naslov1Znak">
    <w:name w:val="Naslov 1 Znak"/>
    <w:basedOn w:val="Privzetapisavaodstavka"/>
    <w:link w:val="Naslov1"/>
    <w:uiPriority w:val="9"/>
    <w:rsid w:val="000F5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Naslov2Znak">
    <w:name w:val="Naslov 2 Znak"/>
    <w:basedOn w:val="Privzetapisavaodstavka"/>
    <w:link w:val="Naslov2"/>
    <w:uiPriority w:val="9"/>
    <w:rsid w:val="000F51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Naslov3Znak">
    <w:name w:val="Naslov 3 Znak"/>
    <w:basedOn w:val="Privzetapisavaodstavka"/>
    <w:link w:val="Naslov3"/>
    <w:uiPriority w:val="9"/>
    <w:rsid w:val="000F515D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aslovTOC">
    <w:name w:val="TOC Heading"/>
    <w:basedOn w:val="Naslov1"/>
    <w:next w:val="Navaden"/>
    <w:uiPriority w:val="39"/>
    <w:unhideWhenUsed/>
    <w:qFormat/>
    <w:rsid w:val="008A751F"/>
    <w:pPr>
      <w:spacing w:line="259" w:lineRule="auto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8A751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A751F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8A751F"/>
    <w:pPr>
      <w:spacing w:after="100"/>
      <w:ind w:left="480"/>
    </w:pPr>
  </w:style>
  <w:style w:type="paragraph" w:customStyle="1" w:styleId="Default">
    <w:name w:val="Default"/>
    <w:rsid w:val="004705C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218254-54C0-485E-B8D7-72F875BD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3655</Words>
  <Characters>20839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Peterlin</dc:creator>
  <cp:keywords/>
  <dc:description/>
  <cp:lastModifiedBy>Robert Medved</cp:lastModifiedBy>
  <cp:revision>25</cp:revision>
  <dcterms:created xsi:type="dcterms:W3CDTF">2021-10-29T10:29:00Z</dcterms:created>
  <dcterms:modified xsi:type="dcterms:W3CDTF">2022-03-09T13:01:00Z</dcterms:modified>
</cp:coreProperties>
</file>