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098B" w14:textId="77777777" w:rsidR="00AD2CD4" w:rsidRPr="00B031A5" w:rsidRDefault="00837359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031A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9433D5" wp14:editId="72952CBF">
            <wp:simplePos x="0" y="0"/>
            <wp:positionH relativeFrom="page">
              <wp:posOffset>137795</wp:posOffset>
            </wp:positionH>
            <wp:positionV relativeFrom="page">
              <wp:posOffset>175895</wp:posOffset>
            </wp:positionV>
            <wp:extent cx="4321810" cy="972185"/>
            <wp:effectExtent l="0" t="0" r="2540" b="0"/>
            <wp:wrapSquare wrapText="bothSides"/>
            <wp:docPr id="1" name="Slika 1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7DC2F" w14:textId="77777777" w:rsidR="00AD2CD4" w:rsidRPr="00B031A5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626DAE1" w14:textId="77777777" w:rsidR="00AD2CD4" w:rsidRPr="000C7E73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BA7C17B" w14:textId="77777777" w:rsidR="00AD2CD4" w:rsidRPr="00A07297" w:rsidRDefault="00AD2CD4" w:rsidP="00A0729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0C7E73">
        <w:rPr>
          <w:rFonts w:ascii="Arial" w:eastAsia="Calibri" w:hAnsi="Arial" w:cs="Arial"/>
          <w:sz w:val="20"/>
          <w:szCs w:val="20"/>
        </w:rPr>
        <w:t>SPOROČILO ZA JAVNOST</w:t>
      </w:r>
    </w:p>
    <w:p w14:paraId="56CF6D5A" w14:textId="77777777" w:rsidR="00CB0A3C" w:rsidRPr="00A07297" w:rsidRDefault="00CB0A3C" w:rsidP="00CB0A3C">
      <w:pPr>
        <w:spacing w:after="0"/>
        <w:jc w:val="center"/>
        <w:rPr>
          <w:rFonts w:ascii="Arial" w:hAnsi="Arial" w:cs="Arial"/>
          <w:b/>
        </w:rPr>
      </w:pPr>
      <w:r w:rsidRPr="00A07297">
        <w:rPr>
          <w:rFonts w:ascii="Arial" w:hAnsi="Arial" w:cs="Arial"/>
          <w:b/>
        </w:rPr>
        <w:t>Predlog Zakona o nalezljivih boleznih</w:t>
      </w:r>
    </w:p>
    <w:p w14:paraId="6EA2F381" w14:textId="77777777" w:rsidR="00CB0A3C" w:rsidRPr="00A07297" w:rsidRDefault="00CB0A3C" w:rsidP="00CB0A3C">
      <w:pPr>
        <w:spacing w:after="0"/>
        <w:jc w:val="center"/>
        <w:rPr>
          <w:rFonts w:ascii="Arial" w:hAnsi="Arial" w:cs="Arial"/>
          <w:b/>
        </w:rPr>
      </w:pPr>
    </w:p>
    <w:p w14:paraId="7C648595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3765B0B9" w14:textId="77777777" w:rsidR="00CB0A3C" w:rsidRPr="00A07297" w:rsidRDefault="00CB0A3C" w:rsidP="00CB0A3C">
      <w:pPr>
        <w:spacing w:after="0"/>
        <w:jc w:val="both"/>
        <w:rPr>
          <w:rFonts w:ascii="Arial" w:hAnsi="Arial" w:cs="Arial"/>
          <w:b/>
          <w:bCs/>
        </w:rPr>
      </w:pPr>
      <w:r w:rsidRPr="00A07297">
        <w:rPr>
          <w:rFonts w:ascii="Arial" w:hAnsi="Arial" w:cs="Arial"/>
          <w:b/>
          <w:bCs/>
        </w:rPr>
        <w:t xml:space="preserve">Izkušnje z epidemijo COVID-19 so pokazale na nekatere pomanjkljivosti sedanje ureditve v zakonodaji, ki onemogočajo hiter in učinkovit odziv na nove nalezljive bolezni in okužbe. Veljavni zakon o nalezljivih boleznih je na nekaterih področjih zastarel, zato ga je nujno potrebno posodobiti in nekatera poglavja v njem na novo urediti. </w:t>
      </w:r>
    </w:p>
    <w:p w14:paraId="53396BF8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5CEFDCDD" w14:textId="77777777" w:rsidR="00CB0A3C" w:rsidRPr="00A07297" w:rsidRDefault="00CB0A3C" w:rsidP="00CB0A3C">
      <w:pPr>
        <w:spacing w:after="0"/>
        <w:jc w:val="both"/>
        <w:rPr>
          <w:rFonts w:ascii="Arial" w:hAnsi="Arial" w:cs="Arial"/>
          <w:b/>
          <w:bCs/>
        </w:rPr>
      </w:pPr>
      <w:r w:rsidRPr="00A07297">
        <w:rPr>
          <w:rFonts w:ascii="Arial" w:hAnsi="Arial" w:cs="Arial"/>
        </w:rPr>
        <w:t xml:space="preserve">Eno ključnih področij preprečevanja in obvladovanja nalezljivih bolezni in okužbe, ki ga  z zakonom na novo urejamo, je </w:t>
      </w:r>
      <w:r w:rsidRPr="00A07297">
        <w:rPr>
          <w:rFonts w:ascii="Arial" w:hAnsi="Arial" w:cs="Arial"/>
          <w:b/>
          <w:bCs/>
        </w:rPr>
        <w:t>epidemiološko spremljanje nalezljivih bolezni in okužb,</w:t>
      </w:r>
      <w:r w:rsidRPr="00A07297">
        <w:t xml:space="preserve"> </w:t>
      </w:r>
      <w:r w:rsidRPr="00A07297">
        <w:rPr>
          <w:rFonts w:ascii="Arial" w:hAnsi="Arial" w:cs="Arial"/>
          <w:bCs/>
        </w:rPr>
        <w:t>s katerim se zagotavljajo podatki o pojavljanju nalezljivih bolezni in njihovih povzročiteljih ter dejavnikih tveganja zanje.</w:t>
      </w:r>
      <w:r w:rsidRPr="00A07297">
        <w:rPr>
          <w:rFonts w:ascii="Arial" w:hAnsi="Arial" w:cs="Arial"/>
          <w:b/>
          <w:bCs/>
        </w:rPr>
        <w:t xml:space="preserve"> </w:t>
      </w:r>
      <w:r w:rsidRPr="00A07297">
        <w:rPr>
          <w:rFonts w:ascii="Arial" w:hAnsi="Arial" w:cs="Arial"/>
        </w:rPr>
        <w:t xml:space="preserve">Prepoznane povzročitelje nalezljivih bolezni bodo po novem prijavljali vsi mikrobiološki laboratoriji, </w:t>
      </w:r>
      <w:proofErr w:type="spellStart"/>
      <w:r w:rsidRPr="00A07297">
        <w:rPr>
          <w:rFonts w:ascii="Arial" w:hAnsi="Arial" w:cs="Arial"/>
        </w:rPr>
        <w:t>lečeči</w:t>
      </w:r>
      <w:proofErr w:type="spellEnd"/>
      <w:r w:rsidRPr="00A07297">
        <w:rPr>
          <w:rFonts w:ascii="Arial" w:hAnsi="Arial" w:cs="Arial"/>
        </w:rPr>
        <w:t xml:space="preserve"> zdravniki pa bodo prijavljali samo omejen nabor nalezljivih bolezni in okužb, kar bo zmanjšalo njihove sedanje obremenitve</w:t>
      </w:r>
      <w:r w:rsidRPr="00A07297">
        <w:rPr>
          <w:rFonts w:ascii="Arial" w:hAnsi="Arial" w:cs="Arial"/>
          <w:b/>
          <w:bCs/>
        </w:rPr>
        <w:t>.</w:t>
      </w:r>
    </w:p>
    <w:p w14:paraId="78F8E6F8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7FC1AC61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Na podlagi izkušenj, ki smo jih pridobili pri obvladovanju epidemije COVID-19, je v zakonu na novo urejen ukrep </w:t>
      </w:r>
      <w:r w:rsidRPr="00A07297">
        <w:rPr>
          <w:rFonts w:ascii="Arial" w:hAnsi="Arial" w:cs="Arial"/>
          <w:b/>
          <w:bCs/>
        </w:rPr>
        <w:t>karantene</w:t>
      </w:r>
      <w:r w:rsidRPr="00A07297">
        <w:rPr>
          <w:rFonts w:ascii="Arial" w:hAnsi="Arial" w:cs="Arial"/>
        </w:rPr>
        <w:t>. Bolj natančno so definirani postopki v zvezi z določitvijo:</w:t>
      </w:r>
    </w:p>
    <w:p w14:paraId="43FF01D8" w14:textId="77777777" w:rsidR="00CB0A3C" w:rsidRPr="00A07297" w:rsidRDefault="00CB0A3C" w:rsidP="00CB0A3C">
      <w:pPr>
        <w:pStyle w:val="Odstavekseznama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karantene na domu po </w:t>
      </w:r>
      <w:bookmarkStart w:id="0" w:name="_Hlk48829112"/>
      <w:r w:rsidRPr="00A07297">
        <w:rPr>
          <w:rFonts w:ascii="Arial" w:hAnsi="Arial" w:cs="Arial"/>
        </w:rPr>
        <w:t>tesnem stiku z okuženo osebo</w:t>
      </w:r>
      <w:bookmarkEnd w:id="0"/>
      <w:r w:rsidRPr="00A07297">
        <w:rPr>
          <w:rFonts w:ascii="Arial" w:hAnsi="Arial" w:cs="Arial"/>
        </w:rPr>
        <w:t>,</w:t>
      </w:r>
    </w:p>
    <w:p w14:paraId="28F69802" w14:textId="77777777" w:rsidR="00CB0A3C" w:rsidRPr="00A07297" w:rsidRDefault="00CB0A3C" w:rsidP="00CB0A3C">
      <w:pPr>
        <w:pStyle w:val="Odstavekseznama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karanteno na domu po prihodu iz območij, kjer obstaja visoko tveganje za okužbo ter </w:t>
      </w:r>
    </w:p>
    <w:p w14:paraId="173244B8" w14:textId="77777777" w:rsidR="00CB0A3C" w:rsidRPr="00A07297" w:rsidRDefault="00CB0A3C" w:rsidP="00CB0A3C">
      <w:pPr>
        <w:pStyle w:val="Odstavekseznama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karanteno, s katero se delno ali v celoti omeji svobodo gibanja in prepreči stik z drugimi osebami, ki pride v poštev le v primeru izredno hudih nalezljivih bolezni, kot so kuga ali hemoragične mrzlice (Ebola, </w:t>
      </w:r>
      <w:proofErr w:type="spellStart"/>
      <w:r w:rsidRPr="00A07297">
        <w:rPr>
          <w:rFonts w:ascii="Arial" w:hAnsi="Arial" w:cs="Arial"/>
        </w:rPr>
        <w:t>Lassa</w:t>
      </w:r>
      <w:proofErr w:type="spellEnd"/>
      <w:r w:rsidRPr="00A07297">
        <w:rPr>
          <w:rFonts w:ascii="Arial" w:hAnsi="Arial" w:cs="Arial"/>
        </w:rPr>
        <w:t xml:space="preserve">, </w:t>
      </w:r>
      <w:proofErr w:type="spellStart"/>
      <w:r w:rsidRPr="00A07297">
        <w:rPr>
          <w:rFonts w:ascii="Arial" w:hAnsi="Arial" w:cs="Arial"/>
        </w:rPr>
        <w:t>Marburg</w:t>
      </w:r>
      <w:proofErr w:type="spellEnd"/>
      <w:r w:rsidRPr="00A07297">
        <w:rPr>
          <w:rFonts w:ascii="Arial" w:hAnsi="Arial" w:cs="Arial"/>
        </w:rPr>
        <w:t xml:space="preserve">). </w:t>
      </w:r>
    </w:p>
    <w:p w14:paraId="7E82FEF6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027C2572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Predlog zakona opredeljuje pristojne institucije, ki izrekajo ukrep karantene (epidemiologi v primeru obravnave tesnega stika z okuženo osebo; Policija na meji v primeru prihoda osebe iz območij, kjer obstaja visoko tveganje za okužbo; in minister za zdravje v primeru karantene za najhujše nalezljive bolezni). V vseh primerih je ključen pogoj za odreditev karantene priporočilo stroke s področja epidemiologije in nalezljivih bolezni. </w:t>
      </w:r>
    </w:p>
    <w:p w14:paraId="6FB5467A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185D9BC7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>Eden izmed najpomembnejših, varnih in učinkovitih javnozdravstvenih ukrepov za preprečevanje in obvladovanje nalezljivih bolezni</w:t>
      </w:r>
      <w:r w:rsidRPr="00A07297">
        <w:rPr>
          <w:rFonts w:ascii="Arial" w:hAnsi="Arial" w:cs="Arial"/>
          <w:b/>
        </w:rPr>
        <w:t xml:space="preserve"> je cepljenje</w:t>
      </w:r>
      <w:r w:rsidRPr="00A07297">
        <w:rPr>
          <w:rFonts w:ascii="Arial" w:hAnsi="Arial" w:cs="Arial"/>
        </w:rPr>
        <w:t xml:space="preserve">. Na področju </w:t>
      </w:r>
      <w:r w:rsidRPr="00A07297">
        <w:rPr>
          <w:rFonts w:ascii="Arial" w:hAnsi="Arial" w:cs="Arial"/>
          <w:bCs/>
        </w:rPr>
        <w:t>cepljenja</w:t>
      </w:r>
      <w:r w:rsidRPr="00A07297">
        <w:rPr>
          <w:rFonts w:ascii="Arial" w:hAnsi="Arial" w:cs="Arial"/>
        </w:rPr>
        <w:t xml:space="preserve"> je na novo opredeljen postopek obravnave trajne opustitve cepljenja iz zdravstvenih razlogov, saj je sedanji dolgotrajen in neučinkovit. Ker z veljavnim zakonom o nalezljivih boleznih, kljub obveznosti cepljenja, ni bilo mogoče zagotoviti ustrezne </w:t>
      </w:r>
      <w:proofErr w:type="spellStart"/>
      <w:r w:rsidRPr="00A07297">
        <w:rPr>
          <w:rFonts w:ascii="Arial" w:hAnsi="Arial" w:cs="Arial"/>
        </w:rPr>
        <w:t>precepljenosti</w:t>
      </w:r>
      <w:proofErr w:type="spellEnd"/>
      <w:r w:rsidRPr="00A07297">
        <w:rPr>
          <w:rFonts w:ascii="Arial" w:hAnsi="Arial" w:cs="Arial"/>
        </w:rPr>
        <w:t xml:space="preserve"> npr. 95% </w:t>
      </w:r>
      <w:proofErr w:type="spellStart"/>
      <w:r w:rsidRPr="00A07297">
        <w:rPr>
          <w:rFonts w:ascii="Arial" w:hAnsi="Arial" w:cs="Arial"/>
        </w:rPr>
        <w:t>precepljenost</w:t>
      </w:r>
      <w:proofErr w:type="spellEnd"/>
      <w:r w:rsidRPr="00A07297">
        <w:rPr>
          <w:rFonts w:ascii="Arial" w:hAnsi="Arial" w:cs="Arial"/>
        </w:rPr>
        <w:t xml:space="preserve"> proti ošpicam, predlog zakona po vzoru nekaterih drugih EU držav vključuje dodatne omejitve, in sicer: </w:t>
      </w:r>
    </w:p>
    <w:p w14:paraId="5A2DE999" w14:textId="77777777" w:rsidR="00CB0A3C" w:rsidRPr="00A07297" w:rsidRDefault="00CB0A3C" w:rsidP="00CB0A3C">
      <w:pPr>
        <w:pStyle w:val="Odstavekseznam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>otrok, ki niso cepljeni v skladu s programom cepljenja, ni dovoljeno vključiti v javni vrtec in v javno sofinanciran zasebni vrtec,</w:t>
      </w:r>
    </w:p>
    <w:p w14:paraId="2E677749" w14:textId="77777777" w:rsidR="00CB0A3C" w:rsidRPr="00A07297" w:rsidRDefault="00CB0A3C" w:rsidP="00CB0A3C">
      <w:pPr>
        <w:pStyle w:val="Odstavekseznam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>oseb, ki niso bile cepljene v skladu s programom cepljenja, ni dovoljeno vpisati v programe srednjih in visokošolskih zavodov ter fakultet s področja zdravstva, vzgoje in izobraževanja ter socialnega varstva</w:t>
      </w:r>
    </w:p>
    <w:p w14:paraId="52580A27" w14:textId="77777777" w:rsidR="00CB0A3C" w:rsidRPr="00A07297" w:rsidRDefault="00CB0A3C" w:rsidP="00CB0A3C">
      <w:pPr>
        <w:pStyle w:val="Odstavekseznama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>otrok, ki niso bili cepljeni v skladu s programom cepljenja, se ne bodo mogli udeleževati organiziranih letovanj, ki so financirana iz sredstev obveznega zdravstvenega zavarovanja.</w:t>
      </w:r>
    </w:p>
    <w:p w14:paraId="168A63D2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5624271C" w14:textId="77777777" w:rsidR="00CB0A3C" w:rsidRPr="00A07297" w:rsidRDefault="00CB0A3C" w:rsidP="00CB0A3C">
      <w:pPr>
        <w:spacing w:after="0"/>
        <w:jc w:val="both"/>
        <w:rPr>
          <w:rFonts w:ascii="Arial" w:hAnsi="Arial" w:cs="Arial"/>
          <w:b/>
          <w:bCs/>
        </w:rPr>
      </w:pPr>
      <w:r w:rsidRPr="00A07297">
        <w:rPr>
          <w:rFonts w:ascii="Arial" w:hAnsi="Arial" w:cs="Arial"/>
        </w:rPr>
        <w:t xml:space="preserve">V predlogu zakona se na novo vzpostavlja </w:t>
      </w:r>
      <w:r w:rsidRPr="00A07297">
        <w:rPr>
          <w:rFonts w:ascii="Arial" w:hAnsi="Arial" w:cs="Arial"/>
          <w:b/>
          <w:bCs/>
        </w:rPr>
        <w:t>mreža mikrobiološke laboratorijske dejavnosti</w:t>
      </w:r>
      <w:r w:rsidRPr="00A07297">
        <w:rPr>
          <w:rFonts w:ascii="Arial" w:hAnsi="Arial" w:cs="Arial"/>
        </w:rPr>
        <w:t>, ki</w:t>
      </w:r>
      <w:r w:rsidRPr="00A07297">
        <w:rPr>
          <w:rFonts w:ascii="Arial" w:hAnsi="Arial" w:cs="Arial"/>
          <w:b/>
          <w:bCs/>
        </w:rPr>
        <w:t xml:space="preserve"> </w:t>
      </w:r>
      <w:r w:rsidRPr="00A07297">
        <w:rPr>
          <w:rFonts w:ascii="Arial" w:hAnsi="Arial" w:cs="Arial"/>
        </w:rPr>
        <w:t>obsega izvajanje klinične mikrobiologije, javnozdravstvene mikrobiološke dejavnosti, nalog referenčnih laboratorijev in odziva na izjemne dogodke, povezane s širjenjem nalezljivih bolezni in okužb.</w:t>
      </w:r>
    </w:p>
    <w:p w14:paraId="43FD4360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</w:rPr>
      </w:pPr>
    </w:p>
    <w:p w14:paraId="660E8A6C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A07297">
        <w:rPr>
          <w:rFonts w:ascii="Arial" w:hAnsi="Arial" w:cs="Arial"/>
        </w:rPr>
        <w:t xml:space="preserve">Ob epidemiji novega </w:t>
      </w:r>
      <w:proofErr w:type="spellStart"/>
      <w:r w:rsidRPr="00A07297">
        <w:rPr>
          <w:rFonts w:ascii="Arial" w:hAnsi="Arial" w:cs="Arial"/>
        </w:rPr>
        <w:t>koronavirusa</w:t>
      </w:r>
      <w:proofErr w:type="spellEnd"/>
      <w:r w:rsidRPr="00A07297">
        <w:rPr>
          <w:rFonts w:ascii="Arial" w:hAnsi="Arial" w:cs="Arial"/>
        </w:rPr>
        <w:t xml:space="preserve"> v Sloveniji (COVID-19) se je izkazalo, da je v državi nujno potrebno vzpostaviti javno mrežo mikrobiološke laboratorijske dejavnosti z referenčnimi laboratoriji, da bi lahko zagotovili kvalitetno, učinkovito in hitro laboratorijsko diagnostiko. Z zakonom se tako določa mreža izvajalcev mikrobiološke laboratorijske dejavnosti, v katero so zaenkrat vključeni Nacionalni laboratorij za zdravje, okolje in hrano (NLZOH), Inštitut za mikrobiologijo in imunologijo Medicinske fakultete v Ljubljani in Mikrobiološki laboratorij klinike Golnik za področje okužb z </w:t>
      </w:r>
      <w:proofErr w:type="spellStart"/>
      <w:r w:rsidRPr="00A07297">
        <w:rPr>
          <w:rFonts w:ascii="Arial" w:hAnsi="Arial" w:cs="Arial"/>
        </w:rPr>
        <w:t>mikobakterijami</w:t>
      </w:r>
      <w:proofErr w:type="spellEnd"/>
      <w:r w:rsidRPr="00A07297">
        <w:rPr>
          <w:rFonts w:ascii="Arial" w:hAnsi="Arial" w:cs="Arial"/>
        </w:rPr>
        <w:t xml:space="preserve">. </w:t>
      </w:r>
    </w:p>
    <w:p w14:paraId="56E13530" w14:textId="77777777" w:rsidR="00CB0A3C" w:rsidRPr="00A07297" w:rsidRDefault="00CB0A3C" w:rsidP="00CB0A3C">
      <w:pPr>
        <w:spacing w:after="0"/>
        <w:jc w:val="both"/>
        <w:rPr>
          <w:rFonts w:ascii="Arial" w:hAnsi="Arial" w:cs="Arial"/>
        </w:rPr>
      </w:pPr>
    </w:p>
    <w:p w14:paraId="18C2581E" w14:textId="77777777" w:rsidR="00CB0A3C" w:rsidRPr="00A07297" w:rsidRDefault="00CB0A3C" w:rsidP="00CB0A3C">
      <w:pPr>
        <w:shd w:val="clear" w:color="auto" w:fill="FFFFFF"/>
        <w:spacing w:after="0"/>
        <w:jc w:val="both"/>
        <w:rPr>
          <w:rFonts w:ascii="Arial" w:hAnsi="Arial" w:cs="Arial"/>
          <w:iCs/>
        </w:rPr>
      </w:pPr>
      <w:r w:rsidRPr="00A07297">
        <w:rPr>
          <w:rFonts w:ascii="Arial" w:hAnsi="Arial" w:cs="Arial"/>
        </w:rPr>
        <w:t xml:space="preserve">Pomembno vsebinsko področje, ki je v zakonu na novo opredeljeno, je obvladovanje </w:t>
      </w:r>
      <w:r w:rsidRPr="00A07297">
        <w:rPr>
          <w:rFonts w:ascii="Arial" w:hAnsi="Arial" w:cs="Arial"/>
          <w:b/>
          <w:bCs/>
        </w:rPr>
        <w:t>mikrobne odpornosti</w:t>
      </w:r>
      <w:r w:rsidRPr="00A07297">
        <w:rPr>
          <w:rFonts w:ascii="Arial" w:hAnsi="Arial" w:cs="Arial"/>
        </w:rPr>
        <w:t xml:space="preserve">. </w:t>
      </w:r>
      <w:r w:rsidRPr="00A07297">
        <w:rPr>
          <w:rFonts w:ascii="Arial" w:eastAsia="Times New Roman" w:hAnsi="Arial" w:cs="Arial"/>
          <w:lang w:eastAsia="sl-SI"/>
        </w:rPr>
        <w:t xml:space="preserve">Odpornost bakterij proti antibiotikom po vsem svetu zelo narašča in je postala resen javnozdravstveni problem. Posledice okužb z odpornimi mikrobi se, poleg večje smrtnosti bolnikov, kažejo tudi v povečanem številu zapletov zdravljenja, podaljšani hospitalizaciji in večjih stroških zdravljenja. </w:t>
      </w:r>
      <w:r w:rsidRPr="00A07297">
        <w:rPr>
          <w:rFonts w:ascii="Arial" w:hAnsi="Arial" w:cs="Arial"/>
          <w:iCs/>
        </w:rPr>
        <w:t xml:space="preserve">Z novim zakonom se vzpostavlja stabilen sistem spremljanja porabe protimikrobnih zdravil, mikrobne odpornosti in zgodnjega zaznavanja in odzivanja na pojav odpornih mikrobov in njihovo kopičenje. </w:t>
      </w:r>
    </w:p>
    <w:p w14:paraId="72BB3D07" w14:textId="77777777" w:rsidR="00CB0A3C" w:rsidRPr="00A07297" w:rsidRDefault="00CB0A3C" w:rsidP="00CB0A3C">
      <w:pPr>
        <w:spacing w:after="0"/>
        <w:jc w:val="both"/>
        <w:rPr>
          <w:rFonts w:ascii="Arial" w:eastAsia="Times New Roman" w:hAnsi="Arial" w:cs="Arial"/>
          <w:lang w:eastAsia="sl-SI"/>
        </w:rPr>
      </w:pPr>
    </w:p>
    <w:p w14:paraId="14213659" w14:textId="77777777" w:rsidR="00CB0A3C" w:rsidRPr="00A07297" w:rsidRDefault="00CB0A3C" w:rsidP="00CB0A3C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A07297">
        <w:rPr>
          <w:rFonts w:ascii="Arial" w:eastAsia="Times New Roman" w:hAnsi="Arial" w:cs="Arial"/>
          <w:lang w:eastAsia="sl-SI"/>
        </w:rPr>
        <w:t xml:space="preserve">Zakon ureja tudi področje preprečevanja in obvladovanja </w:t>
      </w:r>
      <w:r w:rsidRPr="00A07297">
        <w:rPr>
          <w:rFonts w:ascii="Arial" w:eastAsia="Times New Roman" w:hAnsi="Arial" w:cs="Arial"/>
          <w:b/>
          <w:bCs/>
          <w:lang w:eastAsia="sl-SI"/>
        </w:rPr>
        <w:t xml:space="preserve">okužb, povezanih z zdravstveno oskrbo. </w:t>
      </w:r>
      <w:r w:rsidRPr="00A07297">
        <w:rPr>
          <w:rFonts w:ascii="Arial" w:eastAsia="Times New Roman" w:hAnsi="Arial" w:cs="Arial"/>
          <w:lang w:eastAsia="sl-SI"/>
        </w:rPr>
        <w:t>Med njimi so najpomembnejše tiste okužbe, do katerih pride v bolnišnicah pri oskrbi akutno zbolelih. Do okužb, ki so povezane z zdravstveno oskrbo, lahko pride tudi v drugih okoljih, kot so domovi za starejše in socialno varstveni zavodi. Veljavni zakon že sedaj določa, da morajo vsi izvajalci zdravstvene dejavnosti imeti program preprečevanja teh okužb. Z novim zakonom pa se za učinkovito izvajanje takšnih programov vzpostavljajo tudi nujno potrebne strukture znotraj zdravstvenih in socialno-varstvenih inštitucij z usposobljenimi kadri, katerih naloga bo izvajanje programa.</w:t>
      </w:r>
    </w:p>
    <w:p w14:paraId="592EB119" w14:textId="77777777" w:rsidR="00CB0A3C" w:rsidRDefault="00CB0A3C" w:rsidP="00CB0A3C">
      <w:pPr>
        <w:spacing w:after="0"/>
        <w:jc w:val="both"/>
        <w:rPr>
          <w:rFonts w:ascii="Arial" w:hAnsi="Arial" w:cs="Arial"/>
        </w:rPr>
      </w:pPr>
    </w:p>
    <w:p w14:paraId="4F83B3C4" w14:textId="77777777" w:rsidR="006503A3" w:rsidRPr="00EC5208" w:rsidRDefault="006503A3" w:rsidP="00A07297">
      <w:pPr>
        <w:pStyle w:val="Odstavekseznama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503A3" w:rsidRPr="00EC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788C"/>
    <w:multiLevelType w:val="multilevel"/>
    <w:tmpl w:val="EA766E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8044FA"/>
    <w:multiLevelType w:val="hybridMultilevel"/>
    <w:tmpl w:val="116A6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D6E"/>
    <w:multiLevelType w:val="hybridMultilevel"/>
    <w:tmpl w:val="71AC6824"/>
    <w:lvl w:ilvl="0" w:tplc="4D6A51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254F"/>
    <w:multiLevelType w:val="multilevel"/>
    <w:tmpl w:val="05A0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51034"/>
    <w:multiLevelType w:val="multilevel"/>
    <w:tmpl w:val="A50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73E85"/>
    <w:multiLevelType w:val="hybridMultilevel"/>
    <w:tmpl w:val="6394BD42"/>
    <w:lvl w:ilvl="0" w:tplc="F9385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3C06"/>
    <w:multiLevelType w:val="hybridMultilevel"/>
    <w:tmpl w:val="A7CCD74C"/>
    <w:lvl w:ilvl="0" w:tplc="F320AC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295E"/>
    <w:multiLevelType w:val="hybridMultilevel"/>
    <w:tmpl w:val="AA286620"/>
    <w:lvl w:ilvl="0" w:tplc="A7980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4761"/>
    <w:multiLevelType w:val="hybridMultilevel"/>
    <w:tmpl w:val="DB28175E"/>
    <w:lvl w:ilvl="0" w:tplc="2BA49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4D50"/>
    <w:multiLevelType w:val="hybridMultilevel"/>
    <w:tmpl w:val="773CBDEA"/>
    <w:lvl w:ilvl="0" w:tplc="2AEE5FC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71E8"/>
    <w:multiLevelType w:val="multilevel"/>
    <w:tmpl w:val="2BF0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63BC3"/>
    <w:multiLevelType w:val="hybridMultilevel"/>
    <w:tmpl w:val="D28E4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34DC"/>
    <w:multiLevelType w:val="hybridMultilevel"/>
    <w:tmpl w:val="1E3EA442"/>
    <w:lvl w:ilvl="0" w:tplc="11EAB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55E2C"/>
    <w:multiLevelType w:val="hybridMultilevel"/>
    <w:tmpl w:val="F23EE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C7C49"/>
    <w:multiLevelType w:val="hybridMultilevel"/>
    <w:tmpl w:val="93906A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04662"/>
    <w:multiLevelType w:val="hybridMultilevel"/>
    <w:tmpl w:val="7F405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D2004"/>
    <w:multiLevelType w:val="hybridMultilevel"/>
    <w:tmpl w:val="BD54E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4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E4"/>
    <w:rsid w:val="0002137D"/>
    <w:rsid w:val="0002306A"/>
    <w:rsid w:val="000352B2"/>
    <w:rsid w:val="000458A4"/>
    <w:rsid w:val="00075DA9"/>
    <w:rsid w:val="0008079C"/>
    <w:rsid w:val="000C7E73"/>
    <w:rsid w:val="0010663F"/>
    <w:rsid w:val="00133A79"/>
    <w:rsid w:val="00146F84"/>
    <w:rsid w:val="001B0FEA"/>
    <w:rsid w:val="001D042D"/>
    <w:rsid w:val="001D48CC"/>
    <w:rsid w:val="002210EB"/>
    <w:rsid w:val="002C28B9"/>
    <w:rsid w:val="002C6EE0"/>
    <w:rsid w:val="003246A3"/>
    <w:rsid w:val="003345EC"/>
    <w:rsid w:val="00354832"/>
    <w:rsid w:val="003657E5"/>
    <w:rsid w:val="003A1E41"/>
    <w:rsid w:val="003D0C19"/>
    <w:rsid w:val="003E4110"/>
    <w:rsid w:val="003E46D8"/>
    <w:rsid w:val="003E4D56"/>
    <w:rsid w:val="003E624F"/>
    <w:rsid w:val="00453C80"/>
    <w:rsid w:val="0046299A"/>
    <w:rsid w:val="004B30EB"/>
    <w:rsid w:val="004D2656"/>
    <w:rsid w:val="0050335F"/>
    <w:rsid w:val="00537A03"/>
    <w:rsid w:val="00544199"/>
    <w:rsid w:val="00556033"/>
    <w:rsid w:val="005713D4"/>
    <w:rsid w:val="005A23A1"/>
    <w:rsid w:val="005E27F5"/>
    <w:rsid w:val="00620B6D"/>
    <w:rsid w:val="0064531C"/>
    <w:rsid w:val="006503A3"/>
    <w:rsid w:val="006926C3"/>
    <w:rsid w:val="00695ED1"/>
    <w:rsid w:val="006A7366"/>
    <w:rsid w:val="006C202B"/>
    <w:rsid w:val="006E4DCD"/>
    <w:rsid w:val="006F0D93"/>
    <w:rsid w:val="006F5E6D"/>
    <w:rsid w:val="007140A0"/>
    <w:rsid w:val="00716A84"/>
    <w:rsid w:val="00727353"/>
    <w:rsid w:val="0078337D"/>
    <w:rsid w:val="00787593"/>
    <w:rsid w:val="007938F4"/>
    <w:rsid w:val="00793DEA"/>
    <w:rsid w:val="007C7D1B"/>
    <w:rsid w:val="007D040B"/>
    <w:rsid w:val="007F59DE"/>
    <w:rsid w:val="0080390F"/>
    <w:rsid w:val="00823446"/>
    <w:rsid w:val="00837359"/>
    <w:rsid w:val="00844889"/>
    <w:rsid w:val="008557A0"/>
    <w:rsid w:val="008D2471"/>
    <w:rsid w:val="00924320"/>
    <w:rsid w:val="009737EB"/>
    <w:rsid w:val="009970A2"/>
    <w:rsid w:val="00997F46"/>
    <w:rsid w:val="009A1C43"/>
    <w:rsid w:val="00A07297"/>
    <w:rsid w:val="00A24388"/>
    <w:rsid w:val="00A34024"/>
    <w:rsid w:val="00A3563E"/>
    <w:rsid w:val="00A46572"/>
    <w:rsid w:val="00A543E2"/>
    <w:rsid w:val="00A71723"/>
    <w:rsid w:val="00A71B5B"/>
    <w:rsid w:val="00AC07F8"/>
    <w:rsid w:val="00AD2CD4"/>
    <w:rsid w:val="00AD4FCC"/>
    <w:rsid w:val="00B031A5"/>
    <w:rsid w:val="00B402E4"/>
    <w:rsid w:val="00B535EE"/>
    <w:rsid w:val="00B577A7"/>
    <w:rsid w:val="00B67103"/>
    <w:rsid w:val="00B76884"/>
    <w:rsid w:val="00BA2D58"/>
    <w:rsid w:val="00BB6C4E"/>
    <w:rsid w:val="00BC3520"/>
    <w:rsid w:val="00BE1BF6"/>
    <w:rsid w:val="00BF4B88"/>
    <w:rsid w:val="00C0364F"/>
    <w:rsid w:val="00C0764F"/>
    <w:rsid w:val="00C214A4"/>
    <w:rsid w:val="00CA351C"/>
    <w:rsid w:val="00CB0A3C"/>
    <w:rsid w:val="00CD1C77"/>
    <w:rsid w:val="00CE2C0A"/>
    <w:rsid w:val="00CF10D9"/>
    <w:rsid w:val="00CF1A57"/>
    <w:rsid w:val="00D222E4"/>
    <w:rsid w:val="00D26C46"/>
    <w:rsid w:val="00D613F3"/>
    <w:rsid w:val="00D64451"/>
    <w:rsid w:val="00D673C4"/>
    <w:rsid w:val="00D72A9E"/>
    <w:rsid w:val="00D72FC0"/>
    <w:rsid w:val="00D9751C"/>
    <w:rsid w:val="00E001AF"/>
    <w:rsid w:val="00E3324B"/>
    <w:rsid w:val="00E35316"/>
    <w:rsid w:val="00E6009C"/>
    <w:rsid w:val="00E75FB7"/>
    <w:rsid w:val="00EC5208"/>
    <w:rsid w:val="00F00CD6"/>
    <w:rsid w:val="00F30808"/>
    <w:rsid w:val="00F50746"/>
    <w:rsid w:val="00F50D61"/>
    <w:rsid w:val="00F52DB6"/>
    <w:rsid w:val="00FC2FAE"/>
    <w:rsid w:val="00FD60AF"/>
    <w:rsid w:val="00FF012A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441"/>
  <w15:chartTrackingRefBased/>
  <w15:docId w15:val="{44952227-AD53-4D10-99F2-B1B49E0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0764F"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B402E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751C"/>
    <w:rPr>
      <w:rFonts w:cs="Times New Roman"/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3657E5"/>
  </w:style>
  <w:style w:type="character" w:styleId="Nerazreenaomemba">
    <w:name w:val="Unresolved Mention"/>
    <w:basedOn w:val="Privzetapisavaodstavka"/>
    <w:uiPriority w:val="99"/>
    <w:semiHidden/>
    <w:unhideWhenUsed/>
    <w:rsid w:val="006926C3"/>
    <w:rPr>
      <w:color w:val="808080"/>
      <w:shd w:val="clear" w:color="auto" w:fill="E6E6E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26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C28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28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28B9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28B9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CE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ADEVA">
    <w:name w:val="ZADEVA"/>
    <w:basedOn w:val="Navaden"/>
    <w:qFormat/>
    <w:rsid w:val="003D0C19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82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406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525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9363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3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5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5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27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8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5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21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4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DD71F9-134A-4BBC-A5AD-DAF1CA1C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Štorman</dc:creator>
  <cp:keywords/>
  <dc:description/>
  <cp:lastModifiedBy>Urška Kolar</cp:lastModifiedBy>
  <cp:revision>2</cp:revision>
  <cp:lastPrinted>2020-08-21T12:35:00Z</cp:lastPrinted>
  <dcterms:created xsi:type="dcterms:W3CDTF">2020-08-21T12:39:00Z</dcterms:created>
  <dcterms:modified xsi:type="dcterms:W3CDTF">2020-08-21T12:39:00Z</dcterms:modified>
</cp:coreProperties>
</file>