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EA" w:rsidRPr="00E15F00" w:rsidRDefault="003636EA" w:rsidP="00304AF2">
      <w:pPr>
        <w:pStyle w:val="datumtevilka"/>
        <w:rPr>
          <w:rFonts w:cs="Arial"/>
          <w:color w:val="000000"/>
        </w:rPr>
      </w:pPr>
    </w:p>
    <w:p w:rsidR="003636EA" w:rsidRPr="00E15F00" w:rsidRDefault="003636EA" w:rsidP="00304AF2">
      <w:pPr>
        <w:pStyle w:val="datumtevilka"/>
        <w:rPr>
          <w:rFonts w:cs="Arial"/>
          <w:color w:val="000000"/>
        </w:rPr>
      </w:pPr>
    </w:p>
    <w:p w:rsidR="003636EA" w:rsidRPr="00E15F00" w:rsidRDefault="003636EA" w:rsidP="00304AF2">
      <w:pPr>
        <w:pStyle w:val="datumtevilka"/>
        <w:rPr>
          <w:rFonts w:cs="Arial"/>
        </w:rPr>
      </w:pPr>
      <w:r w:rsidRPr="00E15F00">
        <w:rPr>
          <w:rFonts w:cs="Arial"/>
        </w:rPr>
        <w:t xml:space="preserve">Številka: </w:t>
      </w:r>
      <w:r w:rsidRPr="00E15F00">
        <w:rPr>
          <w:rFonts w:cs="Arial"/>
        </w:rPr>
        <w:tab/>
      </w:r>
      <w:r w:rsidR="00410499" w:rsidRPr="00E15F00">
        <w:rPr>
          <w:rFonts w:cs="Arial"/>
          <w:color w:val="000000"/>
        </w:rPr>
        <w:t>18100-41/2020/21</w:t>
      </w:r>
    </w:p>
    <w:p w:rsidR="003636EA" w:rsidRPr="00E15F00" w:rsidRDefault="003636EA" w:rsidP="00304AF2">
      <w:pPr>
        <w:pStyle w:val="datumtevilka"/>
        <w:rPr>
          <w:rFonts w:cs="Arial"/>
        </w:rPr>
      </w:pPr>
      <w:r w:rsidRPr="00E15F00">
        <w:rPr>
          <w:rFonts w:cs="Arial"/>
        </w:rPr>
        <w:t xml:space="preserve">Datum: </w:t>
      </w:r>
      <w:r w:rsidRPr="00E15F00">
        <w:rPr>
          <w:rFonts w:cs="Arial"/>
        </w:rPr>
        <w:tab/>
      </w:r>
      <w:r w:rsidR="00410499" w:rsidRPr="00E15F00">
        <w:rPr>
          <w:rFonts w:cs="Arial"/>
          <w:color w:val="000000"/>
        </w:rPr>
        <w:t>24. 3. 2021</w:t>
      </w:r>
      <w:r w:rsidRPr="00E15F00">
        <w:rPr>
          <w:rFonts w:cs="Arial"/>
        </w:rPr>
        <w:t xml:space="preserve"> </w:t>
      </w:r>
    </w:p>
    <w:p w:rsidR="003636EA" w:rsidRPr="00E15F00" w:rsidRDefault="003636EA" w:rsidP="00304AF2">
      <w:pPr>
        <w:rPr>
          <w:rFonts w:cs="Arial"/>
        </w:rPr>
      </w:pPr>
    </w:p>
    <w:p w:rsidR="003636EA" w:rsidRPr="00E15F00" w:rsidRDefault="003636EA" w:rsidP="00304AF2">
      <w:pPr>
        <w:autoSpaceDE w:val="0"/>
        <w:autoSpaceDN w:val="0"/>
        <w:adjustRightInd w:val="0"/>
        <w:rPr>
          <w:rFonts w:cs="Arial"/>
          <w:color w:val="000000"/>
          <w:szCs w:val="20"/>
        </w:rPr>
      </w:pPr>
    </w:p>
    <w:p w:rsidR="00E15F00" w:rsidRPr="00E15F00" w:rsidRDefault="00E15F00" w:rsidP="00E15F00">
      <w:pPr>
        <w:autoSpaceDE w:val="0"/>
        <w:autoSpaceDN w:val="0"/>
        <w:adjustRightInd w:val="0"/>
        <w:rPr>
          <w:rFonts w:cs="Arial"/>
          <w:color w:val="000000"/>
          <w:szCs w:val="20"/>
        </w:rPr>
      </w:pPr>
    </w:p>
    <w:p w:rsidR="00E15F00" w:rsidRPr="00E15F00" w:rsidRDefault="00E15F00" w:rsidP="00E15F00">
      <w:pPr>
        <w:autoSpaceDE w:val="0"/>
        <w:autoSpaceDN w:val="0"/>
        <w:adjustRightInd w:val="0"/>
        <w:rPr>
          <w:rFonts w:cs="Arial"/>
          <w:color w:val="000000"/>
          <w:szCs w:val="20"/>
        </w:rPr>
      </w:pPr>
    </w:p>
    <w:p w:rsidR="00E15F00" w:rsidRPr="00E15F00" w:rsidRDefault="00E15F00" w:rsidP="00E15F00">
      <w:pPr>
        <w:autoSpaceDE w:val="0"/>
        <w:autoSpaceDN w:val="0"/>
        <w:adjustRightInd w:val="0"/>
        <w:rPr>
          <w:rFonts w:cs="Arial"/>
          <w:color w:val="000000"/>
          <w:szCs w:val="20"/>
        </w:rPr>
      </w:pPr>
    </w:p>
    <w:p w:rsidR="00E15F00" w:rsidRPr="00E15F00" w:rsidRDefault="00E15F00" w:rsidP="00E15F00">
      <w:pPr>
        <w:autoSpaceDE w:val="0"/>
        <w:autoSpaceDN w:val="0"/>
        <w:adjustRightInd w:val="0"/>
        <w:rPr>
          <w:rFonts w:cs="Arial"/>
          <w:color w:val="000000"/>
          <w:szCs w:val="20"/>
        </w:rPr>
      </w:pPr>
    </w:p>
    <w:p w:rsidR="00E15F00" w:rsidRPr="00E15F00" w:rsidRDefault="00E15F00" w:rsidP="00E15F00">
      <w:pPr>
        <w:autoSpaceDE w:val="0"/>
        <w:autoSpaceDN w:val="0"/>
        <w:adjustRightInd w:val="0"/>
        <w:rPr>
          <w:rFonts w:cs="Arial"/>
          <w:color w:val="000000"/>
          <w:szCs w:val="20"/>
        </w:rPr>
      </w:pPr>
    </w:p>
    <w:p w:rsidR="00E15F00" w:rsidRPr="00E15F00" w:rsidRDefault="00E15F00" w:rsidP="00E15F00">
      <w:pPr>
        <w:autoSpaceDE w:val="0"/>
        <w:autoSpaceDN w:val="0"/>
        <w:adjustRightInd w:val="0"/>
        <w:rPr>
          <w:rFonts w:cs="Arial"/>
          <w:color w:val="000000"/>
          <w:szCs w:val="20"/>
        </w:rPr>
      </w:pPr>
    </w:p>
    <w:p w:rsidR="00E15F00" w:rsidRPr="00E15F00" w:rsidRDefault="00E15F00" w:rsidP="00E15F00">
      <w:pPr>
        <w:autoSpaceDE w:val="0"/>
        <w:autoSpaceDN w:val="0"/>
        <w:adjustRightInd w:val="0"/>
        <w:rPr>
          <w:rFonts w:cs="Arial"/>
          <w:color w:val="000000"/>
          <w:szCs w:val="20"/>
        </w:rPr>
      </w:pPr>
    </w:p>
    <w:p w:rsidR="00E15F00" w:rsidRPr="00E15F00" w:rsidRDefault="00E15F00" w:rsidP="00E15F00">
      <w:pPr>
        <w:autoSpaceDE w:val="0"/>
        <w:autoSpaceDN w:val="0"/>
        <w:adjustRightInd w:val="0"/>
        <w:rPr>
          <w:rFonts w:cs="Arial"/>
          <w:color w:val="000000"/>
          <w:szCs w:val="20"/>
        </w:rPr>
      </w:pPr>
    </w:p>
    <w:p w:rsidR="00E15F00" w:rsidRPr="00E15F00" w:rsidRDefault="00E15F00" w:rsidP="00E15F00">
      <w:pPr>
        <w:autoSpaceDE w:val="0"/>
        <w:autoSpaceDN w:val="0"/>
        <w:adjustRightInd w:val="0"/>
        <w:rPr>
          <w:rFonts w:cs="Arial"/>
          <w:color w:val="000000"/>
          <w:szCs w:val="20"/>
        </w:rPr>
      </w:pPr>
    </w:p>
    <w:p w:rsidR="00E15F00" w:rsidRPr="00E15F00" w:rsidRDefault="00E15F00" w:rsidP="00E15F00">
      <w:pPr>
        <w:autoSpaceDE w:val="0"/>
        <w:autoSpaceDN w:val="0"/>
        <w:adjustRightInd w:val="0"/>
        <w:rPr>
          <w:rFonts w:cs="Arial"/>
          <w:color w:val="000000"/>
          <w:szCs w:val="20"/>
        </w:rPr>
      </w:pPr>
    </w:p>
    <w:p w:rsidR="00E15F00" w:rsidRPr="00E15F00" w:rsidRDefault="00E15F00" w:rsidP="00E15F00">
      <w:pPr>
        <w:pStyle w:val="Intenzivencitat"/>
        <w:rPr>
          <w:rFonts w:ascii="Arial" w:hAnsi="Arial" w:cs="Arial"/>
          <w:b/>
          <w:bCs/>
          <w:sz w:val="40"/>
          <w:szCs w:val="40"/>
        </w:rPr>
      </w:pPr>
      <w:r w:rsidRPr="00E15F00">
        <w:rPr>
          <w:rFonts w:ascii="Arial" w:hAnsi="Arial" w:cs="Arial"/>
          <w:b/>
          <w:bCs/>
          <w:sz w:val="40"/>
          <w:szCs w:val="40"/>
        </w:rPr>
        <w:t xml:space="preserve">Nacionalna strategija cepljenja </w:t>
      </w:r>
    </w:p>
    <w:p w:rsidR="00E15F00" w:rsidRPr="00E15F00" w:rsidRDefault="00E15F00" w:rsidP="00E15F00">
      <w:pPr>
        <w:pStyle w:val="Intenzivencitat"/>
        <w:rPr>
          <w:rFonts w:ascii="Arial" w:hAnsi="Arial" w:cs="Arial"/>
          <w:b/>
          <w:bCs/>
          <w:sz w:val="40"/>
          <w:szCs w:val="40"/>
        </w:rPr>
      </w:pPr>
      <w:r w:rsidRPr="00E15F00">
        <w:rPr>
          <w:rFonts w:ascii="Arial" w:hAnsi="Arial" w:cs="Arial"/>
          <w:b/>
          <w:bCs/>
          <w:sz w:val="40"/>
          <w:szCs w:val="40"/>
        </w:rPr>
        <w:t>proti COVID-19</w:t>
      </w:r>
    </w:p>
    <w:p w:rsidR="00E15F00" w:rsidRPr="00E15F00" w:rsidRDefault="00E15F00" w:rsidP="00E15F00">
      <w:pPr>
        <w:pStyle w:val="Intenzivencitat"/>
        <w:rPr>
          <w:rFonts w:ascii="Arial" w:hAnsi="Arial" w:cs="Arial"/>
          <w:b/>
          <w:bCs/>
          <w:sz w:val="40"/>
          <w:szCs w:val="40"/>
        </w:rPr>
      </w:pPr>
      <w:r>
        <w:rPr>
          <w:rFonts w:ascii="Arial" w:hAnsi="Arial" w:cs="Arial"/>
          <w:b/>
          <w:bCs/>
          <w:sz w:val="40"/>
          <w:szCs w:val="40"/>
        </w:rPr>
        <w:t>Verzija IV, z dne 24. 3. </w:t>
      </w:r>
      <w:r w:rsidRPr="00E15F00">
        <w:rPr>
          <w:rFonts w:ascii="Arial" w:hAnsi="Arial" w:cs="Arial"/>
          <w:b/>
          <w:bCs/>
          <w:sz w:val="40"/>
          <w:szCs w:val="40"/>
        </w:rPr>
        <w:t>2021</w:t>
      </w: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b/>
          <w:bCs/>
          <w:szCs w:val="20"/>
        </w:rPr>
      </w:pPr>
      <w:r w:rsidRPr="00E15F00">
        <w:rPr>
          <w:rFonts w:cs="Arial"/>
          <w:szCs w:val="20"/>
        </w:rPr>
        <w:tab/>
      </w:r>
      <w:r w:rsidRPr="00E15F00">
        <w:rPr>
          <w:rFonts w:cs="Arial"/>
          <w:szCs w:val="20"/>
        </w:rPr>
        <w:tab/>
      </w:r>
      <w:r w:rsidRPr="00E15F00">
        <w:rPr>
          <w:rFonts w:cs="Arial"/>
          <w:szCs w:val="20"/>
        </w:rPr>
        <w:tab/>
      </w:r>
      <w:r w:rsidRPr="00E15F00">
        <w:rPr>
          <w:rFonts w:cs="Arial"/>
          <w:szCs w:val="20"/>
        </w:rPr>
        <w:tab/>
      </w:r>
      <w:r w:rsidRPr="00E15F00">
        <w:rPr>
          <w:rFonts w:cs="Arial"/>
          <w:szCs w:val="20"/>
        </w:rPr>
        <w:tab/>
      </w:r>
      <w:r w:rsidRPr="00E15F00">
        <w:rPr>
          <w:rFonts w:cs="Arial"/>
          <w:szCs w:val="20"/>
        </w:rPr>
        <w:tab/>
      </w:r>
      <w:r w:rsidRPr="00E15F00">
        <w:rPr>
          <w:rFonts w:cs="Arial"/>
          <w:szCs w:val="20"/>
        </w:rPr>
        <w:tab/>
      </w:r>
      <w:r w:rsidRPr="00E15F00">
        <w:rPr>
          <w:rFonts w:cs="Arial"/>
          <w:szCs w:val="20"/>
        </w:rPr>
        <w:tab/>
      </w:r>
      <w:r w:rsidRPr="00E15F00">
        <w:rPr>
          <w:rFonts w:cs="Arial"/>
          <w:szCs w:val="20"/>
        </w:rPr>
        <w:tab/>
      </w:r>
      <w:r w:rsidRPr="00E15F00">
        <w:rPr>
          <w:rFonts w:cs="Arial"/>
          <w:szCs w:val="20"/>
        </w:rPr>
        <w:tab/>
      </w:r>
      <w:r w:rsidRPr="00E15F00">
        <w:rPr>
          <w:rFonts w:cs="Arial"/>
          <w:szCs w:val="20"/>
        </w:rPr>
        <w:tab/>
      </w: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Cs w:val="20"/>
        </w:rPr>
      </w:pPr>
    </w:p>
    <w:p w:rsidR="00E15F00" w:rsidRPr="00E15F00" w:rsidRDefault="00E15F00" w:rsidP="00E15F00">
      <w:pPr>
        <w:overflowPunct w:val="0"/>
        <w:autoSpaceDE w:val="0"/>
        <w:autoSpaceDN w:val="0"/>
        <w:adjustRightInd w:val="0"/>
        <w:spacing w:line="240" w:lineRule="auto"/>
        <w:jc w:val="both"/>
        <w:textAlignment w:val="baseline"/>
        <w:rPr>
          <w:rFonts w:cs="Arial"/>
          <w:sz w:val="32"/>
          <w:szCs w:val="32"/>
        </w:rPr>
      </w:pPr>
    </w:p>
    <w:p w:rsidR="00E15F00" w:rsidRPr="00E15F00" w:rsidRDefault="00E15F00" w:rsidP="00E15F00">
      <w:pPr>
        <w:pStyle w:val="Intenzivencitat"/>
        <w:rPr>
          <w:rFonts w:ascii="Arial" w:hAnsi="Arial" w:cs="Arial"/>
          <w:sz w:val="36"/>
          <w:szCs w:val="36"/>
        </w:rPr>
      </w:pPr>
      <w:r w:rsidRPr="00E15F00">
        <w:rPr>
          <w:rFonts w:ascii="Arial" w:hAnsi="Arial" w:cs="Arial"/>
          <w:sz w:val="36"/>
          <w:szCs w:val="36"/>
        </w:rPr>
        <w:lastRenderedPageBreak/>
        <w:t xml:space="preserve">Nacionalna strategija cepljenja proti </w:t>
      </w:r>
      <w:r w:rsidRPr="00E15F00">
        <w:rPr>
          <w:rFonts w:ascii="Arial" w:hAnsi="Arial" w:cs="Arial"/>
          <w:sz w:val="36"/>
          <w:szCs w:val="36"/>
        </w:rPr>
        <w:br/>
        <w:t>COVID-19</w:t>
      </w:r>
    </w:p>
    <w:p w:rsidR="00E15F00" w:rsidRPr="00E15F00" w:rsidRDefault="00E15F00" w:rsidP="00E15F00">
      <w:pPr>
        <w:rPr>
          <w:rFonts w:cs="Arial"/>
          <w:szCs w:val="20"/>
        </w:rPr>
      </w:pPr>
      <w:r w:rsidRPr="00E15F00">
        <w:rPr>
          <w:rFonts w:cs="Arial"/>
          <w:b/>
          <w:szCs w:val="20"/>
        </w:rPr>
        <w:t>Namen</w:t>
      </w:r>
    </w:p>
    <w:p w:rsidR="00E15F00" w:rsidRDefault="00E15F00" w:rsidP="00E15F00">
      <w:pPr>
        <w:jc w:val="both"/>
        <w:rPr>
          <w:rFonts w:cs="Arial"/>
          <w:szCs w:val="20"/>
        </w:rPr>
      </w:pPr>
    </w:p>
    <w:p w:rsidR="00E15F00" w:rsidRPr="00E15F00" w:rsidRDefault="00E15F00" w:rsidP="00E15F00">
      <w:pPr>
        <w:jc w:val="both"/>
        <w:rPr>
          <w:rFonts w:cs="Arial"/>
          <w:szCs w:val="20"/>
        </w:rPr>
      </w:pPr>
      <w:r w:rsidRPr="00E15F00">
        <w:rPr>
          <w:rFonts w:cs="Arial"/>
          <w:szCs w:val="20"/>
        </w:rPr>
        <w:t>Osnovni cilj strategije je zmanjšati umrljivost zaradi COVID-19, izboljšati zdravje prebivalstva s preprečevanjem težkega poteka koronavirusne bolezni pri posameznikih, razbremeniti zdravstveni sistem ter omogočiti ponoven zagon gospodarstva ter ponovno vzpostaviti izobraževanje, promet, dejavnosti v kulturi ter socialno življenje in ostale aktivnosti, ki so zaradi krize omejene. Zato je potrebno najprej cepiti skupine prebivalstva, ki imajo največje tveganje za težji potek in smrt zaradi COVID-19 in nato v čim krajšem času doseči čim boljšo precepljenost prebivalstva, vsaj 60 % (1.200.000 prebivalcev). Za dosego te vizije sprejemamo ustrezno nacionalno strategijo cepljenja proti COVID 19, ki opredeljuje procese, naloge in nosilce nalog na področju izvedbe cepljenja proti COVID-19.</w:t>
      </w:r>
    </w:p>
    <w:p w:rsidR="00E15F00" w:rsidRPr="00E15F00" w:rsidRDefault="00E15F00" w:rsidP="00E15F00">
      <w:pPr>
        <w:jc w:val="both"/>
        <w:rPr>
          <w:rFonts w:cs="Arial"/>
          <w:szCs w:val="20"/>
        </w:rPr>
      </w:pPr>
    </w:p>
    <w:p w:rsidR="00E15F00" w:rsidRPr="00E15F00" w:rsidRDefault="00E15F00" w:rsidP="00E15F00">
      <w:pPr>
        <w:pStyle w:val="Intenzivencitat"/>
        <w:rPr>
          <w:rFonts w:ascii="Arial" w:hAnsi="Arial" w:cs="Arial"/>
          <w:sz w:val="24"/>
          <w:szCs w:val="24"/>
          <w:lang w:eastAsia="sl-SI"/>
        </w:rPr>
      </w:pPr>
      <w:r w:rsidRPr="00E15F00">
        <w:rPr>
          <w:rFonts w:ascii="Arial" w:hAnsi="Arial" w:cs="Arial"/>
          <w:sz w:val="24"/>
          <w:szCs w:val="24"/>
        </w:rPr>
        <w:t>1. Razvoj cepiv proti COVID-19 in pridobitev dovoljenja za promet v EU</w:t>
      </w:r>
      <w:r w:rsidRPr="00E15F00">
        <w:rPr>
          <w:rFonts w:ascii="Arial" w:hAnsi="Arial" w:cs="Arial"/>
          <w:sz w:val="24"/>
          <w:szCs w:val="24"/>
          <w:lang w:eastAsia="sl-SI"/>
        </w:rPr>
        <w:t xml:space="preserve"> ter skupne aktivnosti na ravni EU glede preskrbe s cepivi proti COVID-19</w:t>
      </w:r>
    </w:p>
    <w:p w:rsidR="00E15F00" w:rsidRPr="00E15F00" w:rsidRDefault="00E15F00" w:rsidP="00E15F00">
      <w:pPr>
        <w:jc w:val="both"/>
        <w:rPr>
          <w:rFonts w:cs="Arial"/>
          <w:szCs w:val="20"/>
        </w:rPr>
      </w:pPr>
      <w:r w:rsidRPr="00E15F00">
        <w:rPr>
          <w:rFonts w:cs="Arial"/>
          <w:b/>
          <w:bCs/>
          <w:szCs w:val="20"/>
        </w:rPr>
        <w:t>Cepiva proti COVID-19 pri prejemniku izzovejo aktivacijo imunskega odziva in oblikovanje imunskega spomina</w:t>
      </w:r>
      <w:r w:rsidRPr="00E15F00">
        <w:rPr>
          <w:rStyle w:val="Sprotnaopomba-sklic"/>
          <w:rFonts w:cs="Arial"/>
          <w:szCs w:val="20"/>
        </w:rPr>
        <w:footnoteReference w:id="1"/>
      </w:r>
      <w:r w:rsidRPr="00E15F00">
        <w:rPr>
          <w:rFonts w:cs="Arial"/>
          <w:szCs w:val="20"/>
        </w:rPr>
        <w:t xml:space="preserve"> – cepljen posameznik postane imun na okužbo s specifičnim povzročiteljem bolezni. </w:t>
      </w:r>
    </w:p>
    <w:p w:rsidR="00E15F00" w:rsidRPr="00E15F00" w:rsidRDefault="00E15F00" w:rsidP="00E15F00">
      <w:pPr>
        <w:jc w:val="both"/>
        <w:rPr>
          <w:rFonts w:cs="Arial"/>
          <w:szCs w:val="20"/>
        </w:rPr>
      </w:pPr>
    </w:p>
    <w:p w:rsidR="00E15F00" w:rsidRPr="00E15F00" w:rsidRDefault="00E15F00" w:rsidP="00E15F00">
      <w:pPr>
        <w:jc w:val="both"/>
        <w:rPr>
          <w:rFonts w:cs="Arial"/>
          <w:szCs w:val="20"/>
        </w:rPr>
      </w:pPr>
      <w:r w:rsidRPr="00E15F00">
        <w:rPr>
          <w:rFonts w:cs="Arial"/>
          <w:szCs w:val="20"/>
        </w:rPr>
        <w:t xml:space="preserve">Po izbruhu okužb s SARS-CoV-1 ter MERS-CoV je bilo razvitih več kandidatnih cepiv, ki so temeljila na oslabljenih virusih, inaktiviranih virusih, vektorskih cepivih, cepivih na osnovi nukleinskih kislin (DNA ali RNA) ter na rekombinantnem proteinu S. Na osnovi podobnosti s SARS-CoV-1 ter MERS-CoV s SARS-CoV-2 (v 79 %), je bil  opredeljen protein virusne ovojnice (v nadaljevanju: </w:t>
      </w:r>
      <w:r w:rsidRPr="00E15F00">
        <w:rPr>
          <w:rFonts w:cs="Arial"/>
          <w:b/>
          <w:bCs/>
          <w:szCs w:val="20"/>
        </w:rPr>
        <w:t>protein S</w:t>
      </w:r>
      <w:r w:rsidRPr="00E15F00">
        <w:rPr>
          <w:rFonts w:cs="Arial"/>
          <w:szCs w:val="20"/>
        </w:rPr>
        <w:t xml:space="preserve">) kot najugodnejša tarča za načrtovanje imunogena. Razvoj cepiv temelji na raziskanem genomu SARS-CoV-2. Odkritje prostorske strukture </w:t>
      </w:r>
      <w:r w:rsidRPr="00E15F00">
        <w:rPr>
          <w:rFonts w:cs="Arial"/>
          <w:b/>
          <w:bCs/>
          <w:szCs w:val="20"/>
        </w:rPr>
        <w:t xml:space="preserve">proteina S </w:t>
      </w:r>
      <w:r w:rsidRPr="00E15F00">
        <w:rPr>
          <w:rFonts w:cs="Arial"/>
          <w:b/>
          <w:bCs/>
          <w:szCs w:val="20"/>
        </w:rPr>
        <w:br/>
      </w:r>
      <w:r w:rsidRPr="00E15F00">
        <w:rPr>
          <w:rFonts w:cs="Arial"/>
          <w:szCs w:val="20"/>
        </w:rPr>
        <w:t xml:space="preserve">SARS-CoV-2 je prispevalo k razvoju vezave virusnega proteina na pripadajoči </w:t>
      </w:r>
      <w:r w:rsidRPr="00E15F00">
        <w:rPr>
          <w:rFonts w:cs="Arial"/>
          <w:b/>
          <w:bCs/>
          <w:szCs w:val="20"/>
        </w:rPr>
        <w:t>receptor ACE2</w:t>
      </w:r>
      <w:r w:rsidRPr="00E15F00">
        <w:rPr>
          <w:rFonts w:cs="Arial"/>
          <w:szCs w:val="20"/>
        </w:rPr>
        <w:t xml:space="preserve"> celice gostitelja ter pri načrtovanju </w:t>
      </w:r>
      <w:r w:rsidRPr="00E15F00">
        <w:rPr>
          <w:rFonts w:cs="Arial"/>
          <w:b/>
          <w:bCs/>
          <w:szCs w:val="20"/>
        </w:rPr>
        <w:t xml:space="preserve">imunogena. </w:t>
      </w:r>
      <w:r w:rsidRPr="00E15F00">
        <w:rPr>
          <w:rFonts w:cs="Arial"/>
          <w:szCs w:val="20"/>
        </w:rPr>
        <w:t>Po imunizaciji nastala protitelesa proti proteinu S preprečijo vezavo virusa na receptor ACE2 gostitelja, kar onemogoči vstop virusa v celice gostitelja (ta protitelesa imajo nevtralizirajoči učinek).</w:t>
      </w:r>
    </w:p>
    <w:p w:rsidR="00E15F00" w:rsidRPr="00E15F00" w:rsidRDefault="00E15F00" w:rsidP="00E15F00">
      <w:pPr>
        <w:jc w:val="both"/>
        <w:rPr>
          <w:rFonts w:cs="Arial"/>
          <w:szCs w:val="20"/>
          <w:lang w:eastAsia="sl-SI"/>
        </w:rPr>
      </w:pPr>
    </w:p>
    <w:p w:rsidR="00E15F00" w:rsidRPr="00E15F00" w:rsidRDefault="00E15F00" w:rsidP="00E15F00">
      <w:pPr>
        <w:jc w:val="both"/>
        <w:rPr>
          <w:rFonts w:cs="Arial"/>
          <w:szCs w:val="20"/>
          <w:lang w:eastAsia="sl-SI"/>
        </w:rPr>
      </w:pPr>
      <w:r w:rsidRPr="00E15F00">
        <w:rPr>
          <w:rFonts w:cs="Arial"/>
          <w:szCs w:val="20"/>
          <w:lang w:eastAsia="sl-SI"/>
        </w:rPr>
        <w:t>Razvoj cepiva poteka v več različnih fazah, od raziskovalne in pred-klinične faze, s preskusi na laboratorijskih živalih, do klinične faze 1, 2 in 3, s preskušanji na ljudeh, do dovoljenja za promet in uvedbe na trg. (priloga 1).</w:t>
      </w:r>
    </w:p>
    <w:p w:rsidR="00E15F00" w:rsidRPr="00E15F00" w:rsidRDefault="00E15F00" w:rsidP="00E15F00">
      <w:pPr>
        <w:jc w:val="both"/>
        <w:rPr>
          <w:rFonts w:cs="Arial"/>
          <w:szCs w:val="20"/>
          <w:lang w:eastAsia="sl-SI"/>
        </w:rPr>
      </w:pPr>
    </w:p>
    <w:p w:rsidR="00E15F00" w:rsidRPr="00E15F00" w:rsidRDefault="00E15F00" w:rsidP="00E15F00">
      <w:pPr>
        <w:autoSpaceDE w:val="0"/>
        <w:jc w:val="both"/>
        <w:rPr>
          <w:rFonts w:cs="Arial"/>
          <w:szCs w:val="20"/>
        </w:rPr>
      </w:pPr>
      <w:r w:rsidRPr="00E15F00">
        <w:rPr>
          <w:rFonts w:cs="Arial"/>
          <w:szCs w:val="20"/>
        </w:rPr>
        <w:t xml:space="preserve">Vsa cepiva, dostopna na EU trgu, morajo predhodno pridobiti dovoljenje za promet pri Evropski komisiji (EK) na podlagi pozitivne znanstvene ocene Evropske agencije za zdravila (EMA), kar pomeni, da morajo proizvajalci teh cepiv pred tem dokazati, da so cepiva varna, učinkovita in kakovostna. </w:t>
      </w:r>
    </w:p>
    <w:p w:rsidR="00E15F00" w:rsidRPr="00E15F00" w:rsidRDefault="00E15F00" w:rsidP="00E15F00">
      <w:pPr>
        <w:jc w:val="both"/>
        <w:rPr>
          <w:rFonts w:cs="Arial"/>
          <w:szCs w:val="20"/>
        </w:rPr>
      </w:pPr>
    </w:p>
    <w:p w:rsidR="00E15F00" w:rsidRPr="00E15F00" w:rsidRDefault="00E15F00" w:rsidP="00E15F00">
      <w:pPr>
        <w:pStyle w:val="Intenzivencitat"/>
        <w:rPr>
          <w:rFonts w:ascii="Arial" w:hAnsi="Arial" w:cs="Arial"/>
          <w:sz w:val="24"/>
          <w:szCs w:val="24"/>
        </w:rPr>
      </w:pPr>
      <w:r w:rsidRPr="00E15F00">
        <w:rPr>
          <w:rFonts w:ascii="Arial" w:hAnsi="Arial" w:cs="Arial"/>
          <w:sz w:val="24"/>
          <w:szCs w:val="24"/>
        </w:rPr>
        <w:lastRenderedPageBreak/>
        <w:t>2. Določitev prednostnih skupin za cepljenje proti COVID-19</w:t>
      </w:r>
    </w:p>
    <w:p w:rsidR="00E15F00" w:rsidRPr="00E15F00" w:rsidRDefault="00E15F00" w:rsidP="00E15F00">
      <w:pPr>
        <w:jc w:val="both"/>
        <w:rPr>
          <w:rFonts w:cs="Arial"/>
          <w:szCs w:val="20"/>
        </w:rPr>
      </w:pPr>
      <w:r w:rsidRPr="00E15F00">
        <w:rPr>
          <w:rFonts w:cs="Arial"/>
          <w:szCs w:val="20"/>
        </w:rPr>
        <w:t xml:space="preserve">Namen cepljenja je predvsem zmanjšati umrljivost zaradi COVID-19, izboljšati zdravje prebivalstva s preprečevanjem težkega poteka koronavirusne bolezni pri posameznikih, razbremeniti zdravstveni sistem ter omogočiti ponoven zagon gospodarstva ter ponovno vzpostaviti izobraževanje, promet, dejavnosti v kulturi ter socialno življenje in ostale aktivnosti, ki so zaradi krize omejene. </w:t>
      </w:r>
    </w:p>
    <w:p w:rsidR="00E15F00" w:rsidRPr="00E15F00" w:rsidRDefault="00E15F00" w:rsidP="00E15F00">
      <w:pPr>
        <w:jc w:val="both"/>
        <w:rPr>
          <w:rFonts w:cs="Arial"/>
          <w:szCs w:val="20"/>
        </w:rPr>
      </w:pPr>
    </w:p>
    <w:p w:rsidR="00E15F00" w:rsidRPr="00E15F00" w:rsidRDefault="00E15F00" w:rsidP="00E15F00">
      <w:pPr>
        <w:autoSpaceDE w:val="0"/>
        <w:autoSpaceDN w:val="0"/>
        <w:adjustRightInd w:val="0"/>
        <w:jc w:val="both"/>
        <w:rPr>
          <w:rFonts w:cs="Arial"/>
          <w:szCs w:val="20"/>
        </w:rPr>
      </w:pPr>
      <w:r w:rsidRPr="00E15F00">
        <w:rPr>
          <w:rFonts w:cs="Arial"/>
          <w:szCs w:val="20"/>
        </w:rPr>
        <w:t xml:space="preserve">Dosedanja spoznanja kažejo, da je starost najpomembnejši dejavnik tveganja za težji potek in smrt zaradi COVID-19, tveganje pa je večje tudi pri posameznikih z določenimi kroničnimi obolenji. Strategija opredeljuje prednostne skupine za cepljenje. Podrobneje je to področje predstavljeno v prilogi 6. </w:t>
      </w:r>
    </w:p>
    <w:p w:rsidR="00E15F00" w:rsidRPr="00E15F00" w:rsidRDefault="00E15F00" w:rsidP="00E15F00">
      <w:pPr>
        <w:autoSpaceDE w:val="0"/>
        <w:autoSpaceDN w:val="0"/>
        <w:adjustRightInd w:val="0"/>
        <w:jc w:val="both"/>
        <w:rPr>
          <w:rFonts w:cs="Arial"/>
          <w:color w:val="000000"/>
        </w:rPr>
      </w:pPr>
    </w:p>
    <w:p w:rsidR="00E15F00" w:rsidRPr="00E15F00" w:rsidRDefault="00E15F00" w:rsidP="00E15F00">
      <w:pPr>
        <w:jc w:val="both"/>
        <w:rPr>
          <w:rFonts w:cs="Arial"/>
          <w:szCs w:val="20"/>
        </w:rPr>
      </w:pPr>
      <w:r w:rsidRPr="00E15F00">
        <w:rPr>
          <w:rFonts w:cs="Arial"/>
          <w:szCs w:val="20"/>
        </w:rPr>
        <w:t>Glede na nova spoznanja in odobreno registracijsko dokumentacijo posameznih cepiv proti COVID-19 se bodo priporočila glede prednostnih skupin sproti posodabljala. Posodobljena priporočila bodo objavljena na spletni strani NIJZ in MZ.</w:t>
      </w:r>
    </w:p>
    <w:p w:rsidR="00E15F00" w:rsidRPr="00E15F00" w:rsidRDefault="00E15F00" w:rsidP="00E15F00">
      <w:pPr>
        <w:jc w:val="both"/>
        <w:rPr>
          <w:rFonts w:cs="Arial"/>
          <w:b/>
          <w:szCs w:val="20"/>
        </w:rPr>
      </w:pPr>
    </w:p>
    <w:p w:rsidR="00E15F00" w:rsidRPr="00E15F00" w:rsidRDefault="00E15F00" w:rsidP="00E15F00">
      <w:pPr>
        <w:jc w:val="both"/>
        <w:rPr>
          <w:rFonts w:cs="Arial"/>
          <w:szCs w:val="20"/>
        </w:rPr>
      </w:pPr>
      <w:r w:rsidRPr="00E15F00">
        <w:rPr>
          <w:rFonts w:cs="Arial"/>
          <w:szCs w:val="20"/>
        </w:rPr>
        <w:t xml:space="preserve">V prilogi 7 je opredeljena ocena velikosti posamezne skupine in potrebna količina odmerkov glede na delež cepljenih. </w:t>
      </w:r>
    </w:p>
    <w:p w:rsidR="00E15F00" w:rsidRPr="00E15F00" w:rsidRDefault="00E15F00" w:rsidP="00E15F00">
      <w:pPr>
        <w:jc w:val="both"/>
        <w:rPr>
          <w:rFonts w:cs="Arial"/>
          <w:b/>
          <w:bCs/>
          <w:szCs w:val="20"/>
        </w:rPr>
      </w:pPr>
    </w:p>
    <w:p w:rsidR="00E15F00" w:rsidRPr="00E15F00" w:rsidRDefault="00E15F00" w:rsidP="00E15F00">
      <w:pPr>
        <w:jc w:val="both"/>
        <w:rPr>
          <w:rFonts w:cs="Arial"/>
          <w:b/>
          <w:bCs/>
          <w:szCs w:val="20"/>
        </w:rPr>
      </w:pPr>
    </w:p>
    <w:p w:rsidR="00E15F00" w:rsidRPr="00E15F00" w:rsidRDefault="00E15F00" w:rsidP="00E15F00">
      <w:pPr>
        <w:jc w:val="both"/>
        <w:rPr>
          <w:rFonts w:cs="Arial"/>
          <w:b/>
          <w:bCs/>
          <w:szCs w:val="20"/>
        </w:rPr>
      </w:pPr>
      <w:r w:rsidRPr="00E15F00">
        <w:rPr>
          <w:rFonts w:cs="Arial"/>
          <w:b/>
          <w:bCs/>
          <w:szCs w:val="20"/>
        </w:rPr>
        <w:t>Možnost izbire cepiva</w:t>
      </w:r>
    </w:p>
    <w:p w:rsidR="00E15F00" w:rsidRPr="00E15F00" w:rsidRDefault="00E15F00" w:rsidP="00E15F00">
      <w:pPr>
        <w:jc w:val="both"/>
        <w:rPr>
          <w:rFonts w:cs="Arial"/>
          <w:b/>
          <w:bCs/>
          <w:szCs w:val="20"/>
        </w:rPr>
      </w:pPr>
    </w:p>
    <w:p w:rsidR="00E15F00" w:rsidRPr="00E15F00" w:rsidRDefault="00E15F00" w:rsidP="00E15F00">
      <w:pPr>
        <w:jc w:val="both"/>
        <w:rPr>
          <w:rFonts w:cs="Arial"/>
          <w:szCs w:val="20"/>
        </w:rPr>
      </w:pPr>
      <w:r w:rsidRPr="00E15F00">
        <w:rPr>
          <w:rFonts w:cs="Arial"/>
          <w:szCs w:val="20"/>
        </w:rPr>
        <w:t xml:space="preserve">Zaradi količinskih in logističnih omejitev v začetni fazi ni mogoče zagotavljati izbire cepiva. Možnost izbire cepiva bo morda mogoča, ko bo na voljo dovolj cepiv proti COVID-19 za vse. </w:t>
      </w: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pStyle w:val="Intenzivencitat"/>
        <w:rPr>
          <w:rFonts w:ascii="Arial" w:hAnsi="Arial" w:cs="Arial"/>
          <w:sz w:val="28"/>
          <w:szCs w:val="28"/>
        </w:rPr>
      </w:pPr>
      <w:r w:rsidRPr="00E15F00">
        <w:rPr>
          <w:rFonts w:ascii="Arial" w:hAnsi="Arial" w:cs="Arial"/>
          <w:sz w:val="28"/>
          <w:szCs w:val="28"/>
        </w:rPr>
        <w:t>3. Distribucija in logistika</w:t>
      </w: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eastAsia="ヒラギノ角ゴ Pro W3" w:cs="Arial"/>
          <w:color w:val="000000"/>
          <w:szCs w:val="20"/>
          <w:lang w:eastAsia="sl-SI"/>
        </w:rPr>
      </w:pPr>
      <w:r w:rsidRPr="00E15F00">
        <w:rPr>
          <w:rFonts w:eastAsia="ヒラギノ角ゴ Pro W3" w:cs="Arial"/>
          <w:color w:val="000000"/>
          <w:szCs w:val="20"/>
          <w:lang w:eastAsia="sl-SI"/>
        </w:rPr>
        <w:t>Nabava cepiva proti COVID-19 poteka predvsem preko skupnega mehanizma nabave EU.</w:t>
      </w:r>
      <w:r w:rsidRPr="00E15F00">
        <w:rPr>
          <w:rFonts w:eastAsia="ヒラギノ角ゴ Pro W3" w:cs="Arial"/>
          <w:color w:val="000000"/>
          <w:sz w:val="24"/>
          <w:szCs w:val="20"/>
          <w:lang w:eastAsia="sl-SI"/>
        </w:rPr>
        <w:t xml:space="preserve"> </w:t>
      </w:r>
      <w:r w:rsidRPr="00E15F00">
        <w:rPr>
          <w:rFonts w:eastAsia="ヒラギノ角ゴ Pro W3" w:cs="Arial"/>
          <w:color w:val="000000"/>
          <w:szCs w:val="20"/>
          <w:lang w:eastAsia="sl-SI"/>
        </w:rPr>
        <w:t xml:space="preserve">Cepiva se financirajo iz proračuna Republike Slovenije, cepiva naroča Ministrstvo za zdravje. </w:t>
      </w: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eastAsia="ヒラギノ角ゴ Pro W3" w:cs="Arial"/>
          <w:color w:val="000000"/>
          <w:szCs w:val="20"/>
          <w:lang w:eastAsia="sl-SI"/>
        </w:rPr>
      </w:pP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eastAsia="ヒラギノ角ゴ Pro W3" w:cs="Arial"/>
          <w:color w:val="000000"/>
          <w:szCs w:val="20"/>
          <w:lang w:eastAsia="sl-SI"/>
        </w:rPr>
      </w:pPr>
      <w:r w:rsidRPr="00E15F00">
        <w:rPr>
          <w:rFonts w:eastAsia="ヒラギノ角ゴ Pro W3" w:cs="Arial"/>
          <w:color w:val="000000"/>
          <w:szCs w:val="20"/>
          <w:lang w:eastAsia="sl-SI"/>
        </w:rPr>
        <w:t xml:space="preserve">Iz proračuna Republike Slovenije se zagotavljajo tudi medicinski pripomočki za izvedbo cepljenja (brizge, igle) in topilo za pripravo cepiva. Nabava poteka centralizirano, preko Ministrstva za zdravje oziroma pooblaščenega javnega zavoda NIJZ </w:t>
      </w: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eastAsia="ヒラギノ角ゴ Pro W3" w:cs="Arial"/>
          <w:color w:val="000000"/>
          <w:szCs w:val="20"/>
          <w:lang w:eastAsia="sl-SI"/>
        </w:rPr>
      </w:pP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eastAsia="ヒラギノ角ゴ Pro W3" w:cs="Arial"/>
          <w:color w:val="000000"/>
          <w:szCs w:val="20"/>
          <w:lang w:eastAsia="sl-SI"/>
        </w:rPr>
      </w:pPr>
      <w:r w:rsidRPr="00E15F00">
        <w:rPr>
          <w:rFonts w:eastAsia="ヒラギノ角ゴ Pro W3" w:cs="Arial"/>
          <w:color w:val="000000"/>
          <w:szCs w:val="20"/>
          <w:lang w:eastAsia="sl-SI"/>
        </w:rPr>
        <w:t>Celotna logistika in distribucija cepiva proti COVID-19 poteka preko centralnega logističnega sistema, ki ga vzpostavi in upravlja NIJZ:</w:t>
      </w:r>
    </w:p>
    <w:p w:rsidR="00E15F00" w:rsidRPr="00E15F00" w:rsidRDefault="00E15F00" w:rsidP="00E15F00">
      <w:pPr>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hanging="720"/>
        <w:jc w:val="both"/>
        <w:rPr>
          <w:rFonts w:eastAsia="ヒラギノ角ゴ Pro W3" w:cs="Arial"/>
          <w:color w:val="000000"/>
          <w:szCs w:val="20"/>
          <w:lang w:eastAsia="sl-SI"/>
        </w:rPr>
      </w:pPr>
      <w:r w:rsidRPr="00E15F00">
        <w:rPr>
          <w:rFonts w:eastAsia="ヒラギノ角ゴ Pro W3" w:cs="Arial"/>
          <w:color w:val="000000"/>
          <w:szCs w:val="20"/>
          <w:lang w:eastAsia="sl-SI"/>
        </w:rPr>
        <w:t>Vzpostavljen je elektronski sistema naročanja cepiv in priprava razdelilnika v skladu z določenimi prioritetami ter izraženimi potrebami cepilnih centrov,</w:t>
      </w:r>
    </w:p>
    <w:p w:rsidR="00E15F00" w:rsidRPr="00E15F00" w:rsidRDefault="00E15F00" w:rsidP="00E15F00">
      <w:pPr>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hanging="720"/>
        <w:jc w:val="both"/>
        <w:rPr>
          <w:rFonts w:eastAsia="ヒラギノ角ゴ Pro W3" w:cs="Arial"/>
          <w:color w:val="000000"/>
          <w:szCs w:val="20"/>
          <w:lang w:eastAsia="sl-SI"/>
        </w:rPr>
      </w:pPr>
      <w:r w:rsidRPr="00E15F00">
        <w:rPr>
          <w:rFonts w:eastAsia="ヒラギノ角ゴ Pro W3" w:cs="Arial"/>
          <w:color w:val="000000"/>
          <w:szCs w:val="20"/>
          <w:lang w:eastAsia="sl-SI"/>
        </w:rPr>
        <w:t>Vzpostavljen je distribucijski center pri zunanjem izvajalcu NIJZ za prevzem cepiv od dobaviteljev, shranjevanje, razdeljevanje, pripravo in izdajo cepiv ter dostavo cepiv v cepilne centre.</w:t>
      </w: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eastAsia="ヒラギノ角ゴ Pro W3" w:cs="Arial"/>
          <w:color w:val="000000"/>
          <w:szCs w:val="20"/>
          <w:lang w:eastAsia="sl-SI"/>
        </w:rPr>
      </w:pP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eastAsia="ヒラギノ角ゴ Pro W3" w:cs="Arial"/>
          <w:color w:val="000000"/>
          <w:szCs w:val="20"/>
          <w:lang w:eastAsia="sl-SI"/>
        </w:rPr>
      </w:pPr>
      <w:r w:rsidRPr="00E15F00">
        <w:rPr>
          <w:rFonts w:eastAsia="ヒラギノ角ゴ Pro W3" w:cs="Arial"/>
          <w:color w:val="000000"/>
          <w:szCs w:val="20"/>
          <w:lang w:eastAsia="sl-SI"/>
        </w:rPr>
        <w:t>Pri pripravi načrta distribucije, shranjevanja in logistike se upošteva različne velikosti pakiranj posameznih cepiv in posebne temperaturne pogoje za transport in shranjevanje cepiv treh različnih platform:</w:t>
      </w:r>
    </w:p>
    <w:p w:rsidR="00E15F00" w:rsidRPr="00E15F00" w:rsidRDefault="00E15F00" w:rsidP="00E15F00">
      <w:pPr>
        <w:numPr>
          <w:ilvl w:val="0"/>
          <w:numId w:val="1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hanging="780"/>
        <w:jc w:val="both"/>
        <w:rPr>
          <w:rFonts w:eastAsia="ヒラギノ角ゴ Pro W3" w:cs="Arial"/>
          <w:color w:val="000000"/>
          <w:szCs w:val="20"/>
          <w:lang w:eastAsia="sl-SI"/>
        </w:rPr>
      </w:pPr>
      <w:r w:rsidRPr="00E15F00">
        <w:rPr>
          <w:rFonts w:eastAsia="ヒラギノ角ゴ Pro W3" w:cs="Arial"/>
          <w:color w:val="000000"/>
          <w:szCs w:val="20"/>
          <w:lang w:eastAsia="sl-SI"/>
        </w:rPr>
        <w:lastRenderedPageBreak/>
        <w:t>temperaturno območje od -60°C do -90°C,</w:t>
      </w:r>
    </w:p>
    <w:p w:rsidR="00E15F00" w:rsidRPr="00E15F00" w:rsidRDefault="00E15F00" w:rsidP="00E15F00">
      <w:pPr>
        <w:numPr>
          <w:ilvl w:val="0"/>
          <w:numId w:val="1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ind w:hanging="780"/>
        <w:jc w:val="both"/>
        <w:rPr>
          <w:rFonts w:eastAsia="ヒラギノ角ゴ Pro W3" w:cs="Arial"/>
          <w:color w:val="000000"/>
          <w:szCs w:val="20"/>
          <w:lang w:eastAsia="sl-SI"/>
        </w:rPr>
      </w:pPr>
      <w:r w:rsidRPr="00E15F00">
        <w:rPr>
          <w:rFonts w:eastAsia="ヒラギノ角ゴ Pro W3" w:cs="Arial"/>
          <w:color w:val="000000"/>
          <w:szCs w:val="20"/>
          <w:lang w:eastAsia="sl-SI"/>
        </w:rPr>
        <w:t>od -15°C do -25°C,</w:t>
      </w:r>
    </w:p>
    <w:p w:rsidR="00E15F00" w:rsidRPr="00E15F00" w:rsidRDefault="00E15F00" w:rsidP="00E15F00">
      <w:pPr>
        <w:numPr>
          <w:ilvl w:val="0"/>
          <w:numId w:val="1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ind w:hanging="780"/>
        <w:jc w:val="both"/>
        <w:rPr>
          <w:rFonts w:eastAsia="ヒラギノ角ゴ Pro W3" w:cs="Arial"/>
          <w:color w:val="000000"/>
          <w:szCs w:val="20"/>
          <w:lang w:eastAsia="sl-SI"/>
        </w:rPr>
      </w:pPr>
      <w:r w:rsidRPr="00E15F00">
        <w:rPr>
          <w:rFonts w:eastAsia="ヒラギノ角ゴ Pro W3" w:cs="Arial"/>
          <w:color w:val="000000"/>
          <w:szCs w:val="20"/>
          <w:lang w:eastAsia="sl-SI"/>
        </w:rPr>
        <w:t>od 2°C do 8°C.</w:t>
      </w: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ind w:hanging="780"/>
        <w:jc w:val="both"/>
        <w:rPr>
          <w:rFonts w:eastAsia="ヒラギノ角ゴ Pro W3" w:cs="Arial"/>
          <w:color w:val="000000"/>
          <w:szCs w:val="20"/>
          <w:lang w:eastAsia="sl-SI"/>
        </w:rPr>
      </w:pP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jc w:val="both"/>
        <w:rPr>
          <w:rFonts w:eastAsia="ヒラギノ角ゴ Pro W3" w:cs="Arial"/>
          <w:color w:val="000000"/>
          <w:szCs w:val="20"/>
          <w:lang w:eastAsia="sl-SI"/>
        </w:rPr>
      </w:pPr>
      <w:r w:rsidRPr="00E15F00">
        <w:rPr>
          <w:rFonts w:eastAsia="ヒラギノ角ゴ Pro W3" w:cs="Arial"/>
          <w:color w:val="000000"/>
          <w:szCs w:val="20"/>
          <w:lang w:eastAsia="sl-SI"/>
        </w:rPr>
        <w:t xml:space="preserve">Uvoz oziroma vnos cepiv in sproščanje cepiv proti </w:t>
      </w:r>
      <w:r>
        <w:rPr>
          <w:rFonts w:eastAsia="ヒラギノ角ゴ Pro W3" w:cs="Arial"/>
          <w:color w:val="000000"/>
          <w:szCs w:val="20"/>
          <w:lang w:eastAsia="sl-SI"/>
        </w:rPr>
        <w:t>COVID</w:t>
      </w:r>
      <w:r w:rsidRPr="00E15F00">
        <w:rPr>
          <w:rFonts w:eastAsia="ヒラギノ角ゴ Pro W3" w:cs="Arial"/>
          <w:color w:val="000000"/>
          <w:szCs w:val="20"/>
          <w:lang w:eastAsia="sl-SI"/>
        </w:rPr>
        <w:t xml:space="preserve">-19 poteka v skladu z veljavno zakonodajo v Republiki Sloveniji. Distribucija cepiv proti </w:t>
      </w:r>
      <w:r>
        <w:rPr>
          <w:rFonts w:eastAsia="ヒラギノ角ゴ Pro W3" w:cs="Arial"/>
          <w:color w:val="000000"/>
          <w:szCs w:val="20"/>
          <w:lang w:eastAsia="sl-SI"/>
        </w:rPr>
        <w:t>COVID</w:t>
      </w:r>
      <w:r w:rsidRPr="00E15F00">
        <w:rPr>
          <w:rFonts w:eastAsia="ヒラギノ角ゴ Pro W3" w:cs="Arial"/>
          <w:color w:val="000000"/>
          <w:szCs w:val="20"/>
          <w:lang w:eastAsia="sl-SI"/>
        </w:rPr>
        <w:t>-19 poteka v skladu s Smernicami o dobri distribucijski praksi zdravil za humano uporabo.</w:t>
      </w: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jc w:val="both"/>
        <w:rPr>
          <w:rFonts w:eastAsia="ヒラギノ角ゴ Pro W3" w:cs="Arial"/>
          <w:color w:val="000000"/>
          <w:szCs w:val="20"/>
          <w:lang w:eastAsia="sl-SI"/>
        </w:rPr>
      </w:pP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jc w:val="both"/>
        <w:rPr>
          <w:rFonts w:eastAsia="ヒラギノ角ゴ Pro W3" w:cs="Arial"/>
          <w:color w:val="000000"/>
          <w:szCs w:val="20"/>
          <w:lang w:eastAsia="sl-SI"/>
        </w:rPr>
      </w:pPr>
      <w:r w:rsidRPr="00E15F00">
        <w:rPr>
          <w:rFonts w:eastAsia="ヒラギノ角ゴ Pro W3" w:cs="Arial"/>
          <w:color w:val="000000"/>
          <w:szCs w:val="20"/>
          <w:lang w:eastAsia="sl-SI"/>
        </w:rPr>
        <w:t xml:space="preserve">Cepilni centri se organizirajo po statističnih regijah (cepilni centi so opredeljeni v prilogi št. 3). Cepilni centri zbirajo potrebe po cepljenju v območju, ki ga pokrivajo, potrebe sporočijo NIJZ in organizirajo cepljenje na svojem območju. </w:t>
      </w: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jc w:val="both"/>
        <w:rPr>
          <w:rFonts w:eastAsia="ヒラギノ角ゴ Pro W3" w:cs="Arial"/>
          <w:color w:val="000000"/>
          <w:szCs w:val="20"/>
          <w:lang w:eastAsia="sl-SI"/>
        </w:rPr>
      </w:pP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jc w:val="both"/>
        <w:rPr>
          <w:rFonts w:eastAsia="ヒラギノ角ゴ Pro W3" w:cs="Arial"/>
          <w:color w:val="000000"/>
          <w:szCs w:val="20"/>
          <w:lang w:eastAsia="sl-SI"/>
        </w:rPr>
      </w:pPr>
      <w:r w:rsidRPr="00E15F00">
        <w:rPr>
          <w:rFonts w:eastAsia="ヒラギノ角ゴ Pro W3" w:cs="Arial"/>
          <w:color w:val="000000"/>
          <w:szCs w:val="20"/>
          <w:lang w:eastAsia="sl-SI"/>
        </w:rPr>
        <w:t xml:space="preserve">Na cepilnih centrih se zagotovijo cepilni timi, določijo se tudi mobilne cepilne enote, ki bodo izvajale množično cepljenje na terenu. Cepljenje oseb z zmanjšano pokretnostjo (nepokretnih) na domu izvede patronažna služba po sprejetem protokolu ali zdravnik na hišnem obisku. </w:t>
      </w: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jc w:val="both"/>
        <w:rPr>
          <w:rFonts w:eastAsia="ヒラギノ角ゴ Pro W3" w:cs="Arial"/>
          <w:color w:val="000000"/>
          <w:szCs w:val="20"/>
          <w:lang w:eastAsia="sl-SI"/>
        </w:rPr>
      </w:pP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jc w:val="both"/>
        <w:rPr>
          <w:rFonts w:eastAsia="ヒラギノ角ゴ Pro W3" w:cs="Arial"/>
          <w:color w:val="000000"/>
          <w:szCs w:val="20"/>
          <w:lang w:eastAsia="sl-SI"/>
        </w:rPr>
      </w:pPr>
      <w:r w:rsidRPr="00E15F00">
        <w:rPr>
          <w:rFonts w:eastAsia="ヒラギノ角ゴ Pro W3" w:cs="Arial"/>
          <w:color w:val="000000"/>
          <w:szCs w:val="20"/>
          <w:lang w:eastAsia="sl-SI"/>
        </w:rPr>
        <w:t>V delovanje cepilnih centrov ter mobilnih cepilnih enot se vključijo vsi izvajalci zdravstvene dejavnosti (vključno s koncesionarji) na primarni ravni z območja, ki ga pokriva posamezen cepilni center v skladu z navodili Ministrstva za zdravje.</w:t>
      </w: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jc w:val="both"/>
        <w:rPr>
          <w:rFonts w:eastAsia="ヒラギノ角ゴ Pro W3" w:cs="Arial"/>
          <w:color w:val="000000"/>
          <w:szCs w:val="20"/>
          <w:lang w:eastAsia="sl-SI"/>
        </w:rPr>
      </w:pP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jc w:val="both"/>
        <w:rPr>
          <w:rFonts w:eastAsia="ヒラギノ角ゴ Pro W3" w:cs="Arial"/>
          <w:color w:val="000000"/>
          <w:szCs w:val="20"/>
          <w:lang w:eastAsia="sl-SI"/>
        </w:rPr>
      </w:pPr>
      <w:r w:rsidRPr="00E15F00">
        <w:rPr>
          <w:rFonts w:eastAsia="ヒラギノ角ゴ Pro W3" w:cs="Arial"/>
          <w:color w:val="000000"/>
          <w:szCs w:val="20"/>
          <w:lang w:eastAsia="sl-SI"/>
        </w:rPr>
        <w:t>Cepilni centri morajo obvezno voditi seznam posameznikov, predvidenih za cepljenje, ki mora vključevati naslednje podatke: ime in priimek cepljene osebe, starost, prednostna skupina za cepljenje, druge opombe. Na podlagi tega seznama cepilni center preko portala zVEM naroči količino potrebnih odmerkov cepiva na NIJZ. Hkrati morajo cepilni centri na cepilnem mestu imeti seznam oseb za cepljenje in seznam oseb, ki bodo v primeru odpovedi cepljenja s strani primarno predvidenih oseb, prejele sproščeni odmerek cepiva</w:t>
      </w: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jc w:val="both"/>
        <w:rPr>
          <w:rFonts w:eastAsia="ヒラギノ角ゴ Pro W3" w:cs="Arial"/>
          <w:color w:val="000000"/>
          <w:szCs w:val="20"/>
          <w:lang w:eastAsia="sl-SI"/>
        </w:rPr>
      </w:pP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jc w:val="both"/>
        <w:rPr>
          <w:rFonts w:eastAsia="ヒラギノ角ゴ Pro W3" w:cs="Arial"/>
          <w:color w:val="000000"/>
          <w:szCs w:val="20"/>
          <w:lang w:eastAsia="sl-SI"/>
        </w:rPr>
      </w:pPr>
      <w:r w:rsidRPr="00E15F00">
        <w:rPr>
          <w:rFonts w:eastAsia="ヒラギノ角ゴ Pro W3" w:cs="Arial"/>
          <w:color w:val="000000"/>
          <w:szCs w:val="20"/>
          <w:lang w:eastAsia="sl-SI"/>
        </w:rPr>
        <w:t>Razdelilnik cepiv je vezan na prednostne skupine in količino cepiv, ki so na voljo.</w:t>
      </w: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jc w:val="both"/>
        <w:rPr>
          <w:rFonts w:eastAsia="ヒラギノ角ゴ Pro W3" w:cs="Arial"/>
          <w:color w:val="000000"/>
          <w:szCs w:val="20"/>
          <w:lang w:eastAsia="sl-SI"/>
        </w:rPr>
      </w:pPr>
    </w:p>
    <w:p w:rsidR="00E15F00" w:rsidRPr="00E15F00" w:rsidRDefault="00E15F00" w:rsidP="00E15F0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jc w:val="both"/>
        <w:rPr>
          <w:rFonts w:eastAsia="ヒラギノ角ゴ Pro W3" w:cs="Arial"/>
          <w:color w:val="000000"/>
          <w:szCs w:val="20"/>
          <w:lang w:eastAsia="sl-SI"/>
        </w:rPr>
      </w:pPr>
    </w:p>
    <w:p w:rsidR="00E15F00" w:rsidRPr="00E15F00" w:rsidRDefault="00E15F00" w:rsidP="00E15F00">
      <w:pPr>
        <w:pStyle w:val="Intenzivencitat"/>
        <w:rPr>
          <w:rFonts w:ascii="Arial" w:hAnsi="Arial" w:cs="Arial"/>
          <w:sz w:val="20"/>
          <w:szCs w:val="20"/>
        </w:rPr>
      </w:pPr>
      <w:r w:rsidRPr="00E15F00">
        <w:rPr>
          <w:rFonts w:ascii="Arial" w:hAnsi="Arial" w:cs="Arial"/>
          <w:sz w:val="28"/>
          <w:szCs w:val="28"/>
        </w:rPr>
        <w:t>4. Organizacija in izvajanje cepljenja</w:t>
      </w:r>
    </w:p>
    <w:p w:rsidR="00E15F00" w:rsidRPr="00E15F00" w:rsidRDefault="00E15F00" w:rsidP="00A46590">
      <w:pPr>
        <w:jc w:val="both"/>
        <w:rPr>
          <w:rFonts w:cs="Arial"/>
          <w:szCs w:val="20"/>
        </w:rPr>
      </w:pPr>
      <w:r w:rsidRPr="00E15F00">
        <w:rPr>
          <w:rFonts w:cs="Arial"/>
          <w:szCs w:val="20"/>
        </w:rPr>
        <w:t>S strategijo se zagotavlja ustrezno število cepilnih centrov, cepilnih mest in mobilnih cepilnih enot, ki izvajajo cepljenje zaposlenih v zdravstvu na primarni, sekundarni in terciarni ravni ter prednostnih skupin (najprej DSO in SVZ ter drugih prednostnih skupin) v regiji oz. na področju, ki ga pokriva določen cepilni center. V cepilne mobilne enote so vključeni vsi izvajalci cepljenja z območja, ki ga pokriva cepilni center.</w:t>
      </w:r>
    </w:p>
    <w:p w:rsidR="00E15F00" w:rsidRPr="00E15F00" w:rsidRDefault="00E15F00" w:rsidP="00A46590">
      <w:pPr>
        <w:jc w:val="both"/>
        <w:rPr>
          <w:rFonts w:cs="Arial"/>
          <w:szCs w:val="20"/>
        </w:rPr>
      </w:pPr>
    </w:p>
    <w:p w:rsidR="00E15F00" w:rsidRPr="00E15F00" w:rsidRDefault="00E15F00" w:rsidP="00A46590">
      <w:pPr>
        <w:jc w:val="both"/>
        <w:rPr>
          <w:rFonts w:cs="Arial"/>
          <w:szCs w:val="20"/>
        </w:rPr>
      </w:pPr>
      <w:r w:rsidRPr="00E15F00">
        <w:rPr>
          <w:rFonts w:cs="Arial"/>
          <w:szCs w:val="20"/>
        </w:rPr>
        <w:t>Glede cepljenja oskrbovancev v DSO in SVZ se v primerih, ko je to potrebno (npr. za dementne oskrbovance), vnaprej pridobi soglasja svojcev za cepljenje proti COVID-19.</w:t>
      </w:r>
    </w:p>
    <w:p w:rsidR="00E15F00" w:rsidRPr="00E15F00" w:rsidRDefault="00E15F00" w:rsidP="00A46590">
      <w:pPr>
        <w:jc w:val="both"/>
        <w:rPr>
          <w:rFonts w:cs="Arial"/>
          <w:szCs w:val="20"/>
        </w:rPr>
      </w:pPr>
    </w:p>
    <w:p w:rsidR="00E15F00" w:rsidRPr="00E15F00" w:rsidRDefault="00E15F00" w:rsidP="00A46590">
      <w:pPr>
        <w:jc w:val="both"/>
        <w:rPr>
          <w:rFonts w:cs="Arial"/>
          <w:szCs w:val="20"/>
        </w:rPr>
      </w:pPr>
      <w:r w:rsidRPr="00E15F00">
        <w:rPr>
          <w:rFonts w:cs="Arial"/>
          <w:szCs w:val="20"/>
        </w:rPr>
        <w:t xml:space="preserve">Cepljenje se čim bolj približa uporabnikom/prebivalstvu, pri čemer fleksibilnost zagotavljajo mobilne cepilne enote, ki zagotavljajo cepljenje na terenu. Cepilni centri so navedeni v prilogi 3. Cepilni centri koordinirajo cepljenje na svojem področju in po potrebi naročajo, shranjujejo ter posredujejo cepiva. </w:t>
      </w:r>
    </w:p>
    <w:p w:rsidR="00E15F00" w:rsidRPr="00E15F00" w:rsidRDefault="00E15F00" w:rsidP="00A46590">
      <w:pPr>
        <w:jc w:val="both"/>
        <w:rPr>
          <w:rFonts w:cs="Arial"/>
          <w:szCs w:val="20"/>
        </w:rPr>
      </w:pPr>
    </w:p>
    <w:p w:rsidR="00E15F00" w:rsidRPr="00E15F00" w:rsidRDefault="00E15F00" w:rsidP="00A46590">
      <w:pPr>
        <w:autoSpaceDE w:val="0"/>
        <w:autoSpaceDN w:val="0"/>
        <w:adjustRightInd w:val="0"/>
        <w:jc w:val="both"/>
        <w:rPr>
          <w:rFonts w:cs="Arial"/>
          <w:szCs w:val="20"/>
        </w:rPr>
      </w:pPr>
      <w:r w:rsidRPr="00E15F00">
        <w:rPr>
          <w:rFonts w:cs="Arial"/>
          <w:szCs w:val="20"/>
        </w:rPr>
        <w:t xml:space="preserve">Vsi izvajalci, ki opravljajo cepljenje proti COVID-19, morajo v 48 urah zagotoviti vnos podatkov o posameznem cepljenju v eRCO. V skladu s predpisom, ki ureja izdajanje potrdil, vodenje evidenc in zagotavljanje podatkov o cepljenju, neželenih učinkov po cepljenju in zdravstveni napaki pri cepljenju mora izvajalec cepljenja po opravljenem cepljenju le to vpisati v knjižico o cepljenju ali izpolniti kartico proizvajalca s podatki o opravljenem cepljenju ali cepljenemu izdati potrdilo o opravljenem cepljenju. </w:t>
      </w:r>
    </w:p>
    <w:p w:rsidR="00E15F00" w:rsidRPr="00E15F00" w:rsidRDefault="00E15F00" w:rsidP="00A46590">
      <w:pPr>
        <w:jc w:val="both"/>
        <w:rPr>
          <w:rFonts w:cs="Arial"/>
          <w:szCs w:val="20"/>
        </w:rPr>
      </w:pPr>
      <w:r w:rsidRPr="00E15F00">
        <w:rPr>
          <w:rFonts w:cs="Arial"/>
          <w:szCs w:val="20"/>
        </w:rPr>
        <w:lastRenderedPageBreak/>
        <w:t xml:space="preserve">Izvajalci cepljenja morajo imeti vedno, kadar cepijo, pripravljeno rezervno čakalno listo. Ta mora biti v skladu z določenimi prednostnimi skupinami podanimi v prilogi 6. Paciente z liste naj cepitelji pokličejo tedaj, ko jim zaradi različnih razlogov ostanejo odmerki cepiva. Cepitelji morajo voditi seznam posameznikov, predvidenih za cepljenje, na podlagi katerega preko portala zVEM sporočajo količino potrebnih odmerkov cepiva na NIJZ. </w:t>
      </w:r>
    </w:p>
    <w:p w:rsidR="00A46590" w:rsidRDefault="00A46590" w:rsidP="00A46590">
      <w:pPr>
        <w:jc w:val="both"/>
        <w:rPr>
          <w:rFonts w:cs="Arial"/>
          <w:szCs w:val="20"/>
        </w:rPr>
      </w:pPr>
    </w:p>
    <w:p w:rsidR="00E15F00" w:rsidRPr="00E15F00" w:rsidRDefault="00E15F00" w:rsidP="00A46590">
      <w:pPr>
        <w:jc w:val="both"/>
        <w:rPr>
          <w:rFonts w:cs="Arial"/>
          <w:szCs w:val="20"/>
        </w:rPr>
      </w:pPr>
      <w:r w:rsidRPr="00E15F00">
        <w:rPr>
          <w:rFonts w:cs="Arial"/>
          <w:szCs w:val="20"/>
        </w:rPr>
        <w:t xml:space="preserve">Za namene poenostavljenega izpisovanja opravljenih cepljenj proti COVID-19 in priprave potrdil je bil izdelan poseben modul eRCO, ki izvajalcem omogoča izpis vseh cepljenj, ki so bila posredovana v eRCO (vključno s cepljenji proti COVID-19) v obliki potrdila z vsemi relevantnimi podatki. Podatki o opravljenih cepljenjih posredovani v eRCO so že vidni tudi pacientom preko portala zVEM. </w:t>
      </w:r>
    </w:p>
    <w:p w:rsidR="00E15F00" w:rsidRPr="00E15F00" w:rsidRDefault="00E15F00" w:rsidP="00A46590">
      <w:pPr>
        <w:jc w:val="both"/>
        <w:rPr>
          <w:rFonts w:cs="Arial"/>
          <w:szCs w:val="20"/>
        </w:rPr>
      </w:pPr>
    </w:p>
    <w:p w:rsidR="00E15F00" w:rsidRPr="00E15F00" w:rsidRDefault="00E15F00" w:rsidP="00A46590">
      <w:pPr>
        <w:jc w:val="both"/>
        <w:rPr>
          <w:rFonts w:cs="Arial"/>
        </w:rPr>
      </w:pPr>
      <w:r w:rsidRPr="00E15F00">
        <w:rPr>
          <w:rFonts w:cs="Arial"/>
        </w:rPr>
        <w:t>Cepilni centri morajo obvezno voditi seznam posameznikov, predvidenih za cepljenje, na podlagi katerega izvajalec preko portala zVEM sporoča količino potrebnih odmerkov cepiva na NIJZ. Hkrati morajo voditi seznam cepljenih oseb in seznam oseb, ki bodo v primeru odpovedi cepljenja s strani primarno predvidenih oseb, prejele sproščeni odmerek cepiva.</w:t>
      </w:r>
    </w:p>
    <w:p w:rsidR="00E15F00" w:rsidRPr="00E15F00" w:rsidRDefault="00E15F00" w:rsidP="00A46590">
      <w:pPr>
        <w:jc w:val="both"/>
        <w:rPr>
          <w:rFonts w:cs="Arial"/>
          <w:szCs w:val="20"/>
        </w:rPr>
      </w:pPr>
    </w:p>
    <w:p w:rsidR="00E15F00" w:rsidRPr="00E15F00" w:rsidRDefault="00E15F00" w:rsidP="00A46590">
      <w:pPr>
        <w:jc w:val="both"/>
        <w:rPr>
          <w:rFonts w:cs="Arial"/>
          <w:szCs w:val="20"/>
        </w:rPr>
      </w:pPr>
      <w:r w:rsidRPr="00E15F00">
        <w:rPr>
          <w:rFonts w:cs="Arial"/>
          <w:szCs w:val="20"/>
        </w:rPr>
        <w:t>Razdelilnik cepiv je vezan na prednostne skupine in količino cepiv, ki so na voljo.</w:t>
      </w:r>
    </w:p>
    <w:p w:rsidR="00E15F00" w:rsidRPr="00E15F00" w:rsidRDefault="00E15F00" w:rsidP="00A46590">
      <w:pPr>
        <w:jc w:val="both"/>
        <w:rPr>
          <w:rFonts w:cs="Arial"/>
          <w:b/>
          <w:color w:val="2F5496"/>
          <w:szCs w:val="20"/>
        </w:rPr>
      </w:pPr>
      <w:r w:rsidRPr="00E15F00">
        <w:rPr>
          <w:rFonts w:cs="Arial"/>
          <w:szCs w:val="20"/>
        </w:rPr>
        <w:t>Priloge strategiji se redno posodabljajo v skladu z razvojem stroke in organizacijskih potreb pri izvajanju cepljenja.</w:t>
      </w:r>
      <w:r w:rsidRPr="00E15F00">
        <w:rPr>
          <w:rFonts w:cs="Arial"/>
          <w:b/>
          <w:color w:val="2F5496"/>
          <w:szCs w:val="20"/>
        </w:rPr>
        <w:t xml:space="preserve"> </w:t>
      </w:r>
    </w:p>
    <w:p w:rsidR="00E15F00" w:rsidRPr="00E15F00" w:rsidRDefault="00E15F00" w:rsidP="00E15F00">
      <w:pPr>
        <w:spacing w:line="256" w:lineRule="auto"/>
        <w:rPr>
          <w:rFonts w:cs="Arial"/>
          <w:b/>
          <w:color w:val="2F5496"/>
          <w:szCs w:val="20"/>
        </w:rPr>
      </w:pPr>
    </w:p>
    <w:p w:rsidR="00E15F00" w:rsidRPr="00E15F00" w:rsidRDefault="00E15F00" w:rsidP="00E15F00">
      <w:pPr>
        <w:pStyle w:val="Intenzivencitat"/>
        <w:rPr>
          <w:rFonts w:ascii="Arial" w:hAnsi="Arial" w:cs="Arial"/>
          <w:sz w:val="28"/>
          <w:szCs w:val="28"/>
        </w:rPr>
      </w:pPr>
      <w:r w:rsidRPr="00E15F00">
        <w:rPr>
          <w:rFonts w:ascii="Arial" w:hAnsi="Arial" w:cs="Arial"/>
          <w:sz w:val="28"/>
          <w:szCs w:val="28"/>
        </w:rPr>
        <w:t>5. Financiranje</w:t>
      </w:r>
    </w:p>
    <w:p w:rsidR="00E15F00" w:rsidRPr="00E15F00" w:rsidRDefault="00E15F00" w:rsidP="00A46590">
      <w:pPr>
        <w:jc w:val="both"/>
        <w:rPr>
          <w:rFonts w:cs="Arial"/>
          <w:szCs w:val="20"/>
        </w:rPr>
      </w:pPr>
      <w:r w:rsidRPr="00E15F00">
        <w:rPr>
          <w:rFonts w:cs="Arial"/>
          <w:szCs w:val="20"/>
        </w:rPr>
        <w:t xml:space="preserve">Cepljenje proti COVID-19 se zagotovi za vse, ki imajo stalno ali začasno prebivališče na območju Republike Slovenije, za osebe, ki prebivališča v Republiki Sloveniji nimajo, so pa zaposlene pri delodajalcu s sedežem v Republiki Sloveniji in za diplomatske predstavnike drugih držav, rezidenčno akreditiranih v Sloveniji. </w:t>
      </w:r>
    </w:p>
    <w:p w:rsidR="00E15F00" w:rsidRPr="00E15F00" w:rsidRDefault="00E15F00" w:rsidP="00A46590">
      <w:pPr>
        <w:jc w:val="both"/>
        <w:rPr>
          <w:rFonts w:cs="Arial"/>
          <w:szCs w:val="20"/>
        </w:rPr>
      </w:pPr>
    </w:p>
    <w:p w:rsidR="00E15F00" w:rsidRPr="00E15F00" w:rsidRDefault="00E15F00" w:rsidP="00A46590">
      <w:pPr>
        <w:jc w:val="both"/>
        <w:rPr>
          <w:rFonts w:cs="Arial"/>
          <w:szCs w:val="20"/>
        </w:rPr>
      </w:pPr>
      <w:r w:rsidRPr="00E15F00">
        <w:rPr>
          <w:rFonts w:cs="Arial"/>
          <w:szCs w:val="20"/>
        </w:rPr>
        <w:t xml:space="preserve">Iz proračuna Republike Slovenije oziroma sredstev pridobljenih iz proračuna Evropske unije, se zagotavljajo sredstva za pokrivanje stroškov nabave cepiv, fiziološke raztopine za injiciranje (potrebne za pripravo cepiv za cepljenje), medicinskih pripomočkov za izvedbo cepljenja, opreme za shranjevanje in prevoz cepiv, vključno s stroški distribucije in zavarovanja in drugi materialni stroški povezani s cepljenjem. </w:t>
      </w:r>
    </w:p>
    <w:p w:rsidR="00E15F00" w:rsidRPr="00E15F00" w:rsidRDefault="00E15F00" w:rsidP="00A46590">
      <w:pPr>
        <w:jc w:val="both"/>
        <w:rPr>
          <w:rFonts w:cs="Arial"/>
          <w:szCs w:val="20"/>
        </w:rPr>
      </w:pPr>
    </w:p>
    <w:p w:rsidR="00E15F00" w:rsidRPr="00E15F00" w:rsidRDefault="00E15F00" w:rsidP="00A46590">
      <w:pPr>
        <w:jc w:val="both"/>
        <w:rPr>
          <w:rFonts w:cs="Arial"/>
          <w:szCs w:val="20"/>
        </w:rPr>
      </w:pPr>
      <w:r w:rsidRPr="00E15F00">
        <w:rPr>
          <w:rFonts w:cs="Arial"/>
          <w:szCs w:val="20"/>
        </w:rPr>
        <w:t>Zagotovijo se tudi sredstva iz proračuna Republike Slovenije oziroma sredstev pridobljenih iz proračuna Evropske unije za pokrivanje stroškov kampanj cepljenja proti COVID-19, izobraževanja izvajalcev zdravstvene dejavnosti za pravilno delo s cepivi in za informacijsko podporo, pripravo in izvedbo cepljenja ter spremljanje izvajanja in učinkov cepljenja.</w:t>
      </w:r>
    </w:p>
    <w:p w:rsidR="00E15F00" w:rsidRPr="00E15F00" w:rsidRDefault="00E15F00" w:rsidP="00A46590">
      <w:pPr>
        <w:jc w:val="both"/>
        <w:rPr>
          <w:rFonts w:cs="Arial"/>
          <w:szCs w:val="20"/>
        </w:rPr>
      </w:pPr>
    </w:p>
    <w:p w:rsidR="00E15F00" w:rsidRPr="00E15F00" w:rsidRDefault="00E15F00" w:rsidP="00A46590">
      <w:pPr>
        <w:jc w:val="both"/>
        <w:rPr>
          <w:rFonts w:cs="Arial"/>
          <w:szCs w:val="20"/>
        </w:rPr>
      </w:pPr>
      <w:r w:rsidRPr="00E15F00">
        <w:rPr>
          <w:rFonts w:cs="Arial"/>
          <w:szCs w:val="20"/>
        </w:rPr>
        <w:t xml:space="preserve">Iz proračuna Republike Slovenije oziroma sredstev, pridobljenih iz proračuna Evropske unije se zagotovijo sredstva za izvedbo cepljenja proti COVID-19, ki se izvaja pri izvajalcih zdravstvene dejavnosti ali na terenu, kar vključuje delovanje mobilnih cepilnih enot in cepilnih centrov. </w:t>
      </w:r>
    </w:p>
    <w:p w:rsidR="00E15F00" w:rsidRPr="00E15F00" w:rsidRDefault="00E15F00" w:rsidP="00A46590">
      <w:pPr>
        <w:jc w:val="both"/>
        <w:rPr>
          <w:rFonts w:cs="Arial"/>
          <w:szCs w:val="20"/>
        </w:rPr>
      </w:pPr>
      <w:bookmarkStart w:id="0" w:name="_Hlk57447068"/>
    </w:p>
    <w:p w:rsidR="00E15F00" w:rsidRPr="00E15F00" w:rsidRDefault="00E15F00" w:rsidP="00A46590">
      <w:pPr>
        <w:jc w:val="both"/>
        <w:rPr>
          <w:rFonts w:cs="Arial"/>
          <w:szCs w:val="20"/>
        </w:rPr>
      </w:pPr>
      <w:r w:rsidRPr="00E15F00">
        <w:rPr>
          <w:rFonts w:cs="Arial"/>
          <w:szCs w:val="20"/>
        </w:rPr>
        <w:t xml:space="preserve">Evidentiranje in zagotavljanje podatkov o izvedenem cepljenju in neželenih učinkih cepljenja preko eRCO sistema je za izvajalce cepljenja obvezno. </w:t>
      </w:r>
    </w:p>
    <w:bookmarkEnd w:id="0"/>
    <w:p w:rsidR="00E15F00" w:rsidRPr="00E15F00" w:rsidRDefault="00E15F00" w:rsidP="00A46590">
      <w:pPr>
        <w:jc w:val="both"/>
        <w:rPr>
          <w:rFonts w:cs="Arial"/>
          <w:szCs w:val="20"/>
        </w:rPr>
      </w:pPr>
    </w:p>
    <w:p w:rsidR="00E15F00" w:rsidRPr="00E15F00" w:rsidRDefault="00E15F00" w:rsidP="00A46590">
      <w:pPr>
        <w:jc w:val="both"/>
        <w:rPr>
          <w:rFonts w:cs="Arial"/>
          <w:szCs w:val="20"/>
        </w:rPr>
      </w:pPr>
      <w:r w:rsidRPr="00E15F00">
        <w:rPr>
          <w:rFonts w:cs="Arial"/>
          <w:szCs w:val="20"/>
        </w:rPr>
        <w:t xml:space="preserve">Minister za zdravje s sklepom določi ceno storitve cepljenja pri izvajalcu zdravstvene dejavnosti, ceno storitve cepljenja na terenu, kakor tudi višino povračila stroškov za delovanje cepilnih centrov. Z navodilom pa določi na izvedbeni ravni način izvedbe cepljenja proti COVID-19 v </w:t>
      </w:r>
      <w:r w:rsidRPr="00E15F00">
        <w:rPr>
          <w:rFonts w:cs="Arial"/>
          <w:szCs w:val="20"/>
        </w:rPr>
        <w:lastRenderedPageBreak/>
        <w:t>skladu z Nacionalno strategijo cepljenja proti COVID-19, ki ga objavi na spletni strani Ministrstva za zdravje.</w:t>
      </w:r>
    </w:p>
    <w:p w:rsidR="00E15F00" w:rsidRDefault="00E15F00" w:rsidP="00E15F00">
      <w:pPr>
        <w:spacing w:line="240" w:lineRule="auto"/>
        <w:jc w:val="both"/>
        <w:rPr>
          <w:rFonts w:cs="Arial"/>
          <w:szCs w:val="20"/>
        </w:rPr>
      </w:pPr>
    </w:p>
    <w:p w:rsidR="00A46590" w:rsidRPr="00E15F00" w:rsidRDefault="00A46590" w:rsidP="00E15F00">
      <w:pPr>
        <w:spacing w:line="240" w:lineRule="auto"/>
        <w:jc w:val="both"/>
        <w:rPr>
          <w:rFonts w:cs="Arial"/>
          <w:szCs w:val="20"/>
        </w:rPr>
      </w:pPr>
    </w:p>
    <w:p w:rsidR="00E15F00" w:rsidRPr="00E15F00" w:rsidRDefault="00E15F00" w:rsidP="00A46590">
      <w:pPr>
        <w:pStyle w:val="Intenzivencitat"/>
        <w:spacing w:before="0" w:after="0" w:line="260" w:lineRule="exact"/>
        <w:rPr>
          <w:rFonts w:ascii="Arial" w:hAnsi="Arial" w:cs="Arial"/>
          <w:sz w:val="28"/>
          <w:szCs w:val="28"/>
        </w:rPr>
      </w:pPr>
      <w:r w:rsidRPr="00E15F00">
        <w:rPr>
          <w:rFonts w:ascii="Arial" w:hAnsi="Arial" w:cs="Arial"/>
          <w:sz w:val="28"/>
          <w:szCs w:val="28"/>
        </w:rPr>
        <w:t>6. Spremljanje precepljenosti</w:t>
      </w:r>
    </w:p>
    <w:p w:rsidR="00A46590" w:rsidRDefault="00A46590" w:rsidP="00A46590">
      <w:pPr>
        <w:jc w:val="both"/>
        <w:rPr>
          <w:rFonts w:cs="Arial"/>
          <w:szCs w:val="20"/>
        </w:rPr>
      </w:pPr>
    </w:p>
    <w:p w:rsidR="00E15F00" w:rsidRPr="00E15F00" w:rsidRDefault="00E15F00" w:rsidP="00A46590">
      <w:pPr>
        <w:jc w:val="both"/>
        <w:rPr>
          <w:rFonts w:cs="Arial"/>
          <w:szCs w:val="20"/>
        </w:rPr>
      </w:pPr>
      <w:r w:rsidRPr="00E15F00">
        <w:rPr>
          <w:rFonts w:cs="Arial"/>
          <w:szCs w:val="20"/>
        </w:rPr>
        <w:t xml:space="preserve">NIJZ zbira podatke o vseh opravljenih cepljenjih v Sloveniji. Zbiranje podatkov o opravljenih cepljenjih </w:t>
      </w:r>
      <w:r w:rsidRPr="00E15F00">
        <w:rPr>
          <w:rFonts w:cs="Arial"/>
          <w:strike/>
          <w:szCs w:val="20"/>
        </w:rPr>
        <w:t xml:space="preserve">  </w:t>
      </w:r>
      <w:r w:rsidRPr="00E15F00">
        <w:rPr>
          <w:rFonts w:cs="Arial"/>
          <w:szCs w:val="20"/>
        </w:rPr>
        <w:t xml:space="preserve">je nujno za načrtovanje in izvajanje aktivnosti cepljenja ter ocenjevanje njegove uspešnosti pri obvladovanju nalezljive bolezni. </w:t>
      </w:r>
    </w:p>
    <w:p w:rsidR="00E15F00" w:rsidRPr="00E15F00" w:rsidRDefault="00E15F00" w:rsidP="00A46590">
      <w:pPr>
        <w:jc w:val="both"/>
        <w:rPr>
          <w:rFonts w:cs="Arial"/>
          <w:szCs w:val="20"/>
        </w:rPr>
      </w:pPr>
    </w:p>
    <w:p w:rsidR="00E15F00" w:rsidRPr="00E15F00" w:rsidRDefault="00E15F00" w:rsidP="00A46590">
      <w:pPr>
        <w:jc w:val="both"/>
        <w:rPr>
          <w:rFonts w:cs="Arial"/>
          <w:szCs w:val="20"/>
        </w:rPr>
      </w:pPr>
      <w:r w:rsidRPr="00E15F00">
        <w:rPr>
          <w:rFonts w:cs="Arial"/>
          <w:szCs w:val="20"/>
        </w:rPr>
        <w:t xml:space="preserve">Na podlagi zbranih podatkov NIJZ na svoji spletni strani redno objavlja in posodablja podatke o opravljenih cepljenjih proti COVID-19 in pripravlja ocene precepljenosti naše populacije. Podatki so na voljo odločevalcem, strokovni in širši javnosti. Po Zakonu o zbirkah podatkov s področja zdravstvenega varstva je NIJZ zadolžen za upravljanje Registra obveznikov za cepljenje in izvajanja cepljenja. Vzpostavljen eRCO (Elektronski register cepljenih oseb) izvajalcem cepljenja omogoča beleženje opravljenih cepljenj za posamezno osebo preko omrežja zNET. V eRCO morajo biti vključeni vsi izvajalci cepljenja proti COVID-19 v Sloveniji. </w:t>
      </w:r>
    </w:p>
    <w:p w:rsidR="00E15F00" w:rsidRPr="00E15F00" w:rsidRDefault="00E15F00" w:rsidP="00A46590">
      <w:pPr>
        <w:jc w:val="both"/>
        <w:rPr>
          <w:rFonts w:cs="Arial"/>
          <w:szCs w:val="20"/>
        </w:rPr>
      </w:pPr>
    </w:p>
    <w:p w:rsidR="00E15F00" w:rsidRPr="00E15F00" w:rsidRDefault="00E15F00" w:rsidP="00E15F00">
      <w:pPr>
        <w:spacing w:line="240" w:lineRule="auto"/>
        <w:jc w:val="both"/>
        <w:rPr>
          <w:rFonts w:cs="Arial"/>
          <w:szCs w:val="20"/>
        </w:rPr>
      </w:pPr>
    </w:p>
    <w:p w:rsidR="00E15F00" w:rsidRPr="00E15F00" w:rsidRDefault="00E15F00" w:rsidP="00E15F00">
      <w:pPr>
        <w:pStyle w:val="Intenzivencitat"/>
        <w:rPr>
          <w:rFonts w:ascii="Arial" w:hAnsi="Arial" w:cs="Arial"/>
          <w:sz w:val="28"/>
          <w:szCs w:val="28"/>
        </w:rPr>
      </w:pPr>
      <w:r w:rsidRPr="00E15F00">
        <w:rPr>
          <w:rFonts w:ascii="Arial" w:hAnsi="Arial" w:cs="Arial"/>
          <w:sz w:val="28"/>
          <w:szCs w:val="28"/>
        </w:rPr>
        <w:t>7. Spremljanje učinkovitosti, varnosti in kakovosti cepiva</w:t>
      </w:r>
    </w:p>
    <w:p w:rsidR="00E15F00" w:rsidRPr="00E15F00" w:rsidRDefault="00E15F00" w:rsidP="00A46590">
      <w:pPr>
        <w:jc w:val="both"/>
        <w:rPr>
          <w:rFonts w:cs="Arial"/>
          <w:szCs w:val="20"/>
        </w:rPr>
      </w:pPr>
      <w:r w:rsidRPr="00E15F00">
        <w:rPr>
          <w:rFonts w:cs="Arial"/>
          <w:szCs w:val="20"/>
        </w:rPr>
        <w:t>Evropska regulativna mreža, katere del je tudi JAZMP, na prvo mesto postavlja učinkovitost, varnost in kakovost cepiva, Tako kot za vsa zdravila za uporabo v humani medicini, tudi za cepiva proti COVID-19 velja, da se varnost (farmakovigilanca), učinkovitost in kakovost cepiv pozorno spremlja tudi po pridobitvi pogojnega dovoljenja za promet v EU.</w:t>
      </w:r>
    </w:p>
    <w:p w:rsidR="00E15F00" w:rsidRPr="00E15F00" w:rsidRDefault="00E15F00" w:rsidP="00A46590">
      <w:pPr>
        <w:jc w:val="both"/>
        <w:rPr>
          <w:rFonts w:cs="Arial"/>
          <w:szCs w:val="20"/>
        </w:rPr>
      </w:pPr>
    </w:p>
    <w:p w:rsidR="00E15F00" w:rsidRPr="00E15F00" w:rsidRDefault="00E15F00" w:rsidP="00A46590">
      <w:pPr>
        <w:jc w:val="both"/>
        <w:rPr>
          <w:rFonts w:cs="Arial"/>
          <w:szCs w:val="20"/>
        </w:rPr>
      </w:pPr>
      <w:r w:rsidRPr="00E15F00">
        <w:rPr>
          <w:rFonts w:cs="Arial"/>
          <w:szCs w:val="20"/>
        </w:rPr>
        <w:t>Z vidika varovanja javnega zdravja pri predvidenem množičnem cepljenju proti COVID-19 je Evropska agencija za zdravila (EMA) v sodelovanju z nacionalnimi pristojnimi organi držav članic EU pripravila okrepljen načrt spremljanja učinkovitosti, varnosti in kakovosti cepiv, po katerem bodo sproti pregledane nove informacije o cepivih. Vse nove informacije bodo obravnavane prednostno in v skrajšanih časovnih rokih, ki bodo še zagotavljali kakovostno oceno, zaključki pa bodo transparentno deljeni z javnostjo. Izvaja se kratkoročno in dolgoročno spremljanje varnosti in učinkovitosti cepiv proti COVID 19.</w:t>
      </w:r>
    </w:p>
    <w:p w:rsidR="00E15F00" w:rsidRPr="00E15F00" w:rsidRDefault="00E15F00" w:rsidP="00A46590">
      <w:pPr>
        <w:jc w:val="both"/>
        <w:rPr>
          <w:rFonts w:cs="Arial"/>
          <w:szCs w:val="20"/>
        </w:rPr>
      </w:pPr>
    </w:p>
    <w:p w:rsidR="00E15F00" w:rsidRPr="00E15F00" w:rsidRDefault="00E15F00" w:rsidP="00E15F00">
      <w:pPr>
        <w:spacing w:line="240" w:lineRule="auto"/>
        <w:jc w:val="both"/>
        <w:rPr>
          <w:rFonts w:cs="Arial"/>
          <w:szCs w:val="20"/>
        </w:rPr>
      </w:pPr>
    </w:p>
    <w:p w:rsidR="00E15F00" w:rsidRPr="00E15F00" w:rsidRDefault="00E15F00" w:rsidP="00E15F00">
      <w:pPr>
        <w:pStyle w:val="Intenzivencitat"/>
        <w:numPr>
          <w:ilvl w:val="0"/>
          <w:numId w:val="21"/>
        </w:numPr>
        <w:rPr>
          <w:rFonts w:ascii="Arial" w:hAnsi="Arial" w:cs="Arial"/>
          <w:sz w:val="28"/>
          <w:szCs w:val="28"/>
        </w:rPr>
      </w:pPr>
      <w:r w:rsidRPr="00E15F00">
        <w:rPr>
          <w:rFonts w:ascii="Arial" w:hAnsi="Arial" w:cs="Arial"/>
          <w:sz w:val="28"/>
          <w:szCs w:val="28"/>
        </w:rPr>
        <w:t>Karantenska distribucija cepiv na debelo</w:t>
      </w:r>
    </w:p>
    <w:p w:rsidR="00E15F00" w:rsidRPr="00E15F00" w:rsidRDefault="00E15F00" w:rsidP="00A46590">
      <w:pPr>
        <w:jc w:val="both"/>
        <w:rPr>
          <w:rFonts w:cs="Arial"/>
          <w:bCs/>
          <w:szCs w:val="20"/>
        </w:rPr>
      </w:pPr>
      <w:r w:rsidRPr="00E15F00">
        <w:rPr>
          <w:rFonts w:cs="Arial"/>
          <w:bCs/>
          <w:szCs w:val="20"/>
        </w:rPr>
        <w:t xml:space="preserve">V skladu s sporočilom Evropske komisije (Information note of Commission services »Distribution of vaccines prior to authorisation«) je v Sloveniji z vidika čimprejšnje </w:t>
      </w:r>
      <w:r w:rsidR="00A46590">
        <w:rPr>
          <w:rFonts w:cs="Arial"/>
          <w:bCs/>
          <w:szCs w:val="20"/>
        </w:rPr>
        <w:t>oskrbe trga s cepivi proti COVID</w:t>
      </w:r>
      <w:r w:rsidRPr="00E15F00">
        <w:rPr>
          <w:rFonts w:cs="Arial"/>
          <w:bCs/>
          <w:szCs w:val="20"/>
        </w:rPr>
        <w:t xml:space="preserve">-19 možna karantenske distribucije cepiv na debelo, ki bi omogočala, da se zdravilo dostavi v Slovenijo in se skladišči v karanteni, dokler zanj ni izdano (pogojno) dovoljenje za promet (DzP) s strani EK po predhodni odobritvi EMA. V obdobju pred pričetkom uporabe cepiva, ki je vezana na izdano DzP s strani EK, morajo biti izpolnjeni vsi pogoji dobre proizvodne, </w:t>
      </w:r>
      <w:r w:rsidRPr="00E15F00">
        <w:rPr>
          <w:rFonts w:cs="Arial"/>
          <w:bCs/>
          <w:szCs w:val="20"/>
        </w:rPr>
        <w:lastRenderedPageBreak/>
        <w:t>distribucijske in skladiščne prakse, izvedena mora biti sprostitev cepiva s strani odgovorne osebe za sproščanje s strani proizvajalca. Cepiva morajo do odobritve s strani EK ostati v karanteni.</w:t>
      </w:r>
      <w:r w:rsidRPr="00E15F00">
        <w:rPr>
          <w:rFonts w:cs="Arial"/>
          <w:bCs/>
          <w:lang w:eastAsia="sl-SI"/>
        </w:rPr>
        <w:t xml:space="preserve"> </w:t>
      </w:r>
      <w:r w:rsidRPr="00E15F00">
        <w:rPr>
          <w:rFonts w:cs="Arial"/>
          <w:bCs/>
          <w:szCs w:val="20"/>
        </w:rPr>
        <w:t>Takšna cepiva niso dovoljena za distribucijo do izvajalcev zdravstvene dejavnosti, ker nimajo veljavnega dovoljenja za promet Evropske agencije za zdravila, ravnanje s temi cepivi pa mora biti skladno s Sporočilom EK (Distribution of vaccines prior to authorisation) in navodili MZ za izvedbo v RS.</w:t>
      </w:r>
    </w:p>
    <w:p w:rsidR="00E15F00" w:rsidRPr="00E15F00" w:rsidRDefault="00E15F00" w:rsidP="00A46590">
      <w:pPr>
        <w:jc w:val="both"/>
        <w:rPr>
          <w:rFonts w:cs="Arial"/>
          <w:szCs w:val="20"/>
          <w:highlight w:val="yellow"/>
        </w:rPr>
      </w:pPr>
    </w:p>
    <w:p w:rsidR="00E15F00" w:rsidRPr="00E15F00" w:rsidRDefault="00E15F00" w:rsidP="00E15F00">
      <w:pPr>
        <w:pStyle w:val="Intenzivencitat"/>
        <w:rPr>
          <w:rFonts w:ascii="Arial" w:hAnsi="Arial" w:cs="Arial"/>
          <w:sz w:val="28"/>
          <w:szCs w:val="28"/>
        </w:rPr>
      </w:pPr>
      <w:r w:rsidRPr="00E15F00">
        <w:rPr>
          <w:rFonts w:ascii="Arial" w:hAnsi="Arial" w:cs="Arial"/>
          <w:sz w:val="28"/>
          <w:szCs w:val="28"/>
        </w:rPr>
        <w:t>9. Mednarodno usklajevanje in sodelovanje v okviru kliničnih opazovalnih študij</w:t>
      </w:r>
    </w:p>
    <w:p w:rsidR="00E15F00" w:rsidRPr="00E15F00" w:rsidRDefault="00E15F00" w:rsidP="00A46590">
      <w:pPr>
        <w:jc w:val="both"/>
        <w:rPr>
          <w:rFonts w:eastAsia="Verdana" w:cs="Arial"/>
          <w:bCs/>
          <w:szCs w:val="20"/>
          <w:lang w:eastAsia="en-GB"/>
        </w:rPr>
      </w:pPr>
      <w:r w:rsidRPr="00E15F00">
        <w:rPr>
          <w:rFonts w:cs="Arial"/>
          <w:szCs w:val="20"/>
        </w:rPr>
        <w:t xml:space="preserve">Možnosti mednarodnega usklajevanja in sodelovanja </w:t>
      </w:r>
      <w:bookmarkStart w:id="1" w:name="_Hlk64277754"/>
      <w:r w:rsidRPr="00E15F00">
        <w:rPr>
          <w:rFonts w:cs="Arial"/>
          <w:szCs w:val="20"/>
        </w:rPr>
        <w:t xml:space="preserve">v okviru kliničnih opazovalnih študij </w:t>
      </w:r>
      <w:bookmarkEnd w:id="1"/>
      <w:r w:rsidRPr="00E15F00">
        <w:rPr>
          <w:rFonts w:cs="Arial"/>
          <w:szCs w:val="20"/>
        </w:rPr>
        <w:t xml:space="preserve">po pridobitvi dovoljenja za promet s predmetnimi cepivi so predstavljene v EMA dokumentu </w:t>
      </w:r>
      <w:hyperlink r:id="rId7" w:history="1">
        <w:r w:rsidRPr="00E15F00">
          <w:rPr>
            <w:rStyle w:val="Hiperpovezava"/>
            <w:rFonts w:cs="Arial"/>
            <w:color w:val="4472C4"/>
            <w:szCs w:val="20"/>
          </w:rPr>
          <w:t>Pharmacovigilance Plan of the EU Regulatory Network for COVID-19 Vaccines</w:t>
        </w:r>
      </w:hyperlink>
      <w:r w:rsidRPr="00E15F00">
        <w:rPr>
          <w:rFonts w:cs="Arial"/>
          <w:szCs w:val="20"/>
        </w:rPr>
        <w:t>. V</w:t>
      </w:r>
      <w:r w:rsidRPr="00E15F00">
        <w:rPr>
          <w:rFonts w:eastAsia="Verdana" w:cs="Arial"/>
          <w:bCs/>
          <w:szCs w:val="20"/>
          <w:lang w:eastAsia="en-GB"/>
        </w:rPr>
        <w:t xml:space="preserve"> 8. reviziji vodnika </w:t>
      </w:r>
      <w:hyperlink r:id="rId8" w:history="1">
        <w:r w:rsidRPr="00E15F00">
          <w:rPr>
            <w:rStyle w:val="Hiperpovezava"/>
            <w:rFonts w:eastAsia="Verdana" w:cs="Arial"/>
            <w:bCs/>
            <w:color w:val="4472C4"/>
            <w:szCs w:val="20"/>
            <w:lang w:eastAsia="en-GB"/>
          </w:rPr>
          <w:t>ENCePP</w:t>
        </w:r>
      </w:hyperlink>
      <w:r w:rsidRPr="00E15F00">
        <w:rPr>
          <w:rFonts w:eastAsia="Verdana" w:cs="Arial"/>
          <w:szCs w:val="20"/>
          <w:lang w:eastAsia="en-GB"/>
        </w:rPr>
        <w:t xml:space="preserve"> so izpostavljeni pomembni vidiki o metodoloških standardih opazovalnih študij v okviru COVID-19</w:t>
      </w:r>
      <w:r w:rsidRPr="00E15F00">
        <w:rPr>
          <w:rFonts w:eastAsia="Verdana" w:cs="Arial"/>
          <w:bCs/>
          <w:szCs w:val="20"/>
          <w:lang w:eastAsia="en-GB"/>
        </w:rPr>
        <w:t>.</w:t>
      </w:r>
      <w:r w:rsidRPr="00E15F00">
        <w:rPr>
          <w:rFonts w:eastAsia="Verdana" w:cs="Arial"/>
          <w:szCs w:val="20"/>
          <w:lang w:eastAsia="en-GB"/>
        </w:rPr>
        <w:t xml:space="preserve"> Raziskovalce se spodbuja, da registrirajo svoje </w:t>
      </w:r>
      <w:r w:rsidRPr="00E15F00">
        <w:rPr>
          <w:rFonts w:eastAsia="Verdana" w:cs="Arial"/>
          <w:bCs/>
          <w:szCs w:val="20"/>
          <w:lang w:eastAsia="en-GB"/>
        </w:rPr>
        <w:t xml:space="preserve">farmakoepidemiološke </w:t>
      </w:r>
      <w:r w:rsidRPr="00E15F00">
        <w:rPr>
          <w:rFonts w:eastAsia="Verdana" w:cs="Arial"/>
          <w:szCs w:val="20"/>
          <w:lang w:eastAsia="en-GB"/>
        </w:rPr>
        <w:t xml:space="preserve">študije </w:t>
      </w:r>
      <w:r w:rsidRPr="00E15F00">
        <w:rPr>
          <w:rFonts w:eastAsia="Verdana" w:cs="Arial"/>
          <w:bCs/>
          <w:szCs w:val="20"/>
          <w:lang w:eastAsia="en-GB"/>
        </w:rPr>
        <w:t>(in</w:t>
      </w:r>
      <w:r w:rsidRPr="00E15F00">
        <w:rPr>
          <w:rFonts w:eastAsia="Verdana" w:cs="Arial"/>
          <w:szCs w:val="20"/>
          <w:lang w:eastAsia="en-GB"/>
        </w:rPr>
        <w:t xml:space="preserve"> objavijo študijske </w:t>
      </w:r>
      <w:r w:rsidRPr="00E15F00">
        <w:rPr>
          <w:rFonts w:eastAsia="Verdana" w:cs="Arial"/>
          <w:bCs/>
          <w:szCs w:val="20"/>
          <w:lang w:eastAsia="en-GB"/>
        </w:rPr>
        <w:t>protokole</w:t>
      </w:r>
      <w:r w:rsidRPr="00E15F00">
        <w:rPr>
          <w:rFonts w:eastAsia="Verdana" w:cs="Arial"/>
          <w:szCs w:val="20"/>
          <w:lang w:eastAsia="en-GB"/>
        </w:rPr>
        <w:t xml:space="preserve"> in </w:t>
      </w:r>
      <w:r w:rsidRPr="00E15F00">
        <w:rPr>
          <w:rFonts w:eastAsia="Verdana" w:cs="Arial"/>
          <w:bCs/>
          <w:szCs w:val="20"/>
          <w:lang w:eastAsia="en-GB"/>
        </w:rPr>
        <w:t>poročila) v »</w:t>
      </w:r>
      <w:r w:rsidRPr="00E15F00">
        <w:rPr>
          <w:rFonts w:eastAsia="Verdana" w:cs="Arial"/>
          <w:i/>
          <w:iCs/>
          <w:szCs w:val="20"/>
          <w:lang w:eastAsia="en-GB"/>
        </w:rPr>
        <w:t>European Union electronic register of post-authorisation studies</w:t>
      </w:r>
      <w:r w:rsidRPr="00E15F00">
        <w:rPr>
          <w:rFonts w:eastAsia="Verdana" w:cs="Arial"/>
          <w:szCs w:val="20"/>
          <w:lang w:eastAsia="en-GB"/>
        </w:rPr>
        <w:t xml:space="preserve">« </w:t>
      </w:r>
      <w:hyperlink r:id="rId9" w:history="1">
        <w:r w:rsidRPr="00E15F00">
          <w:rPr>
            <w:rStyle w:val="Hiperpovezava"/>
            <w:rFonts w:eastAsia="Verdana" w:cs="Arial"/>
            <w:color w:val="4472C4"/>
            <w:szCs w:val="20"/>
            <w:lang w:eastAsia="en-GB"/>
          </w:rPr>
          <w:t>(EU PAS register)</w:t>
        </w:r>
      </w:hyperlink>
      <w:r w:rsidRPr="00E15F00">
        <w:rPr>
          <w:rFonts w:eastAsia="Verdana" w:cs="Arial"/>
          <w:color w:val="4472C4"/>
          <w:szCs w:val="20"/>
          <w:lang w:eastAsia="en-GB"/>
        </w:rPr>
        <w:t xml:space="preserve">, </w:t>
      </w:r>
      <w:r w:rsidRPr="00E15F00">
        <w:rPr>
          <w:rFonts w:eastAsia="Verdana" w:cs="Arial"/>
          <w:szCs w:val="20"/>
          <w:lang w:eastAsia="en-GB"/>
        </w:rPr>
        <w:t>da bi zagotovili preglednost različnih raziskovalnih prizadevanj.</w:t>
      </w:r>
    </w:p>
    <w:p w:rsidR="00E15F00" w:rsidRPr="00E15F00" w:rsidRDefault="00E15F00" w:rsidP="00A46590">
      <w:pPr>
        <w:jc w:val="both"/>
        <w:rPr>
          <w:rFonts w:eastAsia="Verdana" w:cs="Arial"/>
          <w:szCs w:val="20"/>
          <w:lang w:eastAsia="en-GB"/>
        </w:rPr>
      </w:pPr>
    </w:p>
    <w:p w:rsidR="00E15F00" w:rsidRPr="00E15F00" w:rsidRDefault="00E15F00" w:rsidP="00A46590">
      <w:pPr>
        <w:jc w:val="both"/>
        <w:rPr>
          <w:rFonts w:cs="Arial"/>
          <w:color w:val="4472C4"/>
          <w:szCs w:val="20"/>
        </w:rPr>
      </w:pPr>
      <w:r w:rsidRPr="00E15F00">
        <w:rPr>
          <w:rFonts w:eastAsia="Verdana" w:cs="Arial"/>
          <w:szCs w:val="20"/>
          <w:lang w:eastAsia="en-GB"/>
        </w:rPr>
        <w:t xml:space="preserve">Informacije o študijah, ki se bodo začele, bodo prav tako objavljene na spletni strani Evropske agencije za zdravila na povezavi </w:t>
      </w:r>
      <w:hyperlink r:id="rId10" w:history="1">
        <w:r w:rsidRPr="00E15F00">
          <w:rPr>
            <w:rStyle w:val="Hiperpovezava"/>
            <w:rFonts w:cs="Arial"/>
            <w:szCs w:val="20"/>
          </w:rPr>
          <w:t>EU PAS register</w:t>
        </w:r>
      </w:hyperlink>
      <w:r w:rsidRPr="00E15F00">
        <w:rPr>
          <w:rFonts w:cs="Arial"/>
          <w:color w:val="4472C4"/>
          <w:szCs w:val="20"/>
        </w:rPr>
        <w:t>.</w:t>
      </w:r>
    </w:p>
    <w:p w:rsidR="00E15F00" w:rsidRPr="00E15F00" w:rsidRDefault="00E15F00" w:rsidP="00A46590">
      <w:pPr>
        <w:jc w:val="both"/>
        <w:rPr>
          <w:rFonts w:cs="Arial"/>
          <w:szCs w:val="20"/>
        </w:rPr>
      </w:pPr>
    </w:p>
    <w:p w:rsidR="00E15F00" w:rsidRPr="00E15F00" w:rsidRDefault="00E15F00" w:rsidP="00A4659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jc w:val="both"/>
        <w:rPr>
          <w:rFonts w:cs="Arial"/>
          <w:szCs w:val="20"/>
        </w:rPr>
      </w:pPr>
    </w:p>
    <w:p w:rsidR="00E15F00" w:rsidRPr="00E15F00" w:rsidRDefault="00E15F00" w:rsidP="00E15F00">
      <w:pPr>
        <w:spacing w:line="240" w:lineRule="auto"/>
        <w:ind w:left="7513"/>
        <w:jc w:val="both"/>
        <w:rPr>
          <w:rFonts w:cs="Arial"/>
          <w:b/>
          <w:bCs/>
          <w:color w:val="000000"/>
        </w:rPr>
      </w:pPr>
      <w:r w:rsidRPr="00E15F00">
        <w:rPr>
          <w:rFonts w:cs="Arial"/>
          <w:b/>
          <w:bCs/>
          <w:color w:val="000000"/>
        </w:rPr>
        <w:t>Priloga 1</w:t>
      </w:r>
    </w:p>
    <w:p w:rsidR="00E15F00" w:rsidRPr="00E15F00" w:rsidRDefault="00E15F00" w:rsidP="00E15F00">
      <w:pPr>
        <w:pStyle w:val="Intenzivencitat"/>
        <w:rPr>
          <w:rFonts w:ascii="Arial" w:hAnsi="Arial" w:cs="Arial"/>
          <w:sz w:val="28"/>
          <w:szCs w:val="28"/>
        </w:rPr>
      </w:pPr>
      <w:r w:rsidRPr="00E15F00">
        <w:rPr>
          <w:rFonts w:ascii="Arial" w:hAnsi="Arial" w:cs="Arial"/>
          <w:sz w:val="28"/>
          <w:szCs w:val="28"/>
        </w:rPr>
        <w:t>Informacije o razvoju cepiv in uveljavljene platforme</w:t>
      </w:r>
    </w:p>
    <w:p w:rsidR="00E15F00" w:rsidRPr="00E15F00" w:rsidRDefault="00E15F00" w:rsidP="005F07CB">
      <w:pPr>
        <w:jc w:val="both"/>
        <w:rPr>
          <w:rFonts w:cs="Arial"/>
          <w:szCs w:val="20"/>
        </w:rPr>
      </w:pPr>
      <w:r w:rsidRPr="00E15F00">
        <w:rPr>
          <w:rFonts w:cs="Arial"/>
          <w:szCs w:val="20"/>
        </w:rPr>
        <w:t>Klinične faze:</w:t>
      </w:r>
    </w:p>
    <w:p w:rsidR="00E15F00" w:rsidRPr="00E15F00" w:rsidRDefault="00E15F00" w:rsidP="005F07CB">
      <w:pPr>
        <w:jc w:val="both"/>
        <w:rPr>
          <w:rFonts w:cs="Arial"/>
          <w:b/>
          <w:bCs/>
          <w:szCs w:val="20"/>
        </w:rPr>
      </w:pPr>
    </w:p>
    <w:p w:rsidR="00E15F00" w:rsidRPr="00E15F00" w:rsidRDefault="00E15F00" w:rsidP="005F07CB">
      <w:pPr>
        <w:jc w:val="both"/>
        <w:rPr>
          <w:rFonts w:cs="Arial"/>
          <w:szCs w:val="20"/>
        </w:rPr>
      </w:pPr>
      <w:r w:rsidRPr="00E15F00">
        <w:rPr>
          <w:rFonts w:cs="Arial"/>
          <w:b/>
          <w:bCs/>
          <w:szCs w:val="20"/>
        </w:rPr>
        <w:t xml:space="preserve">I. faza </w:t>
      </w:r>
      <w:r w:rsidRPr="00E15F00">
        <w:rPr>
          <w:rFonts w:cs="Arial"/>
          <w:szCs w:val="20"/>
        </w:rPr>
        <w:t>je namenjena za preizkus varnosti, odmerjanja ter imunskega odziva na cepivo na manjšem številu prostovoljcev;</w:t>
      </w:r>
    </w:p>
    <w:p w:rsidR="00E15F00" w:rsidRPr="00E15F00" w:rsidRDefault="00E15F00" w:rsidP="005F07CB">
      <w:pPr>
        <w:jc w:val="both"/>
        <w:rPr>
          <w:rFonts w:cs="Arial"/>
          <w:b/>
          <w:bCs/>
          <w:szCs w:val="20"/>
        </w:rPr>
      </w:pPr>
    </w:p>
    <w:p w:rsidR="00E15F00" w:rsidRPr="00E15F00" w:rsidRDefault="00E15F00" w:rsidP="005F07CB">
      <w:pPr>
        <w:jc w:val="both"/>
        <w:rPr>
          <w:rFonts w:cs="Arial"/>
          <w:szCs w:val="20"/>
        </w:rPr>
      </w:pPr>
      <w:r w:rsidRPr="00E15F00">
        <w:rPr>
          <w:rFonts w:cs="Arial"/>
          <w:b/>
          <w:bCs/>
          <w:szCs w:val="20"/>
        </w:rPr>
        <w:t xml:space="preserve">II. faza </w:t>
      </w:r>
      <w:r w:rsidRPr="00E15F00">
        <w:rPr>
          <w:rFonts w:cs="Arial"/>
          <w:szCs w:val="20"/>
        </w:rPr>
        <w:t>je namenjena za preizkus varnosti, odmerjanja ter imunskega odziva na cepivo na večjem številu prostovoljcev (po nekaj 100), ki so razdeljeni v več skupin (npr. razdeljenih po starostnih skupinah);</w:t>
      </w:r>
    </w:p>
    <w:p w:rsidR="00E15F00" w:rsidRPr="00E15F00" w:rsidRDefault="00E15F00" w:rsidP="005F07CB">
      <w:pPr>
        <w:jc w:val="both"/>
        <w:rPr>
          <w:rFonts w:cs="Arial"/>
          <w:b/>
          <w:bCs/>
          <w:szCs w:val="20"/>
        </w:rPr>
      </w:pPr>
    </w:p>
    <w:p w:rsidR="00E15F00" w:rsidRPr="00E15F00" w:rsidRDefault="00E15F00" w:rsidP="005F07CB">
      <w:pPr>
        <w:jc w:val="both"/>
        <w:rPr>
          <w:rFonts w:cs="Arial"/>
          <w:szCs w:val="20"/>
        </w:rPr>
      </w:pPr>
      <w:r w:rsidRPr="00E15F00">
        <w:rPr>
          <w:rFonts w:cs="Arial"/>
          <w:b/>
          <w:bCs/>
          <w:szCs w:val="20"/>
        </w:rPr>
        <w:t xml:space="preserve">III. faza </w:t>
      </w:r>
      <w:r w:rsidRPr="00E15F00">
        <w:rPr>
          <w:rFonts w:cs="Arial"/>
          <w:szCs w:val="20"/>
        </w:rPr>
        <w:t>je namenjena za preizkus varnosti, odmerjanja ter imunskega odziva na cepivo na velikem številu prostovoljcev (po nekaj 1000), pri čemer se poleg že navedenega primerja tudi učinkovitost zaščite prejemnikov cepiva proti SARS-CoV-2 v primerjavi s prejemniki placeba. Ameriška FDA je junija 2020 navedla, da se pričakuje vsaj 50 % učinkovitost. Kitajska in Rusija sta odobrili uporabo cepiv brez zaključene III. faze kliničnih testiranj, kar ni skladno z veljavnimi smernicami v EU (EMA in ICH smernice</w:t>
      </w:r>
      <w:r w:rsidRPr="00E15F00">
        <w:rPr>
          <w:rStyle w:val="Hiperpovezava"/>
          <w:rFonts w:cs="Arial"/>
        </w:rPr>
        <w:t xml:space="preserve">) </w:t>
      </w:r>
      <w:r w:rsidRPr="00E15F00">
        <w:rPr>
          <w:rFonts w:cs="Arial"/>
          <w:szCs w:val="20"/>
        </w:rPr>
        <w:t xml:space="preserve">ter posledično tudi ni dovoljeno, saj to predstavlja preveliko tveganje. </w:t>
      </w:r>
    </w:p>
    <w:p w:rsidR="00E15F00" w:rsidRPr="00E15F00" w:rsidRDefault="00E15F00" w:rsidP="005F07CB">
      <w:pPr>
        <w:jc w:val="both"/>
        <w:rPr>
          <w:rFonts w:cs="Arial"/>
          <w:szCs w:val="20"/>
        </w:rPr>
      </w:pPr>
    </w:p>
    <w:p w:rsidR="00E15F00" w:rsidRPr="00E15F00" w:rsidRDefault="00E15F00" w:rsidP="005F07CB">
      <w:pPr>
        <w:rPr>
          <w:rFonts w:cs="Arial"/>
          <w:szCs w:val="20"/>
        </w:rPr>
      </w:pPr>
      <w:r w:rsidRPr="00E15F00">
        <w:rPr>
          <w:rFonts w:cs="Arial"/>
          <w:szCs w:val="20"/>
        </w:rPr>
        <w:t>Pospešitev razvoja cepiv proti koronavirusni bolezni se v EU omogoča s kombiniranjem I. in II. faze ter II. in III. faze kliničnih testiranj.</w:t>
      </w:r>
    </w:p>
    <w:p w:rsidR="00E15F00" w:rsidRPr="00E15F00" w:rsidRDefault="00E15F00" w:rsidP="005F07CB">
      <w:pPr>
        <w:rPr>
          <w:rFonts w:cs="Arial"/>
          <w:szCs w:val="20"/>
        </w:rPr>
      </w:pPr>
    </w:p>
    <w:p w:rsidR="00E15F00" w:rsidRPr="00E15F00" w:rsidRDefault="00E15F00" w:rsidP="005F07CB">
      <w:pPr>
        <w:jc w:val="both"/>
        <w:rPr>
          <w:rFonts w:cs="Arial"/>
          <w:szCs w:val="20"/>
        </w:rPr>
      </w:pPr>
      <w:r w:rsidRPr="00E15F00">
        <w:rPr>
          <w:rFonts w:cs="Arial"/>
          <w:b/>
          <w:bCs/>
          <w:szCs w:val="20"/>
        </w:rPr>
        <w:t xml:space="preserve">Platforma 1 – cepiva na osnovi </w:t>
      </w:r>
      <w:r w:rsidRPr="00E15F00">
        <w:rPr>
          <w:rFonts w:cs="Arial"/>
          <w:b/>
          <w:bCs/>
          <w:szCs w:val="20"/>
          <w:u w:val="single"/>
        </w:rPr>
        <w:t>vektorskih</w:t>
      </w:r>
      <w:r w:rsidRPr="00E15F00">
        <w:rPr>
          <w:rFonts w:cs="Arial"/>
          <w:b/>
          <w:bCs/>
          <w:szCs w:val="20"/>
        </w:rPr>
        <w:t xml:space="preserve"> organizmov </w:t>
      </w:r>
      <w:r w:rsidRPr="00E15F00">
        <w:rPr>
          <w:rFonts w:cs="Arial"/>
          <w:szCs w:val="20"/>
        </w:rPr>
        <w:t xml:space="preserve">– Pri vektorskih cepivih predstavlja antigen virusni protein, katerega genski zapis je vstavljen neposredno v virusni vektor. Ta cepiva vsebujejo viruse (vektorje ali prenašalce), ki prenašajo v celice gostitelja gene virusa SARSars-CovV-2. Virusni vektorji pa se lahko delijo (npr. oslabljen virus ošpic) ali pa je njihova delitev onemogočena (npr. adenovirus). Prvo vektorsko cepivo, ki je pridobilo dovoljenje za promet v EU, je </w:t>
      </w:r>
      <w:r w:rsidRPr="00E15F00">
        <w:rPr>
          <w:rFonts w:cs="Arial"/>
          <w:szCs w:val="20"/>
          <w:u w:val="single"/>
        </w:rPr>
        <w:t>cepivo proti eboli (Ervebo</w:t>
      </w:r>
      <w:r w:rsidRPr="00E15F00">
        <w:rPr>
          <w:rFonts w:cs="Arial"/>
          <w:szCs w:val="20"/>
        </w:rPr>
        <w:t xml:space="preserve">) in je pripravljeno na osnovi vektorja virusa vezikularnega stomatitisa (VSV), na osnovi adenovirusnega vektorja pa je v Evropi odobreno cepivo Zabdeno, prav tako namenjeno za zdravljenje bolezni, ki jo povzroča Ebola virus. </w:t>
      </w:r>
      <w:r w:rsidRPr="00E15F00">
        <w:rPr>
          <w:rFonts w:cs="Arial"/>
          <w:b/>
          <w:bCs/>
          <w:szCs w:val="20"/>
        </w:rPr>
        <w:t>V primeru cepiv proti SARS CoV-2 je imunogen pripravljen na osnovi proteina S</w:t>
      </w:r>
      <w:r w:rsidRPr="00E15F00">
        <w:rPr>
          <w:rFonts w:cs="Arial"/>
          <w:szCs w:val="20"/>
        </w:rPr>
        <w:t>. Tekom razvoja te skupine cepiv so bili doseženi dobri pred-klinični rezultati ter dober imunski odziv. Predvidene slabosti te skupine cepiv so, da bi v primeru predhodne senzibilizacije s sorodnim virusom to lahko imelo za posledico manjšo učinkovitost cepiva</w:t>
      </w:r>
      <w:r w:rsidRPr="00E15F00">
        <w:rPr>
          <w:rStyle w:val="Sprotnaopomba-sklic"/>
          <w:rFonts w:cs="Arial"/>
          <w:szCs w:val="20"/>
        </w:rPr>
        <w:footnoteReference w:id="2"/>
      </w:r>
      <w:r w:rsidRPr="00E15F00">
        <w:rPr>
          <w:rFonts w:cs="Arial"/>
          <w:szCs w:val="20"/>
        </w:rPr>
        <w:t>.</w:t>
      </w:r>
    </w:p>
    <w:p w:rsidR="00E15F00" w:rsidRPr="00E15F00" w:rsidRDefault="00E15F00" w:rsidP="005F07CB">
      <w:pPr>
        <w:jc w:val="both"/>
        <w:rPr>
          <w:rFonts w:cs="Arial"/>
          <w:b/>
          <w:bCs/>
          <w:szCs w:val="20"/>
        </w:rPr>
      </w:pPr>
    </w:p>
    <w:p w:rsidR="00E15F00" w:rsidRPr="00E15F00" w:rsidRDefault="00E15F00" w:rsidP="005F07CB">
      <w:pPr>
        <w:jc w:val="both"/>
        <w:rPr>
          <w:rFonts w:cs="Arial"/>
          <w:szCs w:val="20"/>
        </w:rPr>
      </w:pPr>
      <w:r w:rsidRPr="00E15F00">
        <w:rPr>
          <w:rFonts w:cs="Arial"/>
          <w:b/>
          <w:bCs/>
          <w:szCs w:val="20"/>
        </w:rPr>
        <w:t xml:space="preserve">Platforma 2 – cepiva na osnovi nukleinskih kislin (DNA ali RNA) - </w:t>
      </w:r>
      <w:r w:rsidRPr="00E15F00">
        <w:rPr>
          <w:rFonts w:cs="Arial"/>
          <w:b/>
          <w:bCs/>
          <w:szCs w:val="20"/>
          <w:u w:val="single"/>
        </w:rPr>
        <w:t>mRNA cepiva</w:t>
      </w:r>
      <w:r w:rsidRPr="00E15F00">
        <w:rPr>
          <w:rFonts w:cs="Arial"/>
          <w:szCs w:val="20"/>
        </w:rPr>
        <w:t xml:space="preserve"> vsebujejo informacijsko RNA, ki nosi zapis enega ali več genov koronavirusa za tarčni virusni protein, ki v celicah gostitelja producirajo protein korona virusa, ki vzpodbudi imunski odziv. </w:t>
      </w:r>
      <w:r w:rsidRPr="00E15F00">
        <w:rPr>
          <w:rFonts w:cs="Arial"/>
          <w:b/>
          <w:bCs/>
          <w:szCs w:val="20"/>
        </w:rPr>
        <w:t>mRNA</w:t>
      </w:r>
      <w:r w:rsidRPr="00E15F00">
        <w:rPr>
          <w:rFonts w:cs="Arial"/>
          <w:szCs w:val="20"/>
        </w:rPr>
        <w:t xml:space="preserve"> je v cepivu običajno obdana z lipidnim dvoslojem, kar ji omogoča lažji vstop </w:t>
      </w:r>
      <w:r w:rsidRPr="00E15F00">
        <w:rPr>
          <w:rFonts w:cs="Arial"/>
          <w:b/>
          <w:bCs/>
          <w:szCs w:val="20"/>
        </w:rPr>
        <w:t>v celico gostitelja</w:t>
      </w:r>
      <w:r w:rsidRPr="00E15F00">
        <w:rPr>
          <w:rFonts w:cs="Arial"/>
          <w:szCs w:val="20"/>
        </w:rPr>
        <w:t xml:space="preserve">, kar privede do </w:t>
      </w:r>
      <w:r w:rsidRPr="00E15F00">
        <w:rPr>
          <w:rFonts w:cs="Arial"/>
          <w:b/>
          <w:bCs/>
          <w:szCs w:val="20"/>
        </w:rPr>
        <w:t xml:space="preserve">prevoda mRNA informacije v imunogen, </w:t>
      </w:r>
      <w:r w:rsidRPr="00E15F00">
        <w:rPr>
          <w:rFonts w:cs="Arial"/>
          <w:szCs w:val="20"/>
        </w:rPr>
        <w:t xml:space="preserve">kar povzroči </w:t>
      </w:r>
      <w:r w:rsidRPr="00E15F00">
        <w:rPr>
          <w:rFonts w:cs="Arial"/>
          <w:b/>
          <w:bCs/>
          <w:szCs w:val="20"/>
        </w:rPr>
        <w:t>imunski odziv</w:t>
      </w:r>
      <w:r w:rsidRPr="00E15F00">
        <w:rPr>
          <w:rFonts w:cs="Arial"/>
          <w:szCs w:val="20"/>
        </w:rPr>
        <w:t xml:space="preserve">. Imunogen je pripravljen na osnovi proteina S. Prednost te platforme je v tem, da ne pride do vključitve vnesene informacije mRNA v celično jedro, dosežen je močan imunski odziv, varnost pri delu je zagotovljena s tem, da ni rokovanja z infektivnim virusom, omogočena je hitra in obsežna proizvodnja cepiva. Platforma mRNA še ni uveljavljena, vendar pa obstajajo predhodne izkušnje </w:t>
      </w:r>
      <w:r w:rsidRPr="00E15F00">
        <w:rPr>
          <w:rFonts w:cs="Arial"/>
          <w:szCs w:val="20"/>
        </w:rPr>
        <w:lastRenderedPageBreak/>
        <w:t>(predklinične in več let trajajoče klinične študije) pri razvoju sorodnih zdravil/cepiv, pridobljenih s to tehnologijo</w:t>
      </w:r>
      <w:r w:rsidRPr="00E15F00">
        <w:rPr>
          <w:rFonts w:cs="Arial"/>
          <w:szCs w:val="20"/>
          <w:vertAlign w:val="superscript"/>
        </w:rPr>
        <w:t>2</w:t>
      </w:r>
      <w:r w:rsidRPr="00E15F00">
        <w:rPr>
          <w:rFonts w:cs="Arial"/>
          <w:szCs w:val="20"/>
        </w:rPr>
        <w:t>.</w:t>
      </w:r>
    </w:p>
    <w:p w:rsidR="00E15F00" w:rsidRPr="00E15F00" w:rsidRDefault="00E15F00" w:rsidP="005F07CB">
      <w:pPr>
        <w:jc w:val="both"/>
        <w:rPr>
          <w:rFonts w:cs="Arial"/>
          <w:b/>
          <w:bCs/>
          <w:szCs w:val="20"/>
        </w:rPr>
      </w:pPr>
    </w:p>
    <w:p w:rsidR="00E15F00" w:rsidRPr="00E15F00" w:rsidRDefault="00E15F00" w:rsidP="005F07CB">
      <w:pPr>
        <w:jc w:val="both"/>
        <w:rPr>
          <w:rFonts w:cs="Arial"/>
          <w:b/>
          <w:bCs/>
          <w:szCs w:val="20"/>
          <w:vertAlign w:val="superscript"/>
        </w:rPr>
      </w:pPr>
      <w:r w:rsidRPr="00E15F00">
        <w:rPr>
          <w:rFonts w:cs="Arial"/>
          <w:b/>
          <w:bCs/>
          <w:szCs w:val="20"/>
        </w:rPr>
        <w:t xml:space="preserve">Platforma 3 </w:t>
      </w:r>
      <w:r w:rsidRPr="00E15F00">
        <w:rPr>
          <w:rFonts w:cs="Arial"/>
          <w:szCs w:val="20"/>
        </w:rPr>
        <w:t xml:space="preserve">- cepiva na osnovi rekombinantnih proteinskih antigenov ali </w:t>
      </w:r>
      <w:r w:rsidRPr="00E15F00">
        <w:rPr>
          <w:rFonts w:cs="Arial"/>
          <w:b/>
          <w:bCs/>
          <w:szCs w:val="20"/>
          <w:u w:val="single"/>
        </w:rPr>
        <w:t>rekombinantna cepiva</w:t>
      </w:r>
      <w:r w:rsidRPr="00E15F00">
        <w:rPr>
          <w:rFonts w:cs="Arial"/>
          <w:szCs w:val="20"/>
        </w:rPr>
        <w:t xml:space="preserve">, ki vsebujejo protein koronavirusa (cel protein ali fragment proteina) brez prisotnosti genskega materiala. Rekombinantna proteinska cepiva se proizvajajo v celičnih kulturah sesalskih celic ali celic insektov (z bakulovirusnimi vektorji) ali v kvasovkah, kar pomeni, da ni rokovanja z infektivnimi virusi, ker predstavlja večjo varnost in s tem veliko prednost. </w:t>
      </w:r>
      <w:r w:rsidRPr="00E15F00">
        <w:rPr>
          <w:rFonts w:cs="Arial"/>
          <w:b/>
          <w:bCs/>
          <w:szCs w:val="20"/>
        </w:rPr>
        <w:t xml:space="preserve">Imunogen je pripravljen na osnovi proteina S (ali njegove posamezne domene), ki izzove nastanek protiteles, ki se ob okužbi vežejo na protein S virusa </w:t>
      </w:r>
      <w:r w:rsidRPr="00E15F00">
        <w:rPr>
          <w:rFonts w:cs="Arial"/>
          <w:szCs w:val="20"/>
        </w:rPr>
        <w:t>(vezava na receptor</w:t>
      </w:r>
      <w:r w:rsidRPr="00E15F00">
        <w:rPr>
          <w:rFonts w:cs="Arial"/>
          <w:b/>
          <w:bCs/>
          <w:szCs w:val="20"/>
        </w:rPr>
        <w:t xml:space="preserve"> – »RBD-</w:t>
      </w:r>
      <w:r w:rsidRPr="00E15F00">
        <w:rPr>
          <w:rFonts w:cs="Arial"/>
          <w:szCs w:val="20"/>
        </w:rPr>
        <w:t xml:space="preserve">receptor binding domain«) </w:t>
      </w:r>
      <w:r w:rsidRPr="00E15F00">
        <w:rPr>
          <w:rFonts w:cs="Arial"/>
          <w:b/>
          <w:bCs/>
          <w:szCs w:val="20"/>
        </w:rPr>
        <w:t>in s tem preprečijo vezavo virusa na gostiteljev receptor ACE2.</w:t>
      </w:r>
      <w:r w:rsidRPr="00E15F00">
        <w:rPr>
          <w:rFonts w:cs="Arial"/>
          <w:szCs w:val="20"/>
        </w:rPr>
        <w:t xml:space="preserve"> Prednost je v tem, da že obstaja cepivo z bakulovirusno tehnologijo  (cepiva proti HPV, virus influence) ali cepiva proizvedena v kvasovkah (HBV, HPV). Rekombinantna proteinska cepiva lahko tudi okrepijo humoralni imunski odziv z vključitvijo limfocitov T pomagalk in povzročijo nastanek visokih titrov protiteles. Imunski sistem se okrepi z adjuvansi. Omejena možnost proizvodne kapacitete predstavlja slabost, pri čemer je potrebno potrditi še ustreznost antigena oziroma njegovih epitopov</w:t>
      </w:r>
      <w:r w:rsidRPr="00E15F00">
        <w:rPr>
          <w:rFonts w:cs="Arial"/>
          <w:szCs w:val="20"/>
          <w:vertAlign w:val="superscript"/>
        </w:rPr>
        <w:t>2</w:t>
      </w:r>
      <w:r w:rsidRPr="00E15F00">
        <w:rPr>
          <w:rFonts w:cs="Arial"/>
          <w:szCs w:val="20"/>
        </w:rPr>
        <w:t>.</w:t>
      </w:r>
    </w:p>
    <w:p w:rsidR="00E15F00" w:rsidRPr="00E15F00" w:rsidRDefault="00E15F00" w:rsidP="005F07CB">
      <w:pPr>
        <w:jc w:val="both"/>
        <w:rPr>
          <w:rFonts w:cs="Arial"/>
        </w:rPr>
      </w:pPr>
    </w:p>
    <w:p w:rsidR="00E15F00" w:rsidRPr="00E15F00" w:rsidRDefault="00E15F00" w:rsidP="005F07CB">
      <w:pPr>
        <w:jc w:val="both"/>
        <w:rPr>
          <w:rFonts w:cs="Arial"/>
        </w:rPr>
      </w:pPr>
    </w:p>
    <w:p w:rsidR="00E15F00" w:rsidRPr="00E15F00" w:rsidRDefault="00E15F00" w:rsidP="005F07CB">
      <w:pPr>
        <w:jc w:val="both"/>
        <w:rPr>
          <w:rFonts w:cs="Arial"/>
        </w:rPr>
      </w:pPr>
      <w:r w:rsidRPr="00E15F00">
        <w:rPr>
          <w:rFonts w:cs="Arial"/>
        </w:rPr>
        <w:tab/>
      </w:r>
      <w:r w:rsidRPr="00E15F00">
        <w:rPr>
          <w:rFonts w:cs="Arial"/>
        </w:rPr>
        <w:tab/>
      </w:r>
      <w:r w:rsidRPr="00E15F00">
        <w:rPr>
          <w:rFonts w:cs="Arial"/>
        </w:rPr>
        <w:tab/>
      </w:r>
      <w:r w:rsidRPr="00E15F00">
        <w:rPr>
          <w:rFonts w:cs="Arial"/>
        </w:rPr>
        <w:tab/>
      </w:r>
      <w:r w:rsidRPr="00E15F00">
        <w:rPr>
          <w:rFonts w:cs="Arial"/>
        </w:rPr>
        <w:tab/>
      </w:r>
      <w:r w:rsidRPr="00E15F00">
        <w:rPr>
          <w:rFonts w:cs="Arial"/>
        </w:rPr>
        <w:tab/>
      </w:r>
      <w:r w:rsidRPr="00E15F00">
        <w:rPr>
          <w:rFonts w:cs="Arial"/>
        </w:rPr>
        <w:tab/>
      </w:r>
    </w:p>
    <w:p w:rsidR="00E15F00" w:rsidRPr="00E15F00" w:rsidRDefault="00E15F00" w:rsidP="005F07CB">
      <w:pPr>
        <w:rPr>
          <w:rFonts w:cs="Arial"/>
        </w:rPr>
      </w:pPr>
      <w:r w:rsidRPr="00E15F00">
        <w:rPr>
          <w:rFonts w:cs="Arial"/>
        </w:rPr>
        <w:br w:type="page"/>
      </w:r>
    </w:p>
    <w:p w:rsidR="00E15F00" w:rsidRPr="00E15F00" w:rsidRDefault="00E15F00" w:rsidP="00E15F00">
      <w:pPr>
        <w:spacing w:line="240" w:lineRule="auto"/>
        <w:jc w:val="both"/>
        <w:rPr>
          <w:rFonts w:cs="Arial"/>
        </w:rPr>
      </w:pPr>
    </w:p>
    <w:p w:rsidR="00E15F00" w:rsidRPr="00E15F00" w:rsidRDefault="00E15F00" w:rsidP="00E15F00">
      <w:pPr>
        <w:spacing w:line="240" w:lineRule="auto"/>
        <w:jc w:val="right"/>
        <w:rPr>
          <w:rFonts w:cs="Arial"/>
          <w:b/>
          <w:bCs/>
          <w:color w:val="000000"/>
        </w:rPr>
      </w:pPr>
      <w:r w:rsidRPr="00E15F00">
        <w:rPr>
          <w:rFonts w:cs="Arial"/>
          <w:b/>
          <w:bCs/>
          <w:color w:val="000000"/>
        </w:rPr>
        <w:t>Priloga 2</w:t>
      </w:r>
    </w:p>
    <w:p w:rsidR="00E15F00" w:rsidRPr="00E15F00" w:rsidRDefault="00E15F00" w:rsidP="00E15F00">
      <w:pPr>
        <w:pStyle w:val="Intenzivencitat"/>
        <w:rPr>
          <w:rFonts w:ascii="Arial" w:hAnsi="Arial" w:cs="Arial"/>
          <w:sz w:val="28"/>
          <w:szCs w:val="28"/>
        </w:rPr>
      </w:pPr>
      <w:r w:rsidRPr="00E15F00">
        <w:rPr>
          <w:rFonts w:ascii="Arial" w:hAnsi="Arial" w:cs="Arial"/>
          <w:sz w:val="28"/>
          <w:szCs w:val="28"/>
        </w:rPr>
        <w:t>Pregled že odobrenih in kandidatnih cepiv</w:t>
      </w:r>
    </w:p>
    <w:tbl>
      <w:tblPr>
        <w:tblW w:w="0" w:type="auto"/>
        <w:tblLayout w:type="fixed"/>
        <w:tblLook w:val="06A0" w:firstRow="1" w:lastRow="0" w:firstColumn="1" w:lastColumn="0" w:noHBand="1" w:noVBand="1"/>
      </w:tblPr>
      <w:tblGrid>
        <w:gridCol w:w="1500"/>
        <w:gridCol w:w="1500"/>
        <w:gridCol w:w="1500"/>
        <w:gridCol w:w="1500"/>
        <w:gridCol w:w="1645"/>
        <w:gridCol w:w="1355"/>
      </w:tblGrid>
      <w:tr w:rsidR="00E15F00" w:rsidRPr="00E15F00" w:rsidTr="00E15F00">
        <w:trPr>
          <w:trHeight w:val="780"/>
        </w:trPr>
        <w:tc>
          <w:tcPr>
            <w:tcW w:w="1500" w:type="dxa"/>
            <w:tcBorders>
              <w:top w:val="single" w:sz="8" w:space="0" w:color="auto"/>
              <w:left w:val="single" w:sz="8" w:space="0" w:color="auto"/>
              <w:bottom w:val="single" w:sz="8" w:space="0" w:color="auto"/>
              <w:right w:val="single" w:sz="8" w:space="0" w:color="auto"/>
            </w:tcBorders>
            <w:shd w:val="clear" w:color="auto" w:fill="0066FF"/>
            <w:hideMark/>
          </w:tcPr>
          <w:p w:rsidR="00E15F00" w:rsidRPr="00E15F00" w:rsidRDefault="00E15F00">
            <w:pPr>
              <w:spacing w:after="200" w:line="276" w:lineRule="auto"/>
              <w:rPr>
                <w:rFonts w:eastAsia="Calibri" w:cs="Arial"/>
                <w:sz w:val="22"/>
                <w:szCs w:val="22"/>
              </w:rPr>
            </w:pPr>
            <w:r w:rsidRPr="00E15F00">
              <w:rPr>
                <w:rFonts w:eastAsia="Arial Narrow" w:cs="Arial"/>
                <w:b/>
                <w:bCs/>
                <w:color w:val="FFFFFF"/>
                <w:szCs w:val="20"/>
              </w:rPr>
              <w:t xml:space="preserve">Proizvajalec </w:t>
            </w:r>
          </w:p>
        </w:tc>
        <w:tc>
          <w:tcPr>
            <w:tcW w:w="1500" w:type="dxa"/>
            <w:tcBorders>
              <w:top w:val="single" w:sz="8" w:space="0" w:color="auto"/>
              <w:left w:val="single" w:sz="8" w:space="0" w:color="auto"/>
              <w:bottom w:val="single" w:sz="8" w:space="0" w:color="auto"/>
              <w:right w:val="single" w:sz="8" w:space="0" w:color="auto"/>
            </w:tcBorders>
            <w:shd w:val="clear" w:color="auto" w:fill="0066FF"/>
            <w:hideMark/>
          </w:tcPr>
          <w:p w:rsidR="00E15F00" w:rsidRPr="00E15F00" w:rsidRDefault="00E15F00">
            <w:pPr>
              <w:spacing w:after="200" w:line="276" w:lineRule="auto"/>
              <w:rPr>
                <w:rFonts w:eastAsia="Calibri" w:cs="Arial"/>
                <w:sz w:val="22"/>
                <w:szCs w:val="22"/>
              </w:rPr>
            </w:pPr>
            <w:r w:rsidRPr="00E15F00">
              <w:rPr>
                <w:rFonts w:eastAsia="Arial Narrow" w:cs="Arial"/>
                <w:b/>
                <w:bCs/>
                <w:color w:val="FFFFFF"/>
                <w:szCs w:val="20"/>
              </w:rPr>
              <w:t xml:space="preserve">Platforma cepiva </w:t>
            </w:r>
          </w:p>
        </w:tc>
        <w:tc>
          <w:tcPr>
            <w:tcW w:w="1500" w:type="dxa"/>
            <w:tcBorders>
              <w:top w:val="single" w:sz="8" w:space="0" w:color="auto"/>
              <w:left w:val="single" w:sz="8" w:space="0" w:color="auto"/>
              <w:bottom w:val="single" w:sz="8" w:space="0" w:color="auto"/>
              <w:right w:val="single" w:sz="8" w:space="0" w:color="auto"/>
            </w:tcBorders>
            <w:shd w:val="clear" w:color="auto" w:fill="0066FF"/>
            <w:hideMark/>
          </w:tcPr>
          <w:p w:rsidR="00E15F00" w:rsidRPr="00E15F00" w:rsidRDefault="00E15F00">
            <w:pPr>
              <w:spacing w:after="200" w:line="276" w:lineRule="auto"/>
              <w:rPr>
                <w:rFonts w:eastAsia="Calibri" w:cs="Arial"/>
                <w:sz w:val="22"/>
                <w:szCs w:val="22"/>
              </w:rPr>
            </w:pPr>
            <w:r w:rsidRPr="00E15F00">
              <w:rPr>
                <w:rFonts w:eastAsia="Arial Narrow" w:cs="Arial"/>
                <w:b/>
                <w:bCs/>
                <w:color w:val="FFFFFF"/>
                <w:szCs w:val="20"/>
              </w:rPr>
              <w:t xml:space="preserve">Št. odmerkov in interval* </w:t>
            </w:r>
          </w:p>
        </w:tc>
        <w:tc>
          <w:tcPr>
            <w:tcW w:w="1500" w:type="dxa"/>
            <w:tcBorders>
              <w:top w:val="single" w:sz="8" w:space="0" w:color="auto"/>
              <w:left w:val="single" w:sz="8" w:space="0" w:color="auto"/>
              <w:bottom w:val="single" w:sz="8" w:space="0" w:color="auto"/>
              <w:right w:val="single" w:sz="8" w:space="0" w:color="auto"/>
            </w:tcBorders>
            <w:shd w:val="clear" w:color="auto" w:fill="0066FF"/>
            <w:hideMark/>
          </w:tcPr>
          <w:p w:rsidR="00E15F00" w:rsidRPr="00E15F00" w:rsidRDefault="00E15F00">
            <w:pPr>
              <w:spacing w:after="200" w:line="276" w:lineRule="auto"/>
              <w:rPr>
                <w:rFonts w:eastAsia="Calibri" w:cs="Arial"/>
                <w:sz w:val="22"/>
                <w:szCs w:val="22"/>
              </w:rPr>
            </w:pPr>
            <w:r w:rsidRPr="00E15F00">
              <w:rPr>
                <w:rFonts w:eastAsia="Arial Narrow" w:cs="Arial"/>
                <w:b/>
                <w:bCs/>
                <w:color w:val="FFFFFF"/>
                <w:szCs w:val="20"/>
              </w:rPr>
              <w:t xml:space="preserve">Volumen cepiva in aplikacija* </w:t>
            </w:r>
          </w:p>
        </w:tc>
        <w:tc>
          <w:tcPr>
            <w:tcW w:w="1645" w:type="dxa"/>
            <w:tcBorders>
              <w:top w:val="single" w:sz="8" w:space="0" w:color="auto"/>
              <w:left w:val="single" w:sz="8" w:space="0" w:color="auto"/>
              <w:bottom w:val="single" w:sz="8" w:space="0" w:color="auto"/>
              <w:right w:val="single" w:sz="8" w:space="0" w:color="auto"/>
            </w:tcBorders>
            <w:shd w:val="clear" w:color="auto" w:fill="0066FF"/>
            <w:hideMark/>
          </w:tcPr>
          <w:p w:rsidR="00E15F00" w:rsidRPr="00E15F00" w:rsidRDefault="00E15F00">
            <w:pPr>
              <w:spacing w:after="200" w:line="276" w:lineRule="auto"/>
              <w:rPr>
                <w:rFonts w:eastAsia="Arial Narrow" w:cs="Arial"/>
                <w:b/>
                <w:bCs/>
                <w:color w:val="FFFFFF"/>
                <w:szCs w:val="20"/>
              </w:rPr>
            </w:pPr>
            <w:r w:rsidRPr="00E15F00">
              <w:rPr>
                <w:rFonts w:eastAsia="Arial Narrow" w:cs="Arial"/>
                <w:b/>
                <w:bCs/>
                <w:color w:val="FFFFFF"/>
                <w:szCs w:val="20"/>
              </w:rPr>
              <w:t>Stanje:</w:t>
            </w:r>
          </w:p>
          <w:p w:rsidR="00E15F00" w:rsidRPr="00E15F00" w:rsidRDefault="00E15F00">
            <w:pPr>
              <w:spacing w:after="200" w:line="276" w:lineRule="auto"/>
              <w:rPr>
                <w:rFonts w:eastAsia="Calibri" w:cs="Arial"/>
                <w:sz w:val="22"/>
                <w:szCs w:val="22"/>
              </w:rPr>
            </w:pPr>
            <w:r w:rsidRPr="00E15F00">
              <w:rPr>
                <w:rFonts w:eastAsia="Arial Narrow" w:cs="Arial"/>
                <w:b/>
                <w:bCs/>
                <w:color w:val="FFFFFF"/>
                <w:szCs w:val="20"/>
              </w:rPr>
              <w:t xml:space="preserve">klinični razvoj  </w:t>
            </w:r>
          </w:p>
        </w:tc>
        <w:tc>
          <w:tcPr>
            <w:tcW w:w="1355" w:type="dxa"/>
            <w:tcBorders>
              <w:top w:val="single" w:sz="8" w:space="0" w:color="auto"/>
              <w:left w:val="single" w:sz="8" w:space="0" w:color="auto"/>
              <w:bottom w:val="single" w:sz="8" w:space="0" w:color="auto"/>
              <w:right w:val="single" w:sz="8" w:space="0" w:color="auto"/>
            </w:tcBorders>
            <w:shd w:val="clear" w:color="auto" w:fill="0066FF"/>
            <w:hideMark/>
          </w:tcPr>
          <w:p w:rsidR="00E15F00" w:rsidRPr="00E15F00" w:rsidRDefault="00E15F00">
            <w:pPr>
              <w:spacing w:after="200" w:line="276" w:lineRule="auto"/>
              <w:rPr>
                <w:rFonts w:eastAsia="Calibri" w:cs="Arial"/>
                <w:sz w:val="22"/>
                <w:szCs w:val="22"/>
              </w:rPr>
            </w:pPr>
            <w:r w:rsidRPr="00E15F00">
              <w:rPr>
                <w:rFonts w:eastAsia="Arial Narrow" w:cs="Arial"/>
                <w:b/>
                <w:bCs/>
                <w:color w:val="FFFFFF"/>
                <w:szCs w:val="20"/>
              </w:rPr>
              <w:t>Odobritev v EU</w:t>
            </w:r>
          </w:p>
        </w:tc>
      </w:tr>
      <w:tr w:rsidR="00E15F00" w:rsidRPr="00E15F00" w:rsidTr="00E15F00">
        <w:trPr>
          <w:trHeight w:val="510"/>
        </w:trPr>
        <w:tc>
          <w:tcPr>
            <w:tcW w:w="1500" w:type="dxa"/>
            <w:tcBorders>
              <w:top w:val="single" w:sz="8" w:space="0" w:color="auto"/>
              <w:left w:val="single" w:sz="8" w:space="0" w:color="999999"/>
              <w:bottom w:val="single" w:sz="8" w:space="0" w:color="999999"/>
              <w:right w:val="single" w:sz="8" w:space="0" w:color="999999"/>
            </w:tcBorders>
            <w:shd w:val="clear" w:color="auto" w:fill="CCFFFF"/>
            <w:hideMark/>
          </w:tcPr>
          <w:p w:rsidR="00E15F00" w:rsidRPr="00E15F00" w:rsidRDefault="00E15F00">
            <w:pPr>
              <w:spacing w:line="276" w:lineRule="auto"/>
              <w:rPr>
                <w:rFonts w:eastAsia="Arial Narrow" w:cs="Arial"/>
                <w:b/>
                <w:bCs/>
                <w:color w:val="000000"/>
                <w:szCs w:val="20"/>
              </w:rPr>
            </w:pPr>
            <w:r w:rsidRPr="00E15F00">
              <w:rPr>
                <w:rFonts w:eastAsia="Arial Narrow" w:cs="Arial"/>
                <w:b/>
                <w:bCs/>
                <w:color w:val="000000"/>
                <w:szCs w:val="20"/>
              </w:rPr>
              <w:t xml:space="preserve">BioN-Tech/ </w:t>
            </w:r>
          </w:p>
          <w:p w:rsidR="00E15F00" w:rsidRPr="00E15F00" w:rsidRDefault="00E15F00">
            <w:pPr>
              <w:spacing w:line="276" w:lineRule="auto"/>
              <w:rPr>
                <w:rFonts w:eastAsia="Calibri" w:cs="Arial"/>
                <w:sz w:val="22"/>
                <w:szCs w:val="22"/>
              </w:rPr>
            </w:pPr>
            <w:r w:rsidRPr="00E15F00">
              <w:rPr>
                <w:rFonts w:eastAsia="Arial Narrow" w:cs="Arial"/>
                <w:b/>
                <w:bCs/>
                <w:color w:val="000000"/>
                <w:szCs w:val="20"/>
              </w:rPr>
              <w:t xml:space="preserve">Pfizer </w:t>
            </w:r>
          </w:p>
        </w:tc>
        <w:tc>
          <w:tcPr>
            <w:tcW w:w="1500" w:type="dxa"/>
            <w:tcBorders>
              <w:top w:val="single" w:sz="8" w:space="0" w:color="auto"/>
              <w:left w:val="single" w:sz="8" w:space="0" w:color="999999"/>
              <w:bottom w:val="single" w:sz="8" w:space="0" w:color="999999"/>
              <w:right w:val="single" w:sz="8" w:space="0" w:color="999999"/>
            </w:tcBorders>
            <w:hideMark/>
          </w:tcPr>
          <w:p w:rsidR="00E15F00" w:rsidRPr="00E15F00" w:rsidRDefault="00E15F00">
            <w:pPr>
              <w:spacing w:line="276" w:lineRule="auto"/>
              <w:rPr>
                <w:rFonts w:eastAsia="Calibri" w:cs="Arial"/>
                <w:sz w:val="22"/>
                <w:szCs w:val="22"/>
              </w:rPr>
            </w:pPr>
            <w:r w:rsidRPr="00E15F00">
              <w:rPr>
                <w:rFonts w:eastAsia="Arial Narrow" w:cs="Arial"/>
                <w:color w:val="000000"/>
                <w:szCs w:val="20"/>
              </w:rPr>
              <w:t xml:space="preserve">mRNA v lipidnih nanodelcih </w:t>
            </w:r>
          </w:p>
        </w:tc>
        <w:tc>
          <w:tcPr>
            <w:tcW w:w="1500" w:type="dxa"/>
            <w:tcBorders>
              <w:top w:val="single" w:sz="8" w:space="0" w:color="auto"/>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2 odmerka,</w:t>
            </w:r>
          </w:p>
          <w:p w:rsidR="00E15F00" w:rsidRPr="00E15F00" w:rsidRDefault="00E15F00">
            <w:pPr>
              <w:spacing w:line="276" w:lineRule="auto"/>
              <w:rPr>
                <w:rFonts w:eastAsia="Calibri" w:cs="Arial"/>
                <w:sz w:val="22"/>
                <w:szCs w:val="22"/>
              </w:rPr>
            </w:pPr>
            <w:r w:rsidRPr="00E15F00">
              <w:rPr>
                <w:rFonts w:eastAsia="Arial Narrow" w:cs="Arial"/>
                <w:color w:val="000000"/>
                <w:szCs w:val="20"/>
              </w:rPr>
              <w:t xml:space="preserve">ponovitev cepljenja 21 dni po prvem odmerku </w:t>
            </w:r>
          </w:p>
        </w:tc>
        <w:tc>
          <w:tcPr>
            <w:tcW w:w="1500" w:type="dxa"/>
            <w:tcBorders>
              <w:top w:val="single" w:sz="8" w:space="0" w:color="auto"/>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1 odmerek </w:t>
            </w:r>
          </w:p>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à 0,3 ml </w:t>
            </w:r>
          </w:p>
          <w:p w:rsidR="00E15F00" w:rsidRPr="00E15F00" w:rsidRDefault="00E15F00">
            <w:pPr>
              <w:spacing w:line="276" w:lineRule="auto"/>
              <w:rPr>
                <w:rFonts w:eastAsia="Calibri" w:cs="Arial"/>
                <w:sz w:val="22"/>
                <w:szCs w:val="22"/>
              </w:rPr>
            </w:pPr>
            <w:r w:rsidRPr="00E15F00">
              <w:rPr>
                <w:rFonts w:eastAsia="Arial Narrow" w:cs="Arial"/>
                <w:color w:val="000000"/>
                <w:szCs w:val="20"/>
              </w:rPr>
              <w:t xml:space="preserve">IM </w:t>
            </w:r>
          </w:p>
        </w:tc>
        <w:tc>
          <w:tcPr>
            <w:tcW w:w="1645" w:type="dxa"/>
            <w:tcBorders>
              <w:top w:val="single" w:sz="8" w:space="0" w:color="auto"/>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Faza 1/2:: DE, ZDA</w:t>
            </w:r>
          </w:p>
          <w:p w:rsidR="00E15F00" w:rsidRPr="00E15F00" w:rsidRDefault="00E15F00">
            <w:pPr>
              <w:spacing w:line="276" w:lineRule="auto"/>
              <w:rPr>
                <w:rFonts w:eastAsia="Calibri" w:cs="Arial"/>
                <w:sz w:val="22"/>
                <w:szCs w:val="22"/>
              </w:rPr>
            </w:pPr>
            <w:r w:rsidRPr="00E15F00">
              <w:rPr>
                <w:rFonts w:eastAsia="Arial Narrow" w:cs="Arial"/>
                <w:color w:val="000000"/>
                <w:szCs w:val="20"/>
              </w:rPr>
              <w:t xml:space="preserve">Faza 3:  ZDA, Brazilija, Argentina,  Turčija, DE </w:t>
            </w:r>
          </w:p>
        </w:tc>
        <w:tc>
          <w:tcPr>
            <w:tcW w:w="1355" w:type="dxa"/>
            <w:tcBorders>
              <w:top w:val="single" w:sz="8" w:space="0" w:color="auto"/>
              <w:left w:val="single" w:sz="8" w:space="0" w:color="999999"/>
              <w:bottom w:val="single" w:sz="8" w:space="0" w:color="999999"/>
              <w:right w:val="single" w:sz="8" w:space="0" w:color="999999"/>
            </w:tcBorders>
            <w:hideMark/>
          </w:tcPr>
          <w:p w:rsidR="00E15F00" w:rsidRPr="00E15F00" w:rsidRDefault="00E15F00">
            <w:pPr>
              <w:spacing w:line="276" w:lineRule="auto"/>
              <w:rPr>
                <w:rFonts w:eastAsia="Calibri" w:cs="Arial"/>
                <w:sz w:val="22"/>
                <w:szCs w:val="22"/>
              </w:rPr>
            </w:pPr>
            <w:r w:rsidRPr="00E15F00">
              <w:rPr>
                <w:rFonts w:eastAsia="Arial Narrow" w:cs="Arial"/>
                <w:color w:val="000000"/>
                <w:szCs w:val="20"/>
              </w:rPr>
              <w:t xml:space="preserve">21. 12. 2020 </w:t>
            </w:r>
          </w:p>
        </w:tc>
      </w:tr>
      <w:tr w:rsidR="00E15F00" w:rsidRPr="00E15F00" w:rsidTr="00E15F00">
        <w:trPr>
          <w:trHeight w:val="510"/>
        </w:trPr>
        <w:tc>
          <w:tcPr>
            <w:tcW w:w="1500" w:type="dxa"/>
            <w:tcBorders>
              <w:top w:val="single" w:sz="8" w:space="0" w:color="999999"/>
              <w:left w:val="single" w:sz="8" w:space="0" w:color="999999"/>
              <w:bottom w:val="single" w:sz="8" w:space="0" w:color="999999"/>
              <w:right w:val="single" w:sz="8" w:space="0" w:color="999999"/>
            </w:tcBorders>
            <w:shd w:val="clear" w:color="auto" w:fill="CCFFFF"/>
            <w:hideMark/>
          </w:tcPr>
          <w:p w:rsidR="00E15F00" w:rsidRPr="00E15F00" w:rsidRDefault="00E15F00">
            <w:pPr>
              <w:spacing w:line="276" w:lineRule="auto"/>
              <w:rPr>
                <w:rFonts w:eastAsia="Arial Narrow" w:cs="Arial"/>
                <w:b/>
                <w:bCs/>
                <w:color w:val="000000"/>
                <w:szCs w:val="20"/>
              </w:rPr>
            </w:pPr>
            <w:r w:rsidRPr="00E15F00">
              <w:rPr>
                <w:rFonts w:eastAsia="Arial Narrow" w:cs="Arial"/>
                <w:b/>
                <w:bCs/>
                <w:color w:val="000000"/>
                <w:szCs w:val="20"/>
              </w:rPr>
              <w:t xml:space="preserve">Moderna/ </w:t>
            </w:r>
          </w:p>
          <w:p w:rsidR="00E15F00" w:rsidRPr="00E15F00" w:rsidRDefault="00E15F00">
            <w:pPr>
              <w:spacing w:line="276" w:lineRule="auto"/>
              <w:rPr>
                <w:rFonts w:eastAsia="Calibri" w:cs="Arial"/>
                <w:sz w:val="22"/>
                <w:szCs w:val="22"/>
              </w:rPr>
            </w:pPr>
            <w:r w:rsidRPr="00E15F00">
              <w:rPr>
                <w:rFonts w:eastAsia="Arial Narrow" w:cs="Arial"/>
                <w:b/>
                <w:bCs/>
                <w:color w:val="000000"/>
                <w:szCs w:val="20"/>
              </w:rPr>
              <w:t xml:space="preserve">Lonza </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Calibri" w:cs="Arial"/>
                <w:sz w:val="22"/>
                <w:szCs w:val="22"/>
              </w:rPr>
            </w:pPr>
            <w:r w:rsidRPr="00E15F00">
              <w:rPr>
                <w:rFonts w:eastAsia="Arial Narrow" w:cs="Arial"/>
                <w:color w:val="000000"/>
                <w:szCs w:val="20"/>
              </w:rPr>
              <w:t>mRNA v lipidnih nanodelcih</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2 odmerka, </w:t>
            </w:r>
          </w:p>
          <w:p w:rsidR="00E15F00" w:rsidRPr="00E15F00" w:rsidRDefault="00E15F00">
            <w:pPr>
              <w:spacing w:line="276" w:lineRule="auto"/>
              <w:rPr>
                <w:rFonts w:eastAsia="Calibri" w:cs="Arial"/>
                <w:sz w:val="22"/>
                <w:szCs w:val="22"/>
              </w:rPr>
            </w:pPr>
            <w:r w:rsidRPr="00E15F00">
              <w:rPr>
                <w:rFonts w:eastAsia="Arial Narrow" w:cs="Arial"/>
                <w:color w:val="000000"/>
                <w:szCs w:val="20"/>
              </w:rPr>
              <w:t>ponovitev cepljenja 28 dni po prvem odmerki</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1 odmerek </w:t>
            </w:r>
          </w:p>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à 0,5 ml </w:t>
            </w:r>
          </w:p>
          <w:p w:rsidR="00E15F00" w:rsidRPr="00E15F00" w:rsidRDefault="00E15F00">
            <w:pPr>
              <w:spacing w:line="276" w:lineRule="auto"/>
              <w:rPr>
                <w:rFonts w:eastAsia="Calibri" w:cs="Arial"/>
                <w:sz w:val="22"/>
                <w:szCs w:val="22"/>
              </w:rPr>
            </w:pPr>
            <w:r w:rsidRPr="00E15F00">
              <w:rPr>
                <w:rFonts w:eastAsia="Arial Narrow" w:cs="Arial"/>
                <w:color w:val="000000"/>
                <w:szCs w:val="20"/>
              </w:rPr>
              <w:t>IM</w:t>
            </w:r>
          </w:p>
        </w:tc>
        <w:tc>
          <w:tcPr>
            <w:tcW w:w="1645"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Calibri" w:cs="Arial"/>
                <w:sz w:val="22"/>
                <w:szCs w:val="22"/>
              </w:rPr>
            </w:pPr>
            <w:r w:rsidRPr="00E15F00">
              <w:rPr>
                <w:rFonts w:eastAsia="Arial Narrow" w:cs="Arial"/>
                <w:color w:val="000000"/>
                <w:szCs w:val="20"/>
              </w:rPr>
              <w:t xml:space="preserve">Faza 3: ZDA </w:t>
            </w:r>
          </w:p>
        </w:tc>
        <w:tc>
          <w:tcPr>
            <w:tcW w:w="1355"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jc w:val="both"/>
              <w:rPr>
                <w:rFonts w:eastAsia="Arial Narrow" w:cs="Arial"/>
                <w:color w:val="000000"/>
                <w:szCs w:val="20"/>
              </w:rPr>
            </w:pPr>
            <w:r w:rsidRPr="00E15F00">
              <w:rPr>
                <w:rFonts w:eastAsia="Arial Narrow" w:cs="Arial"/>
                <w:color w:val="000000"/>
                <w:szCs w:val="20"/>
              </w:rPr>
              <w:t xml:space="preserve">6. 1. 2021 </w:t>
            </w:r>
          </w:p>
        </w:tc>
      </w:tr>
      <w:tr w:rsidR="00E15F00" w:rsidRPr="00E15F00" w:rsidTr="00E15F00">
        <w:trPr>
          <w:trHeight w:val="375"/>
        </w:trPr>
        <w:tc>
          <w:tcPr>
            <w:tcW w:w="1500" w:type="dxa"/>
            <w:tcBorders>
              <w:top w:val="single" w:sz="8" w:space="0" w:color="999999"/>
              <w:left w:val="single" w:sz="8" w:space="0" w:color="999999"/>
              <w:bottom w:val="single" w:sz="8" w:space="0" w:color="999999"/>
              <w:right w:val="single" w:sz="8" w:space="0" w:color="999999"/>
            </w:tcBorders>
            <w:shd w:val="clear" w:color="auto" w:fill="CCFFFF"/>
            <w:hideMark/>
          </w:tcPr>
          <w:p w:rsidR="00E15F00" w:rsidRPr="00E15F00" w:rsidRDefault="00E15F00">
            <w:pPr>
              <w:spacing w:line="276" w:lineRule="auto"/>
              <w:rPr>
                <w:rFonts w:eastAsia="Arial Narrow" w:cs="Arial"/>
                <w:b/>
                <w:bCs/>
                <w:color w:val="000000"/>
                <w:szCs w:val="20"/>
              </w:rPr>
            </w:pPr>
            <w:r w:rsidRPr="00E15F00">
              <w:rPr>
                <w:rFonts w:eastAsia="Arial Narrow" w:cs="Arial"/>
                <w:b/>
                <w:bCs/>
                <w:color w:val="000000"/>
                <w:szCs w:val="20"/>
              </w:rPr>
              <w:t xml:space="preserve">Oxford/ </w:t>
            </w:r>
          </w:p>
          <w:p w:rsidR="00E15F00" w:rsidRPr="00E15F00" w:rsidRDefault="00E15F00">
            <w:pPr>
              <w:spacing w:line="276" w:lineRule="auto"/>
              <w:rPr>
                <w:rFonts w:eastAsia="Calibri" w:cs="Arial"/>
                <w:sz w:val="22"/>
                <w:szCs w:val="22"/>
              </w:rPr>
            </w:pPr>
            <w:r w:rsidRPr="00E15F00">
              <w:rPr>
                <w:rFonts w:eastAsia="Arial Narrow" w:cs="Arial"/>
                <w:b/>
                <w:bCs/>
                <w:color w:val="000000"/>
                <w:szCs w:val="20"/>
              </w:rPr>
              <w:t>Astra-Zeneca</w:t>
            </w:r>
            <w:r w:rsidRPr="00E15F00">
              <w:rPr>
                <w:rFonts w:eastAsia="Arial Narrow" w:cs="Arial"/>
                <w:color w:val="000000"/>
                <w:szCs w:val="20"/>
              </w:rPr>
              <w:t xml:space="preserve"> </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vektorsko cepivo</w:t>
            </w:r>
          </w:p>
          <w:p w:rsidR="00E15F00" w:rsidRPr="00E15F00" w:rsidRDefault="00E15F00">
            <w:pPr>
              <w:spacing w:line="276" w:lineRule="auto"/>
              <w:rPr>
                <w:rFonts w:eastAsia="Calibri" w:cs="Arial"/>
                <w:sz w:val="22"/>
                <w:szCs w:val="22"/>
              </w:rPr>
            </w:pPr>
            <w:r w:rsidRPr="00E15F00">
              <w:rPr>
                <w:rFonts w:eastAsia="Arial Narrow" w:cs="Arial"/>
                <w:color w:val="000000"/>
                <w:szCs w:val="20"/>
              </w:rPr>
              <w:t xml:space="preserve">ChAdOx1-S, delitev virusnega vektorja onemogočena </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2 odmerka, </w:t>
            </w:r>
          </w:p>
          <w:p w:rsidR="00E15F00" w:rsidRPr="00E15F00" w:rsidRDefault="00E15F00">
            <w:pPr>
              <w:spacing w:line="276" w:lineRule="auto"/>
              <w:rPr>
                <w:rFonts w:eastAsia="Calibri" w:cs="Arial"/>
                <w:sz w:val="22"/>
                <w:szCs w:val="22"/>
              </w:rPr>
            </w:pPr>
            <w:r w:rsidRPr="00E15F00">
              <w:rPr>
                <w:rFonts w:eastAsia="Arial Narrow" w:cs="Arial"/>
                <w:color w:val="000000"/>
                <w:szCs w:val="20"/>
              </w:rPr>
              <w:t xml:space="preserve">ponovitev cepljenja 28 do 84 dni po prvem odmerku </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1 odmerek </w:t>
            </w:r>
          </w:p>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à 0,5 ml </w:t>
            </w:r>
          </w:p>
          <w:p w:rsidR="00E15F00" w:rsidRPr="00E15F00" w:rsidRDefault="00E15F00">
            <w:pPr>
              <w:spacing w:line="276" w:lineRule="auto"/>
              <w:rPr>
                <w:rFonts w:eastAsia="Calibri" w:cs="Arial"/>
                <w:sz w:val="22"/>
                <w:szCs w:val="22"/>
              </w:rPr>
            </w:pPr>
            <w:r w:rsidRPr="00E15F00">
              <w:rPr>
                <w:rFonts w:eastAsia="Arial Narrow" w:cs="Arial"/>
                <w:color w:val="000000"/>
                <w:szCs w:val="20"/>
              </w:rPr>
              <w:t xml:space="preserve">IM </w:t>
            </w:r>
          </w:p>
        </w:tc>
        <w:tc>
          <w:tcPr>
            <w:tcW w:w="1645"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Faza 1/2: UK </w:t>
            </w:r>
          </w:p>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Faza 3: UK, Brazilija, </w:t>
            </w:r>
          </w:p>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Južna Afrika, Indija, </w:t>
            </w:r>
          </w:p>
          <w:p w:rsidR="00E15F00" w:rsidRPr="00E15F00" w:rsidRDefault="00E15F00">
            <w:pPr>
              <w:spacing w:line="276" w:lineRule="auto"/>
              <w:rPr>
                <w:rFonts w:eastAsia="Calibri" w:cs="Arial"/>
                <w:sz w:val="22"/>
                <w:szCs w:val="22"/>
              </w:rPr>
            </w:pPr>
            <w:r w:rsidRPr="00E15F00">
              <w:rPr>
                <w:rFonts w:eastAsia="Arial Narrow" w:cs="Arial"/>
                <w:color w:val="000000"/>
                <w:szCs w:val="20"/>
              </w:rPr>
              <w:t xml:space="preserve">ZDA </w:t>
            </w:r>
          </w:p>
        </w:tc>
        <w:tc>
          <w:tcPr>
            <w:tcW w:w="1355"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Calibri" w:cs="Arial"/>
                <w:sz w:val="22"/>
                <w:szCs w:val="22"/>
              </w:rPr>
            </w:pPr>
            <w:r w:rsidRPr="00E15F00">
              <w:rPr>
                <w:rFonts w:eastAsia="Arial Narrow" w:cs="Arial"/>
                <w:color w:val="000000"/>
                <w:szCs w:val="20"/>
              </w:rPr>
              <w:t xml:space="preserve">29. 1. 2021 </w:t>
            </w:r>
          </w:p>
        </w:tc>
      </w:tr>
      <w:tr w:rsidR="00E15F00" w:rsidRPr="00E15F00" w:rsidTr="00E15F00">
        <w:trPr>
          <w:trHeight w:val="375"/>
        </w:trPr>
        <w:tc>
          <w:tcPr>
            <w:tcW w:w="1500" w:type="dxa"/>
            <w:tcBorders>
              <w:top w:val="single" w:sz="8" w:space="0" w:color="999999"/>
              <w:left w:val="single" w:sz="8" w:space="0" w:color="999999"/>
              <w:bottom w:val="single" w:sz="8" w:space="0" w:color="999999"/>
              <w:right w:val="single" w:sz="8" w:space="0" w:color="999999"/>
            </w:tcBorders>
            <w:shd w:val="clear" w:color="auto" w:fill="CCFFFF"/>
            <w:hideMark/>
          </w:tcPr>
          <w:p w:rsidR="00E15F00" w:rsidRPr="00E15F00" w:rsidRDefault="00E15F00">
            <w:pPr>
              <w:spacing w:line="276" w:lineRule="auto"/>
              <w:rPr>
                <w:rFonts w:eastAsia="Calibri" w:cs="Arial"/>
                <w:sz w:val="22"/>
                <w:szCs w:val="22"/>
              </w:rPr>
            </w:pPr>
            <w:r w:rsidRPr="00E15F00">
              <w:rPr>
                <w:rFonts w:eastAsia="Arial Narrow" w:cs="Arial"/>
                <w:b/>
                <w:bCs/>
                <w:color w:val="000000"/>
                <w:szCs w:val="20"/>
              </w:rPr>
              <w:t xml:space="preserve">J&amp;J/Janssen </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vektorsko cepivo</w:t>
            </w:r>
          </w:p>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Ad26, </w:t>
            </w:r>
          </w:p>
          <w:p w:rsidR="00E15F00" w:rsidRPr="00E15F00" w:rsidRDefault="00E15F00">
            <w:pPr>
              <w:spacing w:line="276" w:lineRule="auto"/>
              <w:rPr>
                <w:rFonts w:eastAsia="Calibri" w:cs="Arial"/>
                <w:sz w:val="22"/>
                <w:szCs w:val="22"/>
              </w:rPr>
            </w:pPr>
            <w:r w:rsidRPr="00E15F00">
              <w:rPr>
                <w:rFonts w:eastAsia="Arial Narrow" w:cs="Arial"/>
                <w:color w:val="000000"/>
                <w:szCs w:val="20"/>
              </w:rPr>
              <w:t>delitev virusnega vektorja onemogočena</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Calibri" w:cs="Arial"/>
                <w:sz w:val="22"/>
                <w:szCs w:val="22"/>
              </w:rPr>
            </w:pPr>
            <w:r w:rsidRPr="00E15F00">
              <w:rPr>
                <w:rFonts w:eastAsia="Arial Narrow" w:cs="Arial"/>
                <w:color w:val="000000"/>
                <w:szCs w:val="20"/>
              </w:rPr>
              <w:t xml:space="preserve">1 odmerek </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1 odmerek</w:t>
            </w:r>
          </w:p>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à 0,5 ml </w:t>
            </w:r>
          </w:p>
          <w:p w:rsidR="00E15F00" w:rsidRPr="00E15F00" w:rsidRDefault="00E15F00">
            <w:pPr>
              <w:spacing w:line="276" w:lineRule="auto"/>
              <w:rPr>
                <w:rFonts w:eastAsia="Calibri" w:cs="Arial"/>
                <w:sz w:val="22"/>
                <w:szCs w:val="22"/>
              </w:rPr>
            </w:pPr>
            <w:r w:rsidRPr="00E15F00">
              <w:rPr>
                <w:rFonts w:eastAsia="Arial Narrow" w:cs="Arial"/>
                <w:color w:val="000000"/>
                <w:szCs w:val="20"/>
              </w:rPr>
              <w:t xml:space="preserve">IM </w:t>
            </w:r>
          </w:p>
        </w:tc>
        <w:tc>
          <w:tcPr>
            <w:tcW w:w="1645"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Faza 1/2: BE, ZDA, Japonska</w:t>
            </w:r>
          </w:p>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Faza 2: DE, NL, ES, DE</w:t>
            </w:r>
          </w:p>
          <w:p w:rsidR="00E15F00" w:rsidRPr="00E15F00" w:rsidRDefault="00E15F00">
            <w:pPr>
              <w:spacing w:line="276" w:lineRule="auto"/>
              <w:rPr>
                <w:rFonts w:eastAsia="Calibri" w:cs="Arial"/>
                <w:sz w:val="22"/>
                <w:szCs w:val="22"/>
              </w:rPr>
            </w:pPr>
            <w:r w:rsidRPr="00E15F00">
              <w:rPr>
                <w:rFonts w:eastAsia="Arial Narrow" w:cs="Arial"/>
                <w:color w:val="000000"/>
                <w:szCs w:val="20"/>
              </w:rPr>
              <w:t>Faza 3: Global/UK</w:t>
            </w:r>
          </w:p>
        </w:tc>
        <w:tc>
          <w:tcPr>
            <w:tcW w:w="1355" w:type="dxa"/>
            <w:tcBorders>
              <w:top w:val="single" w:sz="8" w:space="0" w:color="999999"/>
              <w:left w:val="single" w:sz="8" w:space="0" w:color="999999"/>
              <w:bottom w:val="single" w:sz="8" w:space="0" w:color="999999"/>
              <w:right w:val="single" w:sz="8" w:space="0" w:color="999999"/>
            </w:tcBorders>
          </w:tcPr>
          <w:p w:rsidR="00E15F00" w:rsidRPr="00E15F00" w:rsidRDefault="00E15F00">
            <w:pPr>
              <w:spacing w:line="276" w:lineRule="auto"/>
              <w:rPr>
                <w:rFonts w:eastAsia="Arial Narrow" w:cs="Arial"/>
                <w:color w:val="000000"/>
                <w:szCs w:val="20"/>
              </w:rPr>
            </w:pPr>
          </w:p>
          <w:p w:rsidR="00E15F00" w:rsidRPr="00E15F00" w:rsidRDefault="00E15F00">
            <w:pPr>
              <w:spacing w:line="276" w:lineRule="auto"/>
              <w:rPr>
                <w:rFonts w:eastAsia="Calibri" w:cs="Arial"/>
                <w:sz w:val="22"/>
                <w:szCs w:val="22"/>
              </w:rPr>
            </w:pPr>
            <w:r w:rsidRPr="00E15F00">
              <w:rPr>
                <w:rFonts w:eastAsia="Arial Narrow" w:cs="Arial"/>
                <w:color w:val="000000"/>
                <w:szCs w:val="20"/>
              </w:rPr>
              <w:t>11.</w:t>
            </w:r>
            <w:r w:rsidR="005F07CB">
              <w:rPr>
                <w:rFonts w:eastAsia="Arial Narrow" w:cs="Arial"/>
                <w:color w:val="000000"/>
                <w:szCs w:val="20"/>
              </w:rPr>
              <w:t xml:space="preserve"> </w:t>
            </w:r>
            <w:r w:rsidRPr="00E15F00">
              <w:rPr>
                <w:rFonts w:eastAsia="Arial Narrow" w:cs="Arial"/>
                <w:color w:val="000000"/>
                <w:szCs w:val="20"/>
              </w:rPr>
              <w:t>3.</w:t>
            </w:r>
            <w:r w:rsidR="005F07CB">
              <w:rPr>
                <w:rFonts w:eastAsia="Arial Narrow" w:cs="Arial"/>
                <w:color w:val="000000"/>
                <w:szCs w:val="20"/>
              </w:rPr>
              <w:t xml:space="preserve"> </w:t>
            </w:r>
            <w:r w:rsidRPr="00E15F00">
              <w:rPr>
                <w:rFonts w:eastAsia="Arial Narrow" w:cs="Arial"/>
                <w:color w:val="000000"/>
                <w:szCs w:val="20"/>
              </w:rPr>
              <w:t>2021</w:t>
            </w:r>
          </w:p>
        </w:tc>
      </w:tr>
      <w:tr w:rsidR="00E15F00" w:rsidRPr="00E15F00" w:rsidTr="00E15F00">
        <w:trPr>
          <w:trHeight w:val="375"/>
        </w:trPr>
        <w:tc>
          <w:tcPr>
            <w:tcW w:w="1500" w:type="dxa"/>
            <w:tcBorders>
              <w:top w:val="single" w:sz="8" w:space="0" w:color="999999"/>
              <w:left w:val="single" w:sz="8" w:space="0" w:color="999999"/>
              <w:bottom w:val="single" w:sz="8" w:space="0" w:color="999999"/>
              <w:right w:val="single" w:sz="8" w:space="0" w:color="999999"/>
            </w:tcBorders>
            <w:shd w:val="clear" w:color="auto" w:fill="CCFFFF"/>
            <w:hideMark/>
          </w:tcPr>
          <w:p w:rsidR="00E15F00" w:rsidRPr="00E15F00" w:rsidRDefault="00E15F00">
            <w:pPr>
              <w:spacing w:line="276" w:lineRule="auto"/>
              <w:rPr>
                <w:rFonts w:eastAsia="Arial Narrow" w:cs="Arial"/>
                <w:b/>
                <w:bCs/>
                <w:color w:val="000000"/>
                <w:szCs w:val="20"/>
              </w:rPr>
            </w:pPr>
            <w:r w:rsidRPr="00E15F00">
              <w:rPr>
                <w:rFonts w:eastAsia="Arial Narrow" w:cs="Arial"/>
                <w:b/>
                <w:bCs/>
                <w:color w:val="000000"/>
                <w:szCs w:val="20"/>
              </w:rPr>
              <w:t>Novavax</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Calibri" w:cs="Arial"/>
                <w:sz w:val="22"/>
                <w:szCs w:val="22"/>
              </w:rPr>
            </w:pPr>
            <w:r w:rsidRPr="00E15F00">
              <w:rPr>
                <w:rFonts w:eastAsia="Arial Narrow" w:cs="Arial"/>
                <w:color w:val="000000"/>
                <w:szCs w:val="20"/>
              </w:rPr>
              <w:t>rekombinantno proteinsko cepivo z adjuvansom</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2 odmerka,</w:t>
            </w:r>
          </w:p>
          <w:p w:rsidR="00E15F00" w:rsidRPr="00E15F00" w:rsidRDefault="00E15F00">
            <w:pPr>
              <w:spacing w:line="276" w:lineRule="auto"/>
              <w:rPr>
                <w:rFonts w:eastAsia="Calibri" w:cs="Arial"/>
                <w:sz w:val="22"/>
                <w:szCs w:val="22"/>
              </w:rPr>
            </w:pPr>
            <w:r w:rsidRPr="00E15F00">
              <w:rPr>
                <w:rFonts w:eastAsia="Arial Narrow" w:cs="Arial"/>
                <w:color w:val="000000"/>
                <w:szCs w:val="20"/>
              </w:rPr>
              <w:t>ponovitev cepljenja 21 dni po prvem odmerku</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1 odmerek</w:t>
            </w:r>
          </w:p>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à 0,5 ml </w:t>
            </w:r>
          </w:p>
          <w:p w:rsidR="00E15F00" w:rsidRPr="00E15F00" w:rsidRDefault="00E15F00">
            <w:pPr>
              <w:spacing w:line="276" w:lineRule="auto"/>
              <w:rPr>
                <w:rFonts w:eastAsia="Calibri" w:cs="Arial"/>
                <w:sz w:val="22"/>
                <w:szCs w:val="22"/>
              </w:rPr>
            </w:pPr>
            <w:r w:rsidRPr="00E15F00">
              <w:rPr>
                <w:rFonts w:eastAsia="Arial Narrow" w:cs="Arial"/>
                <w:color w:val="000000"/>
                <w:szCs w:val="20"/>
              </w:rPr>
              <w:t>IM</w:t>
            </w:r>
          </w:p>
        </w:tc>
        <w:tc>
          <w:tcPr>
            <w:tcW w:w="1645"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Faza 1/2: Avstralija </w:t>
            </w:r>
          </w:p>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Faza 2: ZDA, Avstralija, Južna Afrika </w:t>
            </w:r>
          </w:p>
          <w:p w:rsidR="00E15F00" w:rsidRPr="00E15F00" w:rsidRDefault="00E15F00">
            <w:pPr>
              <w:spacing w:line="276" w:lineRule="auto"/>
              <w:rPr>
                <w:rFonts w:eastAsia="Calibri" w:cs="Arial"/>
                <w:sz w:val="22"/>
                <w:szCs w:val="22"/>
              </w:rPr>
            </w:pPr>
            <w:r w:rsidRPr="00E15F00">
              <w:rPr>
                <w:rFonts w:eastAsia="Arial Narrow" w:cs="Arial"/>
                <w:color w:val="000000"/>
                <w:szCs w:val="20"/>
              </w:rPr>
              <w:t>Faza 3: UK, ZDA</w:t>
            </w:r>
          </w:p>
        </w:tc>
        <w:tc>
          <w:tcPr>
            <w:tcW w:w="1355"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Začetek »rolling review« </w:t>
            </w:r>
          </w:p>
          <w:p w:rsidR="00E15F00" w:rsidRPr="00E15F00" w:rsidRDefault="00E15F00">
            <w:pPr>
              <w:spacing w:line="276" w:lineRule="auto"/>
              <w:rPr>
                <w:rFonts w:eastAsia="Calibri" w:cs="Arial"/>
                <w:sz w:val="22"/>
                <w:szCs w:val="22"/>
              </w:rPr>
            </w:pPr>
            <w:r w:rsidRPr="00E15F00">
              <w:rPr>
                <w:rFonts w:eastAsia="Arial Narrow" w:cs="Arial"/>
                <w:color w:val="000000"/>
                <w:szCs w:val="20"/>
              </w:rPr>
              <w:t xml:space="preserve">3. 2. 2021 </w:t>
            </w:r>
          </w:p>
        </w:tc>
      </w:tr>
      <w:tr w:rsidR="00E15F00" w:rsidRPr="00E15F00" w:rsidTr="00E15F00">
        <w:trPr>
          <w:trHeight w:val="375"/>
        </w:trPr>
        <w:tc>
          <w:tcPr>
            <w:tcW w:w="1500" w:type="dxa"/>
            <w:tcBorders>
              <w:top w:val="single" w:sz="8" w:space="0" w:color="999999"/>
              <w:left w:val="single" w:sz="8" w:space="0" w:color="999999"/>
              <w:bottom w:val="single" w:sz="8" w:space="0" w:color="999999"/>
              <w:right w:val="single" w:sz="8" w:space="0" w:color="999999"/>
            </w:tcBorders>
            <w:shd w:val="clear" w:color="auto" w:fill="CCFFFF"/>
            <w:hideMark/>
          </w:tcPr>
          <w:p w:rsidR="00E15F00" w:rsidRPr="00E15F00" w:rsidRDefault="00E15F00">
            <w:pPr>
              <w:spacing w:line="276" w:lineRule="auto"/>
              <w:rPr>
                <w:rFonts w:eastAsia="Calibri" w:cs="Arial"/>
                <w:sz w:val="22"/>
                <w:szCs w:val="22"/>
              </w:rPr>
            </w:pPr>
            <w:r w:rsidRPr="00E15F00">
              <w:rPr>
                <w:rFonts w:eastAsia="Arial Narrow" w:cs="Arial"/>
                <w:b/>
                <w:bCs/>
                <w:color w:val="000000"/>
                <w:szCs w:val="20"/>
              </w:rPr>
              <w:t xml:space="preserve">CureVac </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Calibri" w:cs="Arial"/>
                <w:sz w:val="22"/>
                <w:szCs w:val="22"/>
              </w:rPr>
            </w:pPr>
            <w:r w:rsidRPr="00E15F00">
              <w:rPr>
                <w:rFonts w:eastAsia="Arial Narrow" w:cs="Arial"/>
                <w:color w:val="000000"/>
                <w:szCs w:val="20"/>
              </w:rPr>
              <w:t>mRNA v lipidnih nanodelcih</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2 odmerka, </w:t>
            </w:r>
          </w:p>
          <w:p w:rsidR="00E15F00" w:rsidRPr="00E15F00" w:rsidRDefault="00E15F00">
            <w:pPr>
              <w:spacing w:line="276" w:lineRule="auto"/>
              <w:rPr>
                <w:rFonts w:eastAsia="Calibri" w:cs="Arial"/>
                <w:sz w:val="22"/>
                <w:szCs w:val="22"/>
              </w:rPr>
            </w:pPr>
            <w:r w:rsidRPr="00E15F00">
              <w:rPr>
                <w:rFonts w:eastAsia="Arial Narrow" w:cs="Arial"/>
                <w:color w:val="000000"/>
                <w:szCs w:val="20"/>
              </w:rPr>
              <w:t>ponovitev cepljenja  28 dni po prvem odmerku</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1 odmerek</w:t>
            </w:r>
          </w:p>
          <w:p w:rsidR="00E15F00" w:rsidRPr="00E15F00" w:rsidRDefault="00E15F00">
            <w:pPr>
              <w:spacing w:line="276" w:lineRule="auto"/>
              <w:rPr>
                <w:rFonts w:eastAsia="Calibri" w:cs="Arial"/>
                <w:sz w:val="22"/>
                <w:szCs w:val="22"/>
              </w:rPr>
            </w:pPr>
            <w:r w:rsidRPr="00E15F00">
              <w:rPr>
                <w:rFonts w:eastAsia="Arial Narrow" w:cs="Arial"/>
                <w:color w:val="000000"/>
                <w:szCs w:val="20"/>
              </w:rPr>
              <w:t xml:space="preserve">IM </w:t>
            </w:r>
          </w:p>
        </w:tc>
        <w:tc>
          <w:tcPr>
            <w:tcW w:w="1645"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Faza 1: BE, DE </w:t>
            </w:r>
          </w:p>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Faza 2: Peru, Panama </w:t>
            </w:r>
          </w:p>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Faza 2b/3: DE</w:t>
            </w:r>
          </w:p>
          <w:p w:rsidR="00E15F00" w:rsidRPr="00E15F00" w:rsidRDefault="00E15F00">
            <w:pPr>
              <w:spacing w:line="276" w:lineRule="auto"/>
              <w:rPr>
                <w:rFonts w:eastAsia="Calibri" w:cs="Arial"/>
                <w:sz w:val="22"/>
                <w:szCs w:val="22"/>
              </w:rPr>
            </w:pPr>
            <w:r w:rsidRPr="00E15F00">
              <w:rPr>
                <w:rFonts w:eastAsia="Arial Narrow" w:cs="Arial"/>
                <w:color w:val="000000"/>
                <w:szCs w:val="20"/>
              </w:rPr>
              <w:t xml:space="preserve">BE in druge EU države, Latinska Amerika </w:t>
            </w:r>
          </w:p>
        </w:tc>
        <w:tc>
          <w:tcPr>
            <w:tcW w:w="1355"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Začetek »rolling review« </w:t>
            </w:r>
          </w:p>
          <w:p w:rsidR="00E15F00" w:rsidRPr="00E15F00" w:rsidRDefault="00E15F00">
            <w:pPr>
              <w:spacing w:line="276" w:lineRule="auto"/>
              <w:rPr>
                <w:rFonts w:eastAsia="Calibri" w:cs="Arial"/>
                <w:sz w:val="22"/>
                <w:szCs w:val="22"/>
              </w:rPr>
            </w:pPr>
            <w:r w:rsidRPr="00E15F00">
              <w:rPr>
                <w:rFonts w:eastAsia="Arial Narrow" w:cs="Arial"/>
                <w:color w:val="000000"/>
                <w:szCs w:val="20"/>
              </w:rPr>
              <w:t>12. 2. 2021</w:t>
            </w:r>
          </w:p>
        </w:tc>
      </w:tr>
      <w:tr w:rsidR="00E15F00" w:rsidRPr="00E15F00" w:rsidTr="00E15F00">
        <w:trPr>
          <w:trHeight w:val="375"/>
        </w:trPr>
        <w:tc>
          <w:tcPr>
            <w:tcW w:w="1500" w:type="dxa"/>
            <w:tcBorders>
              <w:top w:val="single" w:sz="8" w:space="0" w:color="999999"/>
              <w:left w:val="single" w:sz="8" w:space="0" w:color="999999"/>
              <w:bottom w:val="single" w:sz="8" w:space="0" w:color="999999"/>
              <w:right w:val="single" w:sz="8" w:space="0" w:color="999999"/>
            </w:tcBorders>
            <w:shd w:val="clear" w:color="auto" w:fill="CCFFFF"/>
            <w:hideMark/>
          </w:tcPr>
          <w:p w:rsidR="00E15F00" w:rsidRPr="00E15F00" w:rsidRDefault="00E15F00">
            <w:pPr>
              <w:spacing w:after="200" w:line="276" w:lineRule="auto"/>
              <w:rPr>
                <w:rFonts w:eastAsia="Calibri" w:cs="Arial"/>
                <w:sz w:val="22"/>
                <w:szCs w:val="22"/>
              </w:rPr>
            </w:pPr>
            <w:r w:rsidRPr="00E15F00">
              <w:rPr>
                <w:rFonts w:eastAsia="Arial Narrow" w:cs="Arial"/>
                <w:b/>
                <w:bCs/>
                <w:color w:val="000000"/>
                <w:szCs w:val="20"/>
              </w:rPr>
              <w:lastRenderedPageBreak/>
              <w:t xml:space="preserve">Sanofi Pasteur/ GSK </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after="200" w:line="276" w:lineRule="auto"/>
              <w:rPr>
                <w:rFonts w:eastAsia="Calibri" w:cs="Arial"/>
                <w:sz w:val="22"/>
                <w:szCs w:val="22"/>
              </w:rPr>
            </w:pPr>
            <w:r w:rsidRPr="00E15F00">
              <w:rPr>
                <w:rFonts w:eastAsia="Arial Narrow" w:cs="Arial"/>
                <w:color w:val="000000"/>
                <w:szCs w:val="20"/>
              </w:rPr>
              <w:t xml:space="preserve">rekombinantno proteinsko cepivo z adjuvansom </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after="200" w:line="276" w:lineRule="auto"/>
              <w:rPr>
                <w:rFonts w:eastAsia="Arial Narrow" w:cs="Arial"/>
                <w:color w:val="000000"/>
                <w:szCs w:val="20"/>
              </w:rPr>
            </w:pPr>
            <w:r w:rsidRPr="00E15F00">
              <w:rPr>
                <w:rFonts w:eastAsia="Arial Narrow" w:cs="Arial"/>
                <w:color w:val="000000"/>
                <w:szCs w:val="20"/>
              </w:rPr>
              <w:t xml:space="preserve">2 odmerka </w:t>
            </w:r>
          </w:p>
          <w:p w:rsidR="00E15F00" w:rsidRPr="00E15F00" w:rsidRDefault="00E15F00">
            <w:pPr>
              <w:spacing w:after="200" w:line="276" w:lineRule="auto"/>
              <w:rPr>
                <w:rFonts w:eastAsia="Calibri" w:cs="Arial"/>
                <w:sz w:val="22"/>
                <w:szCs w:val="22"/>
              </w:rPr>
            </w:pPr>
            <w:r w:rsidRPr="00E15F00">
              <w:rPr>
                <w:rFonts w:eastAsia="Arial Narrow" w:cs="Arial"/>
                <w:color w:val="000000"/>
                <w:szCs w:val="20"/>
              </w:rPr>
              <w:t xml:space="preserve"> </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1 odmerek </w:t>
            </w:r>
          </w:p>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à 0.5 ml </w:t>
            </w:r>
          </w:p>
          <w:p w:rsidR="00E15F00" w:rsidRPr="00E15F00" w:rsidRDefault="00E15F00">
            <w:pPr>
              <w:spacing w:line="276" w:lineRule="auto"/>
              <w:rPr>
                <w:rFonts w:eastAsia="Calibri" w:cs="Arial"/>
                <w:sz w:val="22"/>
                <w:szCs w:val="22"/>
              </w:rPr>
            </w:pPr>
            <w:r w:rsidRPr="00E15F00">
              <w:rPr>
                <w:rFonts w:eastAsia="Arial Narrow" w:cs="Arial"/>
                <w:color w:val="000000"/>
                <w:szCs w:val="20"/>
              </w:rPr>
              <w:t xml:space="preserve">IM </w:t>
            </w:r>
          </w:p>
        </w:tc>
        <w:tc>
          <w:tcPr>
            <w:tcW w:w="1645" w:type="dxa"/>
            <w:tcBorders>
              <w:top w:val="single" w:sz="8" w:space="0" w:color="999999"/>
              <w:left w:val="single" w:sz="8" w:space="0" w:color="999999"/>
              <w:bottom w:val="single" w:sz="8" w:space="0" w:color="999999"/>
              <w:right w:val="single" w:sz="8" w:space="0" w:color="999999"/>
            </w:tcBorders>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Faza 1/2: ZDA </w:t>
            </w:r>
          </w:p>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Faza 2b: začetek v februarju</w:t>
            </w:r>
          </w:p>
          <w:p w:rsidR="00E15F00" w:rsidRPr="00E15F00" w:rsidRDefault="00E15F00">
            <w:pPr>
              <w:spacing w:after="200" w:line="276" w:lineRule="auto"/>
              <w:rPr>
                <w:rFonts w:eastAsia="Calibri" w:cs="Arial"/>
                <w:sz w:val="22"/>
                <w:szCs w:val="22"/>
              </w:rPr>
            </w:pPr>
          </w:p>
        </w:tc>
        <w:tc>
          <w:tcPr>
            <w:tcW w:w="1355"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after="200" w:line="276" w:lineRule="auto"/>
              <w:rPr>
                <w:rFonts w:eastAsia="Arial Narrow" w:cs="Arial"/>
                <w:color w:val="000000"/>
                <w:szCs w:val="20"/>
              </w:rPr>
            </w:pPr>
            <w:r w:rsidRPr="00E15F00">
              <w:rPr>
                <w:rFonts w:eastAsia="Arial Narrow" w:cs="Arial"/>
                <w:color w:val="000000"/>
                <w:szCs w:val="20"/>
              </w:rPr>
              <w:t>»Rolling review« še ne poteka.</w:t>
            </w:r>
          </w:p>
        </w:tc>
      </w:tr>
      <w:tr w:rsidR="00E15F00" w:rsidRPr="00E15F00" w:rsidTr="00E15F00">
        <w:trPr>
          <w:trHeight w:val="375"/>
        </w:trPr>
        <w:tc>
          <w:tcPr>
            <w:tcW w:w="1500" w:type="dxa"/>
            <w:tcBorders>
              <w:top w:val="single" w:sz="8" w:space="0" w:color="999999"/>
              <w:left w:val="single" w:sz="8" w:space="0" w:color="999999"/>
              <w:bottom w:val="single" w:sz="8" w:space="0" w:color="999999"/>
              <w:right w:val="single" w:sz="8" w:space="0" w:color="999999"/>
            </w:tcBorders>
            <w:shd w:val="clear" w:color="auto" w:fill="CCFFFF"/>
            <w:hideMark/>
          </w:tcPr>
          <w:p w:rsidR="00E15F00" w:rsidRPr="00E15F00" w:rsidRDefault="00E15F00">
            <w:pPr>
              <w:spacing w:after="200" w:line="276" w:lineRule="auto"/>
              <w:rPr>
                <w:rFonts w:eastAsia="Arial Narrow" w:cs="Arial"/>
                <w:b/>
                <w:bCs/>
                <w:color w:val="000000"/>
                <w:szCs w:val="20"/>
              </w:rPr>
            </w:pPr>
            <w:r w:rsidRPr="00E15F00">
              <w:rPr>
                <w:rFonts w:eastAsia="Arial Narrow" w:cs="Arial"/>
                <w:b/>
                <w:bCs/>
                <w:color w:val="000000"/>
                <w:szCs w:val="20"/>
              </w:rPr>
              <w:t xml:space="preserve">Russia’s Gamaleya National Centre of Epidemiology and Microbiology (Sputnik V cepivo) </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after="200" w:line="276" w:lineRule="auto"/>
              <w:rPr>
                <w:rFonts w:eastAsia="Calibri" w:cs="Arial"/>
                <w:sz w:val="22"/>
                <w:szCs w:val="22"/>
              </w:rPr>
            </w:pPr>
            <w:r w:rsidRPr="00E15F00">
              <w:rPr>
                <w:rFonts w:eastAsia="Arial Narrow" w:cs="Arial"/>
                <w:color w:val="000000"/>
                <w:szCs w:val="20"/>
              </w:rPr>
              <w:t>Dvo-vektorsko cepivo (Ad26 in Ad5) delitev virusnega vektorja onemogočena</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after="200" w:line="276" w:lineRule="auto"/>
              <w:rPr>
                <w:rFonts w:eastAsia="Calibri" w:cs="Arial"/>
                <w:sz w:val="22"/>
                <w:szCs w:val="22"/>
              </w:rPr>
            </w:pPr>
            <w:r w:rsidRPr="00E15F00">
              <w:rPr>
                <w:rFonts w:eastAsia="Arial Narrow" w:cs="Arial"/>
                <w:color w:val="000000"/>
                <w:szCs w:val="20"/>
              </w:rPr>
              <w:t>2 odmerka, ponovitev cepljenja 21 dni po prvem odmerku</w:t>
            </w:r>
          </w:p>
        </w:tc>
        <w:tc>
          <w:tcPr>
            <w:tcW w:w="1500"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1 odmerek </w:t>
            </w:r>
          </w:p>
          <w:p w:rsidR="00E15F00" w:rsidRPr="00E15F00" w:rsidRDefault="00E15F00">
            <w:pPr>
              <w:spacing w:line="276" w:lineRule="auto"/>
              <w:rPr>
                <w:rFonts w:eastAsia="Arial Narrow" w:cs="Arial"/>
                <w:color w:val="000000"/>
                <w:szCs w:val="20"/>
              </w:rPr>
            </w:pPr>
            <w:r w:rsidRPr="00E15F00">
              <w:rPr>
                <w:rFonts w:eastAsia="Arial Narrow" w:cs="Arial"/>
                <w:color w:val="000000"/>
                <w:szCs w:val="20"/>
              </w:rPr>
              <w:t xml:space="preserve">à 0.5 ml </w:t>
            </w:r>
          </w:p>
          <w:p w:rsidR="00E15F00" w:rsidRPr="00E15F00" w:rsidRDefault="00E15F00">
            <w:pPr>
              <w:spacing w:line="276" w:lineRule="auto"/>
              <w:rPr>
                <w:rFonts w:eastAsia="Calibri" w:cs="Arial"/>
                <w:sz w:val="22"/>
                <w:szCs w:val="22"/>
              </w:rPr>
            </w:pPr>
            <w:r w:rsidRPr="00E15F00">
              <w:rPr>
                <w:rFonts w:eastAsia="Arial Narrow" w:cs="Arial"/>
                <w:color w:val="000000"/>
                <w:szCs w:val="20"/>
              </w:rPr>
              <w:t>IM</w:t>
            </w:r>
          </w:p>
        </w:tc>
        <w:tc>
          <w:tcPr>
            <w:tcW w:w="1645" w:type="dxa"/>
            <w:tcBorders>
              <w:top w:val="single" w:sz="8" w:space="0" w:color="999999"/>
              <w:left w:val="single" w:sz="8" w:space="0" w:color="999999"/>
              <w:bottom w:val="single" w:sz="8" w:space="0" w:color="999999"/>
              <w:right w:val="single" w:sz="8" w:space="0" w:color="999999"/>
            </w:tcBorders>
            <w:hideMark/>
          </w:tcPr>
          <w:p w:rsidR="00E15F00" w:rsidRPr="00E15F00" w:rsidRDefault="00E15F00">
            <w:pPr>
              <w:spacing w:after="200" w:line="276" w:lineRule="auto"/>
              <w:rPr>
                <w:rFonts w:eastAsia="Calibri" w:cs="Arial"/>
                <w:sz w:val="22"/>
                <w:szCs w:val="22"/>
              </w:rPr>
            </w:pPr>
            <w:r w:rsidRPr="00E15F00">
              <w:rPr>
                <w:rFonts w:eastAsia="Arial Narrow" w:cs="Arial"/>
                <w:color w:val="000000"/>
                <w:szCs w:val="20"/>
              </w:rPr>
              <w:t xml:space="preserve"> Faza 3: rezultati objavljeni </w:t>
            </w:r>
            <w:r w:rsidR="005F07CB">
              <w:rPr>
                <w:rFonts w:eastAsia="Arial Narrow" w:cs="Arial"/>
                <w:color w:val="000000"/>
                <w:szCs w:val="20"/>
              </w:rPr>
              <w:br/>
            </w:r>
            <w:r w:rsidRPr="00E15F00">
              <w:rPr>
                <w:rFonts w:eastAsia="Arial Narrow" w:cs="Arial"/>
                <w:color w:val="000000"/>
                <w:szCs w:val="20"/>
              </w:rPr>
              <w:t>11. 11. 2020</w:t>
            </w:r>
          </w:p>
        </w:tc>
        <w:tc>
          <w:tcPr>
            <w:tcW w:w="1355" w:type="dxa"/>
            <w:tcBorders>
              <w:top w:val="single" w:sz="8" w:space="0" w:color="999999"/>
              <w:left w:val="single" w:sz="8" w:space="0" w:color="999999"/>
              <w:bottom w:val="single" w:sz="8" w:space="0" w:color="999999"/>
              <w:right w:val="single" w:sz="8" w:space="0" w:color="999999"/>
            </w:tcBorders>
          </w:tcPr>
          <w:p w:rsidR="00E15F00" w:rsidRPr="00E15F00" w:rsidRDefault="00E15F00">
            <w:pPr>
              <w:spacing w:after="200" w:line="276" w:lineRule="auto"/>
              <w:rPr>
                <w:rFonts w:eastAsia="Arial Narrow" w:cs="Arial"/>
                <w:color w:val="000000"/>
                <w:szCs w:val="20"/>
              </w:rPr>
            </w:pPr>
            <w:r w:rsidRPr="00E15F00">
              <w:rPr>
                <w:rFonts w:eastAsia="Arial Narrow" w:cs="Arial"/>
                <w:color w:val="000000"/>
                <w:szCs w:val="20"/>
              </w:rPr>
              <w:t xml:space="preserve">Začetek »rolling review« </w:t>
            </w:r>
          </w:p>
          <w:p w:rsidR="00E15F00" w:rsidRPr="00E15F00" w:rsidRDefault="00E15F00">
            <w:pPr>
              <w:spacing w:after="200" w:line="276" w:lineRule="auto"/>
              <w:rPr>
                <w:rFonts w:eastAsia="Arial Narrow" w:cs="Arial"/>
                <w:color w:val="000000"/>
                <w:szCs w:val="20"/>
              </w:rPr>
            </w:pPr>
            <w:r w:rsidRPr="00E15F00">
              <w:rPr>
                <w:rFonts w:eastAsia="Arial Narrow" w:cs="Arial"/>
                <w:color w:val="000000"/>
                <w:szCs w:val="20"/>
              </w:rPr>
              <w:t>4. 3. 2021</w:t>
            </w:r>
          </w:p>
          <w:p w:rsidR="00E15F00" w:rsidRPr="00E15F00" w:rsidRDefault="00E15F00">
            <w:pPr>
              <w:spacing w:after="200" w:line="276" w:lineRule="auto"/>
              <w:rPr>
                <w:rFonts w:eastAsia="Calibri" w:cs="Arial"/>
                <w:sz w:val="22"/>
                <w:szCs w:val="22"/>
              </w:rPr>
            </w:pPr>
          </w:p>
        </w:tc>
      </w:tr>
    </w:tbl>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b/>
          <w:bCs/>
        </w:rPr>
      </w:pPr>
      <w:r w:rsidRPr="00E15F00">
        <w:rPr>
          <w:rFonts w:cs="Arial"/>
          <w:color w:val="000000"/>
          <w:szCs w:val="20"/>
        </w:rPr>
        <w:t xml:space="preserve">V postopku obravnave, bodisi na ravni znanstvenega nasveta bodisi na ravni znanstvene ocene dokumentacije so tudi druga kandidatna cepiva; status obravnave EMA sproti posodablja in objavlja na  povezavi: </w:t>
      </w:r>
      <w:hyperlink r:id="rId11" w:history="1">
        <w:r w:rsidRPr="00E15F00">
          <w:rPr>
            <w:rStyle w:val="Hiperpovezava"/>
            <w:rFonts w:cs="Arial"/>
            <w:szCs w:val="20"/>
          </w:rPr>
          <w:t>https://www.ema.europa.eu/en/human-regulatory/overview/public-health-threats/coronavirus-disease-covid-19/treatments-vaccines-covid-19</w:t>
        </w:r>
      </w:hyperlink>
      <w:r w:rsidRPr="00E15F00">
        <w:rPr>
          <w:rFonts w:cs="Arial"/>
          <w:color w:val="000000"/>
          <w:szCs w:val="20"/>
        </w:rPr>
        <w:t>.</w:t>
      </w:r>
    </w:p>
    <w:p w:rsidR="00E15F00" w:rsidRPr="00E15F00" w:rsidRDefault="00E15F00" w:rsidP="00E15F00">
      <w:pPr>
        <w:spacing w:line="240" w:lineRule="auto"/>
        <w:jc w:val="right"/>
        <w:rPr>
          <w:rFonts w:cs="Arial"/>
          <w:b/>
          <w:bCs/>
          <w:szCs w:val="20"/>
        </w:rPr>
      </w:pPr>
      <w:r w:rsidRPr="00E15F00">
        <w:rPr>
          <w:rFonts w:cs="Arial"/>
          <w:b/>
          <w:bCs/>
          <w:szCs w:val="20"/>
        </w:rPr>
        <w:br w:type="page"/>
      </w:r>
      <w:r w:rsidRPr="00E15F00">
        <w:rPr>
          <w:rFonts w:cs="Arial"/>
          <w:b/>
          <w:bCs/>
          <w:szCs w:val="20"/>
        </w:rPr>
        <w:lastRenderedPageBreak/>
        <w:t>Priloga 3</w:t>
      </w:r>
    </w:p>
    <w:p w:rsidR="00E15F00" w:rsidRPr="00E15F00" w:rsidRDefault="00E15F00" w:rsidP="00E15F00">
      <w:pPr>
        <w:spacing w:line="240" w:lineRule="auto"/>
        <w:jc w:val="right"/>
        <w:rPr>
          <w:rFonts w:cs="Arial"/>
          <w:b/>
          <w:bCs/>
          <w:szCs w:val="20"/>
        </w:rPr>
      </w:pPr>
    </w:p>
    <w:p w:rsidR="00E15F00" w:rsidRPr="00E15F00" w:rsidRDefault="00E15F00" w:rsidP="00E15F00">
      <w:pPr>
        <w:pStyle w:val="Intenzivencitat"/>
        <w:rPr>
          <w:rFonts w:ascii="Arial" w:hAnsi="Arial" w:cs="Arial"/>
          <w:sz w:val="28"/>
          <w:szCs w:val="28"/>
        </w:rPr>
      </w:pPr>
      <w:r w:rsidRPr="00E15F00">
        <w:rPr>
          <w:rFonts w:ascii="Arial" w:hAnsi="Arial" w:cs="Arial"/>
          <w:sz w:val="28"/>
          <w:szCs w:val="28"/>
        </w:rPr>
        <w:t>Cepilni centri</w:t>
      </w:r>
    </w:p>
    <w:p w:rsidR="00E15F00" w:rsidRPr="00E15F00" w:rsidRDefault="00E15F00" w:rsidP="00E15F00">
      <w:pPr>
        <w:spacing w:line="240" w:lineRule="auto"/>
        <w:jc w:val="both"/>
        <w:rPr>
          <w:rFonts w:cs="Arial"/>
          <w:color w:val="000000"/>
          <w:szCs w:val="20"/>
        </w:rPr>
      </w:pPr>
    </w:p>
    <w:p w:rsidR="00E15F00" w:rsidRPr="00E15F00" w:rsidRDefault="00E15F00" w:rsidP="00E15F00">
      <w:pPr>
        <w:pStyle w:val="Odstavekseznama"/>
        <w:numPr>
          <w:ilvl w:val="0"/>
          <w:numId w:val="23"/>
        </w:numPr>
        <w:spacing w:line="240" w:lineRule="auto"/>
        <w:contextualSpacing w:val="0"/>
        <w:rPr>
          <w:rFonts w:eastAsia="ヒラギノ角ゴ Pro W3" w:cs="Arial"/>
          <w:color w:val="000000"/>
          <w:szCs w:val="20"/>
        </w:rPr>
      </w:pPr>
      <w:r w:rsidRPr="00E15F00">
        <w:rPr>
          <w:rFonts w:cs="Arial"/>
          <w:b/>
          <w:bCs/>
          <w:szCs w:val="20"/>
        </w:rPr>
        <w:t xml:space="preserve">Cepilni centri znotraj statističnih regij, ki </w:t>
      </w:r>
      <w:r w:rsidRPr="00E15F00">
        <w:rPr>
          <w:rFonts w:eastAsia="ヒラギノ角ゴ Pro W3" w:cs="Arial"/>
          <w:b/>
          <w:color w:val="000000"/>
          <w:szCs w:val="20"/>
        </w:rPr>
        <w:t>organizirajo cepljenje na svojem območju</w:t>
      </w:r>
      <w:r w:rsidRPr="00E15F00">
        <w:rPr>
          <w:rFonts w:cs="Arial"/>
          <w:b/>
          <w:bCs/>
          <w:szCs w:val="20"/>
        </w:rPr>
        <w:t xml:space="preserve"> </w:t>
      </w:r>
    </w:p>
    <w:p w:rsidR="00E15F00" w:rsidRPr="00E15F00" w:rsidRDefault="00E15F00" w:rsidP="00E15F00">
      <w:pPr>
        <w:spacing w:line="240" w:lineRule="auto"/>
        <w:rPr>
          <w:rFonts w:eastAsia="ヒラギノ角ゴ Pro W3" w:cs="Arial"/>
          <w:color w:val="000000"/>
          <w:szCs w:val="20"/>
          <w:lang w:eastAsia="sl-SI"/>
        </w:rPr>
      </w:pPr>
    </w:p>
    <w:tbl>
      <w:tblPr>
        <w:tblW w:w="10160" w:type="dxa"/>
        <w:jc w:val="center"/>
        <w:tblLook w:val="04A0" w:firstRow="1" w:lastRow="0" w:firstColumn="1" w:lastColumn="0" w:noHBand="0" w:noVBand="1"/>
      </w:tblPr>
      <w:tblGrid>
        <w:gridCol w:w="2041"/>
        <w:gridCol w:w="3473"/>
        <w:gridCol w:w="2170"/>
        <w:gridCol w:w="1865"/>
        <w:gridCol w:w="652"/>
      </w:tblGrid>
      <w:tr w:rsidR="00E15F00" w:rsidRPr="00E15F00" w:rsidTr="005F07CB">
        <w:trPr>
          <w:trHeight w:val="232"/>
          <w:jc w:val="center"/>
        </w:trPr>
        <w:tc>
          <w:tcPr>
            <w:tcW w:w="2041" w:type="dxa"/>
            <w:shd w:val="clear" w:color="auto" w:fill="DCE6F1"/>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Štetje od Številka izvajalca</w:t>
            </w:r>
          </w:p>
        </w:tc>
        <w:tc>
          <w:tcPr>
            <w:tcW w:w="3473" w:type="dxa"/>
            <w:shd w:val="clear" w:color="auto" w:fill="DCE6F1"/>
            <w:noWrap/>
            <w:vAlign w:val="bottom"/>
            <w:hideMark/>
          </w:tcPr>
          <w:p w:rsidR="00E15F00" w:rsidRPr="00E15F00" w:rsidRDefault="00E15F00">
            <w:pPr>
              <w:rPr>
                <w:rFonts w:cs="Arial"/>
                <w:b/>
                <w:bCs/>
                <w:color w:val="000000"/>
                <w:sz w:val="16"/>
                <w:szCs w:val="16"/>
              </w:rPr>
            </w:pPr>
          </w:p>
        </w:tc>
        <w:tc>
          <w:tcPr>
            <w:tcW w:w="2170" w:type="dxa"/>
            <w:shd w:val="clear" w:color="auto" w:fill="DCE6F1"/>
            <w:noWrap/>
            <w:vAlign w:val="bottom"/>
            <w:hideMark/>
          </w:tcPr>
          <w:p w:rsidR="00E15F00" w:rsidRPr="00E15F00" w:rsidRDefault="00E15F00">
            <w:pPr>
              <w:spacing w:line="240" w:lineRule="auto"/>
              <w:rPr>
                <w:rFonts w:cs="Arial"/>
                <w:szCs w:val="20"/>
                <w:lang w:eastAsia="sl-SI"/>
              </w:rPr>
            </w:pPr>
          </w:p>
        </w:tc>
        <w:tc>
          <w:tcPr>
            <w:tcW w:w="1865" w:type="dxa"/>
            <w:shd w:val="clear" w:color="auto" w:fill="DCE6F1"/>
            <w:noWrap/>
            <w:vAlign w:val="bottom"/>
            <w:hideMark/>
          </w:tcPr>
          <w:p w:rsidR="00E15F00" w:rsidRPr="00E15F00" w:rsidRDefault="00E15F00">
            <w:pPr>
              <w:spacing w:line="240" w:lineRule="auto"/>
              <w:rPr>
                <w:rFonts w:cs="Arial"/>
                <w:szCs w:val="20"/>
                <w:lang w:eastAsia="sl-SI"/>
              </w:rPr>
            </w:pPr>
          </w:p>
        </w:tc>
        <w:tc>
          <w:tcPr>
            <w:tcW w:w="611" w:type="dxa"/>
            <w:shd w:val="clear" w:color="auto" w:fill="DCE6F1"/>
            <w:noWrap/>
            <w:vAlign w:val="bottom"/>
            <w:hideMark/>
          </w:tcPr>
          <w:p w:rsidR="00E15F00" w:rsidRPr="00E15F00" w:rsidRDefault="00E15F00">
            <w:pPr>
              <w:spacing w:line="240" w:lineRule="auto"/>
              <w:rPr>
                <w:rFonts w:cs="Arial"/>
                <w:szCs w:val="20"/>
                <w:lang w:eastAsia="sl-SI"/>
              </w:rPr>
            </w:pPr>
          </w:p>
        </w:tc>
      </w:tr>
      <w:tr w:rsidR="00E15F00" w:rsidRPr="00E15F00" w:rsidTr="005F07CB">
        <w:trPr>
          <w:trHeight w:val="232"/>
          <w:jc w:val="center"/>
        </w:trPr>
        <w:tc>
          <w:tcPr>
            <w:tcW w:w="2041" w:type="dxa"/>
            <w:tcBorders>
              <w:top w:val="nil"/>
              <w:left w:val="nil"/>
              <w:bottom w:val="single" w:sz="4" w:space="0" w:color="95B3D7"/>
              <w:right w:val="nil"/>
            </w:tcBorders>
            <w:shd w:val="clear" w:color="auto" w:fill="DCE6F1"/>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Statistične regije</w:t>
            </w:r>
          </w:p>
        </w:tc>
        <w:tc>
          <w:tcPr>
            <w:tcW w:w="3473" w:type="dxa"/>
            <w:tcBorders>
              <w:top w:val="nil"/>
              <w:left w:val="nil"/>
              <w:bottom w:val="single" w:sz="4" w:space="0" w:color="95B3D7"/>
              <w:right w:val="nil"/>
            </w:tcBorders>
            <w:shd w:val="clear" w:color="auto" w:fill="DCE6F1"/>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Naziv izvajalca</w:t>
            </w:r>
          </w:p>
        </w:tc>
        <w:tc>
          <w:tcPr>
            <w:tcW w:w="2170" w:type="dxa"/>
            <w:tcBorders>
              <w:top w:val="nil"/>
              <w:left w:val="nil"/>
              <w:bottom w:val="single" w:sz="4" w:space="0" w:color="95B3D7"/>
              <w:right w:val="nil"/>
            </w:tcBorders>
            <w:shd w:val="clear" w:color="auto" w:fill="DCE6F1"/>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Ulica hišna številka in dodatek</w:t>
            </w:r>
          </w:p>
        </w:tc>
        <w:tc>
          <w:tcPr>
            <w:tcW w:w="1865" w:type="dxa"/>
            <w:tcBorders>
              <w:top w:val="nil"/>
              <w:left w:val="nil"/>
              <w:bottom w:val="single" w:sz="4" w:space="0" w:color="95B3D7"/>
              <w:right w:val="nil"/>
            </w:tcBorders>
            <w:shd w:val="clear" w:color="auto" w:fill="DCE6F1"/>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Številka in naziv pošte</w:t>
            </w:r>
          </w:p>
        </w:tc>
        <w:tc>
          <w:tcPr>
            <w:tcW w:w="611" w:type="dxa"/>
            <w:tcBorders>
              <w:top w:val="nil"/>
              <w:left w:val="nil"/>
              <w:bottom w:val="single" w:sz="4" w:space="0" w:color="95B3D7"/>
              <w:right w:val="nil"/>
            </w:tcBorders>
            <w:shd w:val="clear" w:color="auto" w:fill="DCE6F1"/>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Vsota</w:t>
            </w:r>
          </w:p>
        </w:tc>
      </w:tr>
      <w:tr w:rsidR="00E15F00" w:rsidRPr="00E15F00" w:rsidTr="005F07CB">
        <w:trPr>
          <w:trHeight w:val="232"/>
          <w:jc w:val="center"/>
        </w:trPr>
        <w:tc>
          <w:tcPr>
            <w:tcW w:w="2041"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01-Pomurska</w:t>
            </w: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GORNJA RADGONA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PARTIZANSKA CESTA 40</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9250 GORNJA RADGONA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 xml:space="preserve">ZDRAVSTVENI DOM LENDAVA </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KIDRIČEVA ULICA 34</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9220 LENDAVA - LENDVA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LJUTOMER</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CESTA I. SLOVENSKEGA TABORA 2</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9240 LJUTOMER</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nil"/>
              <w:left w:val="nil"/>
              <w:bottom w:val="single" w:sz="4" w:space="0" w:color="95B3D7"/>
              <w:right w:val="nil"/>
            </w:tcBorders>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MURSKA SOBOTA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GRAJSKA ULICA 24</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9000 MURSKA SOBOTA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01-Pomurska Vsota</w:t>
            </w:r>
          </w:p>
        </w:tc>
        <w:tc>
          <w:tcPr>
            <w:tcW w:w="3473" w:type="dxa"/>
            <w:tcBorders>
              <w:top w:val="single" w:sz="4" w:space="0" w:color="4F81BD"/>
              <w:left w:val="nil"/>
              <w:bottom w:val="single" w:sz="4" w:space="0" w:color="4F81BD"/>
              <w:right w:val="nil"/>
            </w:tcBorders>
            <w:noWrap/>
            <w:vAlign w:val="bottom"/>
            <w:hideMark/>
          </w:tcPr>
          <w:p w:rsidR="00E15F00" w:rsidRPr="00E15F00" w:rsidRDefault="00E15F00">
            <w:pPr>
              <w:rPr>
                <w:rFonts w:cs="Arial"/>
                <w:b/>
                <w:bCs/>
                <w:color w:val="000000"/>
                <w:sz w:val="16"/>
                <w:szCs w:val="16"/>
              </w:rPr>
            </w:pPr>
          </w:p>
        </w:tc>
        <w:tc>
          <w:tcPr>
            <w:tcW w:w="2170"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1865"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61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jc w:val="right"/>
              <w:rPr>
                <w:rFonts w:cs="Arial"/>
                <w:b/>
                <w:bCs/>
                <w:color w:val="000000"/>
                <w:sz w:val="16"/>
                <w:szCs w:val="16"/>
              </w:rPr>
            </w:pPr>
            <w:r w:rsidRPr="00E15F00">
              <w:rPr>
                <w:rFonts w:cs="Arial"/>
                <w:b/>
                <w:bCs/>
                <w:color w:val="000000"/>
                <w:sz w:val="16"/>
                <w:szCs w:val="16"/>
              </w:rPr>
              <w:t>4</w:t>
            </w:r>
          </w:p>
        </w:tc>
      </w:tr>
      <w:tr w:rsidR="00E15F00" w:rsidRPr="00E15F00" w:rsidTr="005F07CB">
        <w:trPr>
          <w:trHeight w:val="232"/>
          <w:jc w:val="center"/>
        </w:trPr>
        <w:tc>
          <w:tcPr>
            <w:tcW w:w="2041"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02-Podravska</w:t>
            </w: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DR. ADOLFA DROLCA MARIBOR</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ULICA TALCEV 9</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2000 MARIBOR</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LENART</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MAISTROVA ULICA 22</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2230 LENART V SLOV. GORICAH</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ORMOŽ</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ULICA DR. HROVATA 4</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2270 ORMOŽ</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PTUJ</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POTRČEVA CESTA 19 A</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2250 PTUJ</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nil"/>
              <w:left w:val="nil"/>
              <w:bottom w:val="single" w:sz="4" w:space="0" w:color="95B3D7"/>
              <w:right w:val="nil"/>
            </w:tcBorders>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SLOVENSKA BISTRICA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PARTIZANSKA ULICA 30</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2310 SLOVENSKA BISTRICA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02-Podravska Vsota</w:t>
            </w:r>
          </w:p>
        </w:tc>
        <w:tc>
          <w:tcPr>
            <w:tcW w:w="3473" w:type="dxa"/>
            <w:tcBorders>
              <w:top w:val="single" w:sz="4" w:space="0" w:color="4F81BD"/>
              <w:left w:val="nil"/>
              <w:bottom w:val="single" w:sz="4" w:space="0" w:color="4F81BD"/>
              <w:right w:val="nil"/>
            </w:tcBorders>
            <w:noWrap/>
            <w:vAlign w:val="bottom"/>
            <w:hideMark/>
          </w:tcPr>
          <w:p w:rsidR="00E15F00" w:rsidRPr="00E15F00" w:rsidRDefault="00E15F00">
            <w:pPr>
              <w:rPr>
                <w:rFonts w:cs="Arial"/>
                <w:b/>
                <w:bCs/>
                <w:color w:val="000000"/>
                <w:sz w:val="16"/>
                <w:szCs w:val="16"/>
              </w:rPr>
            </w:pPr>
          </w:p>
        </w:tc>
        <w:tc>
          <w:tcPr>
            <w:tcW w:w="2170"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1865"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61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jc w:val="right"/>
              <w:rPr>
                <w:rFonts w:cs="Arial"/>
                <w:b/>
                <w:bCs/>
                <w:color w:val="000000"/>
                <w:sz w:val="16"/>
                <w:szCs w:val="16"/>
              </w:rPr>
            </w:pPr>
            <w:r w:rsidRPr="00E15F00">
              <w:rPr>
                <w:rFonts w:cs="Arial"/>
                <w:b/>
                <w:bCs/>
                <w:color w:val="000000"/>
                <w:sz w:val="16"/>
                <w:szCs w:val="16"/>
              </w:rPr>
              <w:t>5</w:t>
            </w:r>
          </w:p>
        </w:tc>
      </w:tr>
      <w:tr w:rsidR="00E15F00" w:rsidRPr="00E15F00" w:rsidTr="005F07CB">
        <w:trPr>
          <w:trHeight w:val="232"/>
          <w:jc w:val="center"/>
        </w:trPr>
        <w:tc>
          <w:tcPr>
            <w:tcW w:w="2041"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03-Koroška</w:t>
            </w: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DRAVOGRAD</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TRG 4. JULIJA 4</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2370 DRAVOGRAD</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RADLJE OB DRAVI</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MARIBORSKA CESTA 37</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2360 RADLJE OB DRAVI</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RAVNE NA KOROŠKEM</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OB SUHI 11</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2390 RAVNE NA KOROŠKEM</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nil"/>
              <w:left w:val="nil"/>
              <w:bottom w:val="single" w:sz="4" w:space="0" w:color="95B3D7"/>
              <w:right w:val="nil"/>
            </w:tcBorders>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SLOVENJ GRADEC</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PARTIZANSKA POT 16</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2380 SLOVENJ GRADEC</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03-Koroška Vsota</w:t>
            </w:r>
          </w:p>
        </w:tc>
        <w:tc>
          <w:tcPr>
            <w:tcW w:w="3473" w:type="dxa"/>
            <w:tcBorders>
              <w:top w:val="single" w:sz="4" w:space="0" w:color="4F81BD"/>
              <w:left w:val="nil"/>
              <w:bottom w:val="single" w:sz="4" w:space="0" w:color="4F81BD"/>
              <w:right w:val="nil"/>
            </w:tcBorders>
            <w:noWrap/>
            <w:vAlign w:val="bottom"/>
            <w:hideMark/>
          </w:tcPr>
          <w:p w:rsidR="00E15F00" w:rsidRPr="00E15F00" w:rsidRDefault="00E15F00">
            <w:pPr>
              <w:rPr>
                <w:rFonts w:cs="Arial"/>
                <w:b/>
                <w:bCs/>
                <w:color w:val="000000"/>
                <w:sz w:val="16"/>
                <w:szCs w:val="16"/>
              </w:rPr>
            </w:pPr>
          </w:p>
        </w:tc>
        <w:tc>
          <w:tcPr>
            <w:tcW w:w="2170"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1865"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61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jc w:val="right"/>
              <w:rPr>
                <w:rFonts w:cs="Arial"/>
                <w:b/>
                <w:bCs/>
                <w:color w:val="000000"/>
                <w:sz w:val="16"/>
                <w:szCs w:val="16"/>
              </w:rPr>
            </w:pPr>
            <w:r w:rsidRPr="00E15F00">
              <w:rPr>
                <w:rFonts w:cs="Arial"/>
                <w:b/>
                <w:bCs/>
                <w:color w:val="000000"/>
                <w:sz w:val="16"/>
                <w:szCs w:val="16"/>
              </w:rPr>
              <w:t>4</w:t>
            </w:r>
          </w:p>
        </w:tc>
      </w:tr>
      <w:tr w:rsidR="00E15F00" w:rsidRPr="00E15F00" w:rsidTr="005F07CB">
        <w:trPr>
          <w:trHeight w:val="232"/>
          <w:jc w:val="center"/>
        </w:trPr>
        <w:tc>
          <w:tcPr>
            <w:tcW w:w="2041"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04-Savinjska</w:t>
            </w: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CELJE</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GREGORČIČEVA ULICA 5</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3000 CELJE</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DR. JOŽETA POTRATE ŽALEC</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PREŠERNOVA ULICA 6</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3310 ŽALEC</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LAŠKO</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KIDRIČEVA ULICA 5 B</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3270 LAŠKO</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SLOVENSKE KONJICE</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MESTNI TRG 17</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3210 SLOVENSKE KONJICE</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ŠENTJUR</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CESTA LEONA DOBROTINŠKA 3 B</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3230 ŠENTJUR</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ŠMARJE PRI JELŠAH</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CELJSKA CESTA 16</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3240 ŠMARJE PRI JELŠAH</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VELENJE</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VODNIKOVA CESTA 1</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3320 VELENJE</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nil"/>
              <w:left w:val="nil"/>
              <w:bottom w:val="single" w:sz="4" w:space="0" w:color="95B3D7"/>
              <w:right w:val="nil"/>
            </w:tcBorders>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ZGORNJESAVINJSKI ZDRAVSTVENI DOM NAZARJE</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ZADREČKA CESTA 14</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3331 NAZARJE</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04-Savinjska Vsota</w:t>
            </w:r>
          </w:p>
        </w:tc>
        <w:tc>
          <w:tcPr>
            <w:tcW w:w="3473" w:type="dxa"/>
            <w:tcBorders>
              <w:top w:val="single" w:sz="4" w:space="0" w:color="4F81BD"/>
              <w:left w:val="nil"/>
              <w:bottom w:val="single" w:sz="4" w:space="0" w:color="4F81BD"/>
              <w:right w:val="nil"/>
            </w:tcBorders>
            <w:noWrap/>
            <w:vAlign w:val="bottom"/>
            <w:hideMark/>
          </w:tcPr>
          <w:p w:rsidR="00E15F00" w:rsidRPr="00E15F00" w:rsidRDefault="00E15F00">
            <w:pPr>
              <w:rPr>
                <w:rFonts w:cs="Arial"/>
                <w:b/>
                <w:bCs/>
                <w:color w:val="000000"/>
                <w:sz w:val="16"/>
                <w:szCs w:val="16"/>
              </w:rPr>
            </w:pPr>
          </w:p>
        </w:tc>
        <w:tc>
          <w:tcPr>
            <w:tcW w:w="2170"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1865"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61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jc w:val="right"/>
              <w:rPr>
                <w:rFonts w:cs="Arial"/>
                <w:b/>
                <w:bCs/>
                <w:color w:val="000000"/>
                <w:sz w:val="16"/>
                <w:szCs w:val="16"/>
              </w:rPr>
            </w:pPr>
            <w:r w:rsidRPr="00E15F00">
              <w:rPr>
                <w:rFonts w:cs="Arial"/>
                <w:b/>
                <w:bCs/>
                <w:color w:val="000000"/>
                <w:sz w:val="16"/>
                <w:szCs w:val="16"/>
              </w:rPr>
              <w:t>8</w:t>
            </w:r>
          </w:p>
        </w:tc>
      </w:tr>
      <w:tr w:rsidR="00E15F00" w:rsidRPr="00E15F00" w:rsidTr="005F07CB">
        <w:trPr>
          <w:trHeight w:val="232"/>
          <w:jc w:val="center"/>
        </w:trPr>
        <w:tc>
          <w:tcPr>
            <w:tcW w:w="2041"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05-Zasavska</w:t>
            </w: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HRASTNIK</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NOVI DOM 11</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1430 HRASTNIK</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LITIJA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PARTIZANSKA POT 8 A</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1270 LITIJA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TRBOVLJE</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RUDARSKA CESTA 12</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1420 TRBOVLJE</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nil"/>
              <w:left w:val="nil"/>
              <w:bottom w:val="single" w:sz="4" w:space="0" w:color="95B3D7"/>
              <w:right w:val="nil"/>
            </w:tcBorders>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ZAGORJE OB SAVI</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CESTA ZMAGE 1</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1410 ZAGORJE OB SAVI</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05-Zasavska Vsota</w:t>
            </w:r>
          </w:p>
        </w:tc>
        <w:tc>
          <w:tcPr>
            <w:tcW w:w="3473" w:type="dxa"/>
            <w:tcBorders>
              <w:top w:val="single" w:sz="4" w:space="0" w:color="4F81BD"/>
              <w:left w:val="nil"/>
              <w:bottom w:val="single" w:sz="4" w:space="0" w:color="4F81BD"/>
              <w:right w:val="nil"/>
            </w:tcBorders>
            <w:noWrap/>
            <w:vAlign w:val="bottom"/>
            <w:hideMark/>
          </w:tcPr>
          <w:p w:rsidR="00E15F00" w:rsidRPr="00E15F00" w:rsidRDefault="00E15F00">
            <w:pPr>
              <w:rPr>
                <w:rFonts w:cs="Arial"/>
                <w:b/>
                <w:bCs/>
                <w:color w:val="000000"/>
                <w:sz w:val="16"/>
                <w:szCs w:val="16"/>
              </w:rPr>
            </w:pPr>
          </w:p>
        </w:tc>
        <w:tc>
          <w:tcPr>
            <w:tcW w:w="2170"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1865"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61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jc w:val="right"/>
              <w:rPr>
                <w:rFonts w:cs="Arial"/>
                <w:b/>
                <w:bCs/>
                <w:color w:val="000000"/>
                <w:sz w:val="16"/>
                <w:szCs w:val="16"/>
              </w:rPr>
            </w:pPr>
            <w:r w:rsidRPr="00E15F00">
              <w:rPr>
                <w:rFonts w:cs="Arial"/>
                <w:b/>
                <w:bCs/>
                <w:color w:val="000000"/>
                <w:sz w:val="16"/>
                <w:szCs w:val="16"/>
              </w:rPr>
              <w:t>4</w:t>
            </w:r>
          </w:p>
        </w:tc>
      </w:tr>
      <w:tr w:rsidR="00E15F00" w:rsidRPr="00E15F00" w:rsidTr="005F07CB">
        <w:trPr>
          <w:trHeight w:val="232"/>
          <w:jc w:val="center"/>
        </w:trPr>
        <w:tc>
          <w:tcPr>
            <w:tcW w:w="2041"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06-Posavska</w:t>
            </w: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BREŽICE</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ČERNELČEVA CESTA 8</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8250 BREŽICE</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KRŠKO</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CESTA KRŠKIH ŽRTEV 132 C</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8270 KRŠKO</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RADEČE</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ULICA OF 8</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1433 RADEČE</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nil"/>
              <w:left w:val="nil"/>
              <w:bottom w:val="single" w:sz="4" w:space="0" w:color="95B3D7"/>
              <w:right w:val="nil"/>
            </w:tcBorders>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SEVNICA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TRG SVOBODE 14</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8290 SEVNICA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06-Posavska Vsota</w:t>
            </w:r>
          </w:p>
        </w:tc>
        <w:tc>
          <w:tcPr>
            <w:tcW w:w="3473" w:type="dxa"/>
            <w:tcBorders>
              <w:top w:val="single" w:sz="4" w:space="0" w:color="4F81BD"/>
              <w:left w:val="nil"/>
              <w:bottom w:val="single" w:sz="4" w:space="0" w:color="4F81BD"/>
              <w:right w:val="nil"/>
            </w:tcBorders>
            <w:noWrap/>
            <w:vAlign w:val="bottom"/>
            <w:hideMark/>
          </w:tcPr>
          <w:p w:rsidR="00E15F00" w:rsidRPr="00E15F00" w:rsidRDefault="00E15F00">
            <w:pPr>
              <w:rPr>
                <w:rFonts w:cs="Arial"/>
                <w:b/>
                <w:bCs/>
                <w:color w:val="000000"/>
                <w:sz w:val="16"/>
                <w:szCs w:val="16"/>
              </w:rPr>
            </w:pPr>
          </w:p>
        </w:tc>
        <w:tc>
          <w:tcPr>
            <w:tcW w:w="2170"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1865"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61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jc w:val="right"/>
              <w:rPr>
                <w:rFonts w:cs="Arial"/>
                <w:b/>
                <w:bCs/>
                <w:color w:val="000000"/>
                <w:sz w:val="16"/>
                <w:szCs w:val="16"/>
              </w:rPr>
            </w:pPr>
            <w:r w:rsidRPr="00E15F00">
              <w:rPr>
                <w:rFonts w:cs="Arial"/>
                <w:b/>
                <w:bCs/>
                <w:color w:val="000000"/>
                <w:sz w:val="16"/>
                <w:szCs w:val="16"/>
              </w:rPr>
              <w:t>4</w:t>
            </w:r>
          </w:p>
        </w:tc>
      </w:tr>
      <w:tr w:rsidR="00E15F00" w:rsidRPr="00E15F00" w:rsidTr="005F07CB">
        <w:trPr>
          <w:trHeight w:val="232"/>
          <w:jc w:val="center"/>
        </w:trPr>
        <w:tc>
          <w:tcPr>
            <w:tcW w:w="2041"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07-Jugovzhodna Slovenija</w:t>
            </w: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ČRNOMELJ</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DELAVSKA POT 4</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8340 ČRNOMELJ</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DR. JANEZA ORAŽMA RIBNICA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MAJNIKOVA ULICA 1</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1310 RIBNICA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KOČEVJE</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ROŠKA CESTA 18</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1330 KOČEVJE</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METLIKA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CESTA BRATSTVA IN ENOTNOSTI 71</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8330 METLIKA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NOVO MESTO</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KANDIJSKA CESTA 4</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8000 NOVO MESTO</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nil"/>
              <w:left w:val="nil"/>
              <w:bottom w:val="single" w:sz="4" w:space="0" w:color="95B3D7"/>
              <w:right w:val="nil"/>
            </w:tcBorders>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TREBNJE</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GOLIEV TRG 3</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8210 TREBNJE</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07-Jugovzhodna Slovenija Vsota</w:t>
            </w:r>
          </w:p>
        </w:tc>
        <w:tc>
          <w:tcPr>
            <w:tcW w:w="3473" w:type="dxa"/>
            <w:tcBorders>
              <w:top w:val="single" w:sz="4" w:space="0" w:color="4F81BD"/>
              <w:left w:val="nil"/>
              <w:bottom w:val="single" w:sz="4" w:space="0" w:color="4F81BD"/>
              <w:right w:val="nil"/>
            </w:tcBorders>
            <w:noWrap/>
            <w:vAlign w:val="bottom"/>
            <w:hideMark/>
          </w:tcPr>
          <w:p w:rsidR="00E15F00" w:rsidRPr="00E15F00" w:rsidRDefault="00E15F00">
            <w:pPr>
              <w:rPr>
                <w:rFonts w:cs="Arial"/>
                <w:b/>
                <w:bCs/>
                <w:color w:val="000000"/>
                <w:sz w:val="16"/>
                <w:szCs w:val="16"/>
              </w:rPr>
            </w:pPr>
          </w:p>
        </w:tc>
        <w:tc>
          <w:tcPr>
            <w:tcW w:w="2170"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1865"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61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jc w:val="right"/>
              <w:rPr>
                <w:rFonts w:cs="Arial"/>
                <w:b/>
                <w:bCs/>
                <w:color w:val="000000"/>
                <w:sz w:val="16"/>
                <w:szCs w:val="16"/>
              </w:rPr>
            </w:pPr>
            <w:r w:rsidRPr="00E15F00">
              <w:rPr>
                <w:rFonts w:cs="Arial"/>
                <w:b/>
                <w:bCs/>
                <w:color w:val="000000"/>
                <w:sz w:val="16"/>
                <w:szCs w:val="16"/>
              </w:rPr>
              <w:t>6</w:t>
            </w:r>
          </w:p>
        </w:tc>
      </w:tr>
      <w:tr w:rsidR="00E15F00" w:rsidRPr="00E15F00" w:rsidTr="005F07CB">
        <w:trPr>
          <w:trHeight w:val="232"/>
          <w:jc w:val="center"/>
        </w:trPr>
        <w:tc>
          <w:tcPr>
            <w:tcW w:w="2041"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08-Osrednjeslovenska</w:t>
            </w: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 xml:space="preserve">ZD LJUBLJANA </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METELKOVA ULICA 9</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1000 LJUBLJANA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DOMŽALE</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MESTNI TRG 2</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1230 DOMŽALE</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DR. JULIJA POLCA KAMNIK</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NOVI TRG 26</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1241 KAMNIK</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GROSUPLJE</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POD GOZDOM CESTA I 14</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1290 GROSUPLJE</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IVANČNA GORICA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CESTA 2. GRUPE ODREDOV 16</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1295 IVANČNA GORICA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LOGATEC</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NOTRANJSKA CESTA 2</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1370 LOGATEC</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MEDVODE</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OSTROVRHARJEVA ULICA 6</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1215 MEDVODE</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nil"/>
              <w:left w:val="nil"/>
              <w:bottom w:val="single" w:sz="4" w:space="0" w:color="95B3D7"/>
              <w:right w:val="nil"/>
            </w:tcBorders>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VRHNIKA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CESTA 6. MAJA 11</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1360 VRHNIKA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08-Osrednjeslovenska Vsota</w:t>
            </w:r>
          </w:p>
        </w:tc>
        <w:tc>
          <w:tcPr>
            <w:tcW w:w="3473" w:type="dxa"/>
            <w:tcBorders>
              <w:top w:val="single" w:sz="4" w:space="0" w:color="4F81BD"/>
              <w:left w:val="nil"/>
              <w:bottom w:val="single" w:sz="4" w:space="0" w:color="4F81BD"/>
              <w:right w:val="nil"/>
            </w:tcBorders>
            <w:noWrap/>
            <w:vAlign w:val="bottom"/>
            <w:hideMark/>
          </w:tcPr>
          <w:p w:rsidR="00E15F00" w:rsidRPr="00E15F00" w:rsidRDefault="00E15F00">
            <w:pPr>
              <w:rPr>
                <w:rFonts w:cs="Arial"/>
                <w:b/>
                <w:bCs/>
                <w:color w:val="000000"/>
                <w:sz w:val="16"/>
                <w:szCs w:val="16"/>
              </w:rPr>
            </w:pPr>
          </w:p>
        </w:tc>
        <w:tc>
          <w:tcPr>
            <w:tcW w:w="2170"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1865"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61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jc w:val="right"/>
              <w:rPr>
                <w:rFonts w:cs="Arial"/>
                <w:b/>
                <w:bCs/>
                <w:color w:val="000000"/>
                <w:sz w:val="16"/>
                <w:szCs w:val="16"/>
              </w:rPr>
            </w:pPr>
            <w:r w:rsidRPr="00E15F00">
              <w:rPr>
                <w:rFonts w:cs="Arial"/>
                <w:b/>
                <w:bCs/>
                <w:color w:val="000000"/>
                <w:sz w:val="16"/>
                <w:szCs w:val="16"/>
              </w:rPr>
              <w:t>8</w:t>
            </w:r>
          </w:p>
        </w:tc>
      </w:tr>
      <w:tr w:rsidR="00E15F00" w:rsidRPr="00E15F00" w:rsidTr="005F07CB">
        <w:trPr>
          <w:trHeight w:val="232"/>
          <w:jc w:val="center"/>
        </w:trPr>
        <w:tc>
          <w:tcPr>
            <w:tcW w:w="2041"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09-Gorenjska</w:t>
            </w: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OZG, OE ZDRAVSTVENI DOM BLED</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MLADINSKA CESTA 1</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4260 BLED</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OZG, OE ZDRAVSTVENI DOM JESENICE</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CESTA MARŠALA TITA 78</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4270 JESENICE</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OZG, OE ZDRAVSTVENI DOM KRANJ</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GOSPOSVETSKA ULICA 10</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4000 KRANJ</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OZG, OE ZDRAVSTVENI DOM RADOVLJICA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KOPALIŠKA CESTA 7</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4240 RADOVLJICA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OZG, OE ZDRAVSTVENI DOM ŠKOFJA LOKA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STARA CESTA 10</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4220 ŠKOFJA LOKA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OZG, OE ZDRAVSTVENI DOM TRŽIČ</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BLEJSKA CESTA 10</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4290 TRŽIČ</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nil"/>
              <w:left w:val="nil"/>
              <w:bottom w:val="single" w:sz="4" w:space="0" w:color="95B3D7"/>
              <w:right w:val="nil"/>
            </w:tcBorders>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OZG, ZDRAVSTVENI DOM BOHINJ</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TRIGLAVSKA CESTA 15</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4264 BOHINJSKA BISTRICA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09-Gorenjska Vsota</w:t>
            </w:r>
          </w:p>
        </w:tc>
        <w:tc>
          <w:tcPr>
            <w:tcW w:w="3473" w:type="dxa"/>
            <w:tcBorders>
              <w:top w:val="single" w:sz="4" w:space="0" w:color="4F81BD"/>
              <w:left w:val="nil"/>
              <w:bottom w:val="single" w:sz="4" w:space="0" w:color="4F81BD"/>
              <w:right w:val="nil"/>
            </w:tcBorders>
            <w:noWrap/>
            <w:vAlign w:val="bottom"/>
            <w:hideMark/>
          </w:tcPr>
          <w:p w:rsidR="00E15F00" w:rsidRPr="00E15F00" w:rsidRDefault="00E15F00">
            <w:pPr>
              <w:rPr>
                <w:rFonts w:cs="Arial"/>
                <w:b/>
                <w:bCs/>
                <w:color w:val="000000"/>
                <w:sz w:val="16"/>
                <w:szCs w:val="16"/>
              </w:rPr>
            </w:pPr>
          </w:p>
        </w:tc>
        <w:tc>
          <w:tcPr>
            <w:tcW w:w="2170"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1865"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61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jc w:val="right"/>
              <w:rPr>
                <w:rFonts w:cs="Arial"/>
                <w:b/>
                <w:bCs/>
                <w:color w:val="000000"/>
                <w:sz w:val="16"/>
                <w:szCs w:val="16"/>
              </w:rPr>
            </w:pPr>
            <w:r w:rsidRPr="00E15F00">
              <w:rPr>
                <w:rFonts w:cs="Arial"/>
                <w:b/>
                <w:bCs/>
                <w:color w:val="000000"/>
                <w:sz w:val="16"/>
                <w:szCs w:val="16"/>
              </w:rPr>
              <w:t>7</w:t>
            </w:r>
          </w:p>
        </w:tc>
      </w:tr>
      <w:tr w:rsidR="00E15F00" w:rsidRPr="00E15F00" w:rsidTr="005F07CB">
        <w:trPr>
          <w:trHeight w:val="232"/>
          <w:jc w:val="center"/>
        </w:trPr>
        <w:tc>
          <w:tcPr>
            <w:tcW w:w="2041"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10-Primorsko-notranjska</w:t>
            </w: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DR. BOŽIDARJA LAVRIČA - CERKNICA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CESTA 4. MAJA 17</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1380 CERKNICA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DR. FRANCA AMBROŽIČA, POSTOJNA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PREČNA ULICA 2</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6230 POSTOJNA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nil"/>
              <w:left w:val="nil"/>
              <w:bottom w:val="single" w:sz="4" w:space="0" w:color="95B3D7"/>
              <w:right w:val="nil"/>
            </w:tcBorders>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ILIRSKA BISTRICA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GREGORČIČEVA CESTA 8</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6250 ILIRSKA BISTRICA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10-Primorsko-notranjska Vsota</w:t>
            </w:r>
          </w:p>
        </w:tc>
        <w:tc>
          <w:tcPr>
            <w:tcW w:w="3473" w:type="dxa"/>
            <w:tcBorders>
              <w:top w:val="single" w:sz="4" w:space="0" w:color="4F81BD"/>
              <w:left w:val="nil"/>
              <w:bottom w:val="single" w:sz="4" w:space="0" w:color="4F81BD"/>
              <w:right w:val="nil"/>
            </w:tcBorders>
            <w:noWrap/>
            <w:vAlign w:val="bottom"/>
            <w:hideMark/>
          </w:tcPr>
          <w:p w:rsidR="00E15F00" w:rsidRPr="00E15F00" w:rsidRDefault="00E15F00">
            <w:pPr>
              <w:rPr>
                <w:rFonts w:cs="Arial"/>
                <w:b/>
                <w:bCs/>
                <w:color w:val="000000"/>
                <w:sz w:val="16"/>
                <w:szCs w:val="16"/>
              </w:rPr>
            </w:pPr>
          </w:p>
        </w:tc>
        <w:tc>
          <w:tcPr>
            <w:tcW w:w="2170"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1865"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61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jc w:val="right"/>
              <w:rPr>
                <w:rFonts w:cs="Arial"/>
                <w:b/>
                <w:bCs/>
                <w:color w:val="000000"/>
                <w:sz w:val="16"/>
                <w:szCs w:val="16"/>
              </w:rPr>
            </w:pPr>
            <w:r w:rsidRPr="00E15F00">
              <w:rPr>
                <w:rFonts w:cs="Arial"/>
                <w:b/>
                <w:bCs/>
                <w:color w:val="000000"/>
                <w:sz w:val="16"/>
                <w:szCs w:val="16"/>
              </w:rPr>
              <w:t>3</w:t>
            </w:r>
          </w:p>
        </w:tc>
      </w:tr>
      <w:tr w:rsidR="00E15F00" w:rsidRPr="00E15F00" w:rsidTr="005F07CB">
        <w:trPr>
          <w:trHeight w:val="232"/>
          <w:jc w:val="center"/>
        </w:trPr>
        <w:tc>
          <w:tcPr>
            <w:tcW w:w="2041"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11-Goriška</w:t>
            </w: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AJDOVŠČINA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TOVARNIŠKA CESTA 3</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5270 AJDOVŠČINA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IDRIJA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ULICA OTONA ŽUPANČIČA 3</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5280 IDRIJA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OSNOVNO VARSTVO NOVA GORICA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REJČEVA ULICA 4</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5000 NOVA GORICA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nil"/>
              <w:left w:val="nil"/>
              <w:bottom w:val="single" w:sz="4" w:space="0" w:color="95B3D7"/>
              <w:right w:val="nil"/>
            </w:tcBorders>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TOLMIN</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PREŠERNOVA ULICA 6 A</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5220 TOLMIN</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11-Goriška Vsota</w:t>
            </w:r>
          </w:p>
        </w:tc>
        <w:tc>
          <w:tcPr>
            <w:tcW w:w="3473" w:type="dxa"/>
            <w:tcBorders>
              <w:top w:val="single" w:sz="4" w:space="0" w:color="4F81BD"/>
              <w:left w:val="nil"/>
              <w:bottom w:val="single" w:sz="4" w:space="0" w:color="4F81BD"/>
              <w:right w:val="nil"/>
            </w:tcBorders>
            <w:noWrap/>
            <w:vAlign w:val="bottom"/>
            <w:hideMark/>
          </w:tcPr>
          <w:p w:rsidR="00E15F00" w:rsidRPr="00E15F00" w:rsidRDefault="00E15F00">
            <w:pPr>
              <w:rPr>
                <w:rFonts w:cs="Arial"/>
                <w:b/>
                <w:bCs/>
                <w:color w:val="000000"/>
                <w:sz w:val="16"/>
                <w:szCs w:val="16"/>
              </w:rPr>
            </w:pPr>
          </w:p>
        </w:tc>
        <w:tc>
          <w:tcPr>
            <w:tcW w:w="2170"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1865"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61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jc w:val="right"/>
              <w:rPr>
                <w:rFonts w:cs="Arial"/>
                <w:b/>
                <w:bCs/>
                <w:color w:val="000000"/>
                <w:sz w:val="16"/>
                <w:szCs w:val="16"/>
              </w:rPr>
            </w:pPr>
            <w:r w:rsidRPr="00E15F00">
              <w:rPr>
                <w:rFonts w:cs="Arial"/>
                <w:b/>
                <w:bCs/>
                <w:color w:val="000000"/>
                <w:sz w:val="16"/>
                <w:szCs w:val="16"/>
              </w:rPr>
              <w:t>4</w:t>
            </w:r>
          </w:p>
        </w:tc>
      </w:tr>
      <w:tr w:rsidR="00E15F00" w:rsidRPr="00E15F00" w:rsidTr="005F07CB">
        <w:trPr>
          <w:trHeight w:val="232"/>
          <w:jc w:val="center"/>
        </w:trPr>
        <w:tc>
          <w:tcPr>
            <w:tcW w:w="2041"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12-Obalno-kraška</w:t>
            </w: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IZOLA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ULICA OKTOBRSKE REVOLUCIJE 11</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6310 IZOLA - ISOLA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 xml:space="preserve">ZDRAVSTVENI DOM KOPER </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DELLAVALLEJEVA ULICA 3</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6000 KOPER - CAPODISTRIA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 xml:space="preserve">ZDRAVSTVENI DOM PIRAN </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CESTA SOLINARJEV 1</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6320 PORTOROŽ - PORTOROSE</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nil"/>
              <w:left w:val="nil"/>
              <w:bottom w:val="single" w:sz="4" w:space="0" w:color="95B3D7"/>
              <w:right w:val="nil"/>
            </w:tcBorders>
            <w:noWrap/>
            <w:vAlign w:val="bottom"/>
            <w:hideMark/>
          </w:tcPr>
          <w:p w:rsidR="00E15F00" w:rsidRPr="00E15F00" w:rsidRDefault="00E15F00">
            <w:pPr>
              <w:rPr>
                <w:rFonts w:cs="Arial"/>
                <w:color w:val="000000"/>
                <w:sz w:val="16"/>
                <w:szCs w:val="16"/>
              </w:rPr>
            </w:pPr>
          </w:p>
        </w:tc>
        <w:tc>
          <w:tcPr>
            <w:tcW w:w="3473"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ZDRAVSTVENI DOM SEŽANA</w:t>
            </w:r>
          </w:p>
        </w:tc>
        <w:tc>
          <w:tcPr>
            <w:tcW w:w="217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PARTIZANSKA CESTA 24</w:t>
            </w:r>
          </w:p>
        </w:tc>
        <w:tc>
          <w:tcPr>
            <w:tcW w:w="1865"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6210 SEŽANA</w:t>
            </w:r>
          </w:p>
        </w:tc>
        <w:tc>
          <w:tcPr>
            <w:tcW w:w="611" w:type="dxa"/>
            <w:noWrap/>
            <w:vAlign w:val="bottom"/>
            <w:hideMark/>
          </w:tcPr>
          <w:p w:rsidR="00E15F00" w:rsidRPr="00E15F00" w:rsidRDefault="00E15F00">
            <w:pPr>
              <w:spacing w:line="240" w:lineRule="auto"/>
              <w:jc w:val="right"/>
              <w:rPr>
                <w:rFonts w:cs="Arial"/>
                <w:color w:val="000000"/>
                <w:sz w:val="16"/>
                <w:szCs w:val="16"/>
              </w:rPr>
            </w:pPr>
            <w:r w:rsidRPr="00E15F00">
              <w:rPr>
                <w:rFonts w:cs="Arial"/>
                <w:color w:val="000000"/>
                <w:sz w:val="16"/>
                <w:szCs w:val="16"/>
              </w:rPr>
              <w:t>1</w:t>
            </w:r>
          </w:p>
        </w:tc>
      </w:tr>
      <w:tr w:rsidR="00E15F00" w:rsidRPr="00E15F00" w:rsidTr="005F07CB">
        <w:trPr>
          <w:trHeight w:val="232"/>
          <w:jc w:val="center"/>
        </w:trPr>
        <w:tc>
          <w:tcPr>
            <w:tcW w:w="204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12-Obalno-kraška Vsota</w:t>
            </w:r>
          </w:p>
        </w:tc>
        <w:tc>
          <w:tcPr>
            <w:tcW w:w="3473" w:type="dxa"/>
            <w:tcBorders>
              <w:top w:val="single" w:sz="4" w:space="0" w:color="4F81BD"/>
              <w:left w:val="nil"/>
              <w:bottom w:val="single" w:sz="4" w:space="0" w:color="4F81BD"/>
              <w:right w:val="nil"/>
            </w:tcBorders>
            <w:noWrap/>
            <w:vAlign w:val="bottom"/>
            <w:hideMark/>
          </w:tcPr>
          <w:p w:rsidR="00E15F00" w:rsidRPr="00E15F00" w:rsidRDefault="00E15F00">
            <w:pPr>
              <w:rPr>
                <w:rFonts w:cs="Arial"/>
                <w:b/>
                <w:bCs/>
                <w:color w:val="000000"/>
                <w:sz w:val="16"/>
                <w:szCs w:val="16"/>
              </w:rPr>
            </w:pPr>
          </w:p>
        </w:tc>
        <w:tc>
          <w:tcPr>
            <w:tcW w:w="2170"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1865"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rPr>
                <w:rFonts w:cs="Arial"/>
                <w:szCs w:val="20"/>
                <w:lang w:eastAsia="sl-SI"/>
              </w:rPr>
            </w:pPr>
          </w:p>
        </w:tc>
        <w:tc>
          <w:tcPr>
            <w:tcW w:w="611" w:type="dxa"/>
            <w:tcBorders>
              <w:top w:val="single" w:sz="4" w:space="0" w:color="4F81BD"/>
              <w:left w:val="nil"/>
              <w:bottom w:val="single" w:sz="4" w:space="0" w:color="4F81BD"/>
              <w:right w:val="nil"/>
            </w:tcBorders>
            <w:noWrap/>
            <w:vAlign w:val="bottom"/>
            <w:hideMark/>
          </w:tcPr>
          <w:p w:rsidR="00E15F00" w:rsidRPr="00E15F00" w:rsidRDefault="00E15F00">
            <w:pPr>
              <w:spacing w:line="240" w:lineRule="auto"/>
              <w:jc w:val="right"/>
              <w:rPr>
                <w:rFonts w:cs="Arial"/>
                <w:b/>
                <w:bCs/>
                <w:color w:val="000000"/>
                <w:sz w:val="16"/>
                <w:szCs w:val="16"/>
              </w:rPr>
            </w:pPr>
            <w:r w:rsidRPr="00E15F00">
              <w:rPr>
                <w:rFonts w:cs="Arial"/>
                <w:b/>
                <w:bCs/>
                <w:color w:val="000000"/>
                <w:sz w:val="16"/>
                <w:szCs w:val="16"/>
              </w:rPr>
              <w:t>4</w:t>
            </w:r>
          </w:p>
        </w:tc>
      </w:tr>
      <w:tr w:rsidR="00E15F00" w:rsidRPr="00E15F00" w:rsidTr="005F07CB">
        <w:trPr>
          <w:trHeight w:val="232"/>
          <w:jc w:val="center"/>
        </w:trPr>
        <w:tc>
          <w:tcPr>
            <w:tcW w:w="2041" w:type="dxa"/>
            <w:tcBorders>
              <w:top w:val="single" w:sz="4" w:space="0" w:color="95B3D7"/>
              <w:left w:val="nil"/>
              <w:bottom w:val="nil"/>
              <w:right w:val="nil"/>
            </w:tcBorders>
            <w:shd w:val="clear" w:color="auto" w:fill="DCE6F1"/>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Skupna vsota</w:t>
            </w:r>
          </w:p>
        </w:tc>
        <w:tc>
          <w:tcPr>
            <w:tcW w:w="3473" w:type="dxa"/>
            <w:tcBorders>
              <w:top w:val="single" w:sz="4" w:space="0" w:color="95B3D7"/>
              <w:left w:val="nil"/>
              <w:bottom w:val="nil"/>
              <w:right w:val="nil"/>
            </w:tcBorders>
            <w:shd w:val="clear" w:color="auto" w:fill="DCE6F1"/>
            <w:noWrap/>
            <w:vAlign w:val="bottom"/>
            <w:hideMark/>
          </w:tcPr>
          <w:p w:rsidR="00E15F00" w:rsidRPr="00E15F00" w:rsidRDefault="00E15F00">
            <w:pPr>
              <w:rPr>
                <w:rFonts w:cs="Arial"/>
                <w:b/>
                <w:bCs/>
                <w:color w:val="000000"/>
                <w:sz w:val="16"/>
                <w:szCs w:val="16"/>
              </w:rPr>
            </w:pPr>
          </w:p>
        </w:tc>
        <w:tc>
          <w:tcPr>
            <w:tcW w:w="2170" w:type="dxa"/>
            <w:tcBorders>
              <w:top w:val="single" w:sz="4" w:space="0" w:color="95B3D7"/>
              <w:left w:val="nil"/>
              <w:bottom w:val="nil"/>
              <w:right w:val="nil"/>
            </w:tcBorders>
            <w:shd w:val="clear" w:color="auto" w:fill="DCE6F1"/>
            <w:noWrap/>
            <w:vAlign w:val="bottom"/>
            <w:hideMark/>
          </w:tcPr>
          <w:p w:rsidR="00E15F00" w:rsidRPr="00E15F00" w:rsidRDefault="00E15F00">
            <w:pPr>
              <w:spacing w:line="240" w:lineRule="auto"/>
              <w:rPr>
                <w:rFonts w:cs="Arial"/>
                <w:szCs w:val="20"/>
                <w:lang w:eastAsia="sl-SI"/>
              </w:rPr>
            </w:pPr>
          </w:p>
        </w:tc>
        <w:tc>
          <w:tcPr>
            <w:tcW w:w="1865" w:type="dxa"/>
            <w:tcBorders>
              <w:top w:val="single" w:sz="4" w:space="0" w:color="95B3D7"/>
              <w:left w:val="nil"/>
              <w:bottom w:val="nil"/>
              <w:right w:val="nil"/>
            </w:tcBorders>
            <w:shd w:val="clear" w:color="auto" w:fill="DCE6F1"/>
            <w:noWrap/>
            <w:vAlign w:val="bottom"/>
            <w:hideMark/>
          </w:tcPr>
          <w:p w:rsidR="00E15F00" w:rsidRPr="00E15F00" w:rsidRDefault="00E15F00">
            <w:pPr>
              <w:spacing w:line="240" w:lineRule="auto"/>
              <w:rPr>
                <w:rFonts w:cs="Arial"/>
                <w:szCs w:val="20"/>
                <w:lang w:eastAsia="sl-SI"/>
              </w:rPr>
            </w:pPr>
          </w:p>
        </w:tc>
        <w:tc>
          <w:tcPr>
            <w:tcW w:w="611" w:type="dxa"/>
            <w:tcBorders>
              <w:top w:val="single" w:sz="4" w:space="0" w:color="95B3D7"/>
              <w:left w:val="nil"/>
              <w:bottom w:val="nil"/>
              <w:right w:val="nil"/>
            </w:tcBorders>
            <w:shd w:val="clear" w:color="auto" w:fill="DCE6F1"/>
            <w:noWrap/>
            <w:vAlign w:val="bottom"/>
            <w:hideMark/>
          </w:tcPr>
          <w:p w:rsidR="00E15F00" w:rsidRPr="00E15F00" w:rsidRDefault="00E15F00">
            <w:pPr>
              <w:spacing w:line="240" w:lineRule="auto"/>
              <w:jc w:val="right"/>
              <w:rPr>
                <w:rFonts w:cs="Arial"/>
                <w:b/>
                <w:bCs/>
                <w:color w:val="000000"/>
                <w:sz w:val="16"/>
                <w:szCs w:val="16"/>
              </w:rPr>
            </w:pPr>
            <w:r w:rsidRPr="00E15F00">
              <w:rPr>
                <w:rFonts w:cs="Arial"/>
                <w:b/>
                <w:bCs/>
                <w:color w:val="000000"/>
                <w:sz w:val="16"/>
                <w:szCs w:val="16"/>
              </w:rPr>
              <w:t>61</w:t>
            </w:r>
          </w:p>
        </w:tc>
      </w:tr>
    </w:tbl>
    <w:p w:rsidR="00E15F00" w:rsidRPr="00E15F00" w:rsidRDefault="00E15F00" w:rsidP="00E15F00">
      <w:pPr>
        <w:spacing w:line="240" w:lineRule="auto"/>
        <w:rPr>
          <w:rFonts w:cs="Arial"/>
          <w:b/>
          <w:bCs/>
          <w:szCs w:val="20"/>
        </w:rPr>
      </w:pPr>
    </w:p>
    <w:p w:rsidR="00E15F00" w:rsidRPr="00E15F00" w:rsidRDefault="00E15F00" w:rsidP="00E15F00">
      <w:pPr>
        <w:spacing w:line="240" w:lineRule="auto"/>
        <w:rPr>
          <w:rFonts w:cs="Arial"/>
          <w:b/>
          <w:bCs/>
          <w:szCs w:val="20"/>
        </w:rPr>
      </w:pPr>
      <w:r w:rsidRPr="00E15F00">
        <w:rPr>
          <w:rFonts w:cs="Arial"/>
          <w:b/>
          <w:bCs/>
          <w:szCs w:val="20"/>
        </w:rPr>
        <w:br w:type="page"/>
      </w:r>
    </w:p>
    <w:p w:rsidR="00E15F00" w:rsidRPr="00E15F00" w:rsidRDefault="00E15F00" w:rsidP="00E15F00">
      <w:pPr>
        <w:pStyle w:val="Odstavekseznama"/>
        <w:numPr>
          <w:ilvl w:val="0"/>
          <w:numId w:val="23"/>
        </w:numPr>
        <w:spacing w:line="240" w:lineRule="auto"/>
        <w:contextualSpacing w:val="0"/>
        <w:jc w:val="both"/>
        <w:rPr>
          <w:rFonts w:eastAsia="ヒラギノ角ゴ Pro W3" w:cs="Arial"/>
          <w:color w:val="000000"/>
          <w:szCs w:val="20"/>
        </w:rPr>
      </w:pPr>
      <w:r w:rsidRPr="00E15F00">
        <w:rPr>
          <w:rFonts w:cs="Arial"/>
          <w:b/>
          <w:bCs/>
          <w:szCs w:val="20"/>
        </w:rPr>
        <w:lastRenderedPageBreak/>
        <w:t xml:space="preserve">Cepilni centri v bolnišnicah, ki </w:t>
      </w:r>
      <w:r w:rsidRPr="00E15F00">
        <w:rPr>
          <w:rFonts w:eastAsia="ヒラギノ角ゴ Pro W3" w:cs="Arial"/>
          <w:b/>
          <w:color w:val="000000"/>
          <w:szCs w:val="20"/>
        </w:rPr>
        <w:t>organizirajo cepljenje za zdravstvene delavce in sodelavce</w:t>
      </w:r>
      <w:r w:rsidRPr="00E15F00">
        <w:rPr>
          <w:rFonts w:eastAsia="ヒラギノ角ゴ Pro W3" w:cs="Arial"/>
          <w:color w:val="000000"/>
          <w:szCs w:val="20"/>
        </w:rPr>
        <w:t xml:space="preserve"> ter po odločitvi stroke (PSC) tudi cepljenje določenih pacientov</w:t>
      </w:r>
    </w:p>
    <w:p w:rsidR="00E15F00" w:rsidRPr="00E15F00" w:rsidRDefault="00E15F00" w:rsidP="00E15F00">
      <w:pPr>
        <w:spacing w:line="240" w:lineRule="auto"/>
        <w:rPr>
          <w:rFonts w:eastAsia="ヒラギノ角ゴ Pro W3" w:cs="Arial"/>
          <w:color w:val="000000"/>
          <w:szCs w:val="20"/>
          <w:lang w:eastAsia="sl-SI"/>
        </w:rPr>
      </w:pPr>
    </w:p>
    <w:tbl>
      <w:tblPr>
        <w:tblW w:w="10080" w:type="dxa"/>
        <w:jc w:val="center"/>
        <w:tblLook w:val="04A0" w:firstRow="1" w:lastRow="0" w:firstColumn="1" w:lastColumn="0" w:noHBand="0" w:noVBand="1"/>
      </w:tblPr>
      <w:tblGrid>
        <w:gridCol w:w="5340"/>
        <w:gridCol w:w="2220"/>
        <w:gridCol w:w="2040"/>
        <w:gridCol w:w="480"/>
      </w:tblGrid>
      <w:tr w:rsidR="00E15F00" w:rsidRPr="00E15F00" w:rsidTr="005F07CB">
        <w:trPr>
          <w:trHeight w:val="300"/>
          <w:jc w:val="center"/>
        </w:trPr>
        <w:tc>
          <w:tcPr>
            <w:tcW w:w="5340" w:type="dxa"/>
            <w:shd w:val="clear" w:color="auto" w:fill="DCE6F1"/>
            <w:noWrap/>
            <w:vAlign w:val="bottom"/>
            <w:hideMark/>
          </w:tcPr>
          <w:p w:rsidR="00E15F00" w:rsidRPr="00E15F00" w:rsidRDefault="00E15F00">
            <w:pPr>
              <w:rPr>
                <w:rFonts w:eastAsia="ヒラギノ角ゴ Pro W3" w:cs="Arial"/>
                <w:color w:val="000000"/>
                <w:szCs w:val="20"/>
                <w:lang w:eastAsia="sl-SI"/>
              </w:rPr>
            </w:pPr>
          </w:p>
        </w:tc>
        <w:tc>
          <w:tcPr>
            <w:tcW w:w="2220" w:type="dxa"/>
            <w:shd w:val="clear" w:color="auto" w:fill="DCE6F1"/>
            <w:noWrap/>
            <w:vAlign w:val="bottom"/>
            <w:hideMark/>
          </w:tcPr>
          <w:p w:rsidR="00E15F00" w:rsidRPr="00E15F00" w:rsidRDefault="00E15F00">
            <w:pPr>
              <w:spacing w:line="240" w:lineRule="auto"/>
              <w:rPr>
                <w:rFonts w:cs="Arial"/>
                <w:szCs w:val="20"/>
                <w:lang w:eastAsia="sl-SI"/>
              </w:rPr>
            </w:pPr>
          </w:p>
        </w:tc>
        <w:tc>
          <w:tcPr>
            <w:tcW w:w="2040" w:type="dxa"/>
            <w:shd w:val="clear" w:color="auto" w:fill="DCE6F1"/>
            <w:noWrap/>
            <w:vAlign w:val="bottom"/>
            <w:hideMark/>
          </w:tcPr>
          <w:p w:rsidR="00E15F00" w:rsidRPr="00E15F00" w:rsidRDefault="00E15F00">
            <w:pPr>
              <w:spacing w:line="240" w:lineRule="auto"/>
              <w:rPr>
                <w:rFonts w:cs="Arial"/>
                <w:szCs w:val="20"/>
                <w:lang w:eastAsia="sl-SI"/>
              </w:rPr>
            </w:pPr>
          </w:p>
        </w:tc>
        <w:tc>
          <w:tcPr>
            <w:tcW w:w="480" w:type="dxa"/>
            <w:shd w:val="clear" w:color="auto" w:fill="DCE6F1"/>
            <w:noWrap/>
            <w:vAlign w:val="bottom"/>
            <w:hideMark/>
          </w:tcPr>
          <w:p w:rsidR="00E15F00" w:rsidRPr="00E15F00" w:rsidRDefault="00E15F00">
            <w:pPr>
              <w:spacing w:line="240" w:lineRule="auto"/>
              <w:rPr>
                <w:rFonts w:cs="Arial"/>
                <w:szCs w:val="20"/>
                <w:lang w:eastAsia="sl-SI"/>
              </w:rPr>
            </w:pPr>
          </w:p>
        </w:tc>
      </w:tr>
      <w:tr w:rsidR="00E15F00" w:rsidRPr="00E15F00" w:rsidTr="005F07CB">
        <w:trPr>
          <w:trHeight w:val="300"/>
          <w:jc w:val="center"/>
        </w:trPr>
        <w:tc>
          <w:tcPr>
            <w:tcW w:w="5340" w:type="dxa"/>
            <w:tcBorders>
              <w:top w:val="nil"/>
              <w:left w:val="nil"/>
              <w:bottom w:val="single" w:sz="4" w:space="0" w:color="95B3D7"/>
              <w:right w:val="nil"/>
            </w:tcBorders>
            <w:shd w:val="clear" w:color="auto" w:fill="DCE6F1"/>
            <w:noWrap/>
            <w:vAlign w:val="bottom"/>
            <w:hideMark/>
          </w:tcPr>
          <w:p w:rsidR="00E15F00" w:rsidRPr="00E15F00" w:rsidRDefault="00E15F00">
            <w:pPr>
              <w:spacing w:line="240" w:lineRule="auto"/>
              <w:rPr>
                <w:rFonts w:cs="Arial"/>
                <w:b/>
                <w:bCs/>
                <w:color w:val="000000"/>
                <w:sz w:val="16"/>
                <w:szCs w:val="16"/>
                <w:lang w:val="en-US"/>
              </w:rPr>
            </w:pPr>
            <w:r w:rsidRPr="00E15F00">
              <w:rPr>
                <w:rFonts w:cs="Arial"/>
                <w:b/>
                <w:bCs/>
                <w:color w:val="000000"/>
                <w:sz w:val="16"/>
                <w:szCs w:val="16"/>
                <w:lang w:val="en-US"/>
              </w:rPr>
              <w:t>Naziv izvajalca</w:t>
            </w:r>
          </w:p>
        </w:tc>
        <w:tc>
          <w:tcPr>
            <w:tcW w:w="2220" w:type="dxa"/>
            <w:tcBorders>
              <w:top w:val="nil"/>
              <w:left w:val="nil"/>
              <w:bottom w:val="single" w:sz="4" w:space="0" w:color="95B3D7"/>
              <w:right w:val="nil"/>
            </w:tcBorders>
            <w:shd w:val="clear" w:color="auto" w:fill="DCE6F1"/>
            <w:noWrap/>
            <w:vAlign w:val="bottom"/>
            <w:hideMark/>
          </w:tcPr>
          <w:p w:rsidR="00E15F00" w:rsidRPr="00E15F00" w:rsidRDefault="00E15F00">
            <w:pPr>
              <w:spacing w:line="240" w:lineRule="auto"/>
              <w:rPr>
                <w:rFonts w:cs="Arial"/>
                <w:b/>
                <w:bCs/>
                <w:color w:val="000000"/>
                <w:sz w:val="16"/>
                <w:szCs w:val="16"/>
                <w:lang w:val="it-IT"/>
              </w:rPr>
            </w:pPr>
            <w:r w:rsidRPr="00E15F00">
              <w:rPr>
                <w:rFonts w:cs="Arial"/>
                <w:b/>
                <w:bCs/>
                <w:color w:val="000000"/>
                <w:sz w:val="16"/>
                <w:szCs w:val="16"/>
                <w:lang w:val="it-IT"/>
              </w:rPr>
              <w:t>Ulica hišna številka in dodatek</w:t>
            </w:r>
          </w:p>
        </w:tc>
        <w:tc>
          <w:tcPr>
            <w:tcW w:w="2040" w:type="dxa"/>
            <w:tcBorders>
              <w:top w:val="nil"/>
              <w:left w:val="nil"/>
              <w:bottom w:val="single" w:sz="4" w:space="0" w:color="95B3D7"/>
              <w:right w:val="nil"/>
            </w:tcBorders>
            <w:shd w:val="clear" w:color="auto" w:fill="DCE6F1"/>
            <w:noWrap/>
            <w:vAlign w:val="bottom"/>
            <w:hideMark/>
          </w:tcPr>
          <w:p w:rsidR="00E15F00" w:rsidRPr="00E15F00" w:rsidRDefault="00E15F00">
            <w:pPr>
              <w:spacing w:line="240" w:lineRule="auto"/>
              <w:rPr>
                <w:rFonts w:cs="Arial"/>
                <w:b/>
                <w:bCs/>
                <w:color w:val="000000"/>
                <w:sz w:val="16"/>
                <w:szCs w:val="16"/>
                <w:lang w:val="en-US"/>
              </w:rPr>
            </w:pPr>
            <w:r w:rsidRPr="00E15F00">
              <w:rPr>
                <w:rFonts w:cs="Arial"/>
                <w:b/>
                <w:bCs/>
                <w:color w:val="000000"/>
                <w:sz w:val="16"/>
                <w:szCs w:val="16"/>
                <w:lang w:val="en-US"/>
              </w:rPr>
              <w:t>Številka in naziv pošte</w:t>
            </w:r>
          </w:p>
        </w:tc>
        <w:tc>
          <w:tcPr>
            <w:tcW w:w="480" w:type="dxa"/>
            <w:tcBorders>
              <w:top w:val="nil"/>
              <w:left w:val="nil"/>
              <w:bottom w:val="single" w:sz="4" w:space="0" w:color="95B3D7"/>
              <w:right w:val="nil"/>
            </w:tcBorders>
            <w:shd w:val="clear" w:color="auto" w:fill="DCE6F1"/>
            <w:noWrap/>
            <w:vAlign w:val="bottom"/>
          </w:tcPr>
          <w:p w:rsidR="00E15F00" w:rsidRPr="00E15F00" w:rsidRDefault="00E15F00">
            <w:pPr>
              <w:spacing w:line="240" w:lineRule="auto"/>
              <w:rPr>
                <w:rFonts w:cs="Arial"/>
                <w:b/>
                <w:bCs/>
                <w:color w:val="000000"/>
                <w:sz w:val="16"/>
                <w:szCs w:val="16"/>
                <w:lang w:val="en-US"/>
              </w:rPr>
            </w:pPr>
          </w:p>
        </w:tc>
      </w:tr>
      <w:tr w:rsidR="00E15F00" w:rsidRPr="00E15F00" w:rsidTr="005F07CB">
        <w:trPr>
          <w:trHeight w:val="300"/>
          <w:jc w:val="center"/>
        </w:trPr>
        <w:tc>
          <w:tcPr>
            <w:tcW w:w="5340" w:type="dxa"/>
            <w:noWrap/>
            <w:vAlign w:val="bottom"/>
            <w:hideMark/>
          </w:tcPr>
          <w:p w:rsidR="00E15F00" w:rsidRPr="00E15F00" w:rsidRDefault="00E15F00">
            <w:pPr>
              <w:spacing w:line="240" w:lineRule="auto"/>
              <w:rPr>
                <w:rFonts w:cs="Arial"/>
                <w:b/>
                <w:bCs/>
                <w:color w:val="000000"/>
                <w:sz w:val="16"/>
                <w:szCs w:val="16"/>
                <w:lang w:val="en-US"/>
              </w:rPr>
            </w:pPr>
            <w:r w:rsidRPr="00E15F00">
              <w:rPr>
                <w:rFonts w:cs="Arial"/>
                <w:b/>
                <w:bCs/>
                <w:color w:val="000000"/>
                <w:sz w:val="16"/>
                <w:szCs w:val="16"/>
                <w:lang w:val="en-US"/>
              </w:rPr>
              <w:t>SPLOŠNA BOLNIŠNICA MURSKA SOBOTA</w:t>
            </w:r>
          </w:p>
        </w:tc>
        <w:tc>
          <w:tcPr>
            <w:tcW w:w="222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ULICA DR. VRBNJAKA 6</w:t>
            </w:r>
          </w:p>
        </w:tc>
        <w:tc>
          <w:tcPr>
            <w:tcW w:w="204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9000 MURSKA SOBOTA</w:t>
            </w:r>
          </w:p>
        </w:tc>
        <w:tc>
          <w:tcPr>
            <w:tcW w:w="480" w:type="dxa"/>
            <w:noWrap/>
            <w:vAlign w:val="bottom"/>
          </w:tcPr>
          <w:p w:rsidR="00E15F00" w:rsidRPr="00E15F00" w:rsidRDefault="00E15F00">
            <w:pPr>
              <w:spacing w:line="240" w:lineRule="auto"/>
              <w:jc w:val="right"/>
              <w:rPr>
                <w:rFonts w:cs="Arial"/>
                <w:color w:val="000000"/>
                <w:sz w:val="16"/>
                <w:szCs w:val="16"/>
                <w:lang w:val="en-US"/>
              </w:rPr>
            </w:pPr>
          </w:p>
        </w:tc>
      </w:tr>
      <w:tr w:rsidR="00E15F00" w:rsidRPr="00E15F00" w:rsidTr="005F07CB">
        <w:trPr>
          <w:trHeight w:val="300"/>
          <w:jc w:val="center"/>
        </w:trPr>
        <w:tc>
          <w:tcPr>
            <w:tcW w:w="5340" w:type="dxa"/>
            <w:noWrap/>
            <w:vAlign w:val="bottom"/>
            <w:hideMark/>
          </w:tcPr>
          <w:p w:rsidR="00E15F00" w:rsidRPr="00E15F00" w:rsidRDefault="00E15F00">
            <w:pPr>
              <w:spacing w:line="240" w:lineRule="auto"/>
              <w:rPr>
                <w:rFonts w:cs="Arial"/>
                <w:b/>
                <w:bCs/>
                <w:color w:val="000000"/>
                <w:sz w:val="16"/>
                <w:szCs w:val="16"/>
                <w:lang w:val="it-IT"/>
              </w:rPr>
            </w:pPr>
            <w:r w:rsidRPr="00E15F00">
              <w:rPr>
                <w:rFonts w:cs="Arial"/>
                <w:b/>
                <w:bCs/>
                <w:color w:val="000000"/>
                <w:sz w:val="16"/>
                <w:szCs w:val="16"/>
                <w:lang w:val="it-IT"/>
              </w:rPr>
              <w:t>SPLOŠNA BOLNIŠNICA DR. JOŽETA POTRČA PTUJ</w:t>
            </w:r>
          </w:p>
        </w:tc>
        <w:tc>
          <w:tcPr>
            <w:tcW w:w="222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POTRČEVA CESTA 23</w:t>
            </w:r>
          </w:p>
        </w:tc>
        <w:tc>
          <w:tcPr>
            <w:tcW w:w="204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2250 PTUJ</w:t>
            </w:r>
          </w:p>
        </w:tc>
        <w:tc>
          <w:tcPr>
            <w:tcW w:w="480" w:type="dxa"/>
            <w:noWrap/>
            <w:vAlign w:val="bottom"/>
          </w:tcPr>
          <w:p w:rsidR="00E15F00" w:rsidRPr="00E15F00" w:rsidRDefault="00E15F00">
            <w:pPr>
              <w:spacing w:line="240" w:lineRule="auto"/>
              <w:jc w:val="right"/>
              <w:rPr>
                <w:rFonts w:cs="Arial"/>
                <w:color w:val="000000"/>
                <w:sz w:val="16"/>
                <w:szCs w:val="16"/>
                <w:lang w:val="en-US"/>
              </w:rPr>
            </w:pPr>
          </w:p>
        </w:tc>
      </w:tr>
      <w:tr w:rsidR="00E15F00" w:rsidRPr="00E15F00" w:rsidTr="005F07CB">
        <w:trPr>
          <w:trHeight w:val="300"/>
          <w:jc w:val="center"/>
        </w:trPr>
        <w:tc>
          <w:tcPr>
            <w:tcW w:w="5340" w:type="dxa"/>
            <w:noWrap/>
            <w:vAlign w:val="bottom"/>
            <w:hideMark/>
          </w:tcPr>
          <w:p w:rsidR="00E15F00" w:rsidRPr="00E15F00" w:rsidRDefault="00E15F00">
            <w:pPr>
              <w:spacing w:line="240" w:lineRule="auto"/>
              <w:rPr>
                <w:rFonts w:cs="Arial"/>
                <w:b/>
                <w:bCs/>
                <w:color w:val="000000"/>
                <w:sz w:val="16"/>
                <w:szCs w:val="16"/>
                <w:lang w:val="en-US"/>
              </w:rPr>
            </w:pPr>
            <w:r w:rsidRPr="00E15F00">
              <w:rPr>
                <w:rFonts w:cs="Arial"/>
                <w:b/>
                <w:bCs/>
                <w:color w:val="000000"/>
                <w:sz w:val="16"/>
                <w:szCs w:val="16"/>
                <w:lang w:val="en-US"/>
              </w:rPr>
              <w:t>UNIVERZITETNI KLINIČNI CENTER MARIBOR</w:t>
            </w:r>
          </w:p>
        </w:tc>
        <w:tc>
          <w:tcPr>
            <w:tcW w:w="222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LJUBLJANSKA ULICA 5</w:t>
            </w:r>
          </w:p>
        </w:tc>
        <w:tc>
          <w:tcPr>
            <w:tcW w:w="204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2000 MARIBOR</w:t>
            </w:r>
          </w:p>
        </w:tc>
        <w:tc>
          <w:tcPr>
            <w:tcW w:w="480" w:type="dxa"/>
            <w:noWrap/>
            <w:vAlign w:val="bottom"/>
          </w:tcPr>
          <w:p w:rsidR="00E15F00" w:rsidRPr="00E15F00" w:rsidRDefault="00E15F00">
            <w:pPr>
              <w:spacing w:line="240" w:lineRule="auto"/>
              <w:jc w:val="right"/>
              <w:rPr>
                <w:rFonts w:cs="Arial"/>
                <w:color w:val="000000"/>
                <w:sz w:val="16"/>
                <w:szCs w:val="16"/>
                <w:lang w:val="en-US"/>
              </w:rPr>
            </w:pPr>
          </w:p>
        </w:tc>
      </w:tr>
      <w:tr w:rsidR="00E15F00" w:rsidRPr="00E15F00" w:rsidTr="005F07CB">
        <w:trPr>
          <w:trHeight w:val="300"/>
          <w:jc w:val="center"/>
        </w:trPr>
        <w:tc>
          <w:tcPr>
            <w:tcW w:w="5340" w:type="dxa"/>
            <w:noWrap/>
            <w:vAlign w:val="bottom"/>
            <w:hideMark/>
          </w:tcPr>
          <w:p w:rsidR="00E15F00" w:rsidRPr="00E15F00" w:rsidRDefault="00E15F00">
            <w:pPr>
              <w:spacing w:line="240" w:lineRule="auto"/>
              <w:rPr>
                <w:rFonts w:cs="Arial"/>
                <w:b/>
                <w:bCs/>
                <w:color w:val="000000"/>
                <w:sz w:val="16"/>
                <w:szCs w:val="16"/>
                <w:lang w:val="en-US"/>
              </w:rPr>
            </w:pPr>
            <w:r w:rsidRPr="00E15F00">
              <w:rPr>
                <w:rFonts w:cs="Arial"/>
                <w:b/>
                <w:bCs/>
                <w:color w:val="000000"/>
                <w:sz w:val="16"/>
                <w:szCs w:val="16"/>
                <w:lang w:val="en-US"/>
              </w:rPr>
              <w:t>SPLOŠNA BOLNIŠNICA SLOVENJ GRADEC</w:t>
            </w:r>
          </w:p>
        </w:tc>
        <w:tc>
          <w:tcPr>
            <w:tcW w:w="222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GOSPOSVETSKA CESTA 1</w:t>
            </w:r>
          </w:p>
        </w:tc>
        <w:tc>
          <w:tcPr>
            <w:tcW w:w="204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2380 SLOVENJ GRADEC</w:t>
            </w:r>
          </w:p>
        </w:tc>
        <w:tc>
          <w:tcPr>
            <w:tcW w:w="480" w:type="dxa"/>
            <w:noWrap/>
            <w:vAlign w:val="bottom"/>
          </w:tcPr>
          <w:p w:rsidR="00E15F00" w:rsidRPr="00E15F00" w:rsidRDefault="00E15F00">
            <w:pPr>
              <w:spacing w:line="240" w:lineRule="auto"/>
              <w:jc w:val="right"/>
              <w:rPr>
                <w:rFonts w:cs="Arial"/>
                <w:color w:val="000000"/>
                <w:sz w:val="16"/>
                <w:szCs w:val="16"/>
                <w:lang w:val="en-US"/>
              </w:rPr>
            </w:pPr>
          </w:p>
        </w:tc>
      </w:tr>
      <w:tr w:rsidR="00E15F00" w:rsidRPr="00E15F00" w:rsidTr="005F07CB">
        <w:trPr>
          <w:trHeight w:val="300"/>
          <w:jc w:val="center"/>
        </w:trPr>
        <w:tc>
          <w:tcPr>
            <w:tcW w:w="5340" w:type="dxa"/>
            <w:noWrap/>
            <w:vAlign w:val="bottom"/>
            <w:hideMark/>
          </w:tcPr>
          <w:p w:rsidR="00E15F00" w:rsidRPr="00E15F00" w:rsidRDefault="00E15F00">
            <w:pPr>
              <w:spacing w:line="240" w:lineRule="auto"/>
              <w:rPr>
                <w:rFonts w:cs="Arial"/>
                <w:b/>
                <w:bCs/>
                <w:color w:val="000000"/>
                <w:sz w:val="16"/>
                <w:szCs w:val="16"/>
                <w:lang w:val="en-US"/>
              </w:rPr>
            </w:pPr>
            <w:r w:rsidRPr="00E15F00">
              <w:rPr>
                <w:rFonts w:cs="Arial"/>
                <w:b/>
                <w:bCs/>
                <w:color w:val="000000"/>
                <w:sz w:val="16"/>
                <w:szCs w:val="16"/>
                <w:lang w:val="en-US"/>
              </w:rPr>
              <w:t>SPLOŠNA BOLNIŠNICA CELJE</w:t>
            </w:r>
          </w:p>
        </w:tc>
        <w:tc>
          <w:tcPr>
            <w:tcW w:w="222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OBLAKOVA ULICA 5</w:t>
            </w:r>
          </w:p>
        </w:tc>
        <w:tc>
          <w:tcPr>
            <w:tcW w:w="204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3000 CELJE</w:t>
            </w:r>
          </w:p>
        </w:tc>
        <w:tc>
          <w:tcPr>
            <w:tcW w:w="480" w:type="dxa"/>
            <w:noWrap/>
            <w:vAlign w:val="bottom"/>
          </w:tcPr>
          <w:p w:rsidR="00E15F00" w:rsidRPr="00E15F00" w:rsidRDefault="00E15F00">
            <w:pPr>
              <w:spacing w:line="240" w:lineRule="auto"/>
              <w:jc w:val="right"/>
              <w:rPr>
                <w:rFonts w:cs="Arial"/>
                <w:color w:val="000000"/>
                <w:sz w:val="16"/>
                <w:szCs w:val="16"/>
                <w:lang w:val="en-US"/>
              </w:rPr>
            </w:pPr>
          </w:p>
        </w:tc>
      </w:tr>
      <w:tr w:rsidR="00E15F00" w:rsidRPr="00E15F00" w:rsidTr="005F07CB">
        <w:trPr>
          <w:trHeight w:val="300"/>
          <w:jc w:val="center"/>
        </w:trPr>
        <w:tc>
          <w:tcPr>
            <w:tcW w:w="5340" w:type="dxa"/>
            <w:noWrap/>
            <w:vAlign w:val="bottom"/>
            <w:hideMark/>
          </w:tcPr>
          <w:p w:rsidR="00E15F00" w:rsidRPr="00E15F00" w:rsidRDefault="00E15F00">
            <w:pPr>
              <w:spacing w:line="240" w:lineRule="auto"/>
              <w:rPr>
                <w:rFonts w:cs="Arial"/>
                <w:b/>
                <w:bCs/>
                <w:color w:val="000000"/>
                <w:sz w:val="16"/>
                <w:szCs w:val="16"/>
                <w:lang w:val="en-US"/>
              </w:rPr>
            </w:pPr>
            <w:r w:rsidRPr="00E15F00">
              <w:rPr>
                <w:rFonts w:cs="Arial"/>
                <w:b/>
                <w:bCs/>
                <w:color w:val="000000"/>
                <w:sz w:val="16"/>
                <w:szCs w:val="16"/>
                <w:lang w:val="en-US"/>
              </w:rPr>
              <w:t>SPLOŠNA BOLNIŠNICA TRBOVLJE</w:t>
            </w:r>
          </w:p>
        </w:tc>
        <w:tc>
          <w:tcPr>
            <w:tcW w:w="222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RUDARSKA CESTA 9</w:t>
            </w:r>
          </w:p>
        </w:tc>
        <w:tc>
          <w:tcPr>
            <w:tcW w:w="204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1420 TRBOVLJE</w:t>
            </w:r>
          </w:p>
        </w:tc>
        <w:tc>
          <w:tcPr>
            <w:tcW w:w="480" w:type="dxa"/>
            <w:noWrap/>
            <w:vAlign w:val="bottom"/>
          </w:tcPr>
          <w:p w:rsidR="00E15F00" w:rsidRPr="00E15F00" w:rsidRDefault="00E15F00">
            <w:pPr>
              <w:spacing w:line="240" w:lineRule="auto"/>
              <w:jc w:val="right"/>
              <w:rPr>
                <w:rFonts w:cs="Arial"/>
                <w:color w:val="000000"/>
                <w:sz w:val="16"/>
                <w:szCs w:val="16"/>
                <w:lang w:val="en-US"/>
              </w:rPr>
            </w:pPr>
          </w:p>
        </w:tc>
      </w:tr>
      <w:tr w:rsidR="00E15F00" w:rsidRPr="00E15F00" w:rsidTr="005F07CB">
        <w:trPr>
          <w:trHeight w:val="300"/>
          <w:jc w:val="center"/>
        </w:trPr>
        <w:tc>
          <w:tcPr>
            <w:tcW w:w="5340" w:type="dxa"/>
            <w:noWrap/>
            <w:vAlign w:val="bottom"/>
            <w:hideMark/>
          </w:tcPr>
          <w:p w:rsidR="00E15F00" w:rsidRPr="00E15F00" w:rsidRDefault="00E15F00">
            <w:pPr>
              <w:spacing w:line="240" w:lineRule="auto"/>
              <w:rPr>
                <w:rFonts w:cs="Arial"/>
                <w:b/>
                <w:bCs/>
                <w:color w:val="000000"/>
                <w:sz w:val="16"/>
                <w:szCs w:val="16"/>
                <w:lang w:val="en-US"/>
              </w:rPr>
            </w:pPr>
            <w:r w:rsidRPr="00E15F00">
              <w:rPr>
                <w:rFonts w:cs="Arial"/>
                <w:b/>
                <w:bCs/>
                <w:color w:val="000000"/>
                <w:sz w:val="16"/>
                <w:szCs w:val="16"/>
                <w:lang w:val="en-US"/>
              </w:rPr>
              <w:t>SPLOŠNA BOLNIŠNICA BREŽICE</w:t>
            </w:r>
          </w:p>
        </w:tc>
        <w:tc>
          <w:tcPr>
            <w:tcW w:w="222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ČERNELČEVA CESTA 15</w:t>
            </w:r>
          </w:p>
        </w:tc>
        <w:tc>
          <w:tcPr>
            <w:tcW w:w="204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8250 BREŽICE</w:t>
            </w:r>
          </w:p>
        </w:tc>
        <w:tc>
          <w:tcPr>
            <w:tcW w:w="480" w:type="dxa"/>
            <w:noWrap/>
            <w:vAlign w:val="bottom"/>
          </w:tcPr>
          <w:p w:rsidR="00E15F00" w:rsidRPr="00E15F00" w:rsidRDefault="00E15F00">
            <w:pPr>
              <w:spacing w:line="240" w:lineRule="auto"/>
              <w:jc w:val="right"/>
              <w:rPr>
                <w:rFonts w:cs="Arial"/>
                <w:color w:val="000000"/>
                <w:sz w:val="16"/>
                <w:szCs w:val="16"/>
                <w:lang w:val="en-US"/>
              </w:rPr>
            </w:pPr>
          </w:p>
        </w:tc>
      </w:tr>
      <w:tr w:rsidR="00E15F00" w:rsidRPr="00E15F00" w:rsidTr="005F07CB">
        <w:trPr>
          <w:trHeight w:val="300"/>
          <w:jc w:val="center"/>
        </w:trPr>
        <w:tc>
          <w:tcPr>
            <w:tcW w:w="5340" w:type="dxa"/>
            <w:noWrap/>
            <w:vAlign w:val="bottom"/>
            <w:hideMark/>
          </w:tcPr>
          <w:p w:rsidR="00E15F00" w:rsidRPr="00E15F00" w:rsidRDefault="00E15F00">
            <w:pPr>
              <w:spacing w:line="240" w:lineRule="auto"/>
              <w:rPr>
                <w:rFonts w:cs="Arial"/>
                <w:b/>
                <w:bCs/>
                <w:color w:val="000000"/>
                <w:sz w:val="16"/>
                <w:szCs w:val="16"/>
                <w:lang w:val="en-US"/>
              </w:rPr>
            </w:pPr>
            <w:r w:rsidRPr="00E15F00">
              <w:rPr>
                <w:rFonts w:cs="Arial"/>
                <w:b/>
                <w:bCs/>
                <w:color w:val="000000"/>
                <w:sz w:val="16"/>
                <w:szCs w:val="16"/>
                <w:lang w:val="en-US"/>
              </w:rPr>
              <w:t>SPLOŠNA BOLNIŠNICA NOVO MESTO</w:t>
            </w:r>
          </w:p>
        </w:tc>
        <w:tc>
          <w:tcPr>
            <w:tcW w:w="222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ŠMIHELSKA CESTA 1</w:t>
            </w:r>
          </w:p>
        </w:tc>
        <w:tc>
          <w:tcPr>
            <w:tcW w:w="204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8000 NOVO MESTO</w:t>
            </w:r>
          </w:p>
        </w:tc>
        <w:tc>
          <w:tcPr>
            <w:tcW w:w="480" w:type="dxa"/>
            <w:noWrap/>
            <w:vAlign w:val="bottom"/>
          </w:tcPr>
          <w:p w:rsidR="00E15F00" w:rsidRPr="00E15F00" w:rsidRDefault="00E15F00">
            <w:pPr>
              <w:spacing w:line="240" w:lineRule="auto"/>
              <w:jc w:val="right"/>
              <w:rPr>
                <w:rFonts w:cs="Arial"/>
                <w:color w:val="000000"/>
                <w:sz w:val="16"/>
                <w:szCs w:val="16"/>
                <w:lang w:val="en-US"/>
              </w:rPr>
            </w:pPr>
          </w:p>
        </w:tc>
      </w:tr>
      <w:tr w:rsidR="00E15F00" w:rsidRPr="00E15F00" w:rsidTr="005F07CB">
        <w:trPr>
          <w:trHeight w:val="300"/>
          <w:jc w:val="center"/>
        </w:trPr>
        <w:tc>
          <w:tcPr>
            <w:tcW w:w="5340" w:type="dxa"/>
            <w:noWrap/>
            <w:vAlign w:val="bottom"/>
            <w:hideMark/>
          </w:tcPr>
          <w:p w:rsidR="00E15F00" w:rsidRPr="00E15F00" w:rsidRDefault="00E15F00">
            <w:pPr>
              <w:spacing w:line="240" w:lineRule="auto"/>
              <w:rPr>
                <w:rFonts w:cs="Arial"/>
                <w:b/>
                <w:bCs/>
                <w:color w:val="000000"/>
                <w:sz w:val="16"/>
                <w:szCs w:val="16"/>
                <w:lang w:val="en-US"/>
              </w:rPr>
            </w:pPr>
            <w:r w:rsidRPr="00E15F00">
              <w:rPr>
                <w:rFonts w:cs="Arial"/>
                <w:b/>
                <w:bCs/>
                <w:color w:val="000000"/>
                <w:sz w:val="16"/>
                <w:szCs w:val="16"/>
                <w:lang w:val="en-US"/>
              </w:rPr>
              <w:t>UNIVERZITETNI KLINIČNI CENTER LJUBLJANA</w:t>
            </w:r>
          </w:p>
        </w:tc>
        <w:tc>
          <w:tcPr>
            <w:tcW w:w="222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ZALOŠKA CESTA 2</w:t>
            </w:r>
          </w:p>
        </w:tc>
        <w:tc>
          <w:tcPr>
            <w:tcW w:w="204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1000 LJUBLJANA</w:t>
            </w:r>
          </w:p>
        </w:tc>
        <w:tc>
          <w:tcPr>
            <w:tcW w:w="480" w:type="dxa"/>
            <w:noWrap/>
            <w:vAlign w:val="bottom"/>
          </w:tcPr>
          <w:p w:rsidR="00E15F00" w:rsidRPr="00E15F00" w:rsidRDefault="00E15F00">
            <w:pPr>
              <w:spacing w:line="240" w:lineRule="auto"/>
              <w:jc w:val="right"/>
              <w:rPr>
                <w:rFonts w:cs="Arial"/>
                <w:color w:val="000000"/>
                <w:sz w:val="16"/>
                <w:szCs w:val="16"/>
                <w:lang w:val="en-US"/>
              </w:rPr>
            </w:pPr>
          </w:p>
        </w:tc>
      </w:tr>
      <w:tr w:rsidR="00E15F00" w:rsidRPr="00E15F00" w:rsidTr="005F07CB">
        <w:trPr>
          <w:trHeight w:val="300"/>
          <w:jc w:val="center"/>
        </w:trPr>
        <w:tc>
          <w:tcPr>
            <w:tcW w:w="5340" w:type="dxa"/>
            <w:noWrap/>
            <w:vAlign w:val="bottom"/>
            <w:hideMark/>
          </w:tcPr>
          <w:p w:rsidR="00E15F00" w:rsidRPr="00E15F00" w:rsidRDefault="00E15F00">
            <w:pPr>
              <w:spacing w:line="240" w:lineRule="auto"/>
              <w:rPr>
                <w:rFonts w:cs="Arial"/>
                <w:b/>
                <w:bCs/>
                <w:color w:val="000000"/>
                <w:sz w:val="16"/>
                <w:szCs w:val="16"/>
                <w:lang w:val="en-US"/>
              </w:rPr>
            </w:pPr>
            <w:r w:rsidRPr="00E15F00">
              <w:rPr>
                <w:rFonts w:cs="Arial"/>
                <w:b/>
                <w:bCs/>
                <w:color w:val="000000"/>
                <w:sz w:val="16"/>
                <w:szCs w:val="16"/>
                <w:lang w:val="en-US"/>
              </w:rPr>
              <w:t>ONKOLOŠKI INŠTITUT LJUBLJANA</w:t>
            </w:r>
          </w:p>
        </w:tc>
        <w:tc>
          <w:tcPr>
            <w:tcW w:w="222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 xml:space="preserve">ZALOŠKA CESTA </w:t>
            </w:r>
          </w:p>
        </w:tc>
        <w:tc>
          <w:tcPr>
            <w:tcW w:w="204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1000 LJUBLJANA</w:t>
            </w:r>
          </w:p>
        </w:tc>
        <w:tc>
          <w:tcPr>
            <w:tcW w:w="480" w:type="dxa"/>
            <w:noWrap/>
            <w:vAlign w:val="bottom"/>
          </w:tcPr>
          <w:p w:rsidR="00E15F00" w:rsidRPr="00E15F00" w:rsidRDefault="00E15F00">
            <w:pPr>
              <w:spacing w:line="240" w:lineRule="auto"/>
              <w:jc w:val="right"/>
              <w:rPr>
                <w:rFonts w:cs="Arial"/>
                <w:color w:val="000000"/>
                <w:sz w:val="16"/>
                <w:szCs w:val="16"/>
                <w:lang w:val="en-US"/>
              </w:rPr>
            </w:pPr>
          </w:p>
        </w:tc>
      </w:tr>
      <w:tr w:rsidR="00E15F00" w:rsidRPr="00E15F00" w:rsidTr="005F07CB">
        <w:trPr>
          <w:trHeight w:val="300"/>
          <w:jc w:val="center"/>
        </w:trPr>
        <w:tc>
          <w:tcPr>
            <w:tcW w:w="5340" w:type="dxa"/>
            <w:noWrap/>
            <w:vAlign w:val="bottom"/>
            <w:hideMark/>
          </w:tcPr>
          <w:p w:rsidR="00E15F00" w:rsidRPr="00E15F00" w:rsidRDefault="00E15F00">
            <w:pPr>
              <w:spacing w:line="240" w:lineRule="auto"/>
              <w:rPr>
                <w:rFonts w:cs="Arial"/>
                <w:b/>
                <w:bCs/>
                <w:color w:val="000000"/>
                <w:sz w:val="16"/>
                <w:szCs w:val="16"/>
                <w:lang w:val="en-US"/>
              </w:rPr>
            </w:pPr>
            <w:r w:rsidRPr="00E15F00">
              <w:rPr>
                <w:rFonts w:cs="Arial"/>
                <w:b/>
                <w:bCs/>
                <w:color w:val="000000"/>
                <w:sz w:val="16"/>
                <w:szCs w:val="16"/>
                <w:lang w:val="en-US"/>
              </w:rPr>
              <w:t>SPLOŠNA BOLNIŠNICA JESENICE</w:t>
            </w:r>
          </w:p>
        </w:tc>
        <w:tc>
          <w:tcPr>
            <w:tcW w:w="222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CESTA MARŠALA TITA 112</w:t>
            </w:r>
          </w:p>
        </w:tc>
        <w:tc>
          <w:tcPr>
            <w:tcW w:w="204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4270 JESENICE</w:t>
            </w:r>
          </w:p>
        </w:tc>
        <w:tc>
          <w:tcPr>
            <w:tcW w:w="480" w:type="dxa"/>
            <w:noWrap/>
            <w:vAlign w:val="bottom"/>
          </w:tcPr>
          <w:p w:rsidR="00E15F00" w:rsidRPr="00E15F00" w:rsidRDefault="00E15F00">
            <w:pPr>
              <w:spacing w:line="240" w:lineRule="auto"/>
              <w:jc w:val="right"/>
              <w:rPr>
                <w:rFonts w:cs="Arial"/>
                <w:color w:val="000000"/>
                <w:sz w:val="16"/>
                <w:szCs w:val="16"/>
                <w:lang w:val="en-US"/>
              </w:rPr>
            </w:pPr>
          </w:p>
        </w:tc>
      </w:tr>
      <w:tr w:rsidR="00E15F00" w:rsidRPr="00E15F00" w:rsidTr="005F07CB">
        <w:trPr>
          <w:trHeight w:val="300"/>
          <w:jc w:val="center"/>
        </w:trPr>
        <w:tc>
          <w:tcPr>
            <w:tcW w:w="5340" w:type="dxa"/>
            <w:noWrap/>
            <w:vAlign w:val="bottom"/>
            <w:hideMark/>
          </w:tcPr>
          <w:p w:rsidR="00E15F00" w:rsidRPr="00E15F00" w:rsidRDefault="00E15F00">
            <w:pPr>
              <w:spacing w:line="240" w:lineRule="auto"/>
              <w:rPr>
                <w:rFonts w:cs="Arial"/>
                <w:b/>
                <w:bCs/>
                <w:color w:val="000000"/>
                <w:sz w:val="16"/>
                <w:szCs w:val="16"/>
                <w:lang w:val="it-IT"/>
              </w:rPr>
            </w:pPr>
            <w:r w:rsidRPr="00E15F00">
              <w:rPr>
                <w:rFonts w:cs="Arial"/>
                <w:b/>
                <w:bCs/>
                <w:color w:val="000000"/>
                <w:sz w:val="16"/>
                <w:szCs w:val="16"/>
                <w:lang w:val="it-IT"/>
              </w:rPr>
              <w:t>UNIVERZITETNA KLINIKA ZA PLJUČNE BOLEZNI IN ALERGIJO GOLNIK</w:t>
            </w:r>
          </w:p>
        </w:tc>
        <w:tc>
          <w:tcPr>
            <w:tcW w:w="222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GOLNIK 36</w:t>
            </w:r>
          </w:p>
        </w:tc>
        <w:tc>
          <w:tcPr>
            <w:tcW w:w="204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4204 GOLNIK</w:t>
            </w:r>
          </w:p>
        </w:tc>
        <w:tc>
          <w:tcPr>
            <w:tcW w:w="480" w:type="dxa"/>
            <w:noWrap/>
            <w:vAlign w:val="bottom"/>
          </w:tcPr>
          <w:p w:rsidR="00E15F00" w:rsidRPr="00E15F00" w:rsidRDefault="00E15F00">
            <w:pPr>
              <w:spacing w:line="240" w:lineRule="auto"/>
              <w:jc w:val="right"/>
              <w:rPr>
                <w:rFonts w:cs="Arial"/>
                <w:color w:val="000000"/>
                <w:sz w:val="16"/>
                <w:szCs w:val="16"/>
                <w:lang w:val="en-US"/>
              </w:rPr>
            </w:pPr>
          </w:p>
        </w:tc>
      </w:tr>
      <w:tr w:rsidR="00E15F00" w:rsidRPr="00E15F00" w:rsidTr="005F07CB">
        <w:trPr>
          <w:trHeight w:val="300"/>
          <w:jc w:val="center"/>
        </w:trPr>
        <w:tc>
          <w:tcPr>
            <w:tcW w:w="5340" w:type="dxa"/>
            <w:noWrap/>
            <w:vAlign w:val="bottom"/>
            <w:hideMark/>
          </w:tcPr>
          <w:p w:rsidR="00E15F00" w:rsidRPr="00E15F00" w:rsidRDefault="00E15F00">
            <w:pPr>
              <w:spacing w:line="240" w:lineRule="auto"/>
              <w:rPr>
                <w:rFonts w:cs="Arial"/>
                <w:b/>
                <w:bCs/>
                <w:color w:val="000000"/>
                <w:sz w:val="16"/>
                <w:szCs w:val="16"/>
                <w:lang w:val="it-IT"/>
              </w:rPr>
            </w:pPr>
            <w:r w:rsidRPr="00E15F00">
              <w:rPr>
                <w:rFonts w:cs="Arial"/>
                <w:b/>
                <w:bCs/>
                <w:color w:val="000000"/>
                <w:sz w:val="16"/>
                <w:szCs w:val="16"/>
                <w:lang w:val="it-IT"/>
              </w:rPr>
              <w:t>SPLOŠNA BOLNIŠNICA DR. FRANCA DERGANCA NOVA GORICA</w:t>
            </w:r>
          </w:p>
        </w:tc>
        <w:tc>
          <w:tcPr>
            <w:tcW w:w="222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ULICA PADLIH BORCEV 13 A</w:t>
            </w:r>
          </w:p>
        </w:tc>
        <w:tc>
          <w:tcPr>
            <w:tcW w:w="204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5290 ŠEMPETER PRI GORICI</w:t>
            </w:r>
          </w:p>
        </w:tc>
        <w:tc>
          <w:tcPr>
            <w:tcW w:w="480" w:type="dxa"/>
            <w:noWrap/>
            <w:vAlign w:val="bottom"/>
          </w:tcPr>
          <w:p w:rsidR="00E15F00" w:rsidRPr="00E15F00" w:rsidRDefault="00E15F00">
            <w:pPr>
              <w:spacing w:line="240" w:lineRule="auto"/>
              <w:jc w:val="right"/>
              <w:rPr>
                <w:rFonts w:cs="Arial"/>
                <w:color w:val="000000"/>
                <w:sz w:val="16"/>
                <w:szCs w:val="16"/>
                <w:lang w:val="en-US"/>
              </w:rPr>
            </w:pPr>
          </w:p>
        </w:tc>
      </w:tr>
      <w:tr w:rsidR="00E15F00" w:rsidRPr="00E15F00" w:rsidTr="005F07CB">
        <w:trPr>
          <w:trHeight w:val="300"/>
          <w:jc w:val="center"/>
        </w:trPr>
        <w:tc>
          <w:tcPr>
            <w:tcW w:w="5340" w:type="dxa"/>
            <w:noWrap/>
            <w:vAlign w:val="bottom"/>
            <w:hideMark/>
          </w:tcPr>
          <w:p w:rsidR="00E15F00" w:rsidRPr="00E15F00" w:rsidRDefault="00E15F00">
            <w:pPr>
              <w:spacing w:line="240" w:lineRule="auto"/>
              <w:rPr>
                <w:rFonts w:cs="Arial"/>
                <w:b/>
                <w:bCs/>
                <w:color w:val="000000"/>
                <w:sz w:val="16"/>
                <w:szCs w:val="16"/>
                <w:lang w:val="it-IT"/>
              </w:rPr>
            </w:pPr>
            <w:r w:rsidRPr="00E15F00">
              <w:rPr>
                <w:rFonts w:cs="Arial"/>
                <w:b/>
                <w:bCs/>
                <w:color w:val="000000"/>
                <w:sz w:val="16"/>
                <w:szCs w:val="16"/>
                <w:lang w:val="it-IT"/>
              </w:rPr>
              <w:t>SPLOŠNA BOLNIŠNICA IZOLA OSPEDALE GENERALE ISOLA</w:t>
            </w:r>
          </w:p>
        </w:tc>
        <w:tc>
          <w:tcPr>
            <w:tcW w:w="222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POLJE 40</w:t>
            </w:r>
          </w:p>
        </w:tc>
        <w:tc>
          <w:tcPr>
            <w:tcW w:w="204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6310 IZOLA - ISOLA</w:t>
            </w:r>
          </w:p>
        </w:tc>
        <w:tc>
          <w:tcPr>
            <w:tcW w:w="480" w:type="dxa"/>
            <w:noWrap/>
            <w:vAlign w:val="bottom"/>
          </w:tcPr>
          <w:p w:rsidR="00E15F00" w:rsidRPr="00E15F00" w:rsidRDefault="00E15F00">
            <w:pPr>
              <w:spacing w:line="240" w:lineRule="auto"/>
              <w:jc w:val="right"/>
              <w:rPr>
                <w:rFonts w:cs="Arial"/>
                <w:color w:val="000000"/>
                <w:sz w:val="16"/>
                <w:szCs w:val="16"/>
                <w:lang w:val="en-US"/>
              </w:rPr>
            </w:pPr>
          </w:p>
        </w:tc>
      </w:tr>
      <w:tr w:rsidR="00E15F00" w:rsidRPr="00E15F00" w:rsidTr="005F07CB">
        <w:trPr>
          <w:trHeight w:val="300"/>
          <w:jc w:val="center"/>
        </w:trPr>
        <w:tc>
          <w:tcPr>
            <w:tcW w:w="5340" w:type="dxa"/>
            <w:tcBorders>
              <w:top w:val="single" w:sz="4" w:space="0" w:color="95B3D7"/>
              <w:left w:val="nil"/>
              <w:bottom w:val="nil"/>
              <w:right w:val="nil"/>
            </w:tcBorders>
            <w:shd w:val="clear" w:color="auto" w:fill="DCE6F1"/>
            <w:noWrap/>
            <w:vAlign w:val="bottom"/>
            <w:hideMark/>
          </w:tcPr>
          <w:p w:rsidR="00E15F00" w:rsidRPr="00E15F00" w:rsidRDefault="00E15F00">
            <w:pPr>
              <w:rPr>
                <w:rFonts w:cs="Arial"/>
                <w:color w:val="000000"/>
                <w:sz w:val="16"/>
                <w:szCs w:val="16"/>
                <w:lang w:val="en-US"/>
              </w:rPr>
            </w:pPr>
          </w:p>
        </w:tc>
        <w:tc>
          <w:tcPr>
            <w:tcW w:w="2220" w:type="dxa"/>
            <w:tcBorders>
              <w:top w:val="single" w:sz="4" w:space="0" w:color="95B3D7"/>
              <w:left w:val="nil"/>
              <w:bottom w:val="nil"/>
              <w:right w:val="nil"/>
            </w:tcBorders>
            <w:shd w:val="clear" w:color="auto" w:fill="DCE6F1"/>
            <w:noWrap/>
            <w:vAlign w:val="bottom"/>
            <w:hideMark/>
          </w:tcPr>
          <w:p w:rsidR="00E15F00" w:rsidRPr="00E15F00" w:rsidRDefault="00E15F00">
            <w:pPr>
              <w:spacing w:line="240" w:lineRule="auto"/>
              <w:rPr>
                <w:rFonts w:cs="Arial"/>
                <w:szCs w:val="20"/>
                <w:lang w:eastAsia="sl-SI"/>
              </w:rPr>
            </w:pPr>
          </w:p>
        </w:tc>
        <w:tc>
          <w:tcPr>
            <w:tcW w:w="2040" w:type="dxa"/>
            <w:tcBorders>
              <w:top w:val="single" w:sz="4" w:space="0" w:color="95B3D7"/>
              <w:left w:val="nil"/>
              <w:bottom w:val="nil"/>
              <w:right w:val="nil"/>
            </w:tcBorders>
            <w:shd w:val="clear" w:color="auto" w:fill="DCE6F1"/>
            <w:noWrap/>
            <w:vAlign w:val="bottom"/>
            <w:hideMark/>
          </w:tcPr>
          <w:p w:rsidR="00E15F00" w:rsidRPr="00E15F00" w:rsidRDefault="00E15F00">
            <w:pPr>
              <w:spacing w:line="240" w:lineRule="auto"/>
              <w:rPr>
                <w:rFonts w:cs="Arial"/>
                <w:szCs w:val="20"/>
                <w:lang w:eastAsia="sl-SI"/>
              </w:rPr>
            </w:pPr>
          </w:p>
        </w:tc>
        <w:tc>
          <w:tcPr>
            <w:tcW w:w="480" w:type="dxa"/>
            <w:tcBorders>
              <w:top w:val="single" w:sz="4" w:space="0" w:color="95B3D7"/>
              <w:left w:val="nil"/>
              <w:bottom w:val="nil"/>
              <w:right w:val="nil"/>
            </w:tcBorders>
            <w:shd w:val="clear" w:color="auto" w:fill="DCE6F1"/>
            <w:noWrap/>
            <w:vAlign w:val="bottom"/>
            <w:hideMark/>
          </w:tcPr>
          <w:p w:rsidR="00E15F00" w:rsidRPr="00E15F00" w:rsidRDefault="00E15F00">
            <w:pPr>
              <w:spacing w:line="240" w:lineRule="auto"/>
              <w:jc w:val="right"/>
              <w:rPr>
                <w:rFonts w:cs="Arial"/>
                <w:b/>
                <w:bCs/>
                <w:color w:val="000000"/>
                <w:sz w:val="16"/>
                <w:szCs w:val="16"/>
                <w:lang w:val="en-US"/>
              </w:rPr>
            </w:pPr>
            <w:r w:rsidRPr="00E15F00">
              <w:rPr>
                <w:rFonts w:cs="Arial"/>
                <w:b/>
                <w:bCs/>
                <w:color w:val="000000"/>
                <w:sz w:val="16"/>
                <w:szCs w:val="16"/>
                <w:lang w:val="en-US"/>
              </w:rPr>
              <w:t>13</w:t>
            </w:r>
          </w:p>
        </w:tc>
      </w:tr>
    </w:tbl>
    <w:p w:rsidR="00E15F00" w:rsidRPr="00E15F00" w:rsidRDefault="00E15F00" w:rsidP="00E15F00">
      <w:pPr>
        <w:spacing w:line="240" w:lineRule="auto"/>
        <w:rPr>
          <w:rFonts w:eastAsia="ヒラギノ角ゴ Pro W3" w:cs="Arial"/>
          <w:color w:val="000000"/>
          <w:szCs w:val="20"/>
          <w:lang w:eastAsia="sl-SI"/>
        </w:rPr>
      </w:pPr>
    </w:p>
    <w:p w:rsidR="00E15F00" w:rsidRPr="00E15F00" w:rsidRDefault="00E15F00" w:rsidP="00E15F00">
      <w:pPr>
        <w:spacing w:line="240" w:lineRule="auto"/>
        <w:rPr>
          <w:rFonts w:eastAsia="ヒラギノ角ゴ Pro W3" w:cs="Arial"/>
          <w:color w:val="000000"/>
          <w:szCs w:val="20"/>
          <w:lang w:eastAsia="sl-SI"/>
        </w:rPr>
      </w:pPr>
    </w:p>
    <w:p w:rsidR="00E15F00" w:rsidRPr="00E15F00" w:rsidRDefault="00E15F00" w:rsidP="00E15F00">
      <w:pPr>
        <w:pStyle w:val="Odstavekseznama"/>
        <w:numPr>
          <w:ilvl w:val="0"/>
          <w:numId w:val="23"/>
        </w:numPr>
        <w:spacing w:line="240" w:lineRule="auto"/>
        <w:contextualSpacing w:val="0"/>
        <w:jc w:val="both"/>
        <w:rPr>
          <w:rFonts w:eastAsia="ヒラギノ角ゴ Pro W3" w:cs="Arial"/>
          <w:b/>
          <w:bCs/>
          <w:color w:val="000000"/>
          <w:szCs w:val="20"/>
          <w:lang w:eastAsia="sl-SI"/>
        </w:rPr>
      </w:pPr>
      <w:r w:rsidRPr="00E15F00">
        <w:rPr>
          <w:rFonts w:eastAsia="ヒラギノ角ゴ Pro W3" w:cs="Arial"/>
          <w:b/>
          <w:bCs/>
          <w:color w:val="000000"/>
          <w:szCs w:val="20"/>
        </w:rPr>
        <w:t>Ministrstvo za obrambo RS - Slovenska vojska</w:t>
      </w:r>
    </w:p>
    <w:p w:rsidR="00E15F00" w:rsidRPr="00E15F00" w:rsidRDefault="00E15F00" w:rsidP="00E15F00">
      <w:pPr>
        <w:pStyle w:val="Odstavekseznama"/>
        <w:jc w:val="both"/>
        <w:rPr>
          <w:rFonts w:eastAsia="ヒラギノ角ゴ Pro W3" w:cs="Arial"/>
          <w:color w:val="000000"/>
          <w:szCs w:val="20"/>
        </w:rPr>
      </w:pPr>
    </w:p>
    <w:tbl>
      <w:tblPr>
        <w:tblW w:w="10080" w:type="dxa"/>
        <w:jc w:val="center"/>
        <w:tblLook w:val="04A0" w:firstRow="1" w:lastRow="0" w:firstColumn="1" w:lastColumn="0" w:noHBand="0" w:noVBand="1"/>
      </w:tblPr>
      <w:tblGrid>
        <w:gridCol w:w="5340"/>
        <w:gridCol w:w="2220"/>
        <w:gridCol w:w="2040"/>
        <w:gridCol w:w="480"/>
      </w:tblGrid>
      <w:tr w:rsidR="00E15F00" w:rsidRPr="00E15F00" w:rsidTr="00B21683">
        <w:trPr>
          <w:trHeight w:val="300"/>
          <w:jc w:val="center"/>
        </w:trPr>
        <w:tc>
          <w:tcPr>
            <w:tcW w:w="5340" w:type="dxa"/>
            <w:tcBorders>
              <w:top w:val="nil"/>
              <w:left w:val="nil"/>
              <w:bottom w:val="single" w:sz="4" w:space="0" w:color="95B3D7"/>
              <w:right w:val="nil"/>
            </w:tcBorders>
            <w:shd w:val="clear" w:color="auto" w:fill="DCE6F1"/>
            <w:noWrap/>
            <w:vAlign w:val="bottom"/>
            <w:hideMark/>
          </w:tcPr>
          <w:p w:rsidR="00E15F00" w:rsidRPr="00E15F00" w:rsidRDefault="00E15F00">
            <w:pPr>
              <w:spacing w:line="240" w:lineRule="auto"/>
              <w:rPr>
                <w:rFonts w:cs="Arial"/>
                <w:b/>
                <w:bCs/>
                <w:color w:val="000000"/>
                <w:sz w:val="16"/>
                <w:szCs w:val="16"/>
                <w:lang w:val="en-US"/>
              </w:rPr>
            </w:pPr>
            <w:r w:rsidRPr="00E15F00">
              <w:rPr>
                <w:rFonts w:cs="Arial"/>
                <w:b/>
                <w:bCs/>
                <w:color w:val="000000"/>
                <w:sz w:val="16"/>
                <w:szCs w:val="16"/>
                <w:lang w:val="en-US"/>
              </w:rPr>
              <w:t>Naziv izvajalca</w:t>
            </w:r>
          </w:p>
        </w:tc>
        <w:tc>
          <w:tcPr>
            <w:tcW w:w="2220" w:type="dxa"/>
            <w:tcBorders>
              <w:top w:val="nil"/>
              <w:left w:val="nil"/>
              <w:bottom w:val="single" w:sz="4" w:space="0" w:color="95B3D7"/>
              <w:right w:val="nil"/>
            </w:tcBorders>
            <w:shd w:val="clear" w:color="auto" w:fill="DCE6F1"/>
            <w:noWrap/>
            <w:vAlign w:val="bottom"/>
            <w:hideMark/>
          </w:tcPr>
          <w:p w:rsidR="00E15F00" w:rsidRPr="00E15F00" w:rsidRDefault="00E15F00">
            <w:pPr>
              <w:spacing w:line="240" w:lineRule="auto"/>
              <w:rPr>
                <w:rFonts w:cs="Arial"/>
                <w:b/>
                <w:bCs/>
                <w:color w:val="000000"/>
                <w:sz w:val="16"/>
                <w:szCs w:val="16"/>
                <w:lang w:val="it-IT"/>
              </w:rPr>
            </w:pPr>
            <w:r w:rsidRPr="00E15F00">
              <w:rPr>
                <w:rFonts w:cs="Arial"/>
                <w:b/>
                <w:bCs/>
                <w:color w:val="000000"/>
                <w:sz w:val="16"/>
                <w:szCs w:val="16"/>
                <w:lang w:val="it-IT"/>
              </w:rPr>
              <w:t>Ulica hišna številka in dodatek</w:t>
            </w:r>
          </w:p>
        </w:tc>
        <w:tc>
          <w:tcPr>
            <w:tcW w:w="2040" w:type="dxa"/>
            <w:tcBorders>
              <w:top w:val="nil"/>
              <w:left w:val="nil"/>
              <w:bottom w:val="single" w:sz="4" w:space="0" w:color="95B3D7"/>
              <w:right w:val="nil"/>
            </w:tcBorders>
            <w:shd w:val="clear" w:color="auto" w:fill="DCE6F1"/>
            <w:noWrap/>
            <w:vAlign w:val="bottom"/>
            <w:hideMark/>
          </w:tcPr>
          <w:p w:rsidR="00E15F00" w:rsidRPr="00E15F00" w:rsidRDefault="00E15F00">
            <w:pPr>
              <w:spacing w:line="240" w:lineRule="auto"/>
              <w:rPr>
                <w:rFonts w:cs="Arial"/>
                <w:b/>
                <w:bCs/>
                <w:color w:val="000000"/>
                <w:sz w:val="16"/>
                <w:szCs w:val="16"/>
                <w:lang w:val="en-US"/>
              </w:rPr>
            </w:pPr>
            <w:r w:rsidRPr="00E15F00">
              <w:rPr>
                <w:rFonts w:cs="Arial"/>
                <w:b/>
                <w:bCs/>
                <w:color w:val="000000"/>
                <w:sz w:val="16"/>
                <w:szCs w:val="16"/>
                <w:lang w:val="en-US"/>
              </w:rPr>
              <w:t>Številka in naziv pošte</w:t>
            </w:r>
          </w:p>
        </w:tc>
        <w:tc>
          <w:tcPr>
            <w:tcW w:w="480" w:type="dxa"/>
            <w:tcBorders>
              <w:top w:val="nil"/>
              <w:left w:val="nil"/>
              <w:bottom w:val="single" w:sz="4" w:space="0" w:color="95B3D7"/>
              <w:right w:val="nil"/>
            </w:tcBorders>
            <w:shd w:val="clear" w:color="auto" w:fill="DCE6F1"/>
            <w:noWrap/>
            <w:vAlign w:val="bottom"/>
          </w:tcPr>
          <w:p w:rsidR="00E15F00" w:rsidRPr="00E15F00" w:rsidRDefault="00E15F00">
            <w:pPr>
              <w:spacing w:line="240" w:lineRule="auto"/>
              <w:rPr>
                <w:rFonts w:cs="Arial"/>
                <w:b/>
                <w:bCs/>
                <w:color w:val="000000"/>
                <w:sz w:val="16"/>
                <w:szCs w:val="16"/>
                <w:lang w:val="en-US"/>
              </w:rPr>
            </w:pPr>
          </w:p>
        </w:tc>
      </w:tr>
      <w:tr w:rsidR="00E15F00" w:rsidRPr="00E15F00" w:rsidTr="00B21683">
        <w:trPr>
          <w:trHeight w:val="300"/>
          <w:jc w:val="center"/>
        </w:trPr>
        <w:tc>
          <w:tcPr>
            <w:tcW w:w="5340"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MINISTRSTVO ZA OBRAMBO RS (VOJAŠKA ZDRAVSTVENA ENOTA)</w:t>
            </w:r>
          </w:p>
        </w:tc>
        <w:tc>
          <w:tcPr>
            <w:tcW w:w="2220" w:type="dxa"/>
            <w:noWrap/>
            <w:vAlign w:val="bottom"/>
            <w:hideMark/>
          </w:tcPr>
          <w:p w:rsidR="00E15F00" w:rsidRPr="00E15F00" w:rsidRDefault="00E15F00">
            <w:pPr>
              <w:spacing w:line="240" w:lineRule="auto"/>
              <w:rPr>
                <w:rFonts w:cs="Arial"/>
                <w:color w:val="000000"/>
                <w:sz w:val="16"/>
                <w:szCs w:val="16"/>
              </w:rPr>
            </w:pPr>
            <w:r w:rsidRPr="00E15F00">
              <w:rPr>
                <w:rFonts w:cs="Arial"/>
                <w:color w:val="000000"/>
                <w:sz w:val="16"/>
                <w:szCs w:val="16"/>
              </w:rPr>
              <w:t>ŠTULA 23 A</w:t>
            </w:r>
          </w:p>
        </w:tc>
        <w:tc>
          <w:tcPr>
            <w:tcW w:w="204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1210 LJUBLJANA ŠENTVID</w:t>
            </w:r>
          </w:p>
        </w:tc>
        <w:tc>
          <w:tcPr>
            <w:tcW w:w="480" w:type="dxa"/>
            <w:noWrap/>
            <w:vAlign w:val="bottom"/>
          </w:tcPr>
          <w:p w:rsidR="00E15F00" w:rsidRPr="00E15F00" w:rsidRDefault="00E15F00">
            <w:pPr>
              <w:spacing w:line="240" w:lineRule="auto"/>
              <w:jc w:val="right"/>
              <w:rPr>
                <w:rFonts w:cs="Arial"/>
                <w:color w:val="000000"/>
                <w:sz w:val="16"/>
                <w:szCs w:val="16"/>
                <w:lang w:val="en-US"/>
              </w:rPr>
            </w:pPr>
          </w:p>
        </w:tc>
      </w:tr>
    </w:tbl>
    <w:p w:rsidR="00E15F00" w:rsidRPr="00E15F00" w:rsidRDefault="00E15F00" w:rsidP="00E15F00">
      <w:pPr>
        <w:jc w:val="both"/>
        <w:rPr>
          <w:rFonts w:eastAsia="ヒラギノ角ゴ Pro W3" w:cs="Arial"/>
          <w:color w:val="000000"/>
          <w:szCs w:val="20"/>
        </w:rPr>
      </w:pPr>
    </w:p>
    <w:p w:rsidR="00E15F00" w:rsidRPr="00E15F00" w:rsidRDefault="00E15F00" w:rsidP="00E15F00">
      <w:pPr>
        <w:pStyle w:val="Odstavekseznama"/>
        <w:numPr>
          <w:ilvl w:val="0"/>
          <w:numId w:val="23"/>
        </w:numPr>
        <w:spacing w:line="240" w:lineRule="auto"/>
        <w:contextualSpacing w:val="0"/>
        <w:jc w:val="both"/>
        <w:rPr>
          <w:rFonts w:eastAsia="ヒラギノ角ゴ Pro W3" w:cs="Arial"/>
          <w:color w:val="000000"/>
          <w:szCs w:val="20"/>
        </w:rPr>
      </w:pPr>
      <w:r w:rsidRPr="00E15F00">
        <w:rPr>
          <w:rFonts w:eastAsia="ヒラギノ角ゴ Pro W3" w:cs="Arial"/>
          <w:b/>
          <w:color w:val="000000"/>
          <w:szCs w:val="20"/>
        </w:rPr>
        <w:t>Nacionalni inštitut za javno zdravje, ki primarno</w:t>
      </w:r>
      <w:r w:rsidRPr="00E15F00">
        <w:rPr>
          <w:rFonts w:cs="Arial"/>
        </w:rPr>
        <w:t xml:space="preserve"> </w:t>
      </w:r>
      <w:r w:rsidRPr="00E15F00">
        <w:rPr>
          <w:rFonts w:eastAsia="ヒラギノ角ゴ Pro W3" w:cs="Arial"/>
          <w:color w:val="000000"/>
          <w:szCs w:val="20"/>
        </w:rPr>
        <w:t>skrbi za razdeljevanje in distribucijo cepiva.</w:t>
      </w:r>
    </w:p>
    <w:p w:rsidR="00E15F00" w:rsidRPr="00E15F00" w:rsidRDefault="00E15F00" w:rsidP="00E15F00">
      <w:pPr>
        <w:spacing w:line="240" w:lineRule="auto"/>
        <w:jc w:val="both"/>
        <w:rPr>
          <w:rFonts w:eastAsia="ヒラギノ角ゴ Pro W3" w:cs="Arial"/>
          <w:color w:val="000000"/>
          <w:szCs w:val="20"/>
          <w:lang w:eastAsia="sl-SI"/>
        </w:rPr>
      </w:pPr>
      <w:bookmarkStart w:id="3" w:name="_Hlk65227375"/>
    </w:p>
    <w:tbl>
      <w:tblPr>
        <w:tblW w:w="10080" w:type="dxa"/>
        <w:jc w:val="center"/>
        <w:tblLook w:val="04A0" w:firstRow="1" w:lastRow="0" w:firstColumn="1" w:lastColumn="0" w:noHBand="0" w:noVBand="1"/>
      </w:tblPr>
      <w:tblGrid>
        <w:gridCol w:w="5340"/>
        <w:gridCol w:w="2220"/>
        <w:gridCol w:w="2040"/>
        <w:gridCol w:w="480"/>
      </w:tblGrid>
      <w:tr w:rsidR="00E15F00" w:rsidRPr="00E15F00" w:rsidTr="00B21683">
        <w:trPr>
          <w:trHeight w:val="300"/>
          <w:jc w:val="center"/>
        </w:trPr>
        <w:tc>
          <w:tcPr>
            <w:tcW w:w="5340" w:type="dxa"/>
            <w:tcBorders>
              <w:top w:val="nil"/>
              <w:left w:val="nil"/>
              <w:bottom w:val="single" w:sz="4" w:space="0" w:color="95B3D7"/>
              <w:right w:val="nil"/>
            </w:tcBorders>
            <w:shd w:val="clear" w:color="auto" w:fill="DCE6F1"/>
            <w:noWrap/>
            <w:vAlign w:val="bottom"/>
            <w:hideMark/>
          </w:tcPr>
          <w:p w:rsidR="00E15F00" w:rsidRPr="00E15F00" w:rsidRDefault="00E15F00">
            <w:pPr>
              <w:spacing w:line="240" w:lineRule="auto"/>
              <w:rPr>
                <w:rFonts w:cs="Arial"/>
                <w:b/>
                <w:bCs/>
                <w:color w:val="000000"/>
                <w:sz w:val="16"/>
                <w:szCs w:val="16"/>
                <w:lang w:val="en-US"/>
              </w:rPr>
            </w:pPr>
            <w:r w:rsidRPr="00E15F00">
              <w:rPr>
                <w:rFonts w:cs="Arial"/>
                <w:b/>
                <w:bCs/>
                <w:color w:val="000000"/>
                <w:sz w:val="16"/>
                <w:szCs w:val="16"/>
                <w:lang w:val="en-US"/>
              </w:rPr>
              <w:t>Naziv izvajalca</w:t>
            </w:r>
          </w:p>
        </w:tc>
        <w:tc>
          <w:tcPr>
            <w:tcW w:w="2220" w:type="dxa"/>
            <w:tcBorders>
              <w:top w:val="nil"/>
              <w:left w:val="nil"/>
              <w:bottom w:val="single" w:sz="4" w:space="0" w:color="95B3D7"/>
              <w:right w:val="nil"/>
            </w:tcBorders>
            <w:shd w:val="clear" w:color="auto" w:fill="DCE6F1"/>
            <w:noWrap/>
            <w:vAlign w:val="bottom"/>
            <w:hideMark/>
          </w:tcPr>
          <w:p w:rsidR="00E15F00" w:rsidRPr="00E15F00" w:rsidRDefault="00E15F00">
            <w:pPr>
              <w:spacing w:line="240" w:lineRule="auto"/>
              <w:rPr>
                <w:rFonts w:cs="Arial"/>
                <w:b/>
                <w:bCs/>
                <w:color w:val="000000"/>
                <w:sz w:val="16"/>
                <w:szCs w:val="16"/>
                <w:lang w:val="it-IT"/>
              </w:rPr>
            </w:pPr>
            <w:r w:rsidRPr="00E15F00">
              <w:rPr>
                <w:rFonts w:cs="Arial"/>
                <w:b/>
                <w:bCs/>
                <w:color w:val="000000"/>
                <w:sz w:val="16"/>
                <w:szCs w:val="16"/>
                <w:lang w:val="it-IT"/>
              </w:rPr>
              <w:t>Ulica hišna številka in dodatek</w:t>
            </w:r>
          </w:p>
        </w:tc>
        <w:tc>
          <w:tcPr>
            <w:tcW w:w="2040" w:type="dxa"/>
            <w:tcBorders>
              <w:top w:val="nil"/>
              <w:left w:val="nil"/>
              <w:bottom w:val="single" w:sz="4" w:space="0" w:color="95B3D7"/>
              <w:right w:val="nil"/>
            </w:tcBorders>
            <w:shd w:val="clear" w:color="auto" w:fill="DCE6F1"/>
            <w:noWrap/>
            <w:vAlign w:val="bottom"/>
            <w:hideMark/>
          </w:tcPr>
          <w:p w:rsidR="00E15F00" w:rsidRPr="00E15F00" w:rsidRDefault="00E15F00">
            <w:pPr>
              <w:spacing w:line="240" w:lineRule="auto"/>
              <w:rPr>
                <w:rFonts w:cs="Arial"/>
                <w:b/>
                <w:bCs/>
                <w:color w:val="000000"/>
                <w:sz w:val="16"/>
                <w:szCs w:val="16"/>
                <w:lang w:val="en-US"/>
              </w:rPr>
            </w:pPr>
            <w:r w:rsidRPr="00E15F00">
              <w:rPr>
                <w:rFonts w:cs="Arial"/>
                <w:b/>
                <w:bCs/>
                <w:color w:val="000000"/>
                <w:sz w:val="16"/>
                <w:szCs w:val="16"/>
                <w:lang w:val="en-US"/>
              </w:rPr>
              <w:t>Številka in naziv pošte</w:t>
            </w:r>
          </w:p>
        </w:tc>
        <w:tc>
          <w:tcPr>
            <w:tcW w:w="480" w:type="dxa"/>
            <w:tcBorders>
              <w:top w:val="nil"/>
              <w:left w:val="nil"/>
              <w:bottom w:val="single" w:sz="4" w:space="0" w:color="95B3D7"/>
              <w:right w:val="nil"/>
            </w:tcBorders>
            <w:shd w:val="clear" w:color="auto" w:fill="DCE6F1"/>
            <w:noWrap/>
            <w:vAlign w:val="bottom"/>
          </w:tcPr>
          <w:p w:rsidR="00E15F00" w:rsidRPr="00E15F00" w:rsidRDefault="00E15F00">
            <w:pPr>
              <w:spacing w:line="240" w:lineRule="auto"/>
              <w:rPr>
                <w:rFonts w:cs="Arial"/>
                <w:b/>
                <w:bCs/>
                <w:color w:val="000000"/>
                <w:sz w:val="16"/>
                <w:szCs w:val="16"/>
                <w:lang w:val="en-US"/>
              </w:rPr>
            </w:pPr>
          </w:p>
        </w:tc>
      </w:tr>
      <w:tr w:rsidR="00E15F00" w:rsidRPr="00E15F00" w:rsidTr="00B21683">
        <w:trPr>
          <w:trHeight w:val="300"/>
          <w:jc w:val="center"/>
        </w:trPr>
        <w:tc>
          <w:tcPr>
            <w:tcW w:w="5340" w:type="dxa"/>
            <w:noWrap/>
            <w:vAlign w:val="bottom"/>
            <w:hideMark/>
          </w:tcPr>
          <w:p w:rsidR="00E15F00" w:rsidRPr="00E15F00" w:rsidRDefault="00E15F00">
            <w:pPr>
              <w:spacing w:line="240" w:lineRule="auto"/>
              <w:rPr>
                <w:rFonts w:cs="Arial"/>
                <w:b/>
                <w:bCs/>
                <w:color w:val="000000"/>
                <w:sz w:val="16"/>
                <w:szCs w:val="16"/>
              </w:rPr>
            </w:pPr>
            <w:r w:rsidRPr="00E15F00">
              <w:rPr>
                <w:rFonts w:cs="Arial"/>
                <w:b/>
                <w:bCs/>
                <w:color w:val="000000"/>
                <w:sz w:val="16"/>
                <w:szCs w:val="16"/>
              </w:rPr>
              <w:t>NACIONALNI INŠTITUT ZA JAVNO ZDRAVJE</w:t>
            </w:r>
          </w:p>
        </w:tc>
        <w:tc>
          <w:tcPr>
            <w:tcW w:w="222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TRUBARJEVA 2</w:t>
            </w:r>
          </w:p>
        </w:tc>
        <w:tc>
          <w:tcPr>
            <w:tcW w:w="2040" w:type="dxa"/>
            <w:noWrap/>
            <w:vAlign w:val="bottom"/>
            <w:hideMark/>
          </w:tcPr>
          <w:p w:rsidR="00E15F00" w:rsidRPr="00E15F00" w:rsidRDefault="00E15F00">
            <w:pPr>
              <w:spacing w:line="240" w:lineRule="auto"/>
              <w:rPr>
                <w:rFonts w:cs="Arial"/>
                <w:color w:val="000000"/>
                <w:sz w:val="16"/>
                <w:szCs w:val="16"/>
                <w:lang w:val="en-US"/>
              </w:rPr>
            </w:pPr>
            <w:r w:rsidRPr="00E15F00">
              <w:rPr>
                <w:rFonts w:cs="Arial"/>
                <w:color w:val="000000"/>
                <w:sz w:val="16"/>
                <w:szCs w:val="16"/>
                <w:lang w:val="en-US"/>
              </w:rPr>
              <w:t>1000 LJUBLJANA</w:t>
            </w:r>
          </w:p>
        </w:tc>
        <w:tc>
          <w:tcPr>
            <w:tcW w:w="480" w:type="dxa"/>
            <w:noWrap/>
            <w:vAlign w:val="bottom"/>
          </w:tcPr>
          <w:p w:rsidR="00E15F00" w:rsidRPr="00E15F00" w:rsidRDefault="00E15F00">
            <w:pPr>
              <w:spacing w:line="240" w:lineRule="auto"/>
              <w:jc w:val="right"/>
              <w:rPr>
                <w:rFonts w:cs="Arial"/>
                <w:color w:val="000000"/>
                <w:sz w:val="16"/>
                <w:szCs w:val="16"/>
                <w:lang w:val="en-US"/>
              </w:rPr>
            </w:pPr>
          </w:p>
        </w:tc>
      </w:tr>
      <w:bookmarkEnd w:id="3"/>
    </w:tbl>
    <w:p w:rsidR="00E15F00" w:rsidRPr="00E15F00" w:rsidRDefault="00E15F00" w:rsidP="00E15F00">
      <w:pPr>
        <w:spacing w:line="240" w:lineRule="auto"/>
        <w:jc w:val="both"/>
        <w:rPr>
          <w:rFonts w:eastAsia="ヒラギノ角ゴ Pro W3" w:cs="Arial"/>
          <w:color w:val="000000"/>
          <w:szCs w:val="20"/>
          <w:lang w:eastAsia="sl-SI"/>
        </w:rPr>
      </w:pPr>
    </w:p>
    <w:p w:rsidR="00E15F00" w:rsidRPr="00E15F00" w:rsidRDefault="00E15F00" w:rsidP="00E15F00">
      <w:pPr>
        <w:spacing w:line="240" w:lineRule="auto"/>
        <w:jc w:val="both"/>
        <w:rPr>
          <w:rFonts w:eastAsia="ヒラギノ角ゴ Pro W3" w:cs="Arial"/>
          <w:color w:val="000000"/>
          <w:szCs w:val="20"/>
          <w:lang w:eastAsia="sl-SI"/>
        </w:rPr>
      </w:pPr>
    </w:p>
    <w:p w:rsidR="00E15F00" w:rsidRPr="00E15F00" w:rsidRDefault="00E15F00" w:rsidP="00E15F00">
      <w:pPr>
        <w:spacing w:line="240" w:lineRule="auto"/>
        <w:jc w:val="both"/>
        <w:rPr>
          <w:rFonts w:cs="Arial"/>
          <w:color w:val="000000"/>
          <w:szCs w:val="2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p>
    <w:p w:rsidR="00E15F00" w:rsidRPr="00E15F00" w:rsidRDefault="00E15F00" w:rsidP="00E15F00">
      <w:pPr>
        <w:spacing w:line="240" w:lineRule="auto"/>
        <w:jc w:val="both"/>
        <w:rPr>
          <w:rFonts w:cs="Arial"/>
          <w:color w:val="000000"/>
        </w:rPr>
      </w:pP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color w:val="000000"/>
        </w:rPr>
        <w:tab/>
      </w:r>
      <w:r w:rsidRPr="00E15F00">
        <w:rPr>
          <w:rFonts w:cs="Arial"/>
          <w:b/>
          <w:bCs/>
          <w:color w:val="000000"/>
        </w:rPr>
        <w:t>Priloga 4</w:t>
      </w:r>
    </w:p>
    <w:p w:rsidR="00E15F00" w:rsidRPr="00E15F00" w:rsidRDefault="00E15F00" w:rsidP="00E15F00">
      <w:pPr>
        <w:pStyle w:val="Intenzivencitat"/>
        <w:rPr>
          <w:rFonts w:ascii="Arial" w:hAnsi="Arial" w:cs="Arial"/>
          <w:sz w:val="28"/>
          <w:szCs w:val="28"/>
        </w:rPr>
      </w:pPr>
      <w:r w:rsidRPr="00E15F00">
        <w:rPr>
          <w:rFonts w:ascii="Arial" w:hAnsi="Arial" w:cs="Arial"/>
          <w:sz w:val="28"/>
          <w:szCs w:val="28"/>
        </w:rPr>
        <w:t>Informacije o odobrenih cepivih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1"/>
        <w:gridCol w:w="1943"/>
        <w:gridCol w:w="3260"/>
      </w:tblGrid>
      <w:tr w:rsidR="00E15F00" w:rsidRPr="00E15F00" w:rsidTr="00E15F00">
        <w:tc>
          <w:tcPr>
            <w:tcW w:w="3369" w:type="dxa"/>
            <w:tcBorders>
              <w:top w:val="single" w:sz="4" w:space="0" w:color="000000"/>
              <w:left w:val="single" w:sz="4" w:space="0" w:color="000000"/>
              <w:bottom w:val="single" w:sz="4" w:space="0" w:color="000000"/>
              <w:right w:val="single" w:sz="4" w:space="0" w:color="000000"/>
            </w:tcBorders>
            <w:hideMark/>
          </w:tcPr>
          <w:p w:rsidR="00E15F00" w:rsidRPr="00E15F00" w:rsidRDefault="00E15F00">
            <w:pPr>
              <w:rPr>
                <w:rFonts w:cs="Arial"/>
                <w:b/>
                <w:bCs/>
              </w:rPr>
            </w:pPr>
            <w:bookmarkStart w:id="4" w:name="_Hlk64013094"/>
            <w:r w:rsidRPr="00E15F00">
              <w:rPr>
                <w:rFonts w:cs="Arial"/>
                <w:b/>
                <w:bCs/>
              </w:rPr>
              <w:t>Ime cepiva</w:t>
            </w:r>
          </w:p>
        </w:tc>
        <w:tc>
          <w:tcPr>
            <w:tcW w:w="1984" w:type="dxa"/>
            <w:tcBorders>
              <w:top w:val="single" w:sz="4" w:space="0" w:color="000000"/>
              <w:left w:val="single" w:sz="4" w:space="0" w:color="000000"/>
              <w:bottom w:val="single" w:sz="4" w:space="0" w:color="000000"/>
              <w:right w:val="single" w:sz="4" w:space="0" w:color="000000"/>
            </w:tcBorders>
            <w:hideMark/>
          </w:tcPr>
          <w:p w:rsidR="00E15F00" w:rsidRPr="00E15F00" w:rsidRDefault="00E15F00">
            <w:pPr>
              <w:rPr>
                <w:rFonts w:cs="Arial"/>
                <w:b/>
                <w:bCs/>
              </w:rPr>
            </w:pPr>
            <w:r w:rsidRPr="00E15F00">
              <w:rPr>
                <w:rFonts w:cs="Arial"/>
                <w:b/>
                <w:bCs/>
              </w:rPr>
              <w:t>Evropsko poročilo o zdravilu (PAR)</w:t>
            </w:r>
          </w:p>
        </w:tc>
        <w:tc>
          <w:tcPr>
            <w:tcW w:w="3361" w:type="dxa"/>
            <w:tcBorders>
              <w:top w:val="single" w:sz="4" w:space="0" w:color="000000"/>
              <w:left w:val="single" w:sz="4" w:space="0" w:color="000000"/>
              <w:bottom w:val="single" w:sz="4" w:space="0" w:color="000000"/>
              <w:right w:val="single" w:sz="4" w:space="0" w:color="000000"/>
            </w:tcBorders>
            <w:hideMark/>
          </w:tcPr>
          <w:p w:rsidR="00E15F00" w:rsidRPr="00E15F00" w:rsidRDefault="00E15F00">
            <w:pPr>
              <w:rPr>
                <w:rFonts w:cs="Arial"/>
                <w:b/>
                <w:bCs/>
              </w:rPr>
            </w:pPr>
            <w:r w:rsidRPr="00E15F00">
              <w:rPr>
                <w:rFonts w:cs="Arial"/>
                <w:b/>
                <w:bCs/>
              </w:rPr>
              <w:t>Povzetek glavnih značilnosti zdravila (SmPC) in Navodilo za uporabo (PIL)</w:t>
            </w:r>
          </w:p>
        </w:tc>
      </w:tr>
      <w:tr w:rsidR="00E15F00" w:rsidRPr="00E15F00" w:rsidTr="00E15F00">
        <w:tc>
          <w:tcPr>
            <w:tcW w:w="3369" w:type="dxa"/>
            <w:tcBorders>
              <w:top w:val="single" w:sz="4" w:space="0" w:color="000000"/>
              <w:left w:val="single" w:sz="4" w:space="0" w:color="000000"/>
              <w:bottom w:val="single" w:sz="4" w:space="0" w:color="000000"/>
              <w:right w:val="single" w:sz="4" w:space="0" w:color="000000"/>
            </w:tcBorders>
            <w:hideMark/>
          </w:tcPr>
          <w:p w:rsidR="00E15F00" w:rsidRPr="00E15F00" w:rsidRDefault="00E15F00">
            <w:pPr>
              <w:spacing w:line="240" w:lineRule="auto"/>
              <w:rPr>
                <w:rFonts w:cs="Arial"/>
                <w:szCs w:val="20"/>
              </w:rPr>
            </w:pPr>
            <w:r w:rsidRPr="00E15F00">
              <w:rPr>
                <w:rFonts w:cs="Arial"/>
                <w:b/>
                <w:bCs/>
                <w:szCs w:val="20"/>
              </w:rPr>
              <w:t>Comirnaty</w:t>
            </w:r>
            <w:r w:rsidRPr="00E15F00">
              <w:rPr>
                <w:rFonts w:cs="Arial"/>
                <w:szCs w:val="20"/>
              </w:rPr>
              <w:t xml:space="preserve"> koncentrat za disperzijo za injiciranje</w:t>
            </w:r>
          </w:p>
          <w:p w:rsidR="00E15F00" w:rsidRPr="00E15F00" w:rsidRDefault="00E15F00">
            <w:pPr>
              <w:rPr>
                <w:rFonts w:cs="Arial"/>
                <w:szCs w:val="20"/>
              </w:rPr>
            </w:pPr>
            <w:r w:rsidRPr="00E15F00">
              <w:rPr>
                <w:rFonts w:cs="Arial"/>
                <w:szCs w:val="20"/>
              </w:rPr>
              <w:t>mRNK cepivo proti COVID-19 (s spremenjenimi nukleozidi)</w:t>
            </w:r>
          </w:p>
        </w:tc>
        <w:tc>
          <w:tcPr>
            <w:tcW w:w="1984" w:type="dxa"/>
            <w:tcBorders>
              <w:top w:val="single" w:sz="4" w:space="0" w:color="000000"/>
              <w:left w:val="single" w:sz="4" w:space="0" w:color="000000"/>
              <w:bottom w:val="single" w:sz="4" w:space="0" w:color="000000"/>
              <w:right w:val="single" w:sz="4" w:space="0" w:color="000000"/>
            </w:tcBorders>
            <w:hideMark/>
          </w:tcPr>
          <w:p w:rsidR="00E15F00" w:rsidRPr="00E15F00" w:rsidRDefault="005B75F8">
            <w:pPr>
              <w:rPr>
                <w:rFonts w:cs="Arial"/>
                <w:szCs w:val="20"/>
              </w:rPr>
            </w:pPr>
            <w:hyperlink r:id="rId12" w:history="1">
              <w:r w:rsidR="00E15F00" w:rsidRPr="00E15F00">
                <w:rPr>
                  <w:rStyle w:val="Hiperpovezava"/>
                  <w:rFonts w:cs="Arial"/>
                  <w:szCs w:val="20"/>
                </w:rPr>
                <w:t>PAR</w:t>
              </w:r>
            </w:hyperlink>
          </w:p>
        </w:tc>
        <w:tc>
          <w:tcPr>
            <w:tcW w:w="3361" w:type="dxa"/>
            <w:tcBorders>
              <w:top w:val="single" w:sz="4" w:space="0" w:color="000000"/>
              <w:left w:val="single" w:sz="4" w:space="0" w:color="000000"/>
              <w:bottom w:val="single" w:sz="4" w:space="0" w:color="000000"/>
              <w:right w:val="single" w:sz="4" w:space="0" w:color="000000"/>
            </w:tcBorders>
            <w:hideMark/>
          </w:tcPr>
          <w:p w:rsidR="00E15F00" w:rsidRPr="00E15F00" w:rsidRDefault="005B75F8">
            <w:pPr>
              <w:rPr>
                <w:rFonts w:cs="Arial"/>
                <w:szCs w:val="20"/>
              </w:rPr>
            </w:pPr>
            <w:hyperlink r:id="rId13" w:history="1">
              <w:r w:rsidR="00E15F00" w:rsidRPr="00E15F00">
                <w:rPr>
                  <w:rStyle w:val="Hiperpovezava"/>
                  <w:rFonts w:cs="Arial"/>
                  <w:szCs w:val="20"/>
                </w:rPr>
                <w:t>SmPC in PIL</w:t>
              </w:r>
            </w:hyperlink>
            <w:r w:rsidR="00E15F00" w:rsidRPr="00E15F00">
              <w:rPr>
                <w:rFonts w:cs="Arial"/>
                <w:szCs w:val="20"/>
              </w:rPr>
              <w:t xml:space="preserve">  </w:t>
            </w:r>
          </w:p>
        </w:tc>
      </w:tr>
      <w:tr w:rsidR="00E15F00" w:rsidRPr="00E15F00" w:rsidTr="00E15F00">
        <w:tc>
          <w:tcPr>
            <w:tcW w:w="3369" w:type="dxa"/>
            <w:tcBorders>
              <w:top w:val="single" w:sz="4" w:space="0" w:color="000000"/>
              <w:left w:val="single" w:sz="4" w:space="0" w:color="000000"/>
              <w:bottom w:val="single" w:sz="4" w:space="0" w:color="000000"/>
              <w:right w:val="single" w:sz="4" w:space="0" w:color="000000"/>
            </w:tcBorders>
            <w:hideMark/>
          </w:tcPr>
          <w:p w:rsidR="00E15F00" w:rsidRPr="00E15F00" w:rsidRDefault="00E15F00">
            <w:pPr>
              <w:spacing w:line="240" w:lineRule="auto"/>
              <w:rPr>
                <w:rFonts w:cs="Arial"/>
                <w:szCs w:val="20"/>
              </w:rPr>
            </w:pPr>
            <w:r w:rsidRPr="00E15F00">
              <w:rPr>
                <w:rFonts w:cs="Arial"/>
                <w:b/>
                <w:bCs/>
                <w:szCs w:val="20"/>
              </w:rPr>
              <w:t>COVID-19 Vaccine Moderna</w:t>
            </w:r>
            <w:r w:rsidRPr="00E15F00">
              <w:rPr>
                <w:rFonts w:cs="Arial"/>
                <w:szCs w:val="20"/>
              </w:rPr>
              <w:t xml:space="preserve"> disperzija za injiciranje </w:t>
            </w:r>
          </w:p>
          <w:p w:rsidR="00E15F00" w:rsidRPr="00E15F00" w:rsidRDefault="00E15F00">
            <w:pPr>
              <w:rPr>
                <w:rFonts w:cs="Arial"/>
                <w:szCs w:val="20"/>
              </w:rPr>
            </w:pPr>
            <w:r w:rsidRPr="00E15F00">
              <w:rPr>
                <w:rFonts w:cs="Arial"/>
                <w:szCs w:val="20"/>
              </w:rPr>
              <w:t>mRNK cepivo proti COVID-19 (s spremenjenimi nukleozidi)</w:t>
            </w:r>
          </w:p>
        </w:tc>
        <w:tc>
          <w:tcPr>
            <w:tcW w:w="1984" w:type="dxa"/>
            <w:tcBorders>
              <w:top w:val="single" w:sz="4" w:space="0" w:color="000000"/>
              <w:left w:val="single" w:sz="4" w:space="0" w:color="000000"/>
              <w:bottom w:val="single" w:sz="4" w:space="0" w:color="000000"/>
              <w:right w:val="single" w:sz="4" w:space="0" w:color="000000"/>
            </w:tcBorders>
            <w:hideMark/>
          </w:tcPr>
          <w:p w:rsidR="00E15F00" w:rsidRPr="00E15F00" w:rsidRDefault="005B75F8">
            <w:pPr>
              <w:rPr>
                <w:rFonts w:cs="Arial"/>
                <w:szCs w:val="20"/>
              </w:rPr>
            </w:pPr>
            <w:hyperlink r:id="rId14" w:history="1">
              <w:r w:rsidR="00E15F00" w:rsidRPr="00E15F00">
                <w:rPr>
                  <w:rStyle w:val="Hiperpovezava"/>
                  <w:rFonts w:cs="Arial"/>
                  <w:szCs w:val="20"/>
                </w:rPr>
                <w:t>PAR</w:t>
              </w:r>
            </w:hyperlink>
          </w:p>
        </w:tc>
        <w:tc>
          <w:tcPr>
            <w:tcW w:w="3361" w:type="dxa"/>
            <w:tcBorders>
              <w:top w:val="single" w:sz="4" w:space="0" w:color="000000"/>
              <w:left w:val="single" w:sz="4" w:space="0" w:color="000000"/>
              <w:bottom w:val="single" w:sz="4" w:space="0" w:color="000000"/>
              <w:right w:val="single" w:sz="4" w:space="0" w:color="000000"/>
            </w:tcBorders>
            <w:hideMark/>
          </w:tcPr>
          <w:p w:rsidR="00E15F00" w:rsidRPr="00E15F00" w:rsidRDefault="005B75F8">
            <w:pPr>
              <w:rPr>
                <w:rFonts w:cs="Arial"/>
                <w:szCs w:val="20"/>
              </w:rPr>
            </w:pPr>
            <w:hyperlink r:id="rId15" w:history="1">
              <w:r w:rsidR="00E15F00" w:rsidRPr="00E15F00">
                <w:rPr>
                  <w:rStyle w:val="Hiperpovezava"/>
                  <w:rFonts w:cs="Arial"/>
                  <w:szCs w:val="20"/>
                </w:rPr>
                <w:t>SmPC in PIL</w:t>
              </w:r>
            </w:hyperlink>
          </w:p>
        </w:tc>
      </w:tr>
      <w:tr w:rsidR="00E15F00" w:rsidRPr="00E15F00" w:rsidTr="00E15F00">
        <w:tc>
          <w:tcPr>
            <w:tcW w:w="3369" w:type="dxa"/>
            <w:tcBorders>
              <w:top w:val="single" w:sz="4" w:space="0" w:color="000000"/>
              <w:left w:val="single" w:sz="4" w:space="0" w:color="000000"/>
              <w:bottom w:val="single" w:sz="4" w:space="0" w:color="000000"/>
              <w:right w:val="single" w:sz="4" w:space="0" w:color="000000"/>
            </w:tcBorders>
            <w:hideMark/>
          </w:tcPr>
          <w:p w:rsidR="00E15F00" w:rsidRPr="00E15F00" w:rsidRDefault="00E15F00">
            <w:pPr>
              <w:spacing w:line="240" w:lineRule="auto"/>
              <w:rPr>
                <w:rFonts w:cs="Arial"/>
                <w:szCs w:val="20"/>
              </w:rPr>
            </w:pPr>
            <w:r w:rsidRPr="00E15F00">
              <w:rPr>
                <w:rFonts w:cs="Arial"/>
                <w:b/>
                <w:bCs/>
                <w:szCs w:val="20"/>
              </w:rPr>
              <w:t>COVID-19 Vaccine AstraZeneca</w:t>
            </w:r>
            <w:r w:rsidRPr="00E15F00">
              <w:rPr>
                <w:rFonts w:cs="Arial"/>
                <w:szCs w:val="20"/>
              </w:rPr>
              <w:t xml:space="preserve"> suspenzija za injiciranje</w:t>
            </w:r>
          </w:p>
          <w:p w:rsidR="00E15F00" w:rsidRPr="00E15F00" w:rsidRDefault="00E15F00">
            <w:pPr>
              <w:rPr>
                <w:rFonts w:cs="Arial"/>
                <w:szCs w:val="20"/>
              </w:rPr>
            </w:pPr>
            <w:r w:rsidRPr="00E15F00">
              <w:rPr>
                <w:rFonts w:cs="Arial"/>
                <w:szCs w:val="20"/>
              </w:rPr>
              <w:t>cepivo proti COVID-19 (ChAdOx1-S [rekombinantno])</w:t>
            </w:r>
          </w:p>
        </w:tc>
        <w:tc>
          <w:tcPr>
            <w:tcW w:w="1984" w:type="dxa"/>
            <w:tcBorders>
              <w:top w:val="single" w:sz="4" w:space="0" w:color="000000"/>
              <w:left w:val="single" w:sz="4" w:space="0" w:color="000000"/>
              <w:bottom w:val="single" w:sz="4" w:space="0" w:color="000000"/>
              <w:right w:val="single" w:sz="4" w:space="0" w:color="000000"/>
            </w:tcBorders>
            <w:hideMark/>
          </w:tcPr>
          <w:p w:rsidR="00E15F00" w:rsidRPr="00E15F00" w:rsidRDefault="005B75F8">
            <w:pPr>
              <w:rPr>
                <w:rFonts w:cs="Arial"/>
                <w:szCs w:val="20"/>
              </w:rPr>
            </w:pPr>
            <w:hyperlink r:id="rId16" w:history="1">
              <w:r w:rsidR="00E15F00" w:rsidRPr="00E15F00">
                <w:rPr>
                  <w:rStyle w:val="Hiperpovezava"/>
                  <w:rFonts w:cs="Arial"/>
                  <w:szCs w:val="20"/>
                </w:rPr>
                <w:t>PAR</w:t>
              </w:r>
            </w:hyperlink>
          </w:p>
        </w:tc>
        <w:tc>
          <w:tcPr>
            <w:tcW w:w="3361" w:type="dxa"/>
            <w:tcBorders>
              <w:top w:val="single" w:sz="4" w:space="0" w:color="000000"/>
              <w:left w:val="single" w:sz="4" w:space="0" w:color="000000"/>
              <w:bottom w:val="single" w:sz="4" w:space="0" w:color="000000"/>
              <w:right w:val="single" w:sz="4" w:space="0" w:color="000000"/>
            </w:tcBorders>
            <w:hideMark/>
          </w:tcPr>
          <w:p w:rsidR="00E15F00" w:rsidRPr="00E15F00" w:rsidRDefault="005B75F8">
            <w:pPr>
              <w:rPr>
                <w:rFonts w:cs="Arial"/>
                <w:szCs w:val="20"/>
              </w:rPr>
            </w:pPr>
            <w:hyperlink r:id="rId17" w:history="1">
              <w:r w:rsidR="00E15F00" w:rsidRPr="00E15F00">
                <w:rPr>
                  <w:rStyle w:val="Hiperpovezava"/>
                  <w:rFonts w:cs="Arial"/>
                  <w:szCs w:val="20"/>
                </w:rPr>
                <w:t>SmPC in PIL</w:t>
              </w:r>
            </w:hyperlink>
          </w:p>
        </w:tc>
        <w:bookmarkEnd w:id="4"/>
      </w:tr>
      <w:tr w:rsidR="00E15F00" w:rsidRPr="00E15F00" w:rsidTr="00E15F00">
        <w:tc>
          <w:tcPr>
            <w:tcW w:w="3369" w:type="dxa"/>
            <w:tcBorders>
              <w:top w:val="single" w:sz="4" w:space="0" w:color="000000"/>
              <w:left w:val="single" w:sz="4" w:space="0" w:color="000000"/>
              <w:bottom w:val="single" w:sz="4" w:space="0" w:color="000000"/>
              <w:right w:val="single" w:sz="4" w:space="0" w:color="000000"/>
            </w:tcBorders>
            <w:hideMark/>
          </w:tcPr>
          <w:p w:rsidR="00E15F00" w:rsidRPr="00E15F00" w:rsidRDefault="00E15F00">
            <w:pPr>
              <w:spacing w:line="240" w:lineRule="auto"/>
              <w:rPr>
                <w:rFonts w:cs="Arial"/>
                <w:szCs w:val="20"/>
              </w:rPr>
            </w:pPr>
            <w:r w:rsidRPr="00E15F00">
              <w:rPr>
                <w:rFonts w:cs="Arial"/>
                <w:b/>
                <w:bCs/>
                <w:szCs w:val="20"/>
              </w:rPr>
              <w:t xml:space="preserve">COVID-19 Vaccine Janssen </w:t>
            </w:r>
            <w:r w:rsidRPr="00E15F00">
              <w:rPr>
                <w:rFonts w:cs="Arial"/>
                <w:szCs w:val="20"/>
              </w:rPr>
              <w:t>suspenzija za injiciranje</w:t>
            </w:r>
          </w:p>
          <w:p w:rsidR="00E15F00" w:rsidRPr="00E15F00" w:rsidRDefault="00E15F00">
            <w:pPr>
              <w:spacing w:line="240" w:lineRule="auto"/>
              <w:rPr>
                <w:rFonts w:cs="Arial"/>
                <w:b/>
                <w:bCs/>
                <w:szCs w:val="20"/>
              </w:rPr>
            </w:pPr>
            <w:r w:rsidRPr="00E15F00">
              <w:rPr>
                <w:rFonts w:cs="Arial"/>
                <w:szCs w:val="20"/>
              </w:rPr>
              <w:t>cepivo proti COVID-19 (Ad26.COV2-S [rekombinantno])</w:t>
            </w:r>
          </w:p>
        </w:tc>
        <w:tc>
          <w:tcPr>
            <w:tcW w:w="1984" w:type="dxa"/>
            <w:tcBorders>
              <w:top w:val="single" w:sz="4" w:space="0" w:color="000000"/>
              <w:left w:val="single" w:sz="4" w:space="0" w:color="000000"/>
              <w:bottom w:val="single" w:sz="4" w:space="0" w:color="000000"/>
              <w:right w:val="single" w:sz="4" w:space="0" w:color="000000"/>
            </w:tcBorders>
            <w:hideMark/>
          </w:tcPr>
          <w:p w:rsidR="00E15F00" w:rsidRPr="00E15F00" w:rsidRDefault="00E15F00">
            <w:pPr>
              <w:rPr>
                <w:rStyle w:val="Hiperpovezava"/>
                <w:rFonts w:cs="Arial"/>
              </w:rPr>
            </w:pPr>
            <w:r w:rsidRPr="00E15F00">
              <w:rPr>
                <w:rStyle w:val="Hiperpovezava"/>
                <w:rFonts w:cs="Arial"/>
                <w:szCs w:val="20"/>
              </w:rPr>
              <w:t>Še ni na voljo</w:t>
            </w:r>
          </w:p>
        </w:tc>
        <w:tc>
          <w:tcPr>
            <w:tcW w:w="3361" w:type="dxa"/>
            <w:tcBorders>
              <w:top w:val="single" w:sz="4" w:space="0" w:color="000000"/>
              <w:left w:val="single" w:sz="4" w:space="0" w:color="000000"/>
              <w:bottom w:val="single" w:sz="4" w:space="0" w:color="000000"/>
              <w:right w:val="single" w:sz="4" w:space="0" w:color="000000"/>
            </w:tcBorders>
            <w:hideMark/>
          </w:tcPr>
          <w:p w:rsidR="00E15F00" w:rsidRPr="00E15F00" w:rsidRDefault="005B75F8">
            <w:pPr>
              <w:rPr>
                <w:rFonts w:cs="Arial"/>
              </w:rPr>
            </w:pPr>
            <w:hyperlink r:id="rId18" w:history="1">
              <w:r w:rsidR="00E15F00" w:rsidRPr="00E15F00">
                <w:rPr>
                  <w:rStyle w:val="Hiperpovezava"/>
                  <w:rFonts w:cs="Arial"/>
                  <w:szCs w:val="20"/>
                </w:rPr>
                <w:t>SmPC in PIL</w:t>
              </w:r>
            </w:hyperlink>
          </w:p>
        </w:tc>
      </w:tr>
    </w:tbl>
    <w:p w:rsidR="00E15F00" w:rsidRPr="00E15F00" w:rsidRDefault="00E15F00" w:rsidP="00E15F00">
      <w:pPr>
        <w:rPr>
          <w:rFonts w:cs="Arial"/>
          <w:b/>
          <w:bCs/>
        </w:rPr>
      </w:pPr>
    </w:p>
    <w:p w:rsidR="00E15F00" w:rsidRPr="00E15F00" w:rsidRDefault="00E15F00" w:rsidP="00E15F00">
      <w:pPr>
        <w:spacing w:line="240" w:lineRule="auto"/>
        <w:rPr>
          <w:rFonts w:cs="Arial"/>
          <w:szCs w:val="20"/>
        </w:rPr>
      </w:pPr>
      <w:r w:rsidRPr="00E15F00">
        <w:rPr>
          <w:rFonts w:cs="Arial"/>
          <w:szCs w:val="20"/>
        </w:rPr>
        <w:t xml:space="preserve">Informacije o zdravilu (povzetek glavnih značilnosti zdravila, navodilo za uporabo in ovojnina) odobrene s strani EMA, so dostopne tudi v Registru EK: </w:t>
      </w:r>
      <w:hyperlink r:id="rId19" w:history="1">
        <w:r w:rsidRPr="00E15F00">
          <w:rPr>
            <w:rStyle w:val="Hiperpovezava"/>
            <w:rFonts w:cs="Arial"/>
            <w:szCs w:val="20"/>
          </w:rPr>
          <w:t>https://ec.europa.eu/health/documents/community-register/html/</w:t>
        </w:r>
      </w:hyperlink>
    </w:p>
    <w:p w:rsidR="00E15F00" w:rsidRPr="00E15F00" w:rsidRDefault="00E15F00" w:rsidP="00E15F00">
      <w:pPr>
        <w:rPr>
          <w:rFonts w:cs="Arial"/>
          <w:szCs w:val="20"/>
        </w:rPr>
      </w:pPr>
    </w:p>
    <w:p w:rsidR="00E15F00" w:rsidRPr="00E15F00" w:rsidRDefault="00E15F00" w:rsidP="00E15F00">
      <w:pPr>
        <w:spacing w:line="240" w:lineRule="auto"/>
        <w:rPr>
          <w:rFonts w:cs="Arial"/>
          <w:szCs w:val="20"/>
        </w:rPr>
      </w:pPr>
      <w:r w:rsidRPr="00E15F00">
        <w:rPr>
          <w:rFonts w:cs="Arial"/>
          <w:szCs w:val="20"/>
        </w:rPr>
        <w:br w:type="page"/>
      </w:r>
    </w:p>
    <w:p w:rsidR="00E15F00" w:rsidRPr="00E15F00" w:rsidRDefault="00E15F00" w:rsidP="00E15F00">
      <w:pPr>
        <w:spacing w:line="240" w:lineRule="auto"/>
        <w:ind w:left="7655" w:hanging="142"/>
        <w:jc w:val="both"/>
        <w:rPr>
          <w:rFonts w:cs="Arial"/>
          <w:b/>
          <w:bCs/>
          <w:color w:val="000000"/>
        </w:rPr>
      </w:pPr>
      <w:r w:rsidRPr="00E15F00">
        <w:rPr>
          <w:rFonts w:cs="Arial"/>
          <w:b/>
          <w:bCs/>
          <w:color w:val="000000"/>
        </w:rPr>
        <w:lastRenderedPageBreak/>
        <w:t>Priloga 5</w:t>
      </w:r>
    </w:p>
    <w:p w:rsidR="00E15F00" w:rsidRPr="00E15F00" w:rsidRDefault="00E15F00" w:rsidP="00E15F00">
      <w:pPr>
        <w:spacing w:line="240" w:lineRule="auto"/>
        <w:jc w:val="both"/>
        <w:rPr>
          <w:rFonts w:cs="Arial"/>
          <w:szCs w:val="20"/>
        </w:rPr>
      </w:pPr>
    </w:p>
    <w:p w:rsidR="00E15F00" w:rsidRPr="00E15F00" w:rsidRDefault="00E15F00" w:rsidP="00E15F00">
      <w:pPr>
        <w:pStyle w:val="Intenzivencitat"/>
        <w:rPr>
          <w:rFonts w:ascii="Arial" w:hAnsi="Arial" w:cs="Arial"/>
          <w:sz w:val="32"/>
          <w:szCs w:val="32"/>
        </w:rPr>
      </w:pPr>
      <w:r w:rsidRPr="00E15F00">
        <w:rPr>
          <w:rFonts w:ascii="Arial" w:hAnsi="Arial" w:cs="Arial"/>
          <w:sz w:val="32"/>
          <w:szCs w:val="32"/>
        </w:rPr>
        <w:t>Posebnosti pri poročanju in obravnavi dNUZ v povezavi s cepivi proti COVID-19</w:t>
      </w:r>
    </w:p>
    <w:p w:rsidR="00E15F00" w:rsidRPr="00E15F00" w:rsidRDefault="00E15F00" w:rsidP="00B21683">
      <w:pPr>
        <w:pStyle w:val="Odstavekseznama"/>
        <w:numPr>
          <w:ilvl w:val="0"/>
          <w:numId w:val="25"/>
        </w:numPr>
        <w:ind w:hanging="720"/>
        <w:jc w:val="both"/>
        <w:rPr>
          <w:rFonts w:cs="Arial"/>
          <w:szCs w:val="20"/>
        </w:rPr>
      </w:pPr>
      <w:r w:rsidRPr="00E15F00">
        <w:rPr>
          <w:rFonts w:cs="Arial"/>
          <w:szCs w:val="20"/>
        </w:rPr>
        <w:t>Cepiva proti COVID-19  imajo status zdravil, za katera se zahteva dodatno spremljanje varnosti (</w:t>
      </w:r>
      <w:hyperlink r:id="rId20" w:history="1">
        <w:r w:rsidRPr="00E15F00">
          <w:rPr>
            <w:rStyle w:val="Hiperpovezava"/>
            <w:rFonts w:cs="Arial"/>
            <w:szCs w:val="20"/>
          </w:rPr>
          <w:t>https://www.jazmp.si/humana-zdravila/farmakovigilanca/porocanje-o-nezelenih-ucinkih-zdravil/zdravila-za-katera-se-zahteva-dodatno-spremljanje-varnosti/</w:t>
        </w:r>
      </w:hyperlink>
      <w:r w:rsidRPr="00E15F00">
        <w:rPr>
          <w:rFonts w:cs="Arial"/>
          <w:szCs w:val="20"/>
        </w:rPr>
        <w:t xml:space="preserve">), kar pomeni, da se  zanje zbira vse neželene učinke, opažene po cepljenju. </w:t>
      </w:r>
    </w:p>
    <w:p w:rsidR="00E15F00" w:rsidRPr="00E15F00" w:rsidRDefault="00E15F00" w:rsidP="00B21683">
      <w:pPr>
        <w:pStyle w:val="Odstavekseznama"/>
        <w:numPr>
          <w:ilvl w:val="0"/>
          <w:numId w:val="25"/>
        </w:numPr>
        <w:ind w:hanging="720"/>
        <w:jc w:val="both"/>
        <w:rPr>
          <w:rFonts w:cs="Arial"/>
          <w:szCs w:val="20"/>
        </w:rPr>
      </w:pPr>
      <w:r w:rsidRPr="00E15F00">
        <w:rPr>
          <w:rFonts w:cs="Arial"/>
          <w:szCs w:val="20"/>
        </w:rPr>
        <w:t>Skladno z EU zakonodajo na področju farmakovigilance (</w:t>
      </w:r>
      <w:r w:rsidRPr="00E15F00">
        <w:rPr>
          <w:rFonts w:cs="Arial"/>
          <w:i/>
          <w:iCs/>
          <w:szCs w:val="20"/>
        </w:rPr>
        <w:t>Good Pharmacovigilance Practice - GVP modul VI</w:t>
      </w:r>
      <w:r w:rsidRPr="00E15F00">
        <w:rPr>
          <w:rFonts w:cs="Arial"/>
          <w:szCs w:val="20"/>
        </w:rPr>
        <w:t>) se, kot za vsa cepiva, zahteva poročanje lastniškega imena in serijske številke cepiva.</w:t>
      </w:r>
    </w:p>
    <w:p w:rsidR="00E15F00" w:rsidRPr="00E15F00" w:rsidRDefault="00E15F00" w:rsidP="00B21683">
      <w:pPr>
        <w:pStyle w:val="Odstavekseznama"/>
        <w:numPr>
          <w:ilvl w:val="0"/>
          <w:numId w:val="25"/>
        </w:numPr>
        <w:ind w:hanging="720"/>
        <w:jc w:val="both"/>
        <w:rPr>
          <w:rFonts w:cs="Arial"/>
          <w:szCs w:val="20"/>
        </w:rPr>
      </w:pPr>
      <w:r w:rsidRPr="00E15F00">
        <w:rPr>
          <w:rFonts w:cs="Arial"/>
          <w:szCs w:val="20"/>
        </w:rPr>
        <w:t>Za vsako učinkovino oz. cepivo se imenujeta država ocenjevalka in so-ocenjevalka (Rapporter in Co-Rapporter).</w:t>
      </w:r>
    </w:p>
    <w:p w:rsidR="00E15F00" w:rsidRPr="00E15F00" w:rsidRDefault="00E15F00" w:rsidP="00B21683">
      <w:pPr>
        <w:pStyle w:val="Odstavekseznama"/>
        <w:numPr>
          <w:ilvl w:val="0"/>
          <w:numId w:val="25"/>
        </w:numPr>
        <w:ind w:hanging="720"/>
        <w:jc w:val="both"/>
        <w:rPr>
          <w:rFonts w:cs="Arial"/>
          <w:szCs w:val="20"/>
        </w:rPr>
      </w:pPr>
      <w:r w:rsidRPr="00E15F00">
        <w:rPr>
          <w:rFonts w:cs="Arial"/>
          <w:szCs w:val="20"/>
        </w:rPr>
        <w:t>Zaradi pomena kakovostne ocene je poudarek na čim bolj popolnih in celovitih podatkih o posameznem začetnem poročilu o dNUZ (čim več podatkov o bolniku, anamnezi, sočasnih zdravilih, datumu cepljenja in datumu nastanka dNUZ, izidu).</w:t>
      </w:r>
    </w:p>
    <w:p w:rsidR="00E15F00" w:rsidRPr="00E15F00" w:rsidRDefault="00E15F00" w:rsidP="00B21683">
      <w:pPr>
        <w:pStyle w:val="Odstavekseznama"/>
        <w:numPr>
          <w:ilvl w:val="0"/>
          <w:numId w:val="25"/>
        </w:numPr>
        <w:ind w:hanging="720"/>
        <w:jc w:val="both"/>
        <w:rPr>
          <w:rFonts w:cs="Arial"/>
          <w:szCs w:val="20"/>
        </w:rPr>
      </w:pPr>
      <w:r w:rsidRPr="00E15F00">
        <w:rPr>
          <w:rFonts w:cs="Arial"/>
          <w:szCs w:val="20"/>
        </w:rPr>
        <w:t xml:space="preserve">Vsa poročila o dNUZ, ki jih  zbere JAZMP, bodisi tista, ki jih prejme od NIJZ, bodisi tista, ki jih prejme neposredno od poročevalcev (zdravstvenih delavcev in bolnikov) so v zakonskih rokih poslani v evropsko bazo neželenih učinkov EudraVigilance, kjer so na voljo za zaznavanje morebitnih varnostnih signalov na ravni EU. </w:t>
      </w:r>
    </w:p>
    <w:p w:rsidR="00E15F00" w:rsidRPr="00E15F00" w:rsidRDefault="00E15F00" w:rsidP="00B21683">
      <w:pPr>
        <w:pStyle w:val="Odstavekseznama"/>
        <w:numPr>
          <w:ilvl w:val="0"/>
          <w:numId w:val="25"/>
        </w:numPr>
        <w:ind w:hanging="720"/>
        <w:jc w:val="both"/>
        <w:rPr>
          <w:rFonts w:cs="Arial"/>
          <w:szCs w:val="20"/>
        </w:rPr>
      </w:pPr>
      <w:r w:rsidRPr="00E15F00">
        <w:rPr>
          <w:rFonts w:cs="Arial"/>
          <w:szCs w:val="20"/>
        </w:rPr>
        <w:t>Vse smrtne primere ali življenje ogrožajoča stanja ter AESIs za zadevna cepiva bo JAZMP poslala v EudraVigilance v najkrajšem možnem času. Ocena poročil bo potekala v sodelovanju z NIJZ.</w:t>
      </w:r>
    </w:p>
    <w:p w:rsidR="00E15F00" w:rsidRPr="00E15F00" w:rsidRDefault="00E15F00" w:rsidP="00B21683">
      <w:pPr>
        <w:pStyle w:val="Odstavekseznama"/>
        <w:numPr>
          <w:ilvl w:val="0"/>
          <w:numId w:val="25"/>
        </w:numPr>
        <w:ind w:hanging="720"/>
        <w:jc w:val="both"/>
        <w:rPr>
          <w:rFonts w:cs="Arial"/>
          <w:szCs w:val="20"/>
        </w:rPr>
      </w:pPr>
      <w:r w:rsidRPr="00E15F00">
        <w:rPr>
          <w:rFonts w:cs="Arial"/>
          <w:szCs w:val="20"/>
        </w:rPr>
        <w:t>Vse smrtne primere ali življenje ogrožajoča stanja ter AESIs za zadevna cepiva v najkrajšem možnem času obravnava Komisija za ugotavljanje povezave med cepljenjem proti nalezljivi bolezni COVID-19 in neželenim dogodkom pri Ministrstvu za zdravje, ki poda strokovno mnenje.</w:t>
      </w:r>
    </w:p>
    <w:p w:rsidR="00E15F00" w:rsidRPr="00E15F00" w:rsidRDefault="00E15F00" w:rsidP="00B21683">
      <w:pPr>
        <w:pStyle w:val="Odstavekseznama"/>
        <w:numPr>
          <w:ilvl w:val="0"/>
          <w:numId w:val="25"/>
        </w:numPr>
        <w:ind w:hanging="720"/>
        <w:jc w:val="both"/>
        <w:rPr>
          <w:rFonts w:cs="Arial"/>
          <w:szCs w:val="20"/>
        </w:rPr>
      </w:pPr>
      <w:r w:rsidRPr="00E15F00">
        <w:rPr>
          <w:rFonts w:cs="Arial"/>
          <w:szCs w:val="20"/>
        </w:rPr>
        <w:t>JAZMP bo poročila o dNUZ, ki jih bo prejela neposredno ali od imetnika dovoljenja za promet  v najkrajšem možnem času poslala NIJZ (že obstoječa medsebojna izmenjava podatkov).</w:t>
      </w:r>
    </w:p>
    <w:p w:rsidR="00E15F00" w:rsidRPr="00E15F00" w:rsidRDefault="00E15F00" w:rsidP="00B21683">
      <w:pPr>
        <w:pStyle w:val="Odstavekseznama"/>
        <w:numPr>
          <w:ilvl w:val="0"/>
          <w:numId w:val="25"/>
        </w:numPr>
        <w:ind w:hanging="720"/>
        <w:jc w:val="both"/>
        <w:rPr>
          <w:rFonts w:cs="Arial"/>
          <w:szCs w:val="20"/>
        </w:rPr>
      </w:pPr>
      <w:r w:rsidRPr="00E15F00">
        <w:rPr>
          <w:rFonts w:cs="Arial"/>
          <w:szCs w:val="20"/>
        </w:rPr>
        <w:t>Za zadevna cepiva se zahteva spremljanje in poročanje (v EudraVigilance) tudi klinično pomembne neučinkovitosti (odpoved) cepljenja (podatke bo pridobival NIJZ iz prijav neželenih učinkov od izvajalcev preko sistema eRCO, ter s povezovanjem Nacionalne evidence potrjenih primerov COVID-19 (NIJZ 48) in sistema eRCO, JAZMP jih bo posredovala na EMA).</w:t>
      </w:r>
    </w:p>
    <w:p w:rsidR="00E15F00" w:rsidRPr="00E15F00" w:rsidRDefault="00E15F00" w:rsidP="00B21683">
      <w:pPr>
        <w:pStyle w:val="Odstavekseznama"/>
        <w:numPr>
          <w:ilvl w:val="0"/>
          <w:numId w:val="25"/>
        </w:numPr>
        <w:ind w:hanging="720"/>
        <w:jc w:val="both"/>
        <w:rPr>
          <w:rFonts w:cs="Arial"/>
          <w:szCs w:val="20"/>
        </w:rPr>
      </w:pPr>
      <w:r w:rsidRPr="00E15F00">
        <w:rPr>
          <w:rFonts w:cs="Arial"/>
          <w:szCs w:val="20"/>
        </w:rPr>
        <w:t>Poleg poročil o dNUZ je s strani pristojnih nacionalnih organov v EU potrebno na EMA periodično sporočati tudi število cepljenjih, vključno s številom cepljenjih v ranljivih skupinah (podatke bo priskrbel NIJZ iz eRCO, JAZMP jih bo posredovala na EMA). Trenutno je možno podatke iz eRCO prikazati po starostnih skupinah, zdravstvene delavce, osebe z zdravstveno indikacijo, nosečnice.</w:t>
      </w:r>
    </w:p>
    <w:p w:rsidR="00E15F00" w:rsidRPr="00E15F00" w:rsidRDefault="00E15F00" w:rsidP="00B21683">
      <w:pPr>
        <w:pStyle w:val="Odstavekseznama"/>
        <w:numPr>
          <w:ilvl w:val="0"/>
          <w:numId w:val="25"/>
        </w:numPr>
        <w:ind w:hanging="720"/>
        <w:jc w:val="both"/>
        <w:rPr>
          <w:rFonts w:cs="Arial"/>
          <w:szCs w:val="20"/>
        </w:rPr>
      </w:pPr>
      <w:r w:rsidRPr="00E15F00">
        <w:rPr>
          <w:rFonts w:cs="Arial"/>
          <w:szCs w:val="20"/>
        </w:rPr>
        <w:t>PSUR se na splošno po pridobitvi dovoljenja za promet posreduje vsakih 6 mesecev (izjeme so objavljene v seznamu EURD list),</w:t>
      </w:r>
    </w:p>
    <w:p w:rsidR="00E15F00" w:rsidRPr="00E15F00" w:rsidRDefault="00E15F00" w:rsidP="00B21683">
      <w:pPr>
        <w:jc w:val="both"/>
        <w:rPr>
          <w:rFonts w:cs="Arial"/>
          <w:szCs w:val="20"/>
        </w:rPr>
      </w:pPr>
    </w:p>
    <w:p w:rsidR="00E15F00" w:rsidRPr="00E15F00" w:rsidRDefault="00E15F00" w:rsidP="00B21683">
      <w:pPr>
        <w:jc w:val="both"/>
        <w:rPr>
          <w:rFonts w:cs="Arial"/>
          <w:b/>
          <w:bCs/>
          <w:szCs w:val="20"/>
        </w:rPr>
      </w:pPr>
      <w:r w:rsidRPr="00E15F00">
        <w:rPr>
          <w:rFonts w:cs="Arial"/>
          <w:b/>
          <w:bCs/>
          <w:szCs w:val="20"/>
        </w:rPr>
        <w:t>Vloga NIJZ pri spremljanju dNUZ za cepiva proti COVID-19</w:t>
      </w:r>
    </w:p>
    <w:p w:rsidR="00E15F00" w:rsidRPr="00E15F00" w:rsidRDefault="00E15F00" w:rsidP="00B21683">
      <w:pPr>
        <w:jc w:val="both"/>
        <w:rPr>
          <w:rFonts w:cs="Arial"/>
          <w:bCs/>
          <w:szCs w:val="20"/>
        </w:rPr>
      </w:pPr>
      <w:r w:rsidRPr="00E15F00">
        <w:rPr>
          <w:rFonts w:cs="Arial"/>
          <w:bCs/>
          <w:szCs w:val="20"/>
        </w:rPr>
        <w:t xml:space="preserve">Spremljanje neželenih učinkov po cepljenju proti COVID-19 bo na NIJZ potekalo po ustaljeni postopkih, tako kot že poteka za ostala cepiva. Spremljanje neželenih učinkov po cepljenju v Sloveniji podpira Register neželenih učinkov (stranskih pojavov) pridruženih cepljenju, ki ga v </w:t>
      </w:r>
      <w:r w:rsidRPr="00E15F00">
        <w:rPr>
          <w:rFonts w:cs="Arial"/>
          <w:bCs/>
          <w:szCs w:val="20"/>
        </w:rPr>
        <w:lastRenderedPageBreak/>
        <w:t xml:space="preserve">skladu z Zakonom o zbirkah podatkov s področja zdravstvenega varstva (Ur. l. RS, št. 65/2000, 47/2015) upravlja NIJZ. V Register neželenih učinkov po cepljenju so podatke dolžni posredovati vsi javno zdravstveni zavodi (JZZ) ter druge pravne in fizične osebe v zdravstveni dejavnosti, ne glede na koncesijo. Po Pravilniku o potrdilih, vodenju evidenc in zagotavljanju podatkov o cepljenju, neželenih učinkih po cepljenju in zdravstvenih napakah pri cepljenju  </w:t>
      </w:r>
      <w:r w:rsidRPr="00E15F00">
        <w:rPr>
          <w:rFonts w:cs="Arial"/>
          <w:bCs/>
          <w:szCs w:val="20"/>
        </w:rPr>
        <w:br/>
        <w:t>(Ur. l. RS, št. 12/2017) je vsak zdravnik, ki opravlja cepljenje, dolžan NIJZ zagotavljati podatke o neželenih učinkih po cepljenju.</w:t>
      </w:r>
    </w:p>
    <w:p w:rsidR="00E15F00" w:rsidRPr="00E15F00" w:rsidRDefault="00E15F00" w:rsidP="00B21683">
      <w:pPr>
        <w:jc w:val="both"/>
        <w:rPr>
          <w:rFonts w:cs="Arial"/>
          <w:bCs/>
          <w:szCs w:val="20"/>
        </w:rPr>
      </w:pPr>
    </w:p>
    <w:p w:rsidR="00E15F00" w:rsidRPr="00E15F00" w:rsidRDefault="00E15F00" w:rsidP="00B21683">
      <w:pPr>
        <w:jc w:val="both"/>
        <w:rPr>
          <w:rFonts w:cs="Arial"/>
          <w:bCs/>
          <w:szCs w:val="20"/>
        </w:rPr>
      </w:pPr>
      <w:r w:rsidRPr="00E15F00">
        <w:rPr>
          <w:rFonts w:cs="Arial"/>
          <w:bCs/>
          <w:szCs w:val="20"/>
        </w:rPr>
        <w:t xml:space="preserve">Zdravniki posredujejo prijave neželenih učinkov po cepljenju na NIJZ preko posebnega modula eRCO (Elektronski register cepljenih oseb in neželenih učinkov po cepljenju). Modul omogoča prijavo neželenih učinkov po cepljenjih, za katera so bili podatki že posredovani v eRCO. Če zdravnik želi prijaviti neželeni učinek po cepljenju, ki ni zabeleženo v eRCO (npr.: oseba je bila cepljena v tujini), se prijavo neželenih učinkov posreduje na </w:t>
      </w:r>
      <w:hyperlink r:id="rId21" w:tgtFrame="_blank" w:history="1">
        <w:r w:rsidRPr="00E15F00">
          <w:rPr>
            <w:rStyle w:val="Hiperpovezava"/>
            <w:rFonts w:cs="Arial"/>
            <w:bCs/>
            <w:szCs w:val="20"/>
          </w:rPr>
          <w:t>papirnatem obrazcu</w:t>
        </w:r>
      </w:hyperlink>
      <w:r w:rsidRPr="00E15F00">
        <w:rPr>
          <w:rFonts w:cs="Arial"/>
          <w:bCs/>
          <w:szCs w:val="20"/>
        </w:rPr>
        <w:t xml:space="preserve"> na NIJZ. Vse posredovane prijave se evidentira v Registru (podatkovni zbirki), v okviru možnosti se od poročevalca pridobi vse potrebne dodatne podatke, nato pa se jih ovrednoti oziroma oceni v skladu s kriteriji dogovorjenimi z JAZMP. Podatke o prijavljenih neželenih učinkih po cepljenju s cepivi proti COVID-19 se v agregirani obliki redno objavlja na spletni strani NIJZ, kjer so dostopni odločevalcem in javnosti.</w:t>
      </w:r>
    </w:p>
    <w:p w:rsidR="00E15F00" w:rsidRPr="00E15F00" w:rsidRDefault="00E15F00" w:rsidP="00B21683">
      <w:pPr>
        <w:jc w:val="both"/>
        <w:rPr>
          <w:rFonts w:cs="Arial"/>
          <w:bCs/>
          <w:szCs w:val="20"/>
        </w:rPr>
      </w:pPr>
    </w:p>
    <w:p w:rsidR="00E15F00" w:rsidRPr="00E15F00" w:rsidRDefault="00E15F00" w:rsidP="00B21683">
      <w:pPr>
        <w:jc w:val="both"/>
        <w:rPr>
          <w:rFonts w:cs="Arial"/>
          <w:bCs/>
          <w:szCs w:val="20"/>
        </w:rPr>
      </w:pPr>
      <w:r w:rsidRPr="00E15F00">
        <w:rPr>
          <w:rFonts w:cs="Arial"/>
          <w:bCs/>
          <w:szCs w:val="20"/>
        </w:rPr>
        <w:t>V skladu s Pravilnikom o potrdilih, vodenju evidenc in zagotavljanju podatkov o cepljenju, neželenih učinkih po cepljenju in zdravstvenih napakah pri cepljenju si NIJZ in JAZMP izmenjujeta zbrane podatke o neželenih učinkih po cepljenju in druge pomembne podatke, ki se nanašajo na varnost, učinkovitost in uporabo cepiv. Izmenjevanje podatkov poteka tudi glede podatkov cepiv proti COVID-19.</w:t>
      </w:r>
    </w:p>
    <w:p w:rsidR="00E15F00" w:rsidRPr="00E15F00" w:rsidRDefault="00E15F00" w:rsidP="00B21683">
      <w:pPr>
        <w:jc w:val="both"/>
        <w:rPr>
          <w:rFonts w:cs="Arial"/>
          <w:b/>
          <w:bCs/>
          <w:szCs w:val="20"/>
        </w:rPr>
      </w:pPr>
    </w:p>
    <w:p w:rsidR="00E15F00" w:rsidRPr="00E15F00" w:rsidRDefault="00E15F00" w:rsidP="00B21683">
      <w:pPr>
        <w:jc w:val="both"/>
        <w:rPr>
          <w:rFonts w:cs="Arial"/>
          <w:b/>
          <w:bCs/>
          <w:szCs w:val="20"/>
        </w:rPr>
      </w:pPr>
      <w:r w:rsidRPr="00E15F00">
        <w:rPr>
          <w:rFonts w:cs="Arial"/>
          <w:b/>
          <w:bCs/>
          <w:szCs w:val="20"/>
        </w:rPr>
        <w:t>Vloga JAZMP pri obravnavi poročil o dNUZ za cepiva proti COVID-19</w:t>
      </w:r>
    </w:p>
    <w:p w:rsidR="00E15F00" w:rsidRPr="00E15F00" w:rsidRDefault="00E15F00" w:rsidP="00B21683">
      <w:pPr>
        <w:jc w:val="both"/>
        <w:rPr>
          <w:rFonts w:cs="Arial"/>
          <w:szCs w:val="20"/>
        </w:rPr>
      </w:pPr>
      <w:r w:rsidRPr="00E15F00">
        <w:rPr>
          <w:rFonts w:cs="Arial"/>
          <w:szCs w:val="20"/>
        </w:rPr>
        <w:t xml:space="preserve">Vloga JAZMP bo zbiranje poročil o domnevnih neželenih učinkih (dNUZ) od vseh udeležencev v sistemu farmakovigilance, evidentiranje poročil v nacionalni podatkovni bazi o dNUZ (VigiFlow), pošiljanje vseh prejetih poročil v evropsko bazo EudraVigilance skladno s predpisi in v zakonsko določenih rokih, medsebojna izmenjava prejetih poročil z NIJZ in ocena le-teh (glede resnosti, pričakovanosti in vzročne povezanosti po algoritmu WHO-UMC) v sodelovanju z NIJZ ter sodelovanje z NIJZ pri komunikaciji z javnostjo. </w:t>
      </w:r>
    </w:p>
    <w:p w:rsidR="00E15F00" w:rsidRPr="00E15F00" w:rsidRDefault="00E15F00" w:rsidP="00B21683">
      <w:pPr>
        <w:jc w:val="both"/>
        <w:rPr>
          <w:rFonts w:cs="Arial"/>
          <w:szCs w:val="20"/>
        </w:rPr>
      </w:pPr>
    </w:p>
    <w:p w:rsidR="00E15F00" w:rsidRPr="00E15F00" w:rsidRDefault="00E15F00" w:rsidP="00B21683">
      <w:pPr>
        <w:jc w:val="both"/>
        <w:rPr>
          <w:rFonts w:cs="Arial"/>
          <w:szCs w:val="20"/>
        </w:rPr>
      </w:pPr>
      <w:r w:rsidRPr="00E15F00">
        <w:rPr>
          <w:rFonts w:cs="Arial"/>
          <w:szCs w:val="20"/>
        </w:rPr>
        <w:t xml:space="preserve">Poročila o dNUZ  bo JAZMP spremljala in obravnavala v skladu z dogovorom na EU ravni, kjer bodo skladno z načrti vzpostavljeni enotni mehanizmi, da bodo podatki primerljivi. V ta namen je EMA objavila krovni dokument </w:t>
      </w:r>
      <w:hyperlink r:id="rId22" w:history="1">
        <w:r w:rsidRPr="00E15F00">
          <w:rPr>
            <w:rStyle w:val="Hiperpovezava"/>
            <w:rFonts w:cs="Arial"/>
            <w:szCs w:val="20"/>
          </w:rPr>
          <w:t>Pharmacovigilance Plan of the EU Regulatory Network for COVID-19 Vaccines</w:t>
        </w:r>
      </w:hyperlink>
      <w:r w:rsidRPr="00E15F00">
        <w:rPr>
          <w:rFonts w:cs="Arial"/>
          <w:szCs w:val="20"/>
        </w:rPr>
        <w:t>, ki omogoča enoten dogovor glede načina zbiranja informacij o varnostnih vidikih prihajajočih cepiv in izmenjavo le-teh med državami članicami EU.</w:t>
      </w:r>
    </w:p>
    <w:p w:rsidR="00E15F00" w:rsidRPr="00E15F00" w:rsidRDefault="00E15F00" w:rsidP="00B21683">
      <w:pPr>
        <w:jc w:val="both"/>
        <w:rPr>
          <w:rFonts w:cs="Arial"/>
          <w:szCs w:val="20"/>
        </w:rPr>
      </w:pPr>
    </w:p>
    <w:p w:rsidR="00E15F00" w:rsidRPr="00E15F00" w:rsidRDefault="00E15F00" w:rsidP="00B21683">
      <w:pPr>
        <w:jc w:val="both"/>
        <w:rPr>
          <w:rFonts w:cs="Arial"/>
          <w:szCs w:val="20"/>
        </w:rPr>
      </w:pPr>
      <w:r w:rsidRPr="00E15F00">
        <w:rPr>
          <w:rFonts w:cs="Arial"/>
          <w:szCs w:val="20"/>
        </w:rPr>
        <w:t xml:space="preserve">Odgovornost JAZMP kot nacionalnega pristojnega organa je, da skrbno spremlja in ocenjuje vsa prejeta poročila o dNUZ iz Slovenije ter jih vnese v bazo EudraVigilance v zahtevanih časovnih rokih in tako omogoči pravočasno dostopnost nacionalnih podatkov o varnosti na ravni EU. </w:t>
      </w:r>
    </w:p>
    <w:p w:rsidR="00E15F00" w:rsidRPr="00E15F00" w:rsidRDefault="00E15F00" w:rsidP="00B21683">
      <w:pPr>
        <w:jc w:val="both"/>
        <w:rPr>
          <w:rFonts w:cs="Arial"/>
          <w:szCs w:val="20"/>
        </w:rPr>
      </w:pPr>
    </w:p>
    <w:p w:rsidR="00E15F00" w:rsidRPr="00E15F00" w:rsidRDefault="00E15F00" w:rsidP="00B21683">
      <w:pPr>
        <w:jc w:val="both"/>
        <w:rPr>
          <w:rFonts w:cs="Arial"/>
          <w:szCs w:val="20"/>
        </w:rPr>
      </w:pPr>
    </w:p>
    <w:p w:rsidR="00E15F00" w:rsidRPr="00E15F00" w:rsidRDefault="00E15F00" w:rsidP="00B21683">
      <w:pPr>
        <w:jc w:val="both"/>
        <w:rPr>
          <w:rFonts w:cs="Arial"/>
          <w:szCs w:val="20"/>
        </w:rPr>
      </w:pPr>
    </w:p>
    <w:p w:rsidR="00E15F00" w:rsidRPr="00E15F00" w:rsidRDefault="00E15F00" w:rsidP="00B21683">
      <w:pPr>
        <w:jc w:val="both"/>
        <w:rPr>
          <w:rFonts w:cs="Arial"/>
          <w:szCs w:val="20"/>
        </w:rPr>
      </w:pPr>
    </w:p>
    <w:p w:rsidR="00E15F00" w:rsidRPr="00E15F00" w:rsidRDefault="00E15F00" w:rsidP="00B21683">
      <w:pPr>
        <w:jc w:val="both"/>
        <w:rPr>
          <w:rFonts w:cs="Arial"/>
          <w:szCs w:val="20"/>
        </w:rPr>
      </w:pPr>
    </w:p>
    <w:p w:rsidR="00E15F00" w:rsidRPr="00E15F00" w:rsidRDefault="00E15F00" w:rsidP="00B21683">
      <w:pPr>
        <w:jc w:val="both"/>
        <w:rPr>
          <w:rFonts w:cs="Arial"/>
          <w:szCs w:val="20"/>
        </w:rPr>
      </w:pPr>
    </w:p>
    <w:p w:rsidR="00E15F00" w:rsidRPr="00E15F00" w:rsidRDefault="00E15F00" w:rsidP="00B21683">
      <w:pPr>
        <w:jc w:val="both"/>
        <w:rPr>
          <w:rFonts w:cs="Arial"/>
          <w:szCs w:val="20"/>
        </w:rPr>
      </w:pPr>
    </w:p>
    <w:p w:rsidR="00E15F00" w:rsidRPr="00E15F00" w:rsidRDefault="00E15F00" w:rsidP="00B21683">
      <w:pPr>
        <w:jc w:val="both"/>
        <w:rPr>
          <w:rFonts w:cs="Arial"/>
          <w:szCs w:val="20"/>
        </w:rPr>
      </w:pPr>
    </w:p>
    <w:p w:rsidR="00E15F00" w:rsidRPr="00E15F00" w:rsidRDefault="00E15F00" w:rsidP="00B21683">
      <w:pPr>
        <w:jc w:val="both"/>
        <w:rPr>
          <w:rFonts w:cs="Arial"/>
          <w:szCs w:val="20"/>
        </w:rPr>
      </w:pPr>
    </w:p>
    <w:p w:rsidR="00E15F00" w:rsidRPr="00E15F00" w:rsidRDefault="00E15F00" w:rsidP="00B21683">
      <w:pPr>
        <w:jc w:val="both"/>
        <w:rPr>
          <w:rFonts w:cs="Arial"/>
          <w:szCs w:val="20"/>
        </w:rPr>
      </w:pPr>
    </w:p>
    <w:p w:rsidR="00E15F00" w:rsidRPr="00E15F00" w:rsidRDefault="00E15F00" w:rsidP="00B21683">
      <w:pPr>
        <w:jc w:val="both"/>
        <w:rPr>
          <w:rFonts w:cs="Arial"/>
          <w:szCs w:val="20"/>
        </w:rPr>
      </w:pPr>
    </w:p>
    <w:p w:rsidR="00E15F00" w:rsidRPr="00E15F00" w:rsidRDefault="00E15F00" w:rsidP="00B21683">
      <w:pPr>
        <w:ind w:left="2160" w:firstLine="720"/>
        <w:jc w:val="both"/>
        <w:rPr>
          <w:rFonts w:cs="Arial"/>
          <w:szCs w:val="20"/>
        </w:rPr>
      </w:pPr>
      <w:bookmarkStart w:id="5" w:name="_Hlk65499551"/>
    </w:p>
    <w:p w:rsidR="00E15F00" w:rsidRPr="00E15F00" w:rsidRDefault="00E15F00" w:rsidP="00E15F00">
      <w:pPr>
        <w:spacing w:line="240" w:lineRule="auto"/>
        <w:ind w:left="6480" w:firstLine="720"/>
        <w:jc w:val="both"/>
        <w:rPr>
          <w:rFonts w:cs="Arial"/>
          <w:b/>
        </w:rPr>
      </w:pPr>
      <w:r w:rsidRPr="00E15F00">
        <w:rPr>
          <w:rFonts w:cs="Arial"/>
          <w:b/>
        </w:rPr>
        <w:t>Priloga 6</w:t>
      </w:r>
    </w:p>
    <w:p w:rsidR="00E15F00" w:rsidRPr="00E15F00" w:rsidRDefault="00E15F00" w:rsidP="00E15F00">
      <w:pPr>
        <w:pStyle w:val="Intenzivencitat"/>
        <w:rPr>
          <w:rFonts w:ascii="Arial" w:hAnsi="Arial" w:cs="Arial"/>
          <w:sz w:val="28"/>
          <w:szCs w:val="28"/>
        </w:rPr>
      </w:pPr>
      <w:r w:rsidRPr="00E15F00">
        <w:rPr>
          <w:rFonts w:ascii="Arial" w:hAnsi="Arial" w:cs="Arial"/>
          <w:sz w:val="28"/>
          <w:szCs w:val="28"/>
        </w:rPr>
        <w:t xml:space="preserve">Prednostne skupine za cepljenje in priporočila za uporabo posameznih cepiv v razmerah, ko so količine posameznih cepiv zelo omejene </w:t>
      </w:r>
    </w:p>
    <w:p w:rsidR="00491F9B" w:rsidRPr="00D05037" w:rsidRDefault="00491F9B" w:rsidP="00491F9B">
      <w:pPr>
        <w:autoSpaceDE w:val="0"/>
        <w:autoSpaceDN w:val="0"/>
        <w:adjustRightInd w:val="0"/>
        <w:jc w:val="both"/>
        <w:rPr>
          <w:rFonts w:cs="Arial"/>
          <w:b/>
          <w:bCs/>
          <w:color w:val="000000"/>
          <w:szCs w:val="20"/>
        </w:rPr>
      </w:pPr>
      <w:r w:rsidRPr="00D504F4">
        <w:rPr>
          <w:rFonts w:cs="Arial"/>
          <w:b/>
          <w:bCs/>
          <w:color w:val="000000"/>
          <w:szCs w:val="20"/>
        </w:rPr>
        <w:t xml:space="preserve">Prednostne skupine za cepljenje: </w:t>
      </w:r>
    </w:p>
    <w:p w:rsidR="00491F9B" w:rsidRPr="00D504F4" w:rsidRDefault="00491F9B" w:rsidP="00491F9B">
      <w:pPr>
        <w:numPr>
          <w:ilvl w:val="0"/>
          <w:numId w:val="26"/>
        </w:numPr>
        <w:autoSpaceDE w:val="0"/>
        <w:autoSpaceDN w:val="0"/>
        <w:adjustRightInd w:val="0"/>
        <w:ind w:hanging="720"/>
        <w:jc w:val="both"/>
        <w:rPr>
          <w:rFonts w:cs="Arial"/>
          <w:color w:val="000000"/>
          <w:szCs w:val="20"/>
        </w:rPr>
      </w:pPr>
      <w:r>
        <w:rPr>
          <w:rFonts w:cs="Arial"/>
          <w:color w:val="000000"/>
          <w:szCs w:val="20"/>
        </w:rPr>
        <w:t>z</w:t>
      </w:r>
      <w:r w:rsidRPr="00D504F4">
        <w:rPr>
          <w:rFonts w:cs="Arial"/>
          <w:color w:val="000000"/>
          <w:szCs w:val="20"/>
        </w:rPr>
        <w:t>dravstveni delavci in sodelavci (vključuje vse zaposlene pri izvajalcih zdravstvene dejavnosti in vse, ki sodelujejo v delovnem procesu zdravljenja in nege pacientov in prihajajo s pacienti v neposreden stik) ter zaposleni in oskrbovanci v DSO in SVZ</w:t>
      </w:r>
      <w:r>
        <w:rPr>
          <w:rFonts w:cs="Arial"/>
          <w:color w:val="000000"/>
          <w:szCs w:val="20"/>
        </w:rPr>
        <w:t>,</w:t>
      </w:r>
    </w:p>
    <w:p w:rsidR="00491F9B" w:rsidRPr="00D504F4" w:rsidRDefault="00491F9B" w:rsidP="00491F9B">
      <w:pPr>
        <w:numPr>
          <w:ilvl w:val="0"/>
          <w:numId w:val="26"/>
        </w:numPr>
        <w:autoSpaceDE w:val="0"/>
        <w:autoSpaceDN w:val="0"/>
        <w:adjustRightInd w:val="0"/>
        <w:ind w:hanging="720"/>
        <w:jc w:val="both"/>
        <w:rPr>
          <w:rFonts w:cs="Arial"/>
          <w:color w:val="000000"/>
          <w:szCs w:val="20"/>
        </w:rPr>
      </w:pPr>
      <w:r>
        <w:rPr>
          <w:rFonts w:cs="Arial"/>
          <w:color w:val="000000"/>
          <w:szCs w:val="20"/>
        </w:rPr>
        <w:t>o</w:t>
      </w:r>
      <w:r w:rsidRPr="00D504F4">
        <w:rPr>
          <w:rFonts w:cs="Arial"/>
          <w:color w:val="000000"/>
          <w:szCs w:val="20"/>
        </w:rPr>
        <w:t>sebe stare 70 let in več</w:t>
      </w:r>
      <w:r>
        <w:rPr>
          <w:rFonts w:cs="Arial"/>
          <w:color w:val="000000"/>
          <w:szCs w:val="20"/>
        </w:rPr>
        <w:t xml:space="preserve">; </w:t>
      </w:r>
      <w:r w:rsidRPr="00D504F4">
        <w:rPr>
          <w:rFonts w:cs="Arial"/>
          <w:color w:val="000000"/>
          <w:szCs w:val="20"/>
        </w:rPr>
        <w:t>posebej ranljivi kronični bolniki* ne glede na starost</w:t>
      </w:r>
      <w:r>
        <w:rPr>
          <w:rFonts w:cs="Arial"/>
          <w:color w:val="000000"/>
          <w:szCs w:val="20"/>
        </w:rPr>
        <w:t>;</w:t>
      </w:r>
      <w:r w:rsidRPr="00D504F4">
        <w:rPr>
          <w:rFonts w:cs="Arial"/>
          <w:szCs w:val="20"/>
        </w:rPr>
        <w:t xml:space="preserve"> diplomati </w:t>
      </w:r>
      <w:r>
        <w:rPr>
          <w:rFonts w:cs="Arial"/>
          <w:szCs w:val="20"/>
        </w:rPr>
        <w:t xml:space="preserve">in </w:t>
      </w:r>
      <w:r w:rsidRPr="00D504F4">
        <w:rPr>
          <w:rFonts w:cs="Arial"/>
          <w:szCs w:val="20"/>
        </w:rPr>
        <w:t>drugi uslužbenci MZZ</w:t>
      </w:r>
      <w:r>
        <w:rPr>
          <w:rFonts w:cs="Arial"/>
          <w:szCs w:val="20"/>
        </w:rPr>
        <w:t xml:space="preserve"> in drugih ministrstev</w:t>
      </w:r>
      <w:r w:rsidRPr="00D504F4">
        <w:rPr>
          <w:rFonts w:cs="Arial"/>
          <w:szCs w:val="20"/>
        </w:rPr>
        <w:t>, ki potujejo zaradi predsedovanja EU</w:t>
      </w:r>
      <w:r>
        <w:rPr>
          <w:rFonts w:cs="Arial"/>
          <w:szCs w:val="20"/>
        </w:rPr>
        <w:t>;</w:t>
      </w:r>
      <w:r w:rsidRPr="00805783">
        <w:rPr>
          <w:rFonts w:cs="Arial"/>
          <w:szCs w:val="20"/>
        </w:rPr>
        <w:t xml:space="preserve"> </w:t>
      </w:r>
      <w:r>
        <w:rPr>
          <w:rFonts w:cs="Arial"/>
          <w:szCs w:val="20"/>
        </w:rPr>
        <w:t xml:space="preserve">tuji </w:t>
      </w:r>
      <w:r w:rsidRPr="00D504F4">
        <w:rPr>
          <w:rFonts w:cs="Arial"/>
          <w:szCs w:val="20"/>
        </w:rPr>
        <w:t>diplomatski predstavniki</w:t>
      </w:r>
      <w:r>
        <w:rPr>
          <w:rFonts w:cs="Arial"/>
          <w:szCs w:val="20"/>
        </w:rPr>
        <w:t xml:space="preserve"> </w:t>
      </w:r>
      <w:r w:rsidRPr="00D504F4">
        <w:rPr>
          <w:rFonts w:cs="Arial"/>
          <w:szCs w:val="20"/>
        </w:rPr>
        <w:t>v RS</w:t>
      </w:r>
      <w:r>
        <w:rPr>
          <w:rFonts w:cs="Arial"/>
          <w:szCs w:val="20"/>
        </w:rPr>
        <w:t xml:space="preserve">; </w:t>
      </w:r>
      <w:r w:rsidRPr="00D504F4">
        <w:rPr>
          <w:rFonts w:cs="Arial"/>
          <w:szCs w:val="20"/>
        </w:rPr>
        <w:t>pripadniki Slovenske vojske</w:t>
      </w:r>
      <w:r>
        <w:rPr>
          <w:rFonts w:cs="Arial"/>
          <w:szCs w:val="20"/>
        </w:rPr>
        <w:t xml:space="preserve">, </w:t>
      </w:r>
      <w:r w:rsidRPr="002F07ED">
        <w:rPr>
          <w:rFonts w:cs="Arial"/>
          <w:szCs w:val="20"/>
        </w:rPr>
        <w:t>ki odhaja</w:t>
      </w:r>
      <w:r>
        <w:rPr>
          <w:rFonts w:cs="Arial"/>
          <w:szCs w:val="20"/>
        </w:rPr>
        <w:t>jo</w:t>
      </w:r>
      <w:r w:rsidRPr="002F07ED">
        <w:rPr>
          <w:rFonts w:cs="Arial"/>
          <w:szCs w:val="20"/>
        </w:rPr>
        <w:t xml:space="preserve"> na mirovne misije </w:t>
      </w:r>
      <w:r>
        <w:rPr>
          <w:rFonts w:cs="Arial"/>
          <w:szCs w:val="20"/>
        </w:rPr>
        <w:t xml:space="preserve">na tuje in </w:t>
      </w:r>
      <w:r w:rsidRPr="002F07ED">
        <w:rPr>
          <w:rFonts w:cs="Arial"/>
          <w:szCs w:val="20"/>
        </w:rPr>
        <w:t xml:space="preserve">pripadniki Policije, </w:t>
      </w:r>
      <w:r>
        <w:rPr>
          <w:rFonts w:cs="Arial"/>
          <w:szCs w:val="20"/>
        </w:rPr>
        <w:t xml:space="preserve">ki odhajajo na mirovne civilne misije </w:t>
      </w:r>
      <w:r w:rsidRPr="002F07ED">
        <w:rPr>
          <w:rFonts w:cs="Arial"/>
          <w:szCs w:val="20"/>
        </w:rPr>
        <w:t>na tuje</w:t>
      </w:r>
      <w:r>
        <w:rPr>
          <w:rFonts w:cs="Arial"/>
          <w:szCs w:val="20"/>
        </w:rPr>
        <w:t xml:space="preserve">; </w:t>
      </w:r>
      <w:r w:rsidRPr="00E10BB5">
        <w:rPr>
          <w:rFonts w:cs="Arial"/>
          <w:szCs w:val="20"/>
        </w:rPr>
        <w:t xml:space="preserve">udeleženci Olimpijskih </w:t>
      </w:r>
      <w:r>
        <w:rPr>
          <w:rFonts w:cs="Arial"/>
          <w:szCs w:val="20"/>
        </w:rPr>
        <w:t xml:space="preserve">in Paralimpijskih </w:t>
      </w:r>
      <w:r w:rsidRPr="00E10BB5">
        <w:rPr>
          <w:rFonts w:cs="Arial"/>
          <w:szCs w:val="20"/>
        </w:rPr>
        <w:t>iger</w:t>
      </w:r>
      <w:r>
        <w:rPr>
          <w:rFonts w:cs="Arial"/>
          <w:szCs w:val="20"/>
        </w:rPr>
        <w:t>,</w:t>
      </w:r>
    </w:p>
    <w:p w:rsidR="00491F9B" w:rsidRPr="00D504F4" w:rsidRDefault="00491F9B" w:rsidP="00491F9B">
      <w:pPr>
        <w:numPr>
          <w:ilvl w:val="0"/>
          <w:numId w:val="26"/>
        </w:numPr>
        <w:autoSpaceDE w:val="0"/>
        <w:autoSpaceDN w:val="0"/>
        <w:adjustRightInd w:val="0"/>
        <w:ind w:hanging="720"/>
        <w:jc w:val="both"/>
        <w:rPr>
          <w:rFonts w:cs="Arial"/>
          <w:szCs w:val="20"/>
        </w:rPr>
      </w:pPr>
      <w:r>
        <w:rPr>
          <w:rFonts w:cs="Arial"/>
          <w:szCs w:val="20"/>
        </w:rPr>
        <w:t>o</w:t>
      </w:r>
      <w:r w:rsidRPr="00D504F4">
        <w:rPr>
          <w:rFonts w:cs="Arial"/>
          <w:szCs w:val="20"/>
        </w:rPr>
        <w:t>sebe, stare 6</w:t>
      </w:r>
      <w:r>
        <w:rPr>
          <w:rFonts w:cs="Arial"/>
          <w:szCs w:val="20"/>
        </w:rPr>
        <w:t>0</w:t>
      </w:r>
      <w:r w:rsidRPr="00D504F4">
        <w:rPr>
          <w:rFonts w:cs="Arial"/>
          <w:szCs w:val="20"/>
        </w:rPr>
        <w:t xml:space="preserve"> let in več</w:t>
      </w:r>
      <w:r>
        <w:rPr>
          <w:rFonts w:cs="Arial"/>
          <w:szCs w:val="20"/>
        </w:rPr>
        <w:t>;</w:t>
      </w:r>
      <w:r w:rsidRPr="00E10BB5">
        <w:rPr>
          <w:rFonts w:cs="Arial"/>
          <w:szCs w:val="20"/>
        </w:rPr>
        <w:t xml:space="preserve"> </w:t>
      </w:r>
      <w:r>
        <w:rPr>
          <w:rFonts w:cs="Arial"/>
          <w:szCs w:val="20"/>
        </w:rPr>
        <w:t>k</w:t>
      </w:r>
      <w:r w:rsidRPr="00D504F4">
        <w:rPr>
          <w:rFonts w:cs="Arial"/>
          <w:szCs w:val="20"/>
        </w:rPr>
        <w:t>ronični bolniki, stari od 18 do 64 let (ki ne sodijo v skupino posebej ranljivih kroničnih bolnikov)</w:t>
      </w:r>
      <w:r>
        <w:rPr>
          <w:rFonts w:cs="Arial"/>
          <w:szCs w:val="20"/>
        </w:rPr>
        <w:t>,</w:t>
      </w:r>
    </w:p>
    <w:p w:rsidR="00491F9B" w:rsidRPr="00D504F4" w:rsidRDefault="00491F9B" w:rsidP="00491F9B">
      <w:pPr>
        <w:numPr>
          <w:ilvl w:val="0"/>
          <w:numId w:val="26"/>
        </w:numPr>
        <w:autoSpaceDE w:val="0"/>
        <w:autoSpaceDN w:val="0"/>
        <w:adjustRightInd w:val="0"/>
        <w:ind w:hanging="720"/>
        <w:jc w:val="both"/>
        <w:rPr>
          <w:rFonts w:cs="Arial"/>
          <w:szCs w:val="20"/>
        </w:rPr>
      </w:pPr>
      <w:r>
        <w:rPr>
          <w:rFonts w:cs="Arial"/>
          <w:szCs w:val="20"/>
        </w:rPr>
        <w:t xml:space="preserve">Predsednik RS in </w:t>
      </w:r>
      <w:r w:rsidRPr="00D504F4">
        <w:rPr>
          <w:rFonts w:cs="Arial"/>
          <w:szCs w:val="20"/>
        </w:rPr>
        <w:t>Urad Predsednika republike</w:t>
      </w:r>
      <w:r>
        <w:rPr>
          <w:rFonts w:cs="Arial"/>
          <w:szCs w:val="20"/>
        </w:rPr>
        <w:t>,</w:t>
      </w:r>
      <w:r w:rsidRPr="00D504F4">
        <w:rPr>
          <w:rFonts w:cs="Arial"/>
          <w:szCs w:val="20"/>
        </w:rPr>
        <w:t xml:space="preserve"> poslanci DZ in državni svetniki DS (in del strokovnih služb), Vlada RS in </w:t>
      </w:r>
      <w:r>
        <w:rPr>
          <w:rFonts w:cs="Arial"/>
          <w:szCs w:val="20"/>
        </w:rPr>
        <w:t xml:space="preserve">Urad predsednika Vlade RS, </w:t>
      </w:r>
      <w:r w:rsidRPr="00D504F4">
        <w:rPr>
          <w:rFonts w:cs="Arial"/>
          <w:szCs w:val="20"/>
        </w:rPr>
        <w:t>Ustavno sodišče</w:t>
      </w:r>
      <w:r>
        <w:rPr>
          <w:rFonts w:cs="Arial"/>
          <w:szCs w:val="20"/>
        </w:rPr>
        <w:t>,</w:t>
      </w:r>
      <w:r w:rsidRPr="00D504F4">
        <w:rPr>
          <w:rFonts w:cs="Arial"/>
          <w:szCs w:val="20"/>
        </w:rPr>
        <w:t xml:space="preserve"> župani in direktorji občinskih uprav, </w:t>
      </w:r>
      <w:r>
        <w:rPr>
          <w:rFonts w:cs="Arial"/>
          <w:szCs w:val="20"/>
        </w:rPr>
        <w:t>z</w:t>
      </w:r>
      <w:r w:rsidRPr="00D504F4">
        <w:rPr>
          <w:rFonts w:cs="Arial"/>
          <w:szCs w:val="20"/>
        </w:rPr>
        <w:t xml:space="preserve">aposleni v </w:t>
      </w:r>
      <w:r>
        <w:rPr>
          <w:rFonts w:cs="Arial"/>
          <w:szCs w:val="20"/>
        </w:rPr>
        <w:t xml:space="preserve">državni upravi in pravosodju, </w:t>
      </w:r>
      <w:r w:rsidRPr="00D504F4">
        <w:rPr>
          <w:rFonts w:cs="Arial"/>
          <w:szCs w:val="20"/>
        </w:rPr>
        <w:t xml:space="preserve">ki izvajajo naloge, nujne za nemoteno delovanje Vlade RS </w:t>
      </w:r>
      <w:r>
        <w:rPr>
          <w:rFonts w:cs="Arial"/>
          <w:szCs w:val="20"/>
        </w:rPr>
        <w:t xml:space="preserve">in pravosodnega sistema, </w:t>
      </w:r>
      <w:r w:rsidRPr="00D504F4">
        <w:rPr>
          <w:rFonts w:cs="Arial"/>
          <w:szCs w:val="20"/>
        </w:rPr>
        <w:t>Upravi RS za zaščito in reševanje</w:t>
      </w:r>
      <w:r>
        <w:rPr>
          <w:rFonts w:cs="Arial"/>
          <w:szCs w:val="20"/>
        </w:rPr>
        <w:t xml:space="preserve"> ter</w:t>
      </w:r>
      <w:r w:rsidRPr="00D504F4">
        <w:rPr>
          <w:rFonts w:cs="Arial"/>
          <w:szCs w:val="20"/>
        </w:rPr>
        <w:t xml:space="preserve"> policiji</w:t>
      </w:r>
      <w:r>
        <w:rPr>
          <w:rFonts w:cs="Arial"/>
          <w:szCs w:val="20"/>
        </w:rPr>
        <w:t xml:space="preserve"> in slovenski vojski,</w:t>
      </w:r>
      <w:r w:rsidRPr="007E4A11">
        <w:rPr>
          <w:rFonts w:cs="Arial"/>
          <w:szCs w:val="20"/>
        </w:rPr>
        <w:t xml:space="preserve"> </w:t>
      </w:r>
    </w:p>
    <w:p w:rsidR="00491F9B" w:rsidRPr="00D504F4" w:rsidRDefault="00491F9B" w:rsidP="00491F9B">
      <w:pPr>
        <w:numPr>
          <w:ilvl w:val="0"/>
          <w:numId w:val="26"/>
        </w:numPr>
        <w:autoSpaceDE w:val="0"/>
        <w:autoSpaceDN w:val="0"/>
        <w:adjustRightInd w:val="0"/>
        <w:ind w:hanging="720"/>
        <w:jc w:val="both"/>
        <w:rPr>
          <w:rFonts w:cs="Arial"/>
          <w:szCs w:val="20"/>
        </w:rPr>
      </w:pPr>
      <w:r>
        <w:rPr>
          <w:rFonts w:cs="Arial"/>
          <w:szCs w:val="20"/>
        </w:rPr>
        <w:t xml:space="preserve">zaposleni v sektorjih energetike, prometa, prehrane, </w:t>
      </w:r>
      <w:r w:rsidRPr="00CA0F3F">
        <w:rPr>
          <w:rFonts w:cs="Arial"/>
          <w:szCs w:val="20"/>
        </w:rPr>
        <w:t>farmacevtske industrije in farmacevtske veletrgovske dejavnosti</w:t>
      </w:r>
      <w:r>
        <w:rPr>
          <w:rFonts w:cs="Arial"/>
          <w:szCs w:val="20"/>
        </w:rPr>
        <w:t xml:space="preserve">, preskrbe s pitno vodo, financ, varovanja okolja ter informacijsko-komunikacijskih omrežij in sistemov ter </w:t>
      </w:r>
      <w:r w:rsidRPr="00D504F4">
        <w:rPr>
          <w:rFonts w:cs="Arial"/>
          <w:szCs w:val="20"/>
        </w:rPr>
        <w:t>drugi zaposleni, ki izvajajo naloge, nujne za nemoteno delovanje države</w:t>
      </w:r>
      <w:r>
        <w:rPr>
          <w:rFonts w:cs="Arial"/>
          <w:szCs w:val="20"/>
        </w:rPr>
        <w:t>,</w:t>
      </w:r>
      <w:r w:rsidRPr="00D23E82">
        <w:rPr>
          <w:rFonts w:cs="Arial"/>
          <w:szCs w:val="20"/>
        </w:rPr>
        <w:t xml:space="preserve"> </w:t>
      </w:r>
      <w:r w:rsidRPr="00193C96">
        <w:rPr>
          <w:rFonts w:cs="Arial"/>
          <w:szCs w:val="20"/>
        </w:rPr>
        <w:t>zaposleni in prostovoljci v organizacijah in združenjih, ki nudijo neposredno pomoč kroničnim bolnikom, odvisnim od drog</w:t>
      </w:r>
      <w:r>
        <w:rPr>
          <w:rFonts w:cs="Arial"/>
          <w:szCs w:val="20"/>
        </w:rPr>
        <w:t>,</w:t>
      </w:r>
      <w:r w:rsidRPr="00193C96">
        <w:rPr>
          <w:rFonts w:cs="Arial"/>
          <w:szCs w:val="20"/>
        </w:rPr>
        <w:t xml:space="preserve"> in drugim ranljivim skupinam</w:t>
      </w:r>
      <w:r>
        <w:rPr>
          <w:rFonts w:cs="Arial"/>
          <w:szCs w:val="20"/>
        </w:rPr>
        <w:t xml:space="preserve">, </w:t>
      </w:r>
    </w:p>
    <w:p w:rsidR="00491F9B" w:rsidRPr="00D504F4" w:rsidRDefault="00491F9B" w:rsidP="00491F9B">
      <w:pPr>
        <w:numPr>
          <w:ilvl w:val="0"/>
          <w:numId w:val="26"/>
        </w:numPr>
        <w:autoSpaceDE w:val="0"/>
        <w:autoSpaceDN w:val="0"/>
        <w:adjustRightInd w:val="0"/>
        <w:ind w:hanging="720"/>
        <w:jc w:val="both"/>
        <w:rPr>
          <w:rFonts w:cs="Arial"/>
          <w:color w:val="000000"/>
          <w:szCs w:val="20"/>
        </w:rPr>
      </w:pPr>
      <w:r>
        <w:rPr>
          <w:rFonts w:cs="Arial"/>
          <w:color w:val="000000"/>
          <w:szCs w:val="20"/>
        </w:rPr>
        <w:t>o</w:t>
      </w:r>
      <w:r w:rsidRPr="00D504F4">
        <w:rPr>
          <w:rFonts w:cs="Arial"/>
          <w:color w:val="000000"/>
          <w:szCs w:val="20"/>
        </w:rPr>
        <w:t>stalo prebivalstvo po vrstnem redu prijav</w:t>
      </w:r>
      <w:r>
        <w:rPr>
          <w:rFonts w:cs="Arial"/>
          <w:color w:val="000000"/>
          <w:szCs w:val="20"/>
        </w:rPr>
        <w:t>.</w:t>
      </w:r>
      <w:r w:rsidRPr="00D504F4">
        <w:rPr>
          <w:rFonts w:cs="Arial"/>
          <w:color w:val="000000"/>
          <w:szCs w:val="20"/>
        </w:rPr>
        <w:t xml:space="preserve"> </w:t>
      </w:r>
    </w:p>
    <w:p w:rsidR="00491F9B" w:rsidRPr="00D504F4" w:rsidRDefault="00491F9B" w:rsidP="00491F9B">
      <w:pPr>
        <w:autoSpaceDE w:val="0"/>
        <w:autoSpaceDN w:val="0"/>
        <w:adjustRightInd w:val="0"/>
        <w:jc w:val="both"/>
        <w:rPr>
          <w:rFonts w:cs="Arial"/>
          <w:color w:val="000000"/>
          <w:szCs w:val="20"/>
        </w:rPr>
      </w:pPr>
    </w:p>
    <w:p w:rsidR="00491F9B" w:rsidRPr="00D504F4" w:rsidRDefault="00491F9B" w:rsidP="00491F9B">
      <w:pPr>
        <w:autoSpaceDE w:val="0"/>
        <w:autoSpaceDN w:val="0"/>
        <w:adjustRightInd w:val="0"/>
        <w:jc w:val="both"/>
        <w:rPr>
          <w:rFonts w:cs="Arial"/>
          <w:color w:val="000000"/>
          <w:szCs w:val="20"/>
        </w:rPr>
      </w:pPr>
      <w:r w:rsidRPr="00D504F4">
        <w:rPr>
          <w:rFonts w:cs="Arial"/>
          <w:b/>
          <w:bCs/>
          <w:color w:val="000000"/>
          <w:szCs w:val="20"/>
          <w:vertAlign w:val="superscript"/>
        </w:rPr>
        <w:t>*</w:t>
      </w:r>
      <w:r w:rsidRPr="00D504F4">
        <w:rPr>
          <w:rFonts w:cs="Arial"/>
          <w:b/>
          <w:bCs/>
          <w:color w:val="000000"/>
          <w:szCs w:val="20"/>
        </w:rPr>
        <w:t xml:space="preserve">Posebej ranljivi kronični bolniki </w:t>
      </w:r>
      <w:r w:rsidRPr="00D504F4">
        <w:rPr>
          <w:rFonts w:cs="Arial"/>
          <w:color w:val="000000"/>
          <w:szCs w:val="20"/>
        </w:rPr>
        <w:t xml:space="preserve">(tik pred terapijo ali na določeni terapiji) </w:t>
      </w:r>
    </w:p>
    <w:p w:rsidR="00491F9B" w:rsidRPr="00D504F4" w:rsidRDefault="00491F9B" w:rsidP="00491F9B">
      <w:pPr>
        <w:autoSpaceDE w:val="0"/>
        <w:autoSpaceDN w:val="0"/>
        <w:adjustRightInd w:val="0"/>
        <w:jc w:val="both"/>
        <w:rPr>
          <w:rFonts w:cs="Arial"/>
          <w:color w:val="000000"/>
          <w:szCs w:val="20"/>
        </w:rPr>
      </w:pPr>
      <w:r>
        <w:rPr>
          <w:rFonts w:cs="Arial"/>
          <w:color w:val="000000"/>
          <w:szCs w:val="20"/>
        </w:rPr>
        <w:t>1.</w:t>
      </w:r>
      <w:r>
        <w:rPr>
          <w:rFonts w:cs="Arial"/>
          <w:color w:val="000000"/>
          <w:szCs w:val="20"/>
        </w:rPr>
        <w:tab/>
      </w:r>
      <w:r w:rsidRPr="00D504F4">
        <w:rPr>
          <w:rFonts w:cs="Arial"/>
          <w:color w:val="000000"/>
          <w:szCs w:val="20"/>
        </w:rPr>
        <w:t xml:space="preserve">bolniki s presajenimi organi (tudi pred planirano presaditvijo); </w:t>
      </w:r>
    </w:p>
    <w:p w:rsidR="00491F9B" w:rsidRPr="00D504F4" w:rsidRDefault="00491F9B" w:rsidP="00491F9B">
      <w:pPr>
        <w:autoSpaceDE w:val="0"/>
        <w:autoSpaceDN w:val="0"/>
        <w:adjustRightInd w:val="0"/>
        <w:jc w:val="both"/>
        <w:rPr>
          <w:rFonts w:cs="Arial"/>
          <w:color w:val="000000"/>
          <w:szCs w:val="20"/>
        </w:rPr>
      </w:pPr>
      <w:r>
        <w:rPr>
          <w:rFonts w:cs="Arial"/>
          <w:color w:val="000000"/>
          <w:szCs w:val="20"/>
        </w:rPr>
        <w:t>2.</w:t>
      </w:r>
      <w:r>
        <w:rPr>
          <w:rFonts w:cs="Arial"/>
          <w:color w:val="000000"/>
          <w:szCs w:val="20"/>
        </w:rPr>
        <w:tab/>
      </w:r>
      <w:r w:rsidRPr="00D504F4">
        <w:rPr>
          <w:rFonts w:cs="Arial"/>
          <w:color w:val="000000"/>
          <w:szCs w:val="20"/>
        </w:rPr>
        <w:t xml:space="preserve">bolniki z določenimi rakavimi obolenji: </w:t>
      </w:r>
    </w:p>
    <w:p w:rsidR="00491F9B" w:rsidRPr="00D504F4" w:rsidRDefault="00491F9B" w:rsidP="00491F9B">
      <w:pPr>
        <w:numPr>
          <w:ilvl w:val="0"/>
          <w:numId w:val="28"/>
        </w:numPr>
        <w:autoSpaceDE w:val="0"/>
        <w:autoSpaceDN w:val="0"/>
        <w:adjustRightInd w:val="0"/>
        <w:ind w:hanging="11"/>
        <w:jc w:val="both"/>
        <w:rPr>
          <w:rFonts w:cs="Arial"/>
          <w:color w:val="000000"/>
          <w:szCs w:val="20"/>
        </w:rPr>
      </w:pPr>
      <w:r w:rsidRPr="00D504F4">
        <w:rPr>
          <w:rFonts w:cs="Arial"/>
          <w:color w:val="000000"/>
          <w:szCs w:val="20"/>
        </w:rPr>
        <w:t xml:space="preserve">bolniki, ki so trenutno na kemoterapiji </w:t>
      </w:r>
    </w:p>
    <w:p w:rsidR="00491F9B" w:rsidRPr="00D504F4" w:rsidRDefault="00491F9B" w:rsidP="00491F9B">
      <w:pPr>
        <w:numPr>
          <w:ilvl w:val="0"/>
          <w:numId w:val="28"/>
        </w:numPr>
        <w:autoSpaceDE w:val="0"/>
        <w:autoSpaceDN w:val="0"/>
        <w:adjustRightInd w:val="0"/>
        <w:ind w:hanging="11"/>
        <w:jc w:val="both"/>
        <w:rPr>
          <w:rFonts w:cs="Arial"/>
          <w:color w:val="000000"/>
          <w:szCs w:val="20"/>
        </w:rPr>
      </w:pPr>
      <w:r w:rsidRPr="00D504F4">
        <w:rPr>
          <w:rFonts w:cs="Arial"/>
          <w:color w:val="000000"/>
          <w:szCs w:val="20"/>
        </w:rPr>
        <w:t xml:space="preserve">bolniki s pljučnim rakom na radikalni radioterapiji </w:t>
      </w:r>
    </w:p>
    <w:p w:rsidR="00491F9B" w:rsidRPr="00D504F4" w:rsidRDefault="00491F9B" w:rsidP="00491F9B">
      <w:pPr>
        <w:numPr>
          <w:ilvl w:val="0"/>
          <w:numId w:val="28"/>
        </w:numPr>
        <w:autoSpaceDE w:val="0"/>
        <w:autoSpaceDN w:val="0"/>
        <w:adjustRightInd w:val="0"/>
        <w:ind w:hanging="11"/>
        <w:jc w:val="both"/>
        <w:rPr>
          <w:rFonts w:cs="Arial"/>
          <w:color w:val="000000"/>
          <w:szCs w:val="20"/>
        </w:rPr>
      </w:pPr>
      <w:r w:rsidRPr="00D504F4">
        <w:rPr>
          <w:rFonts w:cs="Arial"/>
          <w:color w:val="000000"/>
          <w:szCs w:val="20"/>
        </w:rPr>
        <w:t xml:space="preserve">bolniki z rakom krvotvornih organov ne glede na fazo zdravljenja </w:t>
      </w:r>
    </w:p>
    <w:p w:rsidR="00491F9B" w:rsidRPr="00D504F4" w:rsidRDefault="00491F9B" w:rsidP="00491F9B">
      <w:pPr>
        <w:numPr>
          <w:ilvl w:val="0"/>
          <w:numId w:val="28"/>
        </w:numPr>
        <w:autoSpaceDE w:val="0"/>
        <w:autoSpaceDN w:val="0"/>
        <w:adjustRightInd w:val="0"/>
        <w:ind w:hanging="11"/>
        <w:jc w:val="both"/>
        <w:rPr>
          <w:rFonts w:cs="Arial"/>
          <w:color w:val="000000"/>
          <w:szCs w:val="20"/>
        </w:rPr>
      </w:pPr>
      <w:r w:rsidRPr="00D504F4">
        <w:rPr>
          <w:rFonts w:cs="Arial"/>
          <w:color w:val="000000"/>
          <w:szCs w:val="20"/>
        </w:rPr>
        <w:t xml:space="preserve">bolniki z rakom na imunoterapiji ali prejemniki zdravljenj s protitelesi </w:t>
      </w:r>
    </w:p>
    <w:p w:rsidR="00491F9B" w:rsidRPr="00D504F4" w:rsidRDefault="00491F9B" w:rsidP="00491F9B">
      <w:pPr>
        <w:numPr>
          <w:ilvl w:val="0"/>
          <w:numId w:val="28"/>
        </w:numPr>
        <w:autoSpaceDE w:val="0"/>
        <w:autoSpaceDN w:val="0"/>
        <w:adjustRightInd w:val="0"/>
        <w:ind w:left="1418" w:hanging="709"/>
        <w:jc w:val="both"/>
        <w:rPr>
          <w:rFonts w:cs="Arial"/>
          <w:color w:val="000000"/>
          <w:szCs w:val="20"/>
        </w:rPr>
      </w:pPr>
      <w:r w:rsidRPr="00D504F4">
        <w:rPr>
          <w:rFonts w:cs="Arial"/>
          <w:color w:val="000000"/>
          <w:szCs w:val="20"/>
        </w:rPr>
        <w:t xml:space="preserve">bolniki z rakom, ki prejemajo zdravljenje, ki vpliva na imunski sistem, kot so inhibitorji proteinske kinaze ali PARP inhibitorji </w:t>
      </w:r>
    </w:p>
    <w:p w:rsidR="00491F9B" w:rsidRPr="00D504F4" w:rsidRDefault="00491F9B" w:rsidP="00491F9B">
      <w:pPr>
        <w:numPr>
          <w:ilvl w:val="0"/>
          <w:numId w:val="28"/>
        </w:numPr>
        <w:autoSpaceDE w:val="0"/>
        <w:autoSpaceDN w:val="0"/>
        <w:adjustRightInd w:val="0"/>
        <w:ind w:hanging="11"/>
        <w:jc w:val="both"/>
        <w:rPr>
          <w:rFonts w:cs="Arial"/>
          <w:color w:val="000000"/>
          <w:szCs w:val="20"/>
        </w:rPr>
      </w:pPr>
      <w:r w:rsidRPr="00D504F4">
        <w:rPr>
          <w:rFonts w:cs="Arial"/>
          <w:color w:val="000000"/>
          <w:szCs w:val="20"/>
        </w:rPr>
        <w:t xml:space="preserve">bolniki po PKMC v zadnjih 6 mesecih ali če še prejemajo imunosupresivna zdravila; </w:t>
      </w:r>
    </w:p>
    <w:p w:rsidR="00491F9B" w:rsidRPr="00D504F4" w:rsidRDefault="00491F9B" w:rsidP="00491F9B">
      <w:pPr>
        <w:autoSpaceDE w:val="0"/>
        <w:autoSpaceDN w:val="0"/>
        <w:adjustRightInd w:val="0"/>
        <w:ind w:left="709" w:hanging="709"/>
        <w:jc w:val="both"/>
        <w:rPr>
          <w:rFonts w:cs="Arial"/>
          <w:color w:val="000000"/>
          <w:szCs w:val="20"/>
        </w:rPr>
      </w:pPr>
      <w:r>
        <w:rPr>
          <w:rFonts w:cs="Arial"/>
          <w:color w:val="000000"/>
          <w:szCs w:val="20"/>
        </w:rPr>
        <w:t>3.</w:t>
      </w:r>
      <w:r>
        <w:rPr>
          <w:rFonts w:cs="Arial"/>
          <w:color w:val="000000"/>
          <w:szCs w:val="20"/>
        </w:rPr>
        <w:tab/>
      </w:r>
      <w:r w:rsidRPr="00D504F4">
        <w:rPr>
          <w:rFonts w:cs="Arial"/>
          <w:color w:val="000000"/>
          <w:szCs w:val="20"/>
        </w:rPr>
        <w:t xml:space="preserve">bolniki s hudimi boleznimi pljuč: npr. cistična fibroza, težka astma (vsi, ki imajo kljub maksimalni inhalacijski terapiji in prepoznani zdravljeni komorbidnosti, še vsaj </w:t>
      </w:r>
      <w:r>
        <w:rPr>
          <w:rFonts w:cs="Arial"/>
          <w:color w:val="000000"/>
          <w:szCs w:val="20"/>
        </w:rPr>
        <w:br/>
      </w:r>
      <w:r w:rsidRPr="00D504F4">
        <w:rPr>
          <w:rFonts w:cs="Arial"/>
          <w:color w:val="000000"/>
          <w:szCs w:val="20"/>
        </w:rPr>
        <w:t>2 poslabšanji na leto in potrebujejo sistemski steroid in/ali imajo uvedeno biološko terapijo), KOPB (vsi, ki imajo vsaj 2 poslabšanji letno in potrebujejo antibiotično terapijo ali sistemski steroid oz. vsaj enkrat letno hospitalizacijo zaradi poslabšanja), bolniki s pomanjkanjem alfa1antitripsina, bolniki z restriktivnimi boleznimi pljuč s VC &lt; 60</w:t>
      </w:r>
      <w:r>
        <w:rPr>
          <w:rFonts w:cs="Arial"/>
          <w:color w:val="000000"/>
          <w:szCs w:val="20"/>
        </w:rPr>
        <w:t xml:space="preserve"> </w:t>
      </w:r>
      <w:r w:rsidRPr="00D504F4">
        <w:rPr>
          <w:rFonts w:cs="Arial"/>
          <w:color w:val="000000"/>
          <w:szCs w:val="20"/>
        </w:rPr>
        <w:t xml:space="preserve">% norme in bolniki z idiopatsko pljučno fibrozo, </w:t>
      </w:r>
    </w:p>
    <w:p w:rsidR="00491F9B" w:rsidRPr="00D504F4" w:rsidRDefault="00491F9B" w:rsidP="00491F9B">
      <w:pPr>
        <w:autoSpaceDE w:val="0"/>
        <w:autoSpaceDN w:val="0"/>
        <w:adjustRightInd w:val="0"/>
        <w:ind w:left="709" w:hanging="709"/>
        <w:jc w:val="both"/>
        <w:rPr>
          <w:rFonts w:cs="Arial"/>
          <w:color w:val="000000"/>
          <w:szCs w:val="20"/>
        </w:rPr>
      </w:pPr>
      <w:r>
        <w:rPr>
          <w:rFonts w:cs="Arial"/>
          <w:color w:val="000000"/>
          <w:szCs w:val="20"/>
        </w:rPr>
        <w:lastRenderedPageBreak/>
        <w:t>4.</w:t>
      </w:r>
      <w:r>
        <w:rPr>
          <w:rFonts w:cs="Arial"/>
          <w:color w:val="000000"/>
          <w:szCs w:val="20"/>
        </w:rPr>
        <w:tab/>
      </w:r>
      <w:r w:rsidRPr="00D504F4">
        <w:rPr>
          <w:rFonts w:cs="Arial"/>
          <w:color w:val="000000"/>
          <w:szCs w:val="20"/>
        </w:rPr>
        <w:t xml:space="preserve">bolniki z redkimi boleznimi, ki povečujejo tveganje za okužbo (npr. težke prirojene okvare imunosti); </w:t>
      </w:r>
    </w:p>
    <w:p w:rsidR="00491F9B" w:rsidRPr="00D504F4" w:rsidRDefault="00491F9B" w:rsidP="00491F9B">
      <w:pPr>
        <w:autoSpaceDE w:val="0"/>
        <w:autoSpaceDN w:val="0"/>
        <w:adjustRightInd w:val="0"/>
        <w:ind w:left="709" w:hanging="709"/>
        <w:jc w:val="both"/>
        <w:rPr>
          <w:rFonts w:cs="Arial"/>
          <w:color w:val="000000"/>
          <w:szCs w:val="20"/>
        </w:rPr>
      </w:pPr>
      <w:r>
        <w:rPr>
          <w:rFonts w:cs="Arial"/>
          <w:color w:val="000000"/>
          <w:szCs w:val="20"/>
        </w:rPr>
        <w:t>5.</w:t>
      </w:r>
      <w:r>
        <w:rPr>
          <w:rFonts w:cs="Arial"/>
          <w:color w:val="000000"/>
          <w:szCs w:val="20"/>
        </w:rPr>
        <w:tab/>
      </w:r>
      <w:r w:rsidRPr="00D504F4">
        <w:rPr>
          <w:rFonts w:cs="Arial"/>
          <w:color w:val="000000"/>
          <w:szCs w:val="20"/>
        </w:rPr>
        <w:t xml:space="preserve">osebe na imunosupresivnem zdravljenju ali s stanji, ki povečajo tveganje za okužbo (po IDSA**); </w:t>
      </w:r>
    </w:p>
    <w:p w:rsidR="00491F9B" w:rsidRPr="00D504F4" w:rsidRDefault="00491F9B" w:rsidP="00491F9B">
      <w:pPr>
        <w:autoSpaceDE w:val="0"/>
        <w:autoSpaceDN w:val="0"/>
        <w:adjustRightInd w:val="0"/>
        <w:jc w:val="both"/>
        <w:rPr>
          <w:rFonts w:cs="Arial"/>
          <w:color w:val="000000"/>
          <w:szCs w:val="20"/>
        </w:rPr>
      </w:pPr>
      <w:r>
        <w:rPr>
          <w:rFonts w:cs="Arial"/>
          <w:color w:val="000000"/>
          <w:szCs w:val="20"/>
        </w:rPr>
        <w:t>6.</w:t>
      </w:r>
      <w:r>
        <w:rPr>
          <w:rFonts w:cs="Arial"/>
          <w:color w:val="000000"/>
          <w:szCs w:val="20"/>
        </w:rPr>
        <w:tab/>
      </w:r>
      <w:r w:rsidRPr="00D504F4">
        <w:rPr>
          <w:rFonts w:cs="Arial"/>
          <w:color w:val="000000"/>
          <w:szCs w:val="20"/>
        </w:rPr>
        <w:t xml:space="preserve">odrasli z Downovim sindromom; </w:t>
      </w:r>
    </w:p>
    <w:p w:rsidR="00491F9B" w:rsidRPr="00D504F4" w:rsidRDefault="00491F9B" w:rsidP="00491F9B">
      <w:pPr>
        <w:autoSpaceDE w:val="0"/>
        <w:autoSpaceDN w:val="0"/>
        <w:adjustRightInd w:val="0"/>
        <w:jc w:val="both"/>
        <w:rPr>
          <w:rFonts w:cs="Arial"/>
          <w:color w:val="000000"/>
          <w:szCs w:val="20"/>
        </w:rPr>
      </w:pPr>
      <w:r>
        <w:rPr>
          <w:rFonts w:cs="Arial"/>
          <w:color w:val="000000"/>
          <w:szCs w:val="20"/>
        </w:rPr>
        <w:t>7.</w:t>
      </w:r>
      <w:r>
        <w:rPr>
          <w:rFonts w:cs="Arial"/>
          <w:color w:val="000000"/>
          <w:szCs w:val="20"/>
        </w:rPr>
        <w:tab/>
      </w:r>
      <w:r w:rsidRPr="00D504F4">
        <w:rPr>
          <w:rFonts w:cs="Arial"/>
          <w:color w:val="000000"/>
          <w:szCs w:val="20"/>
        </w:rPr>
        <w:t xml:space="preserve">odrasli na dializi ali s kronično ledvično boleznijo 5. stopnje. </w:t>
      </w:r>
    </w:p>
    <w:p w:rsidR="00491F9B" w:rsidRDefault="00491F9B" w:rsidP="00491F9B">
      <w:pPr>
        <w:autoSpaceDE w:val="0"/>
        <w:autoSpaceDN w:val="0"/>
        <w:adjustRightInd w:val="0"/>
        <w:jc w:val="both"/>
        <w:rPr>
          <w:rFonts w:cs="Arial"/>
          <w:color w:val="000000"/>
          <w:szCs w:val="20"/>
        </w:rPr>
      </w:pPr>
      <w:r>
        <w:rPr>
          <w:rFonts w:cs="Arial"/>
          <w:color w:val="000000"/>
          <w:szCs w:val="20"/>
        </w:rPr>
        <w:t>8.</w:t>
      </w:r>
      <w:r>
        <w:rPr>
          <w:rFonts w:cs="Arial"/>
          <w:color w:val="000000"/>
          <w:szCs w:val="20"/>
        </w:rPr>
        <w:tab/>
        <w:t xml:space="preserve">osebe z več kroničnimi boleznimi, ki so, po presoji lečečega zdravnika, posebej ranljive. </w:t>
      </w:r>
    </w:p>
    <w:p w:rsidR="00491F9B" w:rsidRPr="00D504F4" w:rsidRDefault="00491F9B" w:rsidP="00491F9B">
      <w:pPr>
        <w:autoSpaceDE w:val="0"/>
        <w:autoSpaceDN w:val="0"/>
        <w:adjustRightInd w:val="0"/>
        <w:jc w:val="both"/>
        <w:rPr>
          <w:rFonts w:cs="Arial"/>
          <w:color w:val="000000"/>
          <w:szCs w:val="20"/>
        </w:rPr>
      </w:pPr>
    </w:p>
    <w:p w:rsidR="00491F9B" w:rsidRPr="00D504F4" w:rsidRDefault="00491F9B" w:rsidP="00491F9B">
      <w:pPr>
        <w:autoSpaceDE w:val="0"/>
        <w:autoSpaceDN w:val="0"/>
        <w:adjustRightInd w:val="0"/>
        <w:jc w:val="both"/>
        <w:rPr>
          <w:rFonts w:cs="Arial"/>
          <w:color w:val="000000"/>
          <w:szCs w:val="20"/>
        </w:rPr>
      </w:pPr>
      <w:r w:rsidRPr="00D504F4">
        <w:rPr>
          <w:rFonts w:cs="Arial"/>
          <w:color w:val="000000"/>
          <w:szCs w:val="20"/>
        </w:rPr>
        <w:t xml:space="preserve">** </w:t>
      </w:r>
      <w:bookmarkStart w:id="6" w:name="_GoBack"/>
      <w:bookmarkEnd w:id="6"/>
    </w:p>
    <w:p w:rsidR="00491F9B" w:rsidRPr="00D504F4" w:rsidRDefault="00491F9B" w:rsidP="00491F9B">
      <w:pPr>
        <w:autoSpaceDE w:val="0"/>
        <w:autoSpaceDN w:val="0"/>
        <w:adjustRightInd w:val="0"/>
        <w:jc w:val="both"/>
        <w:rPr>
          <w:rFonts w:cs="Arial"/>
          <w:color w:val="000000"/>
          <w:szCs w:val="20"/>
        </w:rPr>
      </w:pPr>
      <w:r>
        <w:rPr>
          <w:rFonts w:cs="Arial"/>
          <w:color w:val="000000"/>
          <w:szCs w:val="20"/>
        </w:rPr>
        <w:t>–</w:t>
      </w:r>
      <w:r>
        <w:rPr>
          <w:rFonts w:cs="Arial"/>
          <w:color w:val="000000"/>
          <w:szCs w:val="20"/>
        </w:rPr>
        <w:tab/>
      </w:r>
      <w:r w:rsidRPr="00D504F4">
        <w:rPr>
          <w:rFonts w:cs="Arial"/>
          <w:color w:val="000000"/>
          <w:szCs w:val="20"/>
        </w:rPr>
        <w:t>odrasli bolniki s HIV: CD4 &lt; 200 celic mm3, otroci: &lt; 15</w:t>
      </w:r>
      <w:r>
        <w:rPr>
          <w:rFonts w:cs="Arial"/>
          <w:color w:val="000000"/>
          <w:szCs w:val="20"/>
        </w:rPr>
        <w:t xml:space="preserve"> </w:t>
      </w:r>
      <w:r w:rsidRPr="00D504F4">
        <w:rPr>
          <w:rFonts w:cs="Arial"/>
          <w:color w:val="000000"/>
          <w:szCs w:val="20"/>
        </w:rPr>
        <w:t xml:space="preserve">% CD4 </w:t>
      </w:r>
    </w:p>
    <w:p w:rsidR="00491F9B" w:rsidRPr="00491F9B" w:rsidRDefault="00491F9B" w:rsidP="00491F9B">
      <w:pPr>
        <w:pStyle w:val="Odstavekseznama"/>
        <w:numPr>
          <w:ilvl w:val="0"/>
          <w:numId w:val="31"/>
        </w:numPr>
        <w:autoSpaceDE w:val="0"/>
        <w:autoSpaceDN w:val="0"/>
        <w:adjustRightInd w:val="0"/>
        <w:ind w:hanging="720"/>
        <w:jc w:val="both"/>
        <w:rPr>
          <w:rFonts w:cs="Arial"/>
          <w:color w:val="000000"/>
          <w:szCs w:val="20"/>
        </w:rPr>
      </w:pPr>
      <w:r w:rsidRPr="00491F9B">
        <w:rPr>
          <w:rFonts w:cs="Arial"/>
          <w:color w:val="000000"/>
          <w:szCs w:val="20"/>
        </w:rPr>
        <w:t xml:space="preserve">vsakodnevno zdravljenje s kortikosteroidi: prednisolon ≥20 mg/dan (ali &gt; 2mg/kg/dan za bolnike, ki tehtajo &lt; 10 kg) ali ekvivalent ≥ 14 dni - bolniki na bioloških zdravilih (npr. zaviralec TNF-α, rituksimab) </w:t>
      </w:r>
    </w:p>
    <w:p w:rsidR="00491F9B" w:rsidRPr="00D504F4" w:rsidRDefault="00491F9B" w:rsidP="00491F9B">
      <w:pPr>
        <w:autoSpaceDE w:val="0"/>
        <w:autoSpaceDN w:val="0"/>
        <w:adjustRightInd w:val="0"/>
        <w:jc w:val="both"/>
        <w:rPr>
          <w:rFonts w:cs="Arial"/>
          <w:color w:val="000000"/>
          <w:szCs w:val="20"/>
        </w:rPr>
      </w:pPr>
    </w:p>
    <w:p w:rsidR="00491F9B" w:rsidRDefault="00491F9B" w:rsidP="00491F9B">
      <w:pPr>
        <w:autoSpaceDE w:val="0"/>
        <w:autoSpaceDN w:val="0"/>
        <w:adjustRightInd w:val="0"/>
        <w:jc w:val="both"/>
        <w:rPr>
          <w:rFonts w:cs="Arial"/>
          <w:color w:val="000000"/>
          <w:szCs w:val="20"/>
        </w:rPr>
      </w:pPr>
      <w:r w:rsidRPr="00D504F4">
        <w:rPr>
          <w:rFonts w:cs="Arial"/>
          <w:color w:val="000000"/>
          <w:szCs w:val="20"/>
        </w:rPr>
        <w:t>Glede na zelo</w:t>
      </w:r>
      <w:r>
        <w:rPr>
          <w:rFonts w:cs="Arial"/>
          <w:color w:val="000000"/>
          <w:szCs w:val="20"/>
        </w:rPr>
        <w:t xml:space="preserve"> omejene količine cepiv proti COVID</w:t>
      </w:r>
      <w:r w:rsidRPr="00D504F4">
        <w:rPr>
          <w:rFonts w:cs="Arial"/>
          <w:color w:val="000000"/>
          <w:szCs w:val="20"/>
        </w:rPr>
        <w:t xml:space="preserve">-19 v trenutni situaciji med cepivi ni možno izbirati. </w:t>
      </w:r>
    </w:p>
    <w:p w:rsidR="00491F9B" w:rsidRDefault="00491F9B" w:rsidP="00491F9B">
      <w:pPr>
        <w:autoSpaceDE w:val="0"/>
        <w:autoSpaceDN w:val="0"/>
        <w:adjustRightInd w:val="0"/>
        <w:jc w:val="both"/>
        <w:rPr>
          <w:rFonts w:cs="Arial"/>
          <w:color w:val="000000"/>
          <w:szCs w:val="20"/>
        </w:rPr>
      </w:pPr>
    </w:p>
    <w:p w:rsidR="00E15F00" w:rsidRPr="00E15F00" w:rsidRDefault="00E15F00" w:rsidP="00E15F00">
      <w:pPr>
        <w:autoSpaceDE w:val="0"/>
        <w:autoSpaceDN w:val="0"/>
        <w:adjustRightInd w:val="0"/>
        <w:spacing w:line="240" w:lineRule="auto"/>
        <w:jc w:val="right"/>
        <w:rPr>
          <w:rFonts w:cs="Arial"/>
          <w:color w:val="000000"/>
          <w:szCs w:val="20"/>
        </w:rPr>
      </w:pPr>
      <w:r w:rsidRPr="00E15F00">
        <w:rPr>
          <w:rFonts w:cs="Arial"/>
          <w:color w:val="000000"/>
          <w:szCs w:val="20"/>
        </w:rPr>
        <w:br w:type="page"/>
      </w:r>
      <w:bookmarkEnd w:id="5"/>
    </w:p>
    <w:p w:rsidR="00E15F00" w:rsidRPr="00E15F00" w:rsidRDefault="00E15F00" w:rsidP="00E15F00">
      <w:pPr>
        <w:autoSpaceDE w:val="0"/>
        <w:autoSpaceDN w:val="0"/>
        <w:adjustRightInd w:val="0"/>
        <w:spacing w:line="240" w:lineRule="auto"/>
        <w:jc w:val="right"/>
        <w:rPr>
          <w:rFonts w:cs="Arial"/>
          <w:b/>
          <w:bCs/>
          <w:color w:val="000000"/>
          <w:szCs w:val="20"/>
        </w:rPr>
      </w:pPr>
      <w:r w:rsidRPr="00E15F00">
        <w:rPr>
          <w:rFonts w:cs="Arial"/>
          <w:b/>
          <w:bCs/>
          <w:color w:val="000000"/>
          <w:szCs w:val="20"/>
        </w:rPr>
        <w:lastRenderedPageBreak/>
        <w:t>Priloga 7</w:t>
      </w:r>
    </w:p>
    <w:p w:rsidR="00E15F00" w:rsidRPr="00E15F00" w:rsidRDefault="00E15F00" w:rsidP="00E15F00">
      <w:pPr>
        <w:autoSpaceDE w:val="0"/>
        <w:autoSpaceDN w:val="0"/>
        <w:adjustRightInd w:val="0"/>
        <w:spacing w:line="240" w:lineRule="auto"/>
        <w:jc w:val="both"/>
        <w:rPr>
          <w:rFonts w:cs="Arial"/>
          <w:color w:val="000000"/>
          <w:szCs w:val="20"/>
        </w:rPr>
      </w:pPr>
    </w:p>
    <w:p w:rsidR="00E15F00" w:rsidRPr="00E15F00" w:rsidRDefault="00E15F00" w:rsidP="00E15F00">
      <w:pPr>
        <w:autoSpaceDE w:val="0"/>
        <w:autoSpaceDN w:val="0"/>
        <w:adjustRightInd w:val="0"/>
        <w:spacing w:line="240" w:lineRule="auto"/>
        <w:jc w:val="both"/>
        <w:rPr>
          <w:rFonts w:cs="Arial"/>
          <w:b/>
          <w:bCs/>
          <w:color w:val="000000"/>
          <w:szCs w:val="20"/>
        </w:rPr>
      </w:pPr>
      <w:r w:rsidRPr="00E15F00">
        <w:rPr>
          <w:rFonts w:cs="Arial"/>
          <w:b/>
          <w:bCs/>
          <w:color w:val="000000"/>
          <w:szCs w:val="20"/>
        </w:rPr>
        <w:t>Tabela: Ocena velikosti prednostnih skupin za cepljenje in predvideno število oseb za cepljenje ob različnih deležih cepljenih</w:t>
      </w:r>
    </w:p>
    <w:p w:rsidR="00E15F00" w:rsidRPr="00E15F00" w:rsidRDefault="00E15F00" w:rsidP="00E15F00">
      <w:pPr>
        <w:autoSpaceDE w:val="0"/>
        <w:autoSpaceDN w:val="0"/>
        <w:adjustRightInd w:val="0"/>
        <w:spacing w:line="240" w:lineRule="auto"/>
        <w:jc w:val="both"/>
        <w:rPr>
          <w:rFonts w:cs="Arial"/>
          <w:b/>
          <w:bCs/>
          <w:color w:val="000000"/>
          <w:szCs w:val="20"/>
        </w:rPr>
      </w:pPr>
    </w:p>
    <w:p w:rsidR="00E15F00" w:rsidRPr="00E15F00" w:rsidRDefault="00E15F00" w:rsidP="00E15F00">
      <w:pPr>
        <w:autoSpaceDE w:val="0"/>
        <w:autoSpaceDN w:val="0"/>
        <w:adjustRightInd w:val="0"/>
        <w:spacing w:line="240" w:lineRule="auto"/>
        <w:jc w:val="both"/>
        <w:rPr>
          <w:rFonts w:cs="Arial"/>
          <w:color w:val="000000"/>
          <w:szCs w:val="20"/>
        </w:rPr>
      </w:pPr>
    </w:p>
    <w:tbl>
      <w:tblPr>
        <w:tblW w:w="8766" w:type="dxa"/>
        <w:jc w:val="center"/>
        <w:tblCellMar>
          <w:left w:w="0" w:type="dxa"/>
          <w:right w:w="0" w:type="dxa"/>
        </w:tblCellMar>
        <w:tblLook w:val="04A0" w:firstRow="1" w:lastRow="0" w:firstColumn="1" w:lastColumn="0" w:noHBand="0" w:noVBand="1"/>
      </w:tblPr>
      <w:tblGrid>
        <w:gridCol w:w="2115"/>
        <w:gridCol w:w="2154"/>
        <w:gridCol w:w="1499"/>
        <w:gridCol w:w="1499"/>
        <w:gridCol w:w="1499"/>
      </w:tblGrid>
      <w:tr w:rsidR="00E15F00" w:rsidRPr="00E15F00" w:rsidTr="00E15F00">
        <w:trPr>
          <w:trHeight w:val="324"/>
          <w:jc w:val="center"/>
        </w:trPr>
        <w:tc>
          <w:tcPr>
            <w:tcW w:w="2115" w:type="dxa"/>
            <w:tcBorders>
              <w:top w:val="nil"/>
              <w:left w:val="single" w:sz="8" w:space="0" w:color="auto"/>
              <w:bottom w:val="single" w:sz="8" w:space="0" w:color="auto"/>
              <w:right w:val="single" w:sz="8" w:space="0" w:color="auto"/>
            </w:tcBorders>
            <w:shd w:val="clear" w:color="auto" w:fill="0066FF"/>
            <w:noWrap/>
            <w:tcMar>
              <w:top w:w="0" w:type="dxa"/>
              <w:left w:w="70" w:type="dxa"/>
              <w:bottom w:w="0" w:type="dxa"/>
              <w:right w:w="70" w:type="dxa"/>
            </w:tcMar>
            <w:vAlign w:val="center"/>
            <w:hideMark/>
          </w:tcPr>
          <w:p w:rsidR="00E15F00" w:rsidRPr="00E15F00" w:rsidRDefault="00E15F00">
            <w:pPr>
              <w:spacing w:line="240" w:lineRule="auto"/>
              <w:jc w:val="center"/>
              <w:rPr>
                <w:rFonts w:cs="Arial"/>
                <w:szCs w:val="20"/>
                <w:lang w:eastAsia="sl-SI"/>
              </w:rPr>
            </w:pPr>
            <w:r w:rsidRPr="00E15F00">
              <w:rPr>
                <w:rFonts w:cs="Arial"/>
                <w:b/>
                <w:bCs/>
                <w:color w:val="FFFFFF"/>
                <w:szCs w:val="20"/>
                <w:lang w:val="en-US" w:eastAsia="sl-SI"/>
              </w:rPr>
              <w:t>Prednostna skupina</w:t>
            </w:r>
          </w:p>
        </w:tc>
        <w:tc>
          <w:tcPr>
            <w:tcW w:w="2154" w:type="dxa"/>
            <w:tcBorders>
              <w:top w:val="nil"/>
              <w:left w:val="nil"/>
              <w:bottom w:val="single" w:sz="8" w:space="0" w:color="auto"/>
              <w:right w:val="single" w:sz="8" w:space="0" w:color="auto"/>
            </w:tcBorders>
            <w:shd w:val="clear" w:color="auto" w:fill="0066FF"/>
            <w:noWrap/>
            <w:tcMar>
              <w:top w:w="0" w:type="dxa"/>
              <w:left w:w="70" w:type="dxa"/>
              <w:bottom w:w="0" w:type="dxa"/>
              <w:right w:w="70" w:type="dxa"/>
            </w:tcMar>
            <w:vAlign w:val="center"/>
            <w:hideMark/>
          </w:tcPr>
          <w:p w:rsidR="00E15F00" w:rsidRPr="00E15F00" w:rsidRDefault="00E15F00">
            <w:pPr>
              <w:spacing w:line="240" w:lineRule="auto"/>
              <w:jc w:val="center"/>
              <w:rPr>
                <w:rFonts w:cs="Arial"/>
                <w:szCs w:val="20"/>
                <w:lang w:eastAsia="sl-SI"/>
              </w:rPr>
            </w:pPr>
            <w:r w:rsidRPr="00E15F00">
              <w:rPr>
                <w:rFonts w:cs="Arial"/>
                <w:b/>
                <w:bCs/>
                <w:color w:val="FFFFFF"/>
                <w:szCs w:val="20"/>
                <w:lang w:val="en-US" w:eastAsia="sl-SI"/>
              </w:rPr>
              <w:t>Ocenjeno št.</w:t>
            </w:r>
          </w:p>
        </w:tc>
        <w:tc>
          <w:tcPr>
            <w:tcW w:w="1499" w:type="dxa"/>
            <w:tcBorders>
              <w:top w:val="nil"/>
              <w:left w:val="nil"/>
              <w:bottom w:val="single" w:sz="8" w:space="0" w:color="auto"/>
              <w:right w:val="single" w:sz="8" w:space="0" w:color="auto"/>
            </w:tcBorders>
            <w:shd w:val="clear" w:color="auto" w:fill="0066FF"/>
            <w:noWrap/>
            <w:tcMar>
              <w:top w:w="0" w:type="dxa"/>
              <w:left w:w="70" w:type="dxa"/>
              <w:bottom w:w="0" w:type="dxa"/>
              <w:right w:w="70" w:type="dxa"/>
            </w:tcMar>
            <w:vAlign w:val="center"/>
            <w:hideMark/>
          </w:tcPr>
          <w:p w:rsidR="00E15F00" w:rsidRPr="00E15F00" w:rsidRDefault="00E15F00">
            <w:pPr>
              <w:spacing w:line="240" w:lineRule="auto"/>
              <w:jc w:val="center"/>
              <w:rPr>
                <w:rFonts w:cs="Arial"/>
                <w:szCs w:val="20"/>
                <w:lang w:eastAsia="sl-SI"/>
              </w:rPr>
            </w:pPr>
            <w:r w:rsidRPr="00E15F00">
              <w:rPr>
                <w:rFonts w:cs="Arial"/>
                <w:b/>
                <w:bCs/>
                <w:color w:val="FFFFFF"/>
                <w:szCs w:val="20"/>
                <w:lang w:val="en-US" w:eastAsia="sl-SI"/>
              </w:rPr>
              <w:t>ob precepljenosti 30 %</w:t>
            </w:r>
          </w:p>
        </w:tc>
        <w:tc>
          <w:tcPr>
            <w:tcW w:w="1499" w:type="dxa"/>
            <w:tcBorders>
              <w:top w:val="nil"/>
              <w:left w:val="nil"/>
              <w:bottom w:val="single" w:sz="8" w:space="0" w:color="auto"/>
              <w:right w:val="single" w:sz="8" w:space="0" w:color="auto"/>
            </w:tcBorders>
            <w:shd w:val="clear" w:color="auto" w:fill="0066FF"/>
            <w:noWrap/>
            <w:tcMar>
              <w:top w:w="0" w:type="dxa"/>
              <w:left w:w="70" w:type="dxa"/>
              <w:bottom w:w="0" w:type="dxa"/>
              <w:right w:w="70" w:type="dxa"/>
            </w:tcMar>
            <w:vAlign w:val="center"/>
            <w:hideMark/>
          </w:tcPr>
          <w:p w:rsidR="00E15F00" w:rsidRPr="00E15F00" w:rsidRDefault="00E15F00">
            <w:pPr>
              <w:spacing w:line="240" w:lineRule="auto"/>
              <w:jc w:val="center"/>
              <w:rPr>
                <w:rFonts w:cs="Arial"/>
                <w:szCs w:val="20"/>
                <w:lang w:eastAsia="sl-SI"/>
              </w:rPr>
            </w:pPr>
            <w:r w:rsidRPr="00E15F00">
              <w:rPr>
                <w:rFonts w:cs="Arial"/>
                <w:b/>
                <w:bCs/>
                <w:color w:val="FFFFFF"/>
                <w:szCs w:val="20"/>
                <w:lang w:val="en-US" w:eastAsia="sl-SI"/>
              </w:rPr>
              <w:t>ob precepl jenosti 50 %</w:t>
            </w:r>
          </w:p>
        </w:tc>
        <w:tc>
          <w:tcPr>
            <w:tcW w:w="1499" w:type="dxa"/>
            <w:tcBorders>
              <w:top w:val="nil"/>
              <w:left w:val="nil"/>
              <w:bottom w:val="single" w:sz="8" w:space="0" w:color="auto"/>
              <w:right w:val="single" w:sz="8" w:space="0" w:color="auto"/>
            </w:tcBorders>
            <w:shd w:val="clear" w:color="auto" w:fill="0066FF"/>
            <w:noWrap/>
            <w:tcMar>
              <w:top w:w="0" w:type="dxa"/>
              <w:left w:w="70" w:type="dxa"/>
              <w:bottom w:w="0" w:type="dxa"/>
              <w:right w:w="70" w:type="dxa"/>
            </w:tcMar>
            <w:vAlign w:val="center"/>
            <w:hideMark/>
          </w:tcPr>
          <w:p w:rsidR="00E15F00" w:rsidRPr="00E15F00" w:rsidRDefault="00E15F00">
            <w:pPr>
              <w:spacing w:line="240" w:lineRule="auto"/>
              <w:jc w:val="center"/>
              <w:rPr>
                <w:rFonts w:cs="Arial"/>
                <w:szCs w:val="20"/>
                <w:lang w:eastAsia="sl-SI"/>
              </w:rPr>
            </w:pPr>
            <w:r w:rsidRPr="00E15F00">
              <w:rPr>
                <w:rFonts w:cs="Arial"/>
                <w:b/>
                <w:bCs/>
                <w:color w:val="FFFFFF"/>
                <w:szCs w:val="20"/>
                <w:lang w:val="en-US" w:eastAsia="sl-SI"/>
              </w:rPr>
              <w:t>ob precepljenosti 70 %</w:t>
            </w:r>
          </w:p>
        </w:tc>
      </w:tr>
      <w:tr w:rsidR="00E15F00" w:rsidRPr="00E15F00" w:rsidTr="00E15F00">
        <w:trPr>
          <w:trHeight w:val="324"/>
          <w:jc w:val="center"/>
        </w:trPr>
        <w:tc>
          <w:tcPr>
            <w:tcW w:w="21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15F00" w:rsidRPr="00E15F00" w:rsidRDefault="00E15F00">
            <w:pPr>
              <w:spacing w:line="240" w:lineRule="auto"/>
              <w:jc w:val="center"/>
              <w:rPr>
                <w:rFonts w:cs="Arial"/>
                <w:color w:val="000000"/>
                <w:szCs w:val="20"/>
                <w:lang w:val="it-IT" w:eastAsia="sl-SI"/>
              </w:rPr>
            </w:pPr>
            <w:r w:rsidRPr="00E15F00">
              <w:rPr>
                <w:rFonts w:cs="Arial"/>
                <w:color w:val="000000"/>
                <w:szCs w:val="20"/>
                <w:lang w:val="it-IT" w:eastAsia="sl-SI"/>
              </w:rPr>
              <w:t>zdravstveni delavci in sodelavci,</w:t>
            </w:r>
          </w:p>
          <w:p w:rsidR="00E15F00" w:rsidRPr="00E15F00" w:rsidRDefault="00E15F00">
            <w:pPr>
              <w:spacing w:line="240" w:lineRule="auto"/>
              <w:jc w:val="center"/>
              <w:rPr>
                <w:rFonts w:cs="Arial"/>
                <w:szCs w:val="20"/>
                <w:lang w:eastAsia="sl-SI"/>
              </w:rPr>
            </w:pPr>
            <w:r w:rsidRPr="00E15F00">
              <w:rPr>
                <w:rFonts w:cs="Arial"/>
                <w:color w:val="000000"/>
                <w:szCs w:val="20"/>
                <w:lang w:val="it-IT" w:eastAsia="sl-SI"/>
              </w:rPr>
              <w:t>oskrbovanci DSO **</w:t>
            </w:r>
            <w:r w:rsidRPr="00E15F00">
              <w:rPr>
                <w:rFonts w:cs="Arial"/>
                <w:color w:val="000000"/>
                <w:szCs w:val="20"/>
                <w:lang w:val="en-US" w:eastAsia="sl-SI"/>
              </w:rPr>
              <w:t xml:space="preserve"> zaposleni DSO***</w:t>
            </w:r>
          </w:p>
        </w:tc>
        <w:tc>
          <w:tcPr>
            <w:tcW w:w="2154" w:type="dxa"/>
            <w:tcBorders>
              <w:top w:val="nil"/>
              <w:left w:val="nil"/>
              <w:bottom w:val="single" w:sz="8" w:space="0" w:color="auto"/>
              <w:right w:val="single" w:sz="8" w:space="0" w:color="auto"/>
            </w:tcBorders>
            <w:noWrap/>
            <w:tcMar>
              <w:top w:w="0" w:type="dxa"/>
              <w:left w:w="70" w:type="dxa"/>
              <w:bottom w:w="0" w:type="dxa"/>
              <w:right w:w="70" w:type="dxa"/>
            </w:tcMar>
          </w:tcPr>
          <w:p w:rsidR="00E15F00" w:rsidRPr="00E15F00" w:rsidRDefault="00E15F00">
            <w:pPr>
              <w:spacing w:line="240" w:lineRule="auto"/>
              <w:jc w:val="center"/>
              <w:rPr>
                <w:rFonts w:cs="Arial"/>
              </w:rPr>
            </w:pPr>
          </w:p>
          <w:p w:rsidR="00E15F00" w:rsidRPr="00E15F00" w:rsidRDefault="00E15F00">
            <w:pPr>
              <w:spacing w:line="240" w:lineRule="auto"/>
              <w:jc w:val="center"/>
              <w:rPr>
                <w:rFonts w:cs="Arial"/>
                <w:szCs w:val="20"/>
                <w:lang w:eastAsia="sl-SI"/>
              </w:rPr>
            </w:pPr>
            <w:r w:rsidRPr="00E15F00">
              <w:rPr>
                <w:rFonts w:cs="Arial"/>
              </w:rPr>
              <w:t>75.588</w:t>
            </w:r>
          </w:p>
        </w:tc>
        <w:tc>
          <w:tcPr>
            <w:tcW w:w="1499" w:type="dxa"/>
            <w:tcBorders>
              <w:top w:val="nil"/>
              <w:left w:val="nil"/>
              <w:bottom w:val="single" w:sz="8" w:space="0" w:color="auto"/>
              <w:right w:val="single" w:sz="8" w:space="0" w:color="auto"/>
            </w:tcBorders>
            <w:noWrap/>
            <w:tcMar>
              <w:top w:w="0" w:type="dxa"/>
              <w:left w:w="70" w:type="dxa"/>
              <w:bottom w:w="0" w:type="dxa"/>
              <w:right w:w="70" w:type="dxa"/>
            </w:tcMar>
          </w:tcPr>
          <w:p w:rsidR="00E15F00" w:rsidRPr="00E15F00" w:rsidRDefault="00E15F00">
            <w:pPr>
              <w:spacing w:line="240" w:lineRule="auto"/>
              <w:jc w:val="center"/>
              <w:rPr>
                <w:rFonts w:cs="Arial"/>
              </w:rPr>
            </w:pPr>
          </w:p>
          <w:p w:rsidR="00E15F00" w:rsidRPr="00E15F00" w:rsidRDefault="00E15F00">
            <w:pPr>
              <w:spacing w:line="240" w:lineRule="auto"/>
              <w:jc w:val="center"/>
              <w:rPr>
                <w:rFonts w:cs="Arial"/>
                <w:szCs w:val="20"/>
                <w:lang w:eastAsia="sl-SI"/>
              </w:rPr>
            </w:pPr>
            <w:r w:rsidRPr="00E15F00">
              <w:rPr>
                <w:rFonts w:cs="Arial"/>
              </w:rPr>
              <w:t>22.676</w:t>
            </w:r>
          </w:p>
        </w:tc>
        <w:tc>
          <w:tcPr>
            <w:tcW w:w="1499" w:type="dxa"/>
            <w:tcBorders>
              <w:top w:val="nil"/>
              <w:left w:val="nil"/>
              <w:bottom w:val="single" w:sz="8" w:space="0" w:color="auto"/>
              <w:right w:val="single" w:sz="8" w:space="0" w:color="auto"/>
            </w:tcBorders>
            <w:noWrap/>
            <w:tcMar>
              <w:top w:w="0" w:type="dxa"/>
              <w:left w:w="70" w:type="dxa"/>
              <w:bottom w:w="0" w:type="dxa"/>
              <w:right w:w="70" w:type="dxa"/>
            </w:tcMar>
          </w:tcPr>
          <w:p w:rsidR="00E15F00" w:rsidRPr="00E15F00" w:rsidRDefault="00E15F00">
            <w:pPr>
              <w:spacing w:line="240" w:lineRule="auto"/>
              <w:jc w:val="center"/>
              <w:rPr>
                <w:rFonts w:cs="Arial"/>
              </w:rPr>
            </w:pPr>
          </w:p>
          <w:p w:rsidR="00E15F00" w:rsidRPr="00E15F00" w:rsidRDefault="00E15F00">
            <w:pPr>
              <w:spacing w:line="240" w:lineRule="auto"/>
              <w:jc w:val="center"/>
              <w:rPr>
                <w:rFonts w:cs="Arial"/>
                <w:szCs w:val="20"/>
                <w:lang w:eastAsia="sl-SI"/>
              </w:rPr>
            </w:pPr>
            <w:r w:rsidRPr="00E15F00">
              <w:rPr>
                <w:rFonts w:cs="Arial"/>
              </w:rPr>
              <w:t>37.795</w:t>
            </w:r>
          </w:p>
        </w:tc>
        <w:tc>
          <w:tcPr>
            <w:tcW w:w="1499" w:type="dxa"/>
            <w:tcBorders>
              <w:top w:val="nil"/>
              <w:left w:val="nil"/>
              <w:bottom w:val="single" w:sz="8" w:space="0" w:color="auto"/>
              <w:right w:val="single" w:sz="8" w:space="0" w:color="auto"/>
            </w:tcBorders>
            <w:noWrap/>
            <w:tcMar>
              <w:top w:w="0" w:type="dxa"/>
              <w:left w:w="70" w:type="dxa"/>
              <w:bottom w:w="0" w:type="dxa"/>
              <w:right w:w="70" w:type="dxa"/>
            </w:tcMar>
          </w:tcPr>
          <w:p w:rsidR="00E15F00" w:rsidRPr="00E15F00" w:rsidRDefault="00E15F00">
            <w:pPr>
              <w:spacing w:line="240" w:lineRule="auto"/>
              <w:jc w:val="center"/>
              <w:rPr>
                <w:rFonts w:cs="Arial"/>
              </w:rPr>
            </w:pPr>
          </w:p>
          <w:p w:rsidR="00E15F00" w:rsidRPr="00E15F00" w:rsidRDefault="00E15F00">
            <w:pPr>
              <w:spacing w:line="240" w:lineRule="auto"/>
              <w:jc w:val="center"/>
              <w:rPr>
                <w:rFonts w:cs="Arial"/>
                <w:szCs w:val="20"/>
                <w:lang w:eastAsia="sl-SI"/>
              </w:rPr>
            </w:pPr>
            <w:r w:rsidRPr="00E15F00">
              <w:rPr>
                <w:rFonts w:cs="Arial"/>
              </w:rPr>
              <w:t>52.912</w:t>
            </w:r>
          </w:p>
        </w:tc>
      </w:tr>
      <w:tr w:rsidR="00E15F00" w:rsidRPr="00E15F00" w:rsidTr="00E15F00">
        <w:trPr>
          <w:trHeight w:val="324"/>
          <w:jc w:val="center"/>
        </w:trPr>
        <w:tc>
          <w:tcPr>
            <w:tcW w:w="21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15F00" w:rsidRPr="00E15F00" w:rsidRDefault="00E15F00">
            <w:pPr>
              <w:spacing w:line="240" w:lineRule="auto"/>
              <w:jc w:val="center"/>
              <w:rPr>
                <w:rFonts w:cs="Arial"/>
                <w:szCs w:val="20"/>
                <w:lang w:eastAsia="sl-SI"/>
              </w:rPr>
            </w:pPr>
            <w:r w:rsidRPr="00E15F00">
              <w:rPr>
                <w:rFonts w:cs="Arial"/>
                <w:color w:val="000000"/>
                <w:szCs w:val="20"/>
                <w:lang w:val="en-US" w:eastAsia="sl-SI"/>
              </w:rPr>
              <w:t xml:space="preserve">70 let in več, </w:t>
            </w:r>
          </w:p>
          <w:p w:rsidR="00E15F00" w:rsidRPr="00E15F00" w:rsidRDefault="00E15F00">
            <w:pPr>
              <w:spacing w:line="240" w:lineRule="auto"/>
              <w:jc w:val="center"/>
              <w:rPr>
                <w:rFonts w:cs="Arial"/>
                <w:szCs w:val="20"/>
                <w:lang w:eastAsia="sl-SI"/>
              </w:rPr>
            </w:pPr>
            <w:r w:rsidRPr="00E15F00">
              <w:rPr>
                <w:rFonts w:cs="Arial"/>
                <w:color w:val="000000"/>
                <w:szCs w:val="20"/>
                <w:lang w:eastAsia="sl-SI"/>
              </w:rPr>
              <w:t xml:space="preserve">posebej ranljivi kronični bolniki*, </w:t>
            </w:r>
            <w:r w:rsidRPr="00E15F00">
              <w:rPr>
                <w:rFonts w:cs="Arial"/>
                <w:szCs w:val="20"/>
                <w:lang w:eastAsia="sl-SI"/>
              </w:rPr>
              <w:t>diplomati in drugi</w:t>
            </w:r>
          </w:p>
        </w:tc>
        <w:tc>
          <w:tcPr>
            <w:tcW w:w="2154" w:type="dxa"/>
            <w:tcBorders>
              <w:top w:val="nil"/>
              <w:left w:val="nil"/>
              <w:bottom w:val="single" w:sz="8" w:space="0" w:color="auto"/>
              <w:right w:val="single" w:sz="8" w:space="0" w:color="auto"/>
            </w:tcBorders>
            <w:noWrap/>
            <w:tcMar>
              <w:top w:w="0" w:type="dxa"/>
              <w:left w:w="70" w:type="dxa"/>
              <w:bottom w:w="0" w:type="dxa"/>
              <w:right w:w="70" w:type="dxa"/>
            </w:tcMar>
          </w:tcPr>
          <w:p w:rsidR="00E15F00" w:rsidRPr="00E15F00" w:rsidRDefault="00E15F00">
            <w:pPr>
              <w:spacing w:line="240" w:lineRule="auto"/>
              <w:jc w:val="center"/>
              <w:rPr>
                <w:rFonts w:cs="Arial"/>
              </w:rPr>
            </w:pPr>
          </w:p>
          <w:p w:rsidR="00E15F00" w:rsidRPr="00E15F00" w:rsidRDefault="00E15F00">
            <w:pPr>
              <w:spacing w:line="240" w:lineRule="auto"/>
              <w:jc w:val="center"/>
              <w:rPr>
                <w:rFonts w:cs="Arial"/>
                <w:szCs w:val="20"/>
                <w:lang w:eastAsia="sl-SI"/>
              </w:rPr>
            </w:pPr>
            <w:r w:rsidRPr="00E15F00">
              <w:rPr>
                <w:rFonts w:cs="Arial"/>
              </w:rPr>
              <w:t>308.400</w:t>
            </w:r>
          </w:p>
        </w:tc>
        <w:tc>
          <w:tcPr>
            <w:tcW w:w="1499" w:type="dxa"/>
            <w:tcBorders>
              <w:top w:val="nil"/>
              <w:left w:val="nil"/>
              <w:bottom w:val="single" w:sz="8" w:space="0" w:color="auto"/>
              <w:right w:val="single" w:sz="8" w:space="0" w:color="auto"/>
            </w:tcBorders>
            <w:noWrap/>
            <w:tcMar>
              <w:top w:w="0" w:type="dxa"/>
              <w:left w:w="70" w:type="dxa"/>
              <w:bottom w:w="0" w:type="dxa"/>
              <w:right w:w="70" w:type="dxa"/>
            </w:tcMar>
          </w:tcPr>
          <w:p w:rsidR="00E15F00" w:rsidRPr="00E15F00" w:rsidRDefault="00E15F00">
            <w:pPr>
              <w:spacing w:line="240" w:lineRule="auto"/>
              <w:jc w:val="center"/>
              <w:rPr>
                <w:rFonts w:cs="Arial"/>
              </w:rPr>
            </w:pPr>
          </w:p>
          <w:p w:rsidR="00E15F00" w:rsidRPr="00E15F00" w:rsidRDefault="00E15F00">
            <w:pPr>
              <w:spacing w:line="240" w:lineRule="auto"/>
              <w:jc w:val="center"/>
              <w:rPr>
                <w:rFonts w:cs="Arial"/>
                <w:szCs w:val="20"/>
                <w:lang w:eastAsia="sl-SI"/>
              </w:rPr>
            </w:pPr>
            <w:r w:rsidRPr="00E15F00">
              <w:rPr>
                <w:rFonts w:cs="Arial"/>
              </w:rPr>
              <w:t>92.520</w:t>
            </w:r>
          </w:p>
        </w:tc>
        <w:tc>
          <w:tcPr>
            <w:tcW w:w="1499" w:type="dxa"/>
            <w:tcBorders>
              <w:top w:val="nil"/>
              <w:left w:val="nil"/>
              <w:bottom w:val="single" w:sz="8" w:space="0" w:color="auto"/>
              <w:right w:val="single" w:sz="8" w:space="0" w:color="auto"/>
            </w:tcBorders>
            <w:noWrap/>
            <w:tcMar>
              <w:top w:w="0" w:type="dxa"/>
              <w:left w:w="70" w:type="dxa"/>
              <w:bottom w:w="0" w:type="dxa"/>
              <w:right w:w="70" w:type="dxa"/>
            </w:tcMar>
          </w:tcPr>
          <w:p w:rsidR="00E15F00" w:rsidRPr="00E15F00" w:rsidRDefault="00E15F00">
            <w:pPr>
              <w:spacing w:line="240" w:lineRule="auto"/>
              <w:jc w:val="center"/>
              <w:rPr>
                <w:rFonts w:cs="Arial"/>
              </w:rPr>
            </w:pPr>
          </w:p>
          <w:p w:rsidR="00E15F00" w:rsidRPr="00E15F00" w:rsidRDefault="00E15F00">
            <w:pPr>
              <w:spacing w:line="240" w:lineRule="auto"/>
              <w:jc w:val="center"/>
              <w:rPr>
                <w:rFonts w:cs="Arial"/>
                <w:szCs w:val="20"/>
                <w:lang w:eastAsia="sl-SI"/>
              </w:rPr>
            </w:pPr>
            <w:r w:rsidRPr="00E15F00">
              <w:rPr>
                <w:rFonts w:cs="Arial"/>
              </w:rPr>
              <w:t>154.201</w:t>
            </w:r>
          </w:p>
        </w:tc>
        <w:tc>
          <w:tcPr>
            <w:tcW w:w="1499" w:type="dxa"/>
            <w:tcBorders>
              <w:top w:val="nil"/>
              <w:left w:val="nil"/>
              <w:bottom w:val="single" w:sz="8" w:space="0" w:color="auto"/>
              <w:right w:val="single" w:sz="8" w:space="0" w:color="auto"/>
            </w:tcBorders>
            <w:noWrap/>
            <w:tcMar>
              <w:top w:w="0" w:type="dxa"/>
              <w:left w:w="70" w:type="dxa"/>
              <w:bottom w:w="0" w:type="dxa"/>
              <w:right w:w="70" w:type="dxa"/>
            </w:tcMar>
          </w:tcPr>
          <w:p w:rsidR="00E15F00" w:rsidRPr="00E15F00" w:rsidRDefault="00E15F00">
            <w:pPr>
              <w:spacing w:line="240" w:lineRule="auto"/>
              <w:jc w:val="center"/>
              <w:rPr>
                <w:rFonts w:cs="Arial"/>
              </w:rPr>
            </w:pPr>
          </w:p>
          <w:p w:rsidR="00E15F00" w:rsidRPr="00E15F00" w:rsidRDefault="00E15F00">
            <w:pPr>
              <w:spacing w:line="240" w:lineRule="auto"/>
              <w:jc w:val="center"/>
              <w:rPr>
                <w:rFonts w:cs="Arial"/>
                <w:szCs w:val="20"/>
                <w:lang w:eastAsia="sl-SI"/>
              </w:rPr>
            </w:pPr>
            <w:r w:rsidRPr="00E15F00">
              <w:rPr>
                <w:rFonts w:cs="Arial"/>
              </w:rPr>
              <w:t>215.880</w:t>
            </w:r>
          </w:p>
        </w:tc>
      </w:tr>
      <w:tr w:rsidR="00E15F00" w:rsidRPr="00E15F00" w:rsidTr="00E15F00">
        <w:trPr>
          <w:trHeight w:val="324"/>
          <w:jc w:val="center"/>
        </w:trPr>
        <w:tc>
          <w:tcPr>
            <w:tcW w:w="21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15F00" w:rsidRPr="00E15F00" w:rsidRDefault="00E15F00">
            <w:pPr>
              <w:spacing w:line="240" w:lineRule="auto"/>
              <w:jc w:val="center"/>
              <w:rPr>
                <w:rFonts w:cs="Arial"/>
                <w:color w:val="000000"/>
                <w:szCs w:val="20"/>
                <w:lang w:val="en-US" w:eastAsia="sl-SI"/>
              </w:rPr>
            </w:pPr>
            <w:r w:rsidRPr="00E15F00">
              <w:rPr>
                <w:rFonts w:cs="Arial"/>
                <w:color w:val="000000"/>
                <w:szCs w:val="20"/>
                <w:lang w:val="en-US" w:eastAsia="sl-SI"/>
              </w:rPr>
              <w:t xml:space="preserve">60 let in več, </w:t>
            </w:r>
          </w:p>
          <w:p w:rsidR="00E15F00" w:rsidRPr="00E15F00" w:rsidRDefault="00E15F00">
            <w:pPr>
              <w:spacing w:line="240" w:lineRule="auto"/>
              <w:jc w:val="center"/>
              <w:rPr>
                <w:rFonts w:cs="Arial"/>
                <w:color w:val="000000"/>
                <w:szCs w:val="20"/>
                <w:lang w:val="en-US" w:eastAsia="sl-SI"/>
              </w:rPr>
            </w:pPr>
            <w:r w:rsidRPr="00E15F00">
              <w:rPr>
                <w:rFonts w:cs="Arial"/>
                <w:color w:val="000000"/>
                <w:szCs w:val="20"/>
                <w:lang w:val="en-US" w:eastAsia="sl-SI"/>
              </w:rPr>
              <w:t>kronični bolniki</w:t>
            </w:r>
          </w:p>
        </w:tc>
        <w:tc>
          <w:tcPr>
            <w:tcW w:w="2154" w:type="dxa"/>
            <w:tcBorders>
              <w:top w:val="nil"/>
              <w:left w:val="nil"/>
              <w:bottom w:val="single" w:sz="8" w:space="0" w:color="auto"/>
              <w:right w:val="single" w:sz="8" w:space="0" w:color="auto"/>
            </w:tcBorders>
            <w:noWrap/>
            <w:tcMar>
              <w:top w:w="0" w:type="dxa"/>
              <w:left w:w="70" w:type="dxa"/>
              <w:bottom w:w="0" w:type="dxa"/>
              <w:right w:w="70" w:type="dxa"/>
            </w:tcMar>
            <w:hideMark/>
          </w:tcPr>
          <w:p w:rsidR="00E15F00" w:rsidRPr="00E15F00" w:rsidRDefault="00E15F00">
            <w:pPr>
              <w:spacing w:line="240" w:lineRule="auto"/>
              <w:jc w:val="center"/>
              <w:rPr>
                <w:rFonts w:cs="Arial"/>
                <w:color w:val="000000"/>
                <w:szCs w:val="20"/>
                <w:lang w:val="en-US" w:eastAsia="sl-SI"/>
              </w:rPr>
            </w:pPr>
            <w:r w:rsidRPr="00E15F00">
              <w:rPr>
                <w:rFonts w:cs="Arial"/>
              </w:rPr>
              <w:t>743.999</w:t>
            </w:r>
          </w:p>
        </w:tc>
        <w:tc>
          <w:tcPr>
            <w:tcW w:w="1499" w:type="dxa"/>
            <w:tcBorders>
              <w:top w:val="nil"/>
              <w:left w:val="nil"/>
              <w:bottom w:val="single" w:sz="8" w:space="0" w:color="auto"/>
              <w:right w:val="single" w:sz="8" w:space="0" w:color="auto"/>
            </w:tcBorders>
            <w:noWrap/>
            <w:tcMar>
              <w:top w:w="0" w:type="dxa"/>
              <w:left w:w="70" w:type="dxa"/>
              <w:bottom w:w="0" w:type="dxa"/>
              <w:right w:w="70" w:type="dxa"/>
            </w:tcMar>
            <w:hideMark/>
          </w:tcPr>
          <w:p w:rsidR="00E15F00" w:rsidRPr="00E15F00" w:rsidRDefault="00E15F00">
            <w:pPr>
              <w:spacing w:line="240" w:lineRule="auto"/>
              <w:jc w:val="center"/>
              <w:rPr>
                <w:rFonts w:cs="Arial"/>
                <w:color w:val="000000"/>
                <w:szCs w:val="20"/>
                <w:lang w:val="en-US" w:eastAsia="sl-SI"/>
              </w:rPr>
            </w:pPr>
            <w:r w:rsidRPr="00E15F00">
              <w:rPr>
                <w:rFonts w:cs="Arial"/>
              </w:rPr>
              <w:t>223.200</w:t>
            </w:r>
          </w:p>
        </w:tc>
        <w:tc>
          <w:tcPr>
            <w:tcW w:w="1499" w:type="dxa"/>
            <w:tcBorders>
              <w:top w:val="nil"/>
              <w:left w:val="nil"/>
              <w:bottom w:val="single" w:sz="8" w:space="0" w:color="auto"/>
              <w:right w:val="single" w:sz="8" w:space="0" w:color="auto"/>
            </w:tcBorders>
            <w:noWrap/>
            <w:tcMar>
              <w:top w:w="0" w:type="dxa"/>
              <w:left w:w="70" w:type="dxa"/>
              <w:bottom w:w="0" w:type="dxa"/>
              <w:right w:w="70" w:type="dxa"/>
            </w:tcMar>
            <w:hideMark/>
          </w:tcPr>
          <w:p w:rsidR="00E15F00" w:rsidRPr="00E15F00" w:rsidRDefault="00E15F00">
            <w:pPr>
              <w:spacing w:line="240" w:lineRule="auto"/>
              <w:jc w:val="center"/>
              <w:rPr>
                <w:rFonts w:cs="Arial"/>
                <w:szCs w:val="20"/>
                <w:lang w:val="en-US" w:eastAsia="sl-SI"/>
              </w:rPr>
            </w:pPr>
            <w:r w:rsidRPr="00E15F00">
              <w:rPr>
                <w:rFonts w:cs="Arial"/>
              </w:rPr>
              <w:t>372.001</w:t>
            </w:r>
          </w:p>
        </w:tc>
        <w:tc>
          <w:tcPr>
            <w:tcW w:w="1499" w:type="dxa"/>
            <w:tcBorders>
              <w:top w:val="nil"/>
              <w:left w:val="nil"/>
              <w:bottom w:val="single" w:sz="8" w:space="0" w:color="auto"/>
              <w:right w:val="single" w:sz="8" w:space="0" w:color="auto"/>
            </w:tcBorders>
            <w:noWrap/>
            <w:tcMar>
              <w:top w:w="0" w:type="dxa"/>
              <w:left w:w="70" w:type="dxa"/>
              <w:bottom w:w="0" w:type="dxa"/>
              <w:right w:w="70" w:type="dxa"/>
            </w:tcMar>
            <w:hideMark/>
          </w:tcPr>
          <w:p w:rsidR="00E15F00" w:rsidRPr="00E15F00" w:rsidRDefault="00E15F00">
            <w:pPr>
              <w:spacing w:line="240" w:lineRule="auto"/>
              <w:jc w:val="center"/>
              <w:rPr>
                <w:rFonts w:cs="Arial"/>
                <w:color w:val="000000"/>
                <w:szCs w:val="20"/>
                <w:lang w:val="en-US" w:eastAsia="sl-SI"/>
              </w:rPr>
            </w:pPr>
            <w:r w:rsidRPr="00E15F00">
              <w:rPr>
                <w:rFonts w:cs="Arial"/>
              </w:rPr>
              <w:t>520.800</w:t>
            </w:r>
          </w:p>
        </w:tc>
      </w:tr>
      <w:tr w:rsidR="00E15F00" w:rsidRPr="00E15F00" w:rsidTr="00E15F00">
        <w:trPr>
          <w:trHeight w:val="324"/>
          <w:jc w:val="center"/>
        </w:trPr>
        <w:tc>
          <w:tcPr>
            <w:tcW w:w="21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15F00" w:rsidRPr="00E15F00" w:rsidRDefault="00E15F00">
            <w:pPr>
              <w:spacing w:line="240" w:lineRule="auto"/>
              <w:jc w:val="center"/>
              <w:rPr>
                <w:rFonts w:cs="Arial"/>
                <w:color w:val="000000"/>
                <w:szCs w:val="20"/>
                <w:lang w:eastAsia="sl-SI"/>
              </w:rPr>
            </w:pPr>
            <w:r w:rsidRPr="00E15F00">
              <w:rPr>
                <w:rFonts w:cs="Arial"/>
                <w:color w:val="000000"/>
                <w:szCs w:val="20"/>
                <w:lang w:eastAsia="sl-SI"/>
              </w:rPr>
              <w:t>Funkcionarji in zaposleni v državnih in javnih službah (skladno s 4 alinejo priloge 6)</w:t>
            </w:r>
          </w:p>
        </w:tc>
        <w:tc>
          <w:tcPr>
            <w:tcW w:w="21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5F00" w:rsidRPr="00E15F00" w:rsidRDefault="00E15F00">
            <w:pPr>
              <w:spacing w:line="240" w:lineRule="auto"/>
              <w:jc w:val="center"/>
              <w:rPr>
                <w:rFonts w:cs="Arial"/>
                <w:szCs w:val="20"/>
                <w:lang w:eastAsia="sl-SI"/>
              </w:rPr>
            </w:pPr>
            <w:r w:rsidRPr="00E15F00">
              <w:rPr>
                <w:rFonts w:cs="Arial"/>
                <w:szCs w:val="20"/>
                <w:lang w:eastAsia="sl-SI"/>
              </w:rPr>
              <w:t>11.000</w:t>
            </w:r>
          </w:p>
        </w:tc>
        <w:tc>
          <w:tcPr>
            <w:tcW w:w="14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5F00" w:rsidRPr="00E15F00" w:rsidRDefault="00E15F00">
            <w:pPr>
              <w:spacing w:line="240" w:lineRule="auto"/>
              <w:jc w:val="center"/>
              <w:rPr>
                <w:rFonts w:cs="Arial"/>
                <w:szCs w:val="20"/>
                <w:lang w:eastAsia="sl-SI"/>
              </w:rPr>
            </w:pPr>
            <w:r w:rsidRPr="00E15F00">
              <w:rPr>
                <w:rFonts w:cs="Arial"/>
                <w:szCs w:val="20"/>
                <w:lang w:eastAsia="sl-SI"/>
              </w:rPr>
              <w:t>3.300</w:t>
            </w:r>
          </w:p>
        </w:tc>
        <w:tc>
          <w:tcPr>
            <w:tcW w:w="14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5F00" w:rsidRPr="00E15F00" w:rsidRDefault="00E15F00">
            <w:pPr>
              <w:spacing w:line="240" w:lineRule="auto"/>
              <w:jc w:val="center"/>
              <w:rPr>
                <w:rFonts w:cs="Arial"/>
                <w:szCs w:val="20"/>
                <w:lang w:val="en-US" w:eastAsia="sl-SI"/>
              </w:rPr>
            </w:pPr>
            <w:r w:rsidRPr="00E15F00">
              <w:rPr>
                <w:rFonts w:cs="Arial"/>
                <w:szCs w:val="20"/>
                <w:lang w:val="en-US" w:eastAsia="sl-SI"/>
              </w:rPr>
              <w:t>5.500</w:t>
            </w:r>
          </w:p>
        </w:tc>
        <w:tc>
          <w:tcPr>
            <w:tcW w:w="14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5F00" w:rsidRPr="00E15F00" w:rsidRDefault="00E15F00">
            <w:pPr>
              <w:spacing w:line="240" w:lineRule="auto"/>
              <w:jc w:val="center"/>
              <w:rPr>
                <w:rFonts w:cs="Arial"/>
                <w:szCs w:val="20"/>
                <w:lang w:eastAsia="sl-SI"/>
              </w:rPr>
            </w:pPr>
            <w:r w:rsidRPr="00E15F00">
              <w:rPr>
                <w:rFonts w:cs="Arial"/>
                <w:szCs w:val="20"/>
                <w:lang w:eastAsia="sl-SI"/>
              </w:rPr>
              <w:t>7.700</w:t>
            </w:r>
          </w:p>
        </w:tc>
      </w:tr>
      <w:tr w:rsidR="00E15F00" w:rsidRPr="00E15F00" w:rsidTr="00E15F00">
        <w:trPr>
          <w:trHeight w:val="324"/>
          <w:jc w:val="center"/>
        </w:trPr>
        <w:tc>
          <w:tcPr>
            <w:tcW w:w="21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15F00" w:rsidRPr="00E15F00" w:rsidRDefault="00E15F00">
            <w:pPr>
              <w:spacing w:line="240" w:lineRule="auto"/>
              <w:jc w:val="center"/>
              <w:rPr>
                <w:rFonts w:cs="Arial"/>
                <w:szCs w:val="20"/>
                <w:lang w:eastAsia="sl-SI"/>
              </w:rPr>
            </w:pPr>
            <w:r w:rsidRPr="00E15F00">
              <w:rPr>
                <w:rFonts w:cs="Arial"/>
                <w:color w:val="000000"/>
                <w:szCs w:val="20"/>
                <w:lang w:val="en-US" w:eastAsia="sl-SI"/>
              </w:rPr>
              <w:t>Zaposleni v kritični infrastrukturi</w:t>
            </w:r>
          </w:p>
        </w:tc>
        <w:tc>
          <w:tcPr>
            <w:tcW w:w="21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5F00" w:rsidRPr="00E15F00" w:rsidRDefault="00E15F00">
            <w:pPr>
              <w:spacing w:line="240" w:lineRule="auto"/>
              <w:jc w:val="center"/>
              <w:rPr>
                <w:rFonts w:cs="Arial"/>
                <w:szCs w:val="20"/>
                <w:lang w:eastAsia="sl-SI"/>
              </w:rPr>
            </w:pPr>
            <w:r w:rsidRPr="00E15F00">
              <w:rPr>
                <w:rFonts w:cs="Arial"/>
                <w:szCs w:val="20"/>
                <w:lang w:eastAsia="sl-SI"/>
              </w:rPr>
              <w:t>54.450</w:t>
            </w:r>
          </w:p>
        </w:tc>
        <w:tc>
          <w:tcPr>
            <w:tcW w:w="14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5F00" w:rsidRPr="00E15F00" w:rsidRDefault="00E15F00">
            <w:pPr>
              <w:spacing w:line="240" w:lineRule="auto"/>
              <w:jc w:val="center"/>
              <w:rPr>
                <w:rFonts w:cs="Arial"/>
                <w:szCs w:val="20"/>
                <w:lang w:eastAsia="sl-SI"/>
              </w:rPr>
            </w:pPr>
            <w:r w:rsidRPr="00E15F00">
              <w:rPr>
                <w:rFonts w:cs="Arial"/>
                <w:szCs w:val="20"/>
                <w:lang w:eastAsia="sl-SI"/>
              </w:rPr>
              <w:t>16.335</w:t>
            </w:r>
          </w:p>
        </w:tc>
        <w:tc>
          <w:tcPr>
            <w:tcW w:w="14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5F00" w:rsidRPr="00E15F00" w:rsidRDefault="00E15F00">
            <w:pPr>
              <w:spacing w:line="240" w:lineRule="auto"/>
              <w:jc w:val="center"/>
              <w:rPr>
                <w:rFonts w:cs="Arial"/>
                <w:szCs w:val="20"/>
                <w:lang w:eastAsia="sl-SI"/>
              </w:rPr>
            </w:pPr>
            <w:r w:rsidRPr="00E15F00">
              <w:rPr>
                <w:rFonts w:cs="Arial"/>
                <w:szCs w:val="20"/>
                <w:lang w:val="en-US" w:eastAsia="sl-SI"/>
              </w:rPr>
              <w:t>27.225</w:t>
            </w:r>
          </w:p>
        </w:tc>
        <w:tc>
          <w:tcPr>
            <w:tcW w:w="14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5F00" w:rsidRPr="00E15F00" w:rsidRDefault="00E15F00">
            <w:pPr>
              <w:spacing w:line="240" w:lineRule="auto"/>
              <w:jc w:val="center"/>
              <w:rPr>
                <w:rFonts w:cs="Arial"/>
                <w:szCs w:val="20"/>
                <w:lang w:eastAsia="sl-SI"/>
              </w:rPr>
            </w:pPr>
            <w:r w:rsidRPr="00E15F00">
              <w:rPr>
                <w:rFonts w:cs="Arial"/>
                <w:szCs w:val="20"/>
                <w:lang w:eastAsia="sl-SI"/>
              </w:rPr>
              <w:t>38.115</w:t>
            </w:r>
          </w:p>
        </w:tc>
      </w:tr>
      <w:tr w:rsidR="00E15F00" w:rsidRPr="00E15F00" w:rsidTr="00E15F00">
        <w:trPr>
          <w:trHeight w:val="324"/>
          <w:jc w:val="center"/>
        </w:trPr>
        <w:tc>
          <w:tcPr>
            <w:tcW w:w="2115"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rsidR="00E15F00" w:rsidRPr="00E15F00" w:rsidRDefault="00E15F00">
            <w:pPr>
              <w:spacing w:line="240" w:lineRule="auto"/>
              <w:jc w:val="center"/>
              <w:rPr>
                <w:rFonts w:cs="Arial"/>
                <w:szCs w:val="20"/>
                <w:lang w:eastAsia="sl-SI"/>
              </w:rPr>
            </w:pPr>
            <w:r w:rsidRPr="00E15F00">
              <w:rPr>
                <w:rFonts w:cs="Arial"/>
                <w:color w:val="000000"/>
                <w:szCs w:val="20"/>
                <w:lang w:eastAsia="sl-SI"/>
              </w:rPr>
              <w:t>ostalo prebivalstvo po vrstnem redu prijav</w:t>
            </w:r>
          </w:p>
        </w:tc>
        <w:tc>
          <w:tcPr>
            <w:tcW w:w="2154" w:type="dxa"/>
            <w:tcBorders>
              <w:top w:val="nil"/>
              <w:left w:val="nil"/>
              <w:bottom w:val="nil"/>
              <w:right w:val="single" w:sz="8" w:space="0" w:color="auto"/>
            </w:tcBorders>
            <w:noWrap/>
            <w:tcMar>
              <w:top w:w="0" w:type="dxa"/>
              <w:left w:w="70" w:type="dxa"/>
              <w:bottom w:w="0" w:type="dxa"/>
              <w:right w:w="70" w:type="dxa"/>
            </w:tcMar>
            <w:vAlign w:val="center"/>
            <w:hideMark/>
          </w:tcPr>
          <w:p w:rsidR="00E15F00" w:rsidRPr="00E15F00" w:rsidRDefault="00E15F00">
            <w:pPr>
              <w:rPr>
                <w:rFonts w:cs="Arial"/>
                <w:szCs w:val="20"/>
                <w:lang w:eastAsia="sl-SI"/>
              </w:rPr>
            </w:pPr>
          </w:p>
        </w:tc>
        <w:tc>
          <w:tcPr>
            <w:tcW w:w="1499" w:type="dxa"/>
            <w:tcBorders>
              <w:top w:val="nil"/>
              <w:left w:val="nil"/>
              <w:bottom w:val="nil"/>
              <w:right w:val="single" w:sz="8" w:space="0" w:color="auto"/>
            </w:tcBorders>
            <w:noWrap/>
            <w:tcMar>
              <w:top w:w="0" w:type="dxa"/>
              <w:left w:w="70" w:type="dxa"/>
              <w:bottom w:w="0" w:type="dxa"/>
              <w:right w:w="70" w:type="dxa"/>
            </w:tcMar>
            <w:vAlign w:val="center"/>
            <w:hideMark/>
          </w:tcPr>
          <w:p w:rsidR="00E15F00" w:rsidRPr="00E15F00" w:rsidRDefault="00E15F00">
            <w:pPr>
              <w:spacing w:line="240" w:lineRule="auto"/>
              <w:rPr>
                <w:rFonts w:cs="Arial"/>
                <w:szCs w:val="20"/>
                <w:lang w:eastAsia="sl-SI"/>
              </w:rPr>
            </w:pPr>
          </w:p>
        </w:tc>
        <w:tc>
          <w:tcPr>
            <w:tcW w:w="1499" w:type="dxa"/>
            <w:tcBorders>
              <w:top w:val="nil"/>
              <w:left w:val="nil"/>
              <w:bottom w:val="nil"/>
              <w:right w:val="single" w:sz="8" w:space="0" w:color="auto"/>
            </w:tcBorders>
            <w:noWrap/>
            <w:tcMar>
              <w:top w:w="0" w:type="dxa"/>
              <w:left w:w="70" w:type="dxa"/>
              <w:bottom w:w="0" w:type="dxa"/>
              <w:right w:w="70" w:type="dxa"/>
            </w:tcMar>
            <w:vAlign w:val="center"/>
            <w:hideMark/>
          </w:tcPr>
          <w:p w:rsidR="00E15F00" w:rsidRPr="00E15F00" w:rsidRDefault="00E15F00">
            <w:pPr>
              <w:spacing w:line="240" w:lineRule="auto"/>
              <w:rPr>
                <w:rFonts w:cs="Arial"/>
                <w:szCs w:val="20"/>
                <w:lang w:eastAsia="sl-SI"/>
              </w:rPr>
            </w:pPr>
          </w:p>
        </w:tc>
        <w:tc>
          <w:tcPr>
            <w:tcW w:w="1499" w:type="dxa"/>
            <w:tcBorders>
              <w:top w:val="nil"/>
              <w:left w:val="nil"/>
              <w:bottom w:val="nil"/>
              <w:right w:val="single" w:sz="8" w:space="0" w:color="auto"/>
            </w:tcBorders>
            <w:noWrap/>
            <w:tcMar>
              <w:top w:w="0" w:type="dxa"/>
              <w:left w:w="70" w:type="dxa"/>
              <w:bottom w:w="0" w:type="dxa"/>
              <w:right w:w="70" w:type="dxa"/>
            </w:tcMar>
            <w:vAlign w:val="center"/>
            <w:hideMark/>
          </w:tcPr>
          <w:p w:rsidR="00E15F00" w:rsidRPr="00E15F00" w:rsidRDefault="00E15F00">
            <w:pPr>
              <w:spacing w:line="240" w:lineRule="auto"/>
              <w:rPr>
                <w:rFonts w:cs="Arial"/>
                <w:szCs w:val="20"/>
                <w:lang w:eastAsia="sl-SI"/>
              </w:rPr>
            </w:pPr>
          </w:p>
        </w:tc>
      </w:tr>
      <w:tr w:rsidR="00E15F00" w:rsidRPr="00E15F00" w:rsidTr="00E15F00">
        <w:trPr>
          <w:trHeight w:val="324"/>
          <w:jc w:val="center"/>
        </w:trPr>
        <w:tc>
          <w:tcPr>
            <w:tcW w:w="2115" w:type="dxa"/>
            <w:tcBorders>
              <w:top w:val="nil"/>
              <w:left w:val="single" w:sz="8" w:space="0" w:color="auto"/>
              <w:bottom w:val="single" w:sz="8" w:space="0" w:color="auto"/>
              <w:right w:val="single" w:sz="8" w:space="0" w:color="auto"/>
            </w:tcBorders>
            <w:shd w:val="clear" w:color="auto" w:fill="0066FF"/>
            <w:noWrap/>
            <w:tcMar>
              <w:top w:w="0" w:type="dxa"/>
              <w:left w:w="70" w:type="dxa"/>
              <w:bottom w:w="0" w:type="dxa"/>
              <w:right w:w="70" w:type="dxa"/>
            </w:tcMar>
            <w:vAlign w:val="center"/>
            <w:hideMark/>
          </w:tcPr>
          <w:p w:rsidR="00E15F00" w:rsidRPr="00E15F00" w:rsidRDefault="00E15F00">
            <w:pPr>
              <w:spacing w:line="240" w:lineRule="auto"/>
              <w:rPr>
                <w:rFonts w:cs="Arial"/>
                <w:lang w:eastAsia="sl-SI"/>
              </w:rPr>
            </w:pPr>
            <w:r w:rsidRPr="00E15F00">
              <w:rPr>
                <w:rFonts w:cs="Arial"/>
                <w:b/>
                <w:bCs/>
                <w:color w:val="FFFFFF"/>
                <w:lang w:val="en-US" w:eastAsia="sl-SI"/>
              </w:rPr>
              <w:t>SKUPAJ</w:t>
            </w:r>
          </w:p>
        </w:tc>
        <w:tc>
          <w:tcPr>
            <w:tcW w:w="2154" w:type="dxa"/>
            <w:tcBorders>
              <w:top w:val="nil"/>
              <w:left w:val="nil"/>
              <w:bottom w:val="single" w:sz="8" w:space="0" w:color="auto"/>
              <w:right w:val="single" w:sz="8" w:space="0" w:color="auto"/>
            </w:tcBorders>
            <w:shd w:val="clear" w:color="auto" w:fill="0066FF"/>
            <w:noWrap/>
            <w:tcMar>
              <w:top w:w="0" w:type="dxa"/>
              <w:left w:w="70" w:type="dxa"/>
              <w:bottom w:w="0" w:type="dxa"/>
              <w:right w:w="70" w:type="dxa"/>
            </w:tcMar>
            <w:hideMark/>
          </w:tcPr>
          <w:p w:rsidR="00E15F00" w:rsidRPr="00E15F00" w:rsidRDefault="00E15F00">
            <w:pPr>
              <w:jc w:val="center"/>
              <w:rPr>
                <w:rFonts w:cs="Arial"/>
                <w:b/>
                <w:bCs/>
                <w:sz w:val="24"/>
              </w:rPr>
            </w:pPr>
            <w:r w:rsidRPr="00E15F00">
              <w:rPr>
                <w:rFonts w:cs="Arial"/>
                <w:b/>
                <w:bCs/>
              </w:rPr>
              <w:t>1.193.437</w:t>
            </w:r>
          </w:p>
        </w:tc>
        <w:tc>
          <w:tcPr>
            <w:tcW w:w="1499" w:type="dxa"/>
            <w:tcBorders>
              <w:top w:val="nil"/>
              <w:left w:val="nil"/>
              <w:bottom w:val="single" w:sz="8" w:space="0" w:color="auto"/>
              <w:right w:val="single" w:sz="8" w:space="0" w:color="auto"/>
            </w:tcBorders>
            <w:shd w:val="clear" w:color="auto" w:fill="0066FF"/>
            <w:noWrap/>
            <w:tcMar>
              <w:top w:w="0" w:type="dxa"/>
              <w:left w:w="70" w:type="dxa"/>
              <w:bottom w:w="0" w:type="dxa"/>
              <w:right w:w="70" w:type="dxa"/>
            </w:tcMar>
            <w:hideMark/>
          </w:tcPr>
          <w:p w:rsidR="00E15F00" w:rsidRPr="00E15F00" w:rsidRDefault="00E15F00">
            <w:pPr>
              <w:jc w:val="center"/>
              <w:rPr>
                <w:rFonts w:cs="Arial"/>
                <w:b/>
                <w:bCs/>
                <w:sz w:val="24"/>
              </w:rPr>
            </w:pPr>
            <w:r w:rsidRPr="00E15F00">
              <w:rPr>
                <w:rFonts w:cs="Arial"/>
                <w:b/>
                <w:bCs/>
              </w:rPr>
              <w:t>358.031</w:t>
            </w:r>
          </w:p>
        </w:tc>
        <w:tc>
          <w:tcPr>
            <w:tcW w:w="1499" w:type="dxa"/>
            <w:tcBorders>
              <w:top w:val="nil"/>
              <w:left w:val="nil"/>
              <w:bottom w:val="single" w:sz="8" w:space="0" w:color="auto"/>
              <w:right w:val="single" w:sz="8" w:space="0" w:color="auto"/>
            </w:tcBorders>
            <w:shd w:val="clear" w:color="auto" w:fill="0066FF"/>
            <w:noWrap/>
            <w:tcMar>
              <w:top w:w="0" w:type="dxa"/>
              <w:left w:w="70" w:type="dxa"/>
              <w:bottom w:w="0" w:type="dxa"/>
              <w:right w:w="70" w:type="dxa"/>
            </w:tcMar>
            <w:hideMark/>
          </w:tcPr>
          <w:p w:rsidR="00E15F00" w:rsidRPr="00E15F00" w:rsidRDefault="00E15F00">
            <w:pPr>
              <w:jc w:val="center"/>
              <w:rPr>
                <w:rFonts w:cs="Arial"/>
                <w:b/>
                <w:bCs/>
                <w:sz w:val="24"/>
              </w:rPr>
            </w:pPr>
            <w:r w:rsidRPr="00E15F00">
              <w:rPr>
                <w:rFonts w:cs="Arial"/>
                <w:b/>
                <w:bCs/>
              </w:rPr>
              <w:t>596.722</w:t>
            </w:r>
          </w:p>
        </w:tc>
        <w:tc>
          <w:tcPr>
            <w:tcW w:w="1499" w:type="dxa"/>
            <w:tcBorders>
              <w:top w:val="nil"/>
              <w:left w:val="nil"/>
              <w:bottom w:val="single" w:sz="8" w:space="0" w:color="auto"/>
              <w:right w:val="single" w:sz="8" w:space="0" w:color="auto"/>
            </w:tcBorders>
            <w:shd w:val="clear" w:color="auto" w:fill="0066FF"/>
            <w:noWrap/>
            <w:tcMar>
              <w:top w:w="0" w:type="dxa"/>
              <w:left w:w="70" w:type="dxa"/>
              <w:bottom w:w="0" w:type="dxa"/>
              <w:right w:w="70" w:type="dxa"/>
            </w:tcMar>
            <w:hideMark/>
          </w:tcPr>
          <w:p w:rsidR="00E15F00" w:rsidRPr="00E15F00" w:rsidRDefault="00E15F00">
            <w:pPr>
              <w:jc w:val="center"/>
              <w:rPr>
                <w:rFonts w:cs="Arial"/>
                <w:b/>
                <w:bCs/>
                <w:sz w:val="24"/>
              </w:rPr>
            </w:pPr>
            <w:r w:rsidRPr="00E15F00">
              <w:rPr>
                <w:rFonts w:cs="Arial"/>
                <w:b/>
                <w:bCs/>
              </w:rPr>
              <w:t>835.407</w:t>
            </w:r>
          </w:p>
        </w:tc>
      </w:tr>
    </w:tbl>
    <w:p w:rsidR="00E15F00" w:rsidRPr="00E15F00" w:rsidRDefault="00E15F00" w:rsidP="00E15F00">
      <w:pPr>
        <w:autoSpaceDE w:val="0"/>
        <w:autoSpaceDN w:val="0"/>
        <w:adjustRightInd w:val="0"/>
        <w:spacing w:line="240" w:lineRule="auto"/>
        <w:jc w:val="both"/>
        <w:rPr>
          <w:rFonts w:cs="Arial"/>
          <w:color w:val="000000"/>
          <w:szCs w:val="20"/>
        </w:rPr>
      </w:pPr>
    </w:p>
    <w:p w:rsidR="00E15F00" w:rsidRPr="00E15F00" w:rsidRDefault="00E15F00" w:rsidP="00E15F00">
      <w:pPr>
        <w:autoSpaceDE w:val="0"/>
        <w:autoSpaceDN w:val="0"/>
        <w:adjustRightInd w:val="0"/>
        <w:spacing w:line="240" w:lineRule="auto"/>
        <w:jc w:val="both"/>
        <w:rPr>
          <w:rFonts w:cs="Arial"/>
          <w:color w:val="000000"/>
          <w:szCs w:val="20"/>
        </w:rPr>
      </w:pPr>
    </w:p>
    <w:p w:rsidR="00E15F00" w:rsidRPr="00E15F00" w:rsidRDefault="00E15F00" w:rsidP="00E15F00">
      <w:pPr>
        <w:autoSpaceDE w:val="0"/>
        <w:autoSpaceDN w:val="0"/>
        <w:adjustRightInd w:val="0"/>
        <w:spacing w:line="240" w:lineRule="auto"/>
        <w:jc w:val="both"/>
        <w:rPr>
          <w:rFonts w:cs="Arial"/>
          <w:color w:val="000000"/>
          <w:szCs w:val="20"/>
        </w:rPr>
      </w:pPr>
      <w:r w:rsidRPr="00E15F00">
        <w:rPr>
          <w:rFonts w:cs="Arial"/>
          <w:color w:val="000000"/>
          <w:szCs w:val="20"/>
        </w:rPr>
        <w:t>Legenda:</w:t>
      </w:r>
    </w:p>
    <w:p w:rsidR="00E15F00" w:rsidRPr="00E15F00" w:rsidRDefault="00E15F00" w:rsidP="00E15F00">
      <w:pPr>
        <w:autoSpaceDE w:val="0"/>
        <w:autoSpaceDN w:val="0"/>
        <w:adjustRightInd w:val="0"/>
        <w:spacing w:line="240" w:lineRule="auto"/>
        <w:jc w:val="both"/>
        <w:rPr>
          <w:rFonts w:cs="Arial"/>
          <w:color w:val="000000"/>
          <w:szCs w:val="20"/>
        </w:rPr>
      </w:pPr>
    </w:p>
    <w:p w:rsidR="00E15F00" w:rsidRPr="00E15F00" w:rsidRDefault="00B21683" w:rsidP="00B21683">
      <w:pPr>
        <w:autoSpaceDE w:val="0"/>
        <w:autoSpaceDN w:val="0"/>
        <w:adjustRightInd w:val="0"/>
        <w:jc w:val="both"/>
        <w:rPr>
          <w:rFonts w:cs="Arial"/>
          <w:color w:val="000000"/>
          <w:szCs w:val="20"/>
        </w:rPr>
      </w:pPr>
      <w:r>
        <w:rPr>
          <w:rFonts w:cs="Arial"/>
          <w:color w:val="000000"/>
          <w:szCs w:val="20"/>
        </w:rPr>
        <w:t>*kronični bolniki stari 25</w:t>
      </w:r>
      <w:r w:rsidR="00E15F00" w:rsidRPr="00E15F00">
        <w:rPr>
          <w:rFonts w:cs="Arial"/>
          <w:color w:val="000000"/>
          <w:szCs w:val="20"/>
          <w:lang w:eastAsia="sl-SI"/>
        </w:rPr>
        <w:t>−</w:t>
      </w:r>
      <w:r w:rsidR="00E15F00" w:rsidRPr="00E15F00">
        <w:rPr>
          <w:rFonts w:cs="Arial"/>
          <w:color w:val="000000"/>
          <w:szCs w:val="20"/>
        </w:rPr>
        <w:t>64 let (ocena na podlagi samoporočanja na reprezentativnem vzorcu slovenske odrasle populacije, CINDI 2016)</w:t>
      </w:r>
    </w:p>
    <w:p w:rsidR="00E15F00" w:rsidRPr="00E15F00" w:rsidRDefault="00E15F00" w:rsidP="00B21683">
      <w:pPr>
        <w:autoSpaceDE w:val="0"/>
        <w:autoSpaceDN w:val="0"/>
        <w:adjustRightInd w:val="0"/>
        <w:jc w:val="both"/>
        <w:rPr>
          <w:rFonts w:cs="Arial"/>
          <w:color w:val="000000"/>
          <w:szCs w:val="20"/>
        </w:rPr>
      </w:pPr>
      <w:r w:rsidRPr="00E15F00">
        <w:rPr>
          <w:rFonts w:cs="Arial"/>
          <w:color w:val="000000"/>
          <w:szCs w:val="20"/>
        </w:rPr>
        <w:t xml:space="preserve">** podatki Zdravstveni portal za leto 2019, podatki za vse zdravstvene delavce in sodelavce zaposlene pri izvajalcih zdravstvene dejavnosti (zdravnik, zobozdravnik, farmacevt, dipl. med. sestra/ zdravstvenik, diplomirani sanitarni inženir, višja med. sestra / višji zdr. tehnik, inženir farmacije, višji fizioterapevt, inženir radiologije, višji delovni terapevt, sanitarni inženir/višji san. tehnik, dentist, biokemik (biok. v zdr. dej., ing. med. biok.), inženir zobne protetike, inženir ortotike in protetike, višji zobni tehnik, višji laboratorijski tehnik, organizator dela v zdravstvu, organizator dela (ostale smeri), defektolog, logoped, veterinar, ekonomist, pravnik, profesor, socialni delavec, psiholog, biolog, inženir elektrotehnike, matematik, kemik (kem. tehnolog, ing. kem. ing.), fizik, prof. zdravstvene vzgoje, dipl. fizioterapevt, dipl. ing. radiologije, dipl. delovni terapevt, dipl. ing. ortotike in protetike, dipl. ing. lab. biomedicine, dipl. babica/babičar, živilski tehnolog, mikrobiolog, optometrist, mag. ing. radiološke tehnologije, mag. zdravstvene nege, mag. lab. biomedicine, tehnik zdravstvene nege, laboratorijski tehnik, zobotehnik, farmacevtski tehnik, dietetik, babica, sanitarni tehnik, ustni higienik, bolničar, ostalo).  </w:t>
      </w:r>
    </w:p>
    <w:p w:rsidR="00E15F00" w:rsidRPr="00E15F00" w:rsidRDefault="00E15F00" w:rsidP="00B21683">
      <w:pPr>
        <w:autoSpaceDE w:val="0"/>
        <w:autoSpaceDN w:val="0"/>
        <w:adjustRightInd w:val="0"/>
        <w:jc w:val="both"/>
        <w:rPr>
          <w:rFonts w:cs="Arial"/>
        </w:rPr>
      </w:pPr>
      <w:r w:rsidRPr="00E15F00">
        <w:rPr>
          <w:rFonts w:cs="Arial"/>
          <w:color w:val="000000"/>
          <w:szCs w:val="20"/>
        </w:rPr>
        <w:t>***podatek iz priloge k Splošnemu dogovoru</w:t>
      </w:r>
    </w:p>
    <w:p w:rsidR="00E37094" w:rsidRPr="00E15F00" w:rsidRDefault="00E37094" w:rsidP="00B21683">
      <w:pPr>
        <w:autoSpaceDE w:val="0"/>
        <w:autoSpaceDN w:val="0"/>
        <w:adjustRightInd w:val="0"/>
        <w:jc w:val="both"/>
        <w:rPr>
          <w:rFonts w:cs="Arial"/>
          <w:color w:val="000000"/>
          <w:szCs w:val="20"/>
        </w:rPr>
      </w:pPr>
    </w:p>
    <w:sectPr w:rsidR="00E37094" w:rsidRPr="00E15F00" w:rsidSect="005C3E50">
      <w:headerReference w:type="even" r:id="rId23"/>
      <w:headerReference w:type="default" r:id="rId24"/>
      <w:footerReference w:type="even" r:id="rId25"/>
      <w:footerReference w:type="default" r:id="rId26"/>
      <w:headerReference w:type="first" r:id="rId27"/>
      <w:footerReference w:type="first" r:id="rId28"/>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5F8" w:rsidRDefault="005B75F8" w:rsidP="00767987">
      <w:pPr>
        <w:spacing w:line="240" w:lineRule="auto"/>
      </w:pPr>
      <w:r>
        <w:separator/>
      </w:r>
    </w:p>
  </w:endnote>
  <w:endnote w:type="continuationSeparator" w:id="0">
    <w:p w:rsidR="005B75F8" w:rsidRDefault="005B75F8"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C5A" w:rsidRDefault="00052C5A">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rsidR="00E37094" w:rsidRDefault="00E37094">
        <w:pPr>
          <w:pStyle w:val="Noga"/>
          <w:jc w:val="right"/>
        </w:pPr>
        <w:r>
          <w:fldChar w:fldCharType="begin"/>
        </w:r>
        <w:r>
          <w:instrText>PAGE   \* MERGEFORMAT</w:instrText>
        </w:r>
        <w:r>
          <w:fldChar w:fldCharType="separate"/>
        </w:r>
        <w:r w:rsidR="00491F9B">
          <w:rPr>
            <w:noProof/>
          </w:rPr>
          <w:t>19</w:t>
        </w:r>
        <w:r>
          <w:fldChar w:fldCharType="end"/>
        </w:r>
      </w:p>
    </w:sdtContent>
  </w:sdt>
  <w:p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5C" w:rsidRDefault="00552E5C" w:rsidP="00B01357">
    <w:pPr>
      <w:pStyle w:val="Noga"/>
      <w:jc w:val="right"/>
    </w:pPr>
  </w:p>
  <w:p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5F8" w:rsidRDefault="005B75F8" w:rsidP="00767987">
      <w:pPr>
        <w:spacing w:line="240" w:lineRule="auto"/>
      </w:pPr>
      <w:r>
        <w:separator/>
      </w:r>
    </w:p>
  </w:footnote>
  <w:footnote w:type="continuationSeparator" w:id="0">
    <w:p w:rsidR="005B75F8" w:rsidRDefault="005B75F8" w:rsidP="00767987">
      <w:pPr>
        <w:spacing w:line="240" w:lineRule="auto"/>
      </w:pPr>
      <w:r>
        <w:continuationSeparator/>
      </w:r>
    </w:p>
  </w:footnote>
  <w:footnote w:id="1">
    <w:p w:rsidR="00E15F00" w:rsidRDefault="00E15F00" w:rsidP="00E15F00">
      <w:pPr>
        <w:pStyle w:val="Sprotnaopomba-besedilo"/>
        <w:spacing w:line="240" w:lineRule="auto"/>
        <w:rPr>
          <w:rFonts w:cs="Arial"/>
          <w:color w:val="0070C0"/>
          <w:sz w:val="16"/>
          <w:szCs w:val="16"/>
        </w:rPr>
      </w:pPr>
    </w:p>
  </w:footnote>
  <w:footnote w:id="2">
    <w:p w:rsidR="00E15F00" w:rsidRDefault="00E15F00" w:rsidP="00E15F00">
      <w:pPr>
        <w:pStyle w:val="Sprotnaopomba-besedilo"/>
        <w:spacing w:line="240" w:lineRule="auto"/>
        <w:jc w:val="both"/>
        <w:rPr>
          <w:rFonts w:cs="Arial"/>
          <w:color w:val="0070C0"/>
          <w:sz w:val="16"/>
          <w:szCs w:val="16"/>
        </w:rPr>
      </w:pPr>
      <w:r>
        <w:rPr>
          <w:rStyle w:val="Sprotnaopomba-sklic"/>
        </w:rPr>
        <w:footnoteRef/>
      </w:r>
      <w:r>
        <w:t xml:space="preserve"> </w:t>
      </w:r>
      <w:bookmarkStart w:id="2" w:name="_Hlk66269083"/>
      <w:r>
        <w:rPr>
          <w:rFonts w:cs="Arial"/>
          <w:color w:val="0070C0"/>
          <w:sz w:val="16"/>
          <w:szCs w:val="16"/>
        </w:rPr>
        <w:t>Razvoj cepiv proti virusu SARS-CoV-2: T. Bratkovič, M.Lunder in N. Lovšin; farm vestn 2020; 71 (str 162-173)</w:t>
      </w:r>
    </w:p>
    <w:bookmarkEnd w:id="2"/>
    <w:p w:rsidR="00E15F00" w:rsidRDefault="00E15F00" w:rsidP="00E15F00">
      <w:pPr>
        <w:pStyle w:val="Sprotnaopomba-besedilo"/>
        <w:rPr>
          <w:lang w:val="sl-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C5A" w:rsidRDefault="00052C5A">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C5A" w:rsidRDefault="00052C5A">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A2662D8" wp14:editId="5DAAEB08">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D7576"/>
    <w:multiLevelType w:val="hybridMultilevel"/>
    <w:tmpl w:val="44DC266E"/>
    <w:lvl w:ilvl="0" w:tplc="6D3AC0F0">
      <w:start w:val="8"/>
      <w:numFmt w:val="decimal"/>
      <w:lvlText w:val="%1."/>
      <w:lvlJc w:val="left"/>
      <w:pPr>
        <w:ind w:left="1584" w:hanging="360"/>
      </w:pPr>
    </w:lvl>
    <w:lvl w:ilvl="1" w:tplc="04240019">
      <w:start w:val="1"/>
      <w:numFmt w:val="lowerLetter"/>
      <w:lvlText w:val="%2."/>
      <w:lvlJc w:val="left"/>
      <w:pPr>
        <w:ind w:left="2304" w:hanging="360"/>
      </w:pPr>
    </w:lvl>
    <w:lvl w:ilvl="2" w:tplc="0424001B">
      <w:start w:val="1"/>
      <w:numFmt w:val="lowerRoman"/>
      <w:lvlText w:val="%3."/>
      <w:lvlJc w:val="right"/>
      <w:pPr>
        <w:ind w:left="3024" w:hanging="180"/>
      </w:pPr>
    </w:lvl>
    <w:lvl w:ilvl="3" w:tplc="0424000F">
      <w:start w:val="1"/>
      <w:numFmt w:val="decimal"/>
      <w:lvlText w:val="%4."/>
      <w:lvlJc w:val="left"/>
      <w:pPr>
        <w:ind w:left="3744" w:hanging="360"/>
      </w:pPr>
    </w:lvl>
    <w:lvl w:ilvl="4" w:tplc="04240019">
      <w:start w:val="1"/>
      <w:numFmt w:val="lowerLetter"/>
      <w:lvlText w:val="%5."/>
      <w:lvlJc w:val="left"/>
      <w:pPr>
        <w:ind w:left="4464" w:hanging="360"/>
      </w:pPr>
    </w:lvl>
    <w:lvl w:ilvl="5" w:tplc="0424001B">
      <w:start w:val="1"/>
      <w:numFmt w:val="lowerRoman"/>
      <w:lvlText w:val="%6."/>
      <w:lvlJc w:val="right"/>
      <w:pPr>
        <w:ind w:left="5184" w:hanging="180"/>
      </w:pPr>
    </w:lvl>
    <w:lvl w:ilvl="6" w:tplc="0424000F">
      <w:start w:val="1"/>
      <w:numFmt w:val="decimal"/>
      <w:lvlText w:val="%7."/>
      <w:lvlJc w:val="left"/>
      <w:pPr>
        <w:ind w:left="5904" w:hanging="360"/>
      </w:pPr>
    </w:lvl>
    <w:lvl w:ilvl="7" w:tplc="04240019">
      <w:start w:val="1"/>
      <w:numFmt w:val="lowerLetter"/>
      <w:lvlText w:val="%8."/>
      <w:lvlJc w:val="left"/>
      <w:pPr>
        <w:ind w:left="6624" w:hanging="360"/>
      </w:pPr>
    </w:lvl>
    <w:lvl w:ilvl="8" w:tplc="0424001B">
      <w:start w:val="1"/>
      <w:numFmt w:val="lowerRoman"/>
      <w:lvlText w:val="%9."/>
      <w:lvlJc w:val="right"/>
      <w:pPr>
        <w:ind w:left="7344"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 w15:restartNumberingAfterBreak="0">
    <w:nsid w:val="25E27A8E"/>
    <w:multiLevelType w:val="hybridMultilevel"/>
    <w:tmpl w:val="B3704828"/>
    <w:lvl w:ilvl="0" w:tplc="2BF60A90">
      <w:numFmt w:val="bullet"/>
      <w:pStyle w:val="Alineazaodstavkom"/>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pStyle w:val="Par-numberi"/>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abstractNum w:abstractNumId="5" w15:restartNumberingAfterBreak="0">
    <w:nsid w:val="39745F03"/>
    <w:multiLevelType w:val="hybridMultilevel"/>
    <w:tmpl w:val="4D1A77E2"/>
    <w:lvl w:ilvl="0" w:tplc="85E2B9C4">
      <w:start w:val="1"/>
      <w:numFmt w:val="lowerLetter"/>
      <w:pStyle w:val="rkovnatokazaodstavkom"/>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6" w15:restartNumberingAfterBreak="0">
    <w:nsid w:val="3BCC458B"/>
    <w:multiLevelType w:val="hybridMultilevel"/>
    <w:tmpl w:val="FD66EA86"/>
    <w:lvl w:ilvl="0" w:tplc="9EC8CD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8436948"/>
    <w:multiLevelType w:val="hybridMultilevel"/>
    <w:tmpl w:val="9E3AAF7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8"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E8516FC"/>
    <w:multiLevelType w:val="hybridMultilevel"/>
    <w:tmpl w:val="117E5A60"/>
    <w:lvl w:ilvl="0" w:tplc="2BF60A90">
      <w:numFmt w:val="bullet"/>
      <w:lvlText w:val="−"/>
      <w:lvlJc w:val="left"/>
      <w:pPr>
        <w:ind w:left="720" w:hanging="360"/>
      </w:pPr>
      <w:rPr>
        <w:rFonts w:ascii="Arial" w:eastAsia="Calibri"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D3969"/>
    <w:multiLevelType w:val="hybridMultilevel"/>
    <w:tmpl w:val="BAF01B2C"/>
    <w:lvl w:ilvl="0" w:tplc="2BF60A90">
      <w:numFmt w:val="bullet"/>
      <w:lvlText w:val="−"/>
      <w:lvlJc w:val="left"/>
      <w:pPr>
        <w:ind w:left="720" w:hanging="360"/>
      </w:pPr>
      <w:rPr>
        <w:rFonts w:ascii="Arial" w:eastAsia="Calibri"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5D555AED"/>
    <w:multiLevelType w:val="hybridMultilevel"/>
    <w:tmpl w:val="FE1626F0"/>
    <w:lvl w:ilvl="0" w:tplc="4B661ED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4" w15:restartNumberingAfterBreak="0">
    <w:nsid w:val="6CDF6684"/>
    <w:multiLevelType w:val="hybridMultilevel"/>
    <w:tmpl w:val="3A264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0E1288"/>
    <w:multiLevelType w:val="hybridMultilevel"/>
    <w:tmpl w:val="014C415C"/>
    <w:lvl w:ilvl="0" w:tplc="2BF60A90">
      <w:numFmt w:val="bullet"/>
      <w:lvlText w:val="−"/>
      <w:lvlJc w:val="left"/>
      <w:pPr>
        <w:ind w:left="720" w:hanging="360"/>
      </w:pPr>
      <w:rPr>
        <w:rFonts w:ascii="Arial" w:eastAsia="Calibri"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7" w15:restartNumberingAfterBreak="0">
    <w:nsid w:val="78674717"/>
    <w:multiLevelType w:val="hybridMultilevel"/>
    <w:tmpl w:val="2B360BB8"/>
    <w:lvl w:ilvl="0" w:tplc="BA90C648">
      <w:start w:val="1"/>
      <w:numFmt w:val="decimal"/>
      <w:lvlText w:val="%1."/>
      <w:lvlJc w:val="left"/>
      <w:pPr>
        <w:ind w:left="720" w:hanging="360"/>
      </w:pPr>
      <w:rPr>
        <w:rFonts w:eastAsia="Calibri"/>
        <w:b/>
        <w:color w:val="auto"/>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16"/>
  </w:num>
  <w:num w:numId="2">
    <w:abstractNumId w:val="8"/>
  </w:num>
  <w:num w:numId="3">
    <w:abstractNumId w:val="10"/>
  </w:num>
  <w:num w:numId="4">
    <w:abstractNumId w:val="2"/>
  </w:num>
  <w:num w:numId="5">
    <w:abstractNumId w:val="4"/>
  </w:num>
  <w:num w:numId="6">
    <w:abstractNumId w:val="4"/>
  </w:num>
  <w:num w:numId="7">
    <w:abstractNumId w:val="16"/>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num>
  <w:num w:numId="18">
    <w:abstractNumId w:val="7"/>
  </w:num>
  <w:num w:numId="19">
    <w:abstractNumId w:val="7"/>
  </w:num>
  <w:num w:numId="20">
    <w:abstractNumId w:val="0"/>
  </w:num>
  <w:num w:numId="2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9"/>
  </w:num>
  <w:num w:numId="26">
    <w:abstractNumId w:val="11"/>
  </w:num>
  <w:num w:numId="27">
    <w:abstractNumId w:val="11"/>
  </w:num>
  <w:num w:numId="28">
    <w:abstractNumId w:val="15"/>
  </w:num>
  <w:num w:numId="29">
    <w:abstractNumId w:val="15"/>
  </w:num>
  <w:num w:numId="30">
    <w:abstractNumId w:val="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52C5A"/>
    <w:rsid w:val="00066BC5"/>
    <w:rsid w:val="000718ED"/>
    <w:rsid w:val="000B3FE6"/>
    <w:rsid w:val="000E21B2"/>
    <w:rsid w:val="00204177"/>
    <w:rsid w:val="002E55A4"/>
    <w:rsid w:val="00304AF2"/>
    <w:rsid w:val="003636EA"/>
    <w:rsid w:val="00366636"/>
    <w:rsid w:val="00367DE6"/>
    <w:rsid w:val="003B3E19"/>
    <w:rsid w:val="00403988"/>
    <w:rsid w:val="004076C6"/>
    <w:rsid w:val="00410499"/>
    <w:rsid w:val="00491F9B"/>
    <w:rsid w:val="004A2B17"/>
    <w:rsid w:val="004B7F76"/>
    <w:rsid w:val="004E1BCE"/>
    <w:rsid w:val="00552E5C"/>
    <w:rsid w:val="00592079"/>
    <w:rsid w:val="005B75F8"/>
    <w:rsid w:val="005C3E50"/>
    <w:rsid w:val="005F07CB"/>
    <w:rsid w:val="00682FFE"/>
    <w:rsid w:val="00692EB6"/>
    <w:rsid w:val="006C69EC"/>
    <w:rsid w:val="007039D0"/>
    <w:rsid w:val="00710C90"/>
    <w:rsid w:val="00717DDF"/>
    <w:rsid w:val="00767987"/>
    <w:rsid w:val="00782FD4"/>
    <w:rsid w:val="007D04F3"/>
    <w:rsid w:val="00811140"/>
    <w:rsid w:val="00834401"/>
    <w:rsid w:val="008A3F94"/>
    <w:rsid w:val="00904A48"/>
    <w:rsid w:val="00980294"/>
    <w:rsid w:val="009C5392"/>
    <w:rsid w:val="00A46590"/>
    <w:rsid w:val="00A50E4B"/>
    <w:rsid w:val="00A9231D"/>
    <w:rsid w:val="00B01357"/>
    <w:rsid w:val="00B21683"/>
    <w:rsid w:val="00B40287"/>
    <w:rsid w:val="00B8490D"/>
    <w:rsid w:val="00C0216A"/>
    <w:rsid w:val="00CA1460"/>
    <w:rsid w:val="00CC00E1"/>
    <w:rsid w:val="00CC6C23"/>
    <w:rsid w:val="00CD5915"/>
    <w:rsid w:val="00CD6077"/>
    <w:rsid w:val="00CE234E"/>
    <w:rsid w:val="00D02973"/>
    <w:rsid w:val="00D10760"/>
    <w:rsid w:val="00DA09BE"/>
    <w:rsid w:val="00DE3553"/>
    <w:rsid w:val="00E15F00"/>
    <w:rsid w:val="00E30579"/>
    <w:rsid w:val="00E37094"/>
    <w:rsid w:val="00F46C2D"/>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uiPriority w:val="9"/>
    <w:qFormat/>
    <w:rsid w:val="00E15F00"/>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semiHidden/>
    <w:unhideWhenUsed/>
    <w:qFormat/>
    <w:rsid w:val="00E15F00"/>
    <w:pPr>
      <w:keepNext/>
      <w:keepLines/>
      <w:spacing w:before="40" w:line="360" w:lineRule="auto"/>
      <w:ind w:left="576" w:hanging="576"/>
      <w:jc w:val="both"/>
      <w:outlineLvl w:val="1"/>
    </w:pPr>
    <w:rPr>
      <w:rFonts w:ascii="Calibri" w:hAnsi="Calibri"/>
      <w:b/>
      <w:color w:val="000000"/>
      <w:sz w:val="28"/>
      <w:szCs w:val="26"/>
    </w:rPr>
  </w:style>
  <w:style w:type="paragraph" w:styleId="Naslov3">
    <w:name w:val="heading 3"/>
    <w:basedOn w:val="Navaden"/>
    <w:next w:val="Navaden"/>
    <w:link w:val="Naslov3Znak"/>
    <w:uiPriority w:val="9"/>
    <w:semiHidden/>
    <w:unhideWhenUsed/>
    <w:qFormat/>
    <w:rsid w:val="00E15F00"/>
    <w:pPr>
      <w:keepNext/>
      <w:keepLines/>
      <w:spacing w:before="40" w:line="360" w:lineRule="auto"/>
      <w:ind w:left="720" w:hanging="720"/>
      <w:jc w:val="both"/>
      <w:outlineLvl w:val="2"/>
    </w:pPr>
    <w:rPr>
      <w:rFonts w:ascii="Calibri Light" w:hAnsi="Calibri Light"/>
      <w:color w:val="1F3763"/>
      <w:sz w:val="24"/>
    </w:rPr>
  </w:style>
  <w:style w:type="paragraph" w:styleId="Naslov4">
    <w:name w:val="heading 4"/>
    <w:basedOn w:val="Navaden"/>
    <w:next w:val="Navaden"/>
    <w:link w:val="Naslov4Znak"/>
    <w:uiPriority w:val="9"/>
    <w:semiHidden/>
    <w:unhideWhenUsed/>
    <w:qFormat/>
    <w:rsid w:val="00E15F00"/>
    <w:pPr>
      <w:keepNext/>
      <w:keepLines/>
      <w:spacing w:before="40" w:line="360" w:lineRule="auto"/>
      <w:ind w:left="864" w:hanging="864"/>
      <w:jc w:val="both"/>
      <w:outlineLvl w:val="3"/>
    </w:pPr>
    <w:rPr>
      <w:rFonts w:ascii="Calibri Light" w:hAnsi="Calibri Light"/>
      <w:i/>
      <w:iCs/>
      <w:color w:val="2F5496"/>
      <w:sz w:val="24"/>
      <w:szCs w:val="22"/>
    </w:rPr>
  </w:style>
  <w:style w:type="paragraph" w:styleId="Naslov5">
    <w:name w:val="heading 5"/>
    <w:basedOn w:val="Navaden"/>
    <w:next w:val="Navaden"/>
    <w:link w:val="Naslov5Znak"/>
    <w:uiPriority w:val="9"/>
    <w:semiHidden/>
    <w:unhideWhenUsed/>
    <w:qFormat/>
    <w:rsid w:val="00E15F00"/>
    <w:pPr>
      <w:keepNext/>
      <w:keepLines/>
      <w:spacing w:before="40" w:line="360" w:lineRule="auto"/>
      <w:ind w:left="1008" w:hanging="1008"/>
      <w:jc w:val="both"/>
      <w:outlineLvl w:val="4"/>
    </w:pPr>
    <w:rPr>
      <w:rFonts w:ascii="Calibri Light" w:hAnsi="Calibri Light"/>
      <w:color w:val="2F5496"/>
      <w:sz w:val="24"/>
      <w:szCs w:val="22"/>
    </w:rPr>
  </w:style>
  <w:style w:type="paragraph" w:styleId="Naslov6">
    <w:name w:val="heading 6"/>
    <w:basedOn w:val="Navaden"/>
    <w:next w:val="Navaden"/>
    <w:link w:val="Naslov6Znak"/>
    <w:uiPriority w:val="9"/>
    <w:semiHidden/>
    <w:unhideWhenUsed/>
    <w:qFormat/>
    <w:rsid w:val="00E15F00"/>
    <w:pPr>
      <w:keepNext/>
      <w:keepLines/>
      <w:spacing w:before="40" w:line="360" w:lineRule="auto"/>
      <w:ind w:left="1152" w:hanging="1152"/>
      <w:jc w:val="both"/>
      <w:outlineLvl w:val="5"/>
    </w:pPr>
    <w:rPr>
      <w:rFonts w:ascii="Calibri Light" w:hAnsi="Calibri Light"/>
      <w:color w:val="1F3763"/>
      <w:sz w:val="24"/>
      <w:szCs w:val="22"/>
    </w:rPr>
  </w:style>
  <w:style w:type="paragraph" w:styleId="Naslov7">
    <w:name w:val="heading 7"/>
    <w:basedOn w:val="Navaden"/>
    <w:next w:val="Navaden"/>
    <w:link w:val="Naslov7Znak"/>
    <w:uiPriority w:val="9"/>
    <w:semiHidden/>
    <w:unhideWhenUsed/>
    <w:qFormat/>
    <w:rsid w:val="00E15F00"/>
    <w:pPr>
      <w:keepNext/>
      <w:keepLines/>
      <w:spacing w:before="40" w:line="360" w:lineRule="auto"/>
      <w:ind w:left="1296" w:hanging="1296"/>
      <w:jc w:val="both"/>
      <w:outlineLvl w:val="6"/>
    </w:pPr>
    <w:rPr>
      <w:rFonts w:ascii="Calibri Light" w:hAnsi="Calibri Light"/>
      <w:i/>
      <w:iCs/>
      <w:color w:val="1F3763"/>
      <w:sz w:val="24"/>
      <w:szCs w:val="22"/>
    </w:rPr>
  </w:style>
  <w:style w:type="paragraph" w:styleId="Naslov8">
    <w:name w:val="heading 8"/>
    <w:basedOn w:val="Navaden"/>
    <w:next w:val="Navaden"/>
    <w:link w:val="Naslov8Znak"/>
    <w:uiPriority w:val="9"/>
    <w:semiHidden/>
    <w:unhideWhenUsed/>
    <w:qFormat/>
    <w:rsid w:val="00E15F00"/>
    <w:pPr>
      <w:keepNext/>
      <w:keepLines/>
      <w:spacing w:before="40" w:line="360" w:lineRule="auto"/>
      <w:ind w:left="1440" w:hanging="1440"/>
      <w:jc w:val="both"/>
      <w:outlineLvl w:val="7"/>
    </w:pPr>
    <w:rPr>
      <w:rFonts w:ascii="Calibri Light" w:hAnsi="Calibri Light"/>
      <w:color w:val="272727"/>
      <w:sz w:val="21"/>
      <w:szCs w:val="21"/>
    </w:rPr>
  </w:style>
  <w:style w:type="paragraph" w:styleId="Naslov9">
    <w:name w:val="heading 9"/>
    <w:basedOn w:val="Navaden"/>
    <w:next w:val="Navaden"/>
    <w:link w:val="Naslov9Znak"/>
    <w:uiPriority w:val="9"/>
    <w:semiHidden/>
    <w:unhideWhenUsed/>
    <w:qFormat/>
    <w:rsid w:val="00E15F00"/>
    <w:pPr>
      <w:keepNext/>
      <w:keepLines/>
      <w:spacing w:before="40" w:line="360" w:lineRule="auto"/>
      <w:ind w:left="1584" w:hanging="1584"/>
      <w:jc w:val="both"/>
      <w:outlineLvl w:val="8"/>
    </w:pPr>
    <w:rPr>
      <w:rFonts w:ascii="Calibri Light" w:hAnsi="Calibri Light"/>
      <w:i/>
      <w:iCs/>
      <w:color w:val="272727"/>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uiPriority w:val="99"/>
    <w:qFormat/>
    <w:rsid w:val="00767987"/>
    <w:pPr>
      <w:tabs>
        <w:tab w:val="left" w:pos="1701"/>
      </w:tabs>
    </w:pPr>
    <w:rPr>
      <w:szCs w:val="20"/>
      <w:lang w:eastAsia="sl-SI"/>
    </w:rPr>
  </w:style>
  <w:style w:type="paragraph" w:styleId="Glava">
    <w:name w:val="header"/>
    <w:basedOn w:val="Navaden"/>
    <w:link w:val="GlavaZnak"/>
    <w:uiPriority w:val="99"/>
    <w:unhideWhenUsed/>
    <w:rsid w:val="00767987"/>
    <w:pPr>
      <w:tabs>
        <w:tab w:val="center" w:pos="4536"/>
        <w:tab w:val="right" w:pos="9072"/>
      </w:tabs>
      <w:spacing w:line="240" w:lineRule="auto"/>
    </w:pPr>
  </w:style>
  <w:style w:type="character" w:customStyle="1" w:styleId="GlavaZnak">
    <w:name w:val="Glava Znak"/>
    <w:basedOn w:val="Privzetapisavaodstavka"/>
    <w:link w:val="Glava"/>
    <w:uiPriority w:val="99"/>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uiPriority w:val="99"/>
    <w:qFormat/>
    <w:rsid w:val="008A3F94"/>
    <w:pPr>
      <w:tabs>
        <w:tab w:val="left" w:pos="1701"/>
      </w:tabs>
      <w:ind w:left="1701" w:hanging="1701"/>
    </w:pPr>
    <w:rPr>
      <w:b/>
      <w:lang w:val="it-IT"/>
    </w:rPr>
  </w:style>
  <w:style w:type="paragraph" w:customStyle="1" w:styleId="podpisi">
    <w:name w:val="podpisi"/>
    <w:basedOn w:val="Navaden"/>
    <w:uiPriority w:val="99"/>
    <w:qFormat/>
    <w:rsid w:val="008A3F94"/>
    <w:pPr>
      <w:tabs>
        <w:tab w:val="left" w:pos="3402"/>
      </w:tabs>
    </w:pPr>
    <w:rPr>
      <w:lang w:val="it-IT"/>
    </w:rPr>
  </w:style>
  <w:style w:type="character" w:customStyle="1" w:styleId="Naslov1Znak">
    <w:name w:val="Naslov 1 Znak"/>
    <w:aliases w:val="NASLOV Znak"/>
    <w:basedOn w:val="Privzetapisavaodstavka"/>
    <w:link w:val="Naslov1"/>
    <w:uiPriority w:val="9"/>
    <w:rsid w:val="00E15F00"/>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uiPriority w:val="9"/>
    <w:semiHidden/>
    <w:rsid w:val="00E15F00"/>
    <w:rPr>
      <w:rFonts w:ascii="Calibri" w:eastAsia="Times New Roman" w:hAnsi="Calibri" w:cs="Times New Roman"/>
      <w:b/>
      <w:color w:val="000000"/>
      <w:sz w:val="28"/>
      <w:szCs w:val="26"/>
    </w:rPr>
  </w:style>
  <w:style w:type="character" w:customStyle="1" w:styleId="Naslov3Znak">
    <w:name w:val="Naslov 3 Znak"/>
    <w:basedOn w:val="Privzetapisavaodstavka"/>
    <w:link w:val="Naslov3"/>
    <w:uiPriority w:val="9"/>
    <w:semiHidden/>
    <w:rsid w:val="00E15F00"/>
    <w:rPr>
      <w:rFonts w:ascii="Calibri Light" w:eastAsia="Times New Roman" w:hAnsi="Calibri Light" w:cs="Times New Roman"/>
      <w:color w:val="1F3763"/>
      <w:sz w:val="24"/>
      <w:szCs w:val="24"/>
    </w:rPr>
  </w:style>
  <w:style w:type="character" w:customStyle="1" w:styleId="Naslov4Znak">
    <w:name w:val="Naslov 4 Znak"/>
    <w:basedOn w:val="Privzetapisavaodstavka"/>
    <w:link w:val="Naslov4"/>
    <w:uiPriority w:val="9"/>
    <w:semiHidden/>
    <w:rsid w:val="00E15F00"/>
    <w:rPr>
      <w:rFonts w:ascii="Calibri Light" w:eastAsia="Times New Roman" w:hAnsi="Calibri Light" w:cs="Times New Roman"/>
      <w:i/>
      <w:iCs/>
      <w:color w:val="2F5496"/>
      <w:sz w:val="24"/>
    </w:rPr>
  </w:style>
  <w:style w:type="character" w:customStyle="1" w:styleId="Naslov5Znak">
    <w:name w:val="Naslov 5 Znak"/>
    <w:basedOn w:val="Privzetapisavaodstavka"/>
    <w:link w:val="Naslov5"/>
    <w:uiPriority w:val="9"/>
    <w:semiHidden/>
    <w:rsid w:val="00E15F00"/>
    <w:rPr>
      <w:rFonts w:ascii="Calibri Light" w:eastAsia="Times New Roman" w:hAnsi="Calibri Light" w:cs="Times New Roman"/>
      <w:color w:val="2F5496"/>
      <w:sz w:val="24"/>
    </w:rPr>
  </w:style>
  <w:style w:type="character" w:customStyle="1" w:styleId="Naslov6Znak">
    <w:name w:val="Naslov 6 Znak"/>
    <w:basedOn w:val="Privzetapisavaodstavka"/>
    <w:link w:val="Naslov6"/>
    <w:uiPriority w:val="9"/>
    <w:semiHidden/>
    <w:rsid w:val="00E15F00"/>
    <w:rPr>
      <w:rFonts w:ascii="Calibri Light" w:eastAsia="Times New Roman" w:hAnsi="Calibri Light" w:cs="Times New Roman"/>
      <w:color w:val="1F3763"/>
      <w:sz w:val="24"/>
    </w:rPr>
  </w:style>
  <w:style w:type="character" w:customStyle="1" w:styleId="Naslov7Znak">
    <w:name w:val="Naslov 7 Znak"/>
    <w:basedOn w:val="Privzetapisavaodstavka"/>
    <w:link w:val="Naslov7"/>
    <w:uiPriority w:val="9"/>
    <w:semiHidden/>
    <w:rsid w:val="00E15F00"/>
    <w:rPr>
      <w:rFonts w:ascii="Calibri Light" w:eastAsia="Times New Roman" w:hAnsi="Calibri Light" w:cs="Times New Roman"/>
      <w:i/>
      <w:iCs/>
      <w:color w:val="1F3763"/>
      <w:sz w:val="24"/>
    </w:rPr>
  </w:style>
  <w:style w:type="character" w:customStyle="1" w:styleId="Naslov8Znak">
    <w:name w:val="Naslov 8 Znak"/>
    <w:basedOn w:val="Privzetapisavaodstavka"/>
    <w:link w:val="Naslov8"/>
    <w:uiPriority w:val="9"/>
    <w:semiHidden/>
    <w:rsid w:val="00E15F00"/>
    <w:rPr>
      <w:rFonts w:ascii="Calibri Light" w:eastAsia="Times New Roman" w:hAnsi="Calibri Light" w:cs="Times New Roman"/>
      <w:color w:val="272727"/>
      <w:sz w:val="21"/>
      <w:szCs w:val="21"/>
    </w:rPr>
  </w:style>
  <w:style w:type="character" w:customStyle="1" w:styleId="Naslov9Znak">
    <w:name w:val="Naslov 9 Znak"/>
    <w:basedOn w:val="Privzetapisavaodstavka"/>
    <w:link w:val="Naslov9"/>
    <w:uiPriority w:val="9"/>
    <w:semiHidden/>
    <w:rsid w:val="00E15F00"/>
    <w:rPr>
      <w:rFonts w:ascii="Calibri Light" w:eastAsia="Times New Roman" w:hAnsi="Calibri Light" w:cs="Times New Roman"/>
      <w:i/>
      <w:iCs/>
      <w:color w:val="272727"/>
      <w:sz w:val="21"/>
      <w:szCs w:val="21"/>
    </w:rPr>
  </w:style>
  <w:style w:type="character" w:styleId="Hiperpovezava">
    <w:name w:val="Hyperlink"/>
    <w:uiPriority w:val="99"/>
    <w:semiHidden/>
    <w:unhideWhenUsed/>
    <w:rsid w:val="00E15F00"/>
    <w:rPr>
      <w:color w:val="0000FF"/>
      <w:u w:val="single"/>
    </w:rPr>
  </w:style>
  <w:style w:type="character" w:styleId="SledenaHiperpovezava">
    <w:name w:val="FollowedHyperlink"/>
    <w:uiPriority w:val="99"/>
    <w:semiHidden/>
    <w:unhideWhenUsed/>
    <w:rsid w:val="00E15F00"/>
    <w:rPr>
      <w:color w:val="954F72"/>
      <w:u w:val="single"/>
    </w:rPr>
  </w:style>
  <w:style w:type="character" w:customStyle="1" w:styleId="Naslov1Znak1">
    <w:name w:val="Naslov 1 Znak1"/>
    <w:aliases w:val="NASLOV Znak1"/>
    <w:basedOn w:val="Privzetapisavaodstavka"/>
    <w:uiPriority w:val="9"/>
    <w:rsid w:val="00E15F00"/>
    <w:rPr>
      <w:rFonts w:asciiTheme="majorHAnsi" w:eastAsiaTheme="majorEastAsia" w:hAnsiTheme="majorHAnsi" w:cstheme="majorBidi"/>
      <w:color w:val="2F5496" w:themeColor="accent1" w:themeShade="BF"/>
      <w:sz w:val="32"/>
      <w:szCs w:val="32"/>
      <w:lang w:eastAsia="en-US"/>
    </w:rPr>
  </w:style>
  <w:style w:type="paragraph" w:styleId="HTML-oblikovano">
    <w:name w:val="HTML Preformatted"/>
    <w:basedOn w:val="Navaden"/>
    <w:link w:val="HTML-oblikovanoZnak"/>
    <w:uiPriority w:val="99"/>
    <w:semiHidden/>
    <w:unhideWhenUsed/>
    <w:rsid w:val="00E1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semiHidden/>
    <w:rsid w:val="00E15F00"/>
    <w:rPr>
      <w:rFonts w:ascii="Courier New" w:eastAsia="Times New Roman" w:hAnsi="Courier New" w:cs="Courier New"/>
      <w:sz w:val="20"/>
      <w:szCs w:val="20"/>
      <w:lang w:eastAsia="sl-SI"/>
    </w:rPr>
  </w:style>
  <w:style w:type="paragraph" w:styleId="Navadensplet">
    <w:name w:val="Normal (Web)"/>
    <w:basedOn w:val="Navaden"/>
    <w:uiPriority w:val="99"/>
    <w:semiHidden/>
    <w:unhideWhenUsed/>
    <w:rsid w:val="00E15F00"/>
    <w:pPr>
      <w:spacing w:before="100" w:beforeAutospacing="1" w:after="100" w:afterAutospacing="1" w:line="240" w:lineRule="auto"/>
    </w:pPr>
    <w:rPr>
      <w:rFonts w:ascii="Calibri" w:eastAsia="Calibri" w:hAnsi="Calibri"/>
      <w:sz w:val="22"/>
      <w:szCs w:val="22"/>
      <w:lang w:eastAsia="sl-SI"/>
    </w:rPr>
  </w:style>
  <w:style w:type="paragraph" w:styleId="Sprotnaopomba-besedilo">
    <w:name w:val="footnote text"/>
    <w:basedOn w:val="Navaden"/>
    <w:link w:val="Sprotnaopomba-besediloZnak"/>
    <w:uiPriority w:val="99"/>
    <w:semiHidden/>
    <w:unhideWhenUsed/>
    <w:rsid w:val="00E15F00"/>
    <w:rPr>
      <w:szCs w:val="20"/>
      <w:lang w:val="x-none"/>
    </w:rPr>
  </w:style>
  <w:style w:type="character" w:customStyle="1" w:styleId="Sprotnaopomba-besediloZnak">
    <w:name w:val="Sprotna opomba - besedilo Znak"/>
    <w:basedOn w:val="Privzetapisavaodstavka"/>
    <w:link w:val="Sprotnaopomba-besedilo"/>
    <w:uiPriority w:val="99"/>
    <w:semiHidden/>
    <w:rsid w:val="00E15F00"/>
    <w:rPr>
      <w:rFonts w:ascii="Arial" w:eastAsia="Times New Roman" w:hAnsi="Arial" w:cs="Times New Roman"/>
      <w:sz w:val="20"/>
      <w:szCs w:val="20"/>
      <w:lang w:val="x-none"/>
    </w:rPr>
  </w:style>
  <w:style w:type="paragraph" w:styleId="Pripombabesedilo">
    <w:name w:val="annotation text"/>
    <w:basedOn w:val="Navaden"/>
    <w:link w:val="PripombabesediloZnak"/>
    <w:uiPriority w:val="99"/>
    <w:semiHidden/>
    <w:unhideWhenUsed/>
    <w:rsid w:val="00E15F00"/>
    <w:pPr>
      <w:overflowPunct w:val="0"/>
      <w:autoSpaceDE w:val="0"/>
      <w:autoSpaceDN w:val="0"/>
      <w:adjustRightInd w:val="0"/>
      <w:spacing w:line="240" w:lineRule="auto"/>
      <w:jc w:val="both"/>
    </w:pPr>
    <w:rPr>
      <w:rFonts w:ascii="Times New Roman" w:hAnsi="Times New Roman"/>
      <w:szCs w:val="20"/>
      <w:lang w:val="x-none"/>
    </w:rPr>
  </w:style>
  <w:style w:type="character" w:customStyle="1" w:styleId="PripombabesediloZnak">
    <w:name w:val="Pripomba – besedilo Znak"/>
    <w:basedOn w:val="Privzetapisavaodstavka"/>
    <w:link w:val="Pripombabesedilo"/>
    <w:uiPriority w:val="99"/>
    <w:semiHidden/>
    <w:rsid w:val="00E15F00"/>
    <w:rPr>
      <w:rFonts w:ascii="Times New Roman" w:eastAsia="Times New Roman" w:hAnsi="Times New Roman" w:cs="Times New Roman"/>
      <w:sz w:val="20"/>
      <w:szCs w:val="20"/>
      <w:lang w:val="x-none"/>
    </w:rPr>
  </w:style>
  <w:style w:type="paragraph" w:styleId="Napis">
    <w:name w:val="caption"/>
    <w:basedOn w:val="Navaden"/>
    <w:next w:val="Navaden"/>
    <w:uiPriority w:val="35"/>
    <w:semiHidden/>
    <w:unhideWhenUsed/>
    <w:qFormat/>
    <w:rsid w:val="00E15F00"/>
    <w:pPr>
      <w:spacing w:after="200" w:line="240" w:lineRule="auto"/>
      <w:jc w:val="both"/>
    </w:pPr>
    <w:rPr>
      <w:rFonts w:ascii="Calibri" w:eastAsia="Calibri" w:hAnsi="Calibri"/>
      <w:b/>
      <w:i/>
      <w:iCs/>
      <w:color w:val="44546A"/>
      <w:sz w:val="24"/>
      <w:szCs w:val="18"/>
    </w:rPr>
  </w:style>
  <w:style w:type="paragraph" w:styleId="Telobesedila-zamik">
    <w:name w:val="Body Text Indent"/>
    <w:basedOn w:val="Navaden"/>
    <w:link w:val="Telobesedila-zamikZnak"/>
    <w:uiPriority w:val="99"/>
    <w:semiHidden/>
    <w:unhideWhenUsed/>
    <w:rsid w:val="00E15F00"/>
    <w:pPr>
      <w:spacing w:after="120" w:line="260" w:lineRule="atLeast"/>
      <w:ind w:left="283"/>
    </w:pPr>
    <w:rPr>
      <w:lang w:val="en-US"/>
    </w:rPr>
  </w:style>
  <w:style w:type="character" w:customStyle="1" w:styleId="Telobesedila-zamikZnak">
    <w:name w:val="Telo besedila - zamik Znak"/>
    <w:basedOn w:val="Privzetapisavaodstavka"/>
    <w:link w:val="Telobesedila-zamik"/>
    <w:uiPriority w:val="99"/>
    <w:semiHidden/>
    <w:rsid w:val="00E15F00"/>
    <w:rPr>
      <w:rFonts w:ascii="Arial" w:eastAsia="Times New Roman" w:hAnsi="Arial" w:cs="Times New Roman"/>
      <w:sz w:val="20"/>
      <w:szCs w:val="24"/>
      <w:lang w:val="en-US"/>
    </w:rPr>
  </w:style>
  <w:style w:type="paragraph" w:styleId="Zgradbadokumenta">
    <w:name w:val="Document Map"/>
    <w:basedOn w:val="Navaden"/>
    <w:link w:val="ZgradbadokumentaZnak"/>
    <w:uiPriority w:val="99"/>
    <w:semiHidden/>
    <w:unhideWhenUsed/>
    <w:rsid w:val="00E15F00"/>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E15F00"/>
    <w:rPr>
      <w:rFonts w:ascii="Tahoma" w:eastAsia="Times New Roman" w:hAnsi="Tahoma" w:cs="Tahoma"/>
      <w:sz w:val="16"/>
      <w:szCs w:val="16"/>
    </w:rPr>
  </w:style>
  <w:style w:type="paragraph" w:styleId="Golobesedilo">
    <w:name w:val="Plain Text"/>
    <w:basedOn w:val="Navaden"/>
    <w:link w:val="GolobesediloZnak"/>
    <w:uiPriority w:val="99"/>
    <w:semiHidden/>
    <w:unhideWhenUsed/>
    <w:rsid w:val="00E15F00"/>
    <w:pPr>
      <w:spacing w:line="240" w:lineRule="auto"/>
    </w:pPr>
    <w:rPr>
      <w:rFonts w:eastAsia="Calibri" w:cs="Arial"/>
      <w:szCs w:val="20"/>
    </w:rPr>
  </w:style>
  <w:style w:type="character" w:customStyle="1" w:styleId="GolobesediloZnak">
    <w:name w:val="Golo besedilo Znak"/>
    <w:basedOn w:val="Privzetapisavaodstavka"/>
    <w:link w:val="Golobesedilo"/>
    <w:uiPriority w:val="99"/>
    <w:semiHidden/>
    <w:rsid w:val="00E15F00"/>
    <w:rPr>
      <w:rFonts w:ascii="Arial" w:eastAsia="Calibri" w:hAnsi="Arial" w:cs="Arial"/>
      <w:sz w:val="20"/>
      <w:szCs w:val="20"/>
    </w:rPr>
  </w:style>
  <w:style w:type="paragraph" w:styleId="Zadevapripombe">
    <w:name w:val="annotation subject"/>
    <w:basedOn w:val="Pripombabesedilo"/>
    <w:next w:val="Pripombabesedilo"/>
    <w:link w:val="ZadevapripombeZnak"/>
    <w:uiPriority w:val="99"/>
    <w:semiHidden/>
    <w:unhideWhenUsed/>
    <w:rsid w:val="00E15F00"/>
    <w:pPr>
      <w:overflowPunct/>
      <w:autoSpaceDE/>
      <w:autoSpaceDN/>
      <w:adjustRightInd/>
      <w:spacing w:line="260" w:lineRule="exact"/>
      <w:jc w:val="left"/>
    </w:pPr>
    <w:rPr>
      <w:rFonts w:ascii="Arial" w:hAnsi="Arial"/>
      <w:b/>
      <w:bCs/>
    </w:rPr>
  </w:style>
  <w:style w:type="character" w:customStyle="1" w:styleId="ZadevapripombeZnak">
    <w:name w:val="Zadeva pripombe Znak"/>
    <w:basedOn w:val="PripombabesediloZnak"/>
    <w:link w:val="Zadevapripombe"/>
    <w:uiPriority w:val="99"/>
    <w:semiHidden/>
    <w:rsid w:val="00E15F00"/>
    <w:rPr>
      <w:rFonts w:ascii="Arial" w:eastAsia="Times New Roman" w:hAnsi="Arial" w:cs="Times New Roman"/>
      <w:b/>
      <w:bCs/>
      <w:sz w:val="20"/>
      <w:szCs w:val="20"/>
      <w:lang w:val="x-none"/>
    </w:rPr>
  </w:style>
  <w:style w:type="paragraph" w:styleId="Besedilooblaka">
    <w:name w:val="Balloon Text"/>
    <w:basedOn w:val="Navaden"/>
    <w:link w:val="BesedilooblakaZnak"/>
    <w:uiPriority w:val="99"/>
    <w:semiHidden/>
    <w:unhideWhenUsed/>
    <w:rsid w:val="00E15F00"/>
    <w:rPr>
      <w:rFonts w:ascii="Tahoma" w:hAnsi="Tahoma"/>
      <w:sz w:val="16"/>
      <w:szCs w:val="16"/>
      <w:lang w:val="x-none"/>
    </w:rPr>
  </w:style>
  <w:style w:type="character" w:customStyle="1" w:styleId="BesedilooblakaZnak">
    <w:name w:val="Besedilo oblačka Znak"/>
    <w:basedOn w:val="Privzetapisavaodstavka"/>
    <w:link w:val="Besedilooblaka"/>
    <w:uiPriority w:val="99"/>
    <w:semiHidden/>
    <w:rsid w:val="00E15F00"/>
    <w:rPr>
      <w:rFonts w:ascii="Tahoma" w:eastAsia="Times New Roman" w:hAnsi="Tahoma" w:cs="Times New Roman"/>
      <w:sz w:val="16"/>
      <w:szCs w:val="16"/>
      <w:lang w:val="x-none"/>
    </w:rPr>
  </w:style>
  <w:style w:type="paragraph" w:styleId="Brezrazmikov">
    <w:name w:val="No Spacing"/>
    <w:uiPriority w:val="1"/>
    <w:qFormat/>
    <w:rsid w:val="00E15F00"/>
    <w:pPr>
      <w:spacing w:after="0" w:line="240" w:lineRule="auto"/>
    </w:pPr>
    <w:rPr>
      <w:rFonts w:ascii="Arial" w:eastAsia="Times New Roman" w:hAnsi="Arial" w:cs="Times New Roman"/>
      <w:sz w:val="20"/>
      <w:szCs w:val="24"/>
      <w:lang w:val="en-US"/>
    </w:rPr>
  </w:style>
  <w:style w:type="paragraph" w:styleId="Revizija">
    <w:name w:val="Revision"/>
    <w:uiPriority w:val="99"/>
    <w:semiHidden/>
    <w:rsid w:val="00E15F00"/>
    <w:pPr>
      <w:spacing w:after="0" w:line="240" w:lineRule="auto"/>
    </w:pPr>
    <w:rPr>
      <w:rFonts w:ascii="Calibri" w:eastAsia="Calibri" w:hAnsi="Calibri" w:cs="Times New Roman"/>
    </w:rPr>
  </w:style>
  <w:style w:type="paragraph" w:styleId="Intenzivencitat">
    <w:name w:val="Intense Quote"/>
    <w:basedOn w:val="Navaden"/>
    <w:next w:val="Navaden"/>
    <w:link w:val="IntenzivencitatZnak"/>
    <w:uiPriority w:val="30"/>
    <w:qFormat/>
    <w:rsid w:val="00E15F00"/>
    <w:pPr>
      <w:pBdr>
        <w:top w:val="single" w:sz="4" w:space="10" w:color="4472C4"/>
        <w:bottom w:val="single" w:sz="4" w:space="10" w:color="4472C4"/>
      </w:pBdr>
      <w:spacing w:before="360" w:after="360" w:line="276" w:lineRule="auto"/>
      <w:ind w:left="864" w:right="864"/>
      <w:jc w:val="center"/>
    </w:pPr>
    <w:rPr>
      <w:rFonts w:ascii="Calibri" w:eastAsia="Calibri" w:hAnsi="Calibri"/>
      <w:i/>
      <w:iCs/>
      <w:color w:val="4472C4"/>
      <w:sz w:val="22"/>
      <w:szCs w:val="22"/>
    </w:rPr>
  </w:style>
  <w:style w:type="character" w:customStyle="1" w:styleId="IntenzivencitatZnak">
    <w:name w:val="Intenziven citat Znak"/>
    <w:basedOn w:val="Privzetapisavaodstavka"/>
    <w:link w:val="Intenzivencitat"/>
    <w:uiPriority w:val="30"/>
    <w:rsid w:val="00E15F00"/>
    <w:rPr>
      <w:rFonts w:ascii="Calibri" w:eastAsia="Calibri" w:hAnsi="Calibri" w:cs="Times New Roman"/>
      <w:i/>
      <w:iCs/>
      <w:color w:val="4472C4"/>
    </w:rPr>
  </w:style>
  <w:style w:type="character" w:customStyle="1" w:styleId="VrstapredpisaZnak">
    <w:name w:val="Vrsta predpisa Znak"/>
    <w:link w:val="Vrstapredpisa"/>
    <w:locked/>
    <w:rsid w:val="00E15F00"/>
    <w:rPr>
      <w:rFonts w:ascii="Arial" w:hAnsi="Arial" w:cs="Arial"/>
      <w:b/>
      <w:bCs/>
      <w:color w:val="000000"/>
      <w:spacing w:val="40"/>
      <w:lang w:val="x-none" w:eastAsia="x-none"/>
    </w:rPr>
  </w:style>
  <w:style w:type="paragraph" w:customStyle="1" w:styleId="Vrstapredpisa">
    <w:name w:val="Vrsta predpisa"/>
    <w:basedOn w:val="Navaden"/>
    <w:link w:val="VrstapredpisaZnak"/>
    <w:qFormat/>
    <w:rsid w:val="00E15F00"/>
    <w:pPr>
      <w:suppressAutoHyphens/>
      <w:overflowPunct w:val="0"/>
      <w:autoSpaceDE w:val="0"/>
      <w:autoSpaceDN w:val="0"/>
      <w:adjustRightInd w:val="0"/>
      <w:spacing w:before="360" w:line="220" w:lineRule="exact"/>
      <w:jc w:val="center"/>
    </w:pPr>
    <w:rPr>
      <w:rFonts w:eastAsiaTheme="minorHAnsi" w:cs="Arial"/>
      <w:b/>
      <w:bCs/>
      <w:color w:val="000000"/>
      <w:spacing w:val="40"/>
      <w:sz w:val="22"/>
      <w:szCs w:val="22"/>
      <w:lang w:val="x-none" w:eastAsia="x-none"/>
    </w:rPr>
  </w:style>
  <w:style w:type="character" w:customStyle="1" w:styleId="NaslovpredpisaZnak">
    <w:name w:val="Naslov_predpisa Znak"/>
    <w:link w:val="Naslovpredpisa"/>
    <w:locked/>
    <w:rsid w:val="00E15F00"/>
    <w:rPr>
      <w:rFonts w:ascii="Arial" w:hAnsi="Arial" w:cs="Arial"/>
      <w:b/>
      <w:lang w:val="x-none" w:eastAsia="x-none"/>
    </w:rPr>
  </w:style>
  <w:style w:type="paragraph" w:customStyle="1" w:styleId="Naslovpredpisa">
    <w:name w:val="Naslov_predpisa"/>
    <w:basedOn w:val="Navaden"/>
    <w:link w:val="NaslovpredpisaZnak"/>
    <w:qFormat/>
    <w:rsid w:val="00E15F00"/>
    <w:pPr>
      <w:suppressAutoHyphens/>
      <w:overflowPunct w:val="0"/>
      <w:autoSpaceDE w:val="0"/>
      <w:autoSpaceDN w:val="0"/>
      <w:adjustRightInd w:val="0"/>
      <w:spacing w:before="120" w:after="160" w:line="200" w:lineRule="exact"/>
      <w:jc w:val="center"/>
    </w:pPr>
    <w:rPr>
      <w:rFonts w:eastAsiaTheme="minorHAnsi" w:cs="Arial"/>
      <w:b/>
      <w:sz w:val="22"/>
      <w:szCs w:val="22"/>
      <w:lang w:val="x-none" w:eastAsia="x-none"/>
    </w:rPr>
  </w:style>
  <w:style w:type="paragraph" w:customStyle="1" w:styleId="Poglavje">
    <w:name w:val="Poglavje"/>
    <w:basedOn w:val="Navaden"/>
    <w:uiPriority w:val="99"/>
    <w:qFormat/>
    <w:rsid w:val="00E15F00"/>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character" w:customStyle="1" w:styleId="NeotevilenodstavekZnak">
    <w:name w:val="Neoštevilčen odstavek Znak"/>
    <w:link w:val="Neotevilenodstavek"/>
    <w:locked/>
    <w:rsid w:val="00E15F00"/>
    <w:rPr>
      <w:rFonts w:ascii="Arial" w:hAnsi="Arial" w:cs="Arial"/>
      <w:lang w:val="x-none" w:eastAsia="x-none"/>
    </w:rPr>
  </w:style>
  <w:style w:type="paragraph" w:customStyle="1" w:styleId="Neotevilenodstavek">
    <w:name w:val="Neoštevilčen odstavek"/>
    <w:basedOn w:val="Navaden"/>
    <w:link w:val="NeotevilenodstavekZnak"/>
    <w:qFormat/>
    <w:rsid w:val="00E15F00"/>
    <w:pPr>
      <w:overflowPunct w:val="0"/>
      <w:autoSpaceDE w:val="0"/>
      <w:autoSpaceDN w:val="0"/>
      <w:adjustRightInd w:val="0"/>
      <w:spacing w:before="60" w:after="60" w:line="200" w:lineRule="exact"/>
      <w:jc w:val="both"/>
    </w:pPr>
    <w:rPr>
      <w:rFonts w:eastAsiaTheme="minorHAnsi" w:cs="Arial"/>
      <w:sz w:val="22"/>
      <w:szCs w:val="22"/>
      <w:lang w:val="x-none" w:eastAsia="x-none"/>
    </w:rPr>
  </w:style>
  <w:style w:type="character" w:customStyle="1" w:styleId="OddelekZnak1">
    <w:name w:val="Oddelek Znak1"/>
    <w:link w:val="Oddelek"/>
    <w:locked/>
    <w:rsid w:val="00E15F00"/>
    <w:rPr>
      <w:rFonts w:ascii="Arial" w:hAnsi="Arial" w:cs="Arial"/>
      <w:b/>
      <w:lang w:val="x-none" w:eastAsia="x-none"/>
    </w:rPr>
  </w:style>
  <w:style w:type="paragraph" w:customStyle="1" w:styleId="Oddelek">
    <w:name w:val="Oddelek"/>
    <w:basedOn w:val="Navaden"/>
    <w:link w:val="OddelekZnak1"/>
    <w:qFormat/>
    <w:rsid w:val="00E15F00"/>
    <w:pPr>
      <w:numPr>
        <w:numId w:val="5"/>
      </w:numPr>
      <w:suppressAutoHyphens/>
      <w:overflowPunct w:val="0"/>
      <w:autoSpaceDE w:val="0"/>
      <w:autoSpaceDN w:val="0"/>
      <w:adjustRightInd w:val="0"/>
      <w:spacing w:before="280" w:after="60" w:line="200" w:lineRule="exact"/>
      <w:ind w:left="0" w:firstLine="0"/>
      <w:jc w:val="center"/>
      <w:outlineLvl w:val="3"/>
    </w:pPr>
    <w:rPr>
      <w:rFonts w:eastAsiaTheme="minorHAnsi" w:cs="Arial"/>
      <w:b/>
      <w:sz w:val="22"/>
      <w:szCs w:val="22"/>
      <w:lang w:val="x-none" w:eastAsia="x-none"/>
    </w:rPr>
  </w:style>
  <w:style w:type="character" w:customStyle="1" w:styleId="AlineazaodstavkomZnak">
    <w:name w:val="Alinea za odstavkom Znak"/>
    <w:link w:val="Alineazaodstavkom"/>
    <w:locked/>
    <w:rsid w:val="00E15F00"/>
    <w:rPr>
      <w:rFonts w:ascii="Arial" w:hAnsi="Arial" w:cs="Arial"/>
      <w:lang w:val="x-none" w:eastAsia="x-none"/>
    </w:rPr>
  </w:style>
  <w:style w:type="paragraph" w:customStyle="1" w:styleId="Alineazaodstavkom">
    <w:name w:val="Alinea za odstavkom"/>
    <w:basedOn w:val="Navaden"/>
    <w:link w:val="AlineazaodstavkomZnak"/>
    <w:qFormat/>
    <w:rsid w:val="00E15F00"/>
    <w:pPr>
      <w:numPr>
        <w:numId w:val="4"/>
      </w:numPr>
      <w:overflowPunct w:val="0"/>
      <w:autoSpaceDE w:val="0"/>
      <w:autoSpaceDN w:val="0"/>
      <w:adjustRightInd w:val="0"/>
      <w:spacing w:line="200" w:lineRule="exact"/>
      <w:ind w:left="709" w:hanging="284"/>
      <w:jc w:val="both"/>
    </w:pPr>
    <w:rPr>
      <w:rFonts w:eastAsiaTheme="minorHAnsi" w:cs="Arial"/>
      <w:sz w:val="22"/>
      <w:szCs w:val="22"/>
      <w:lang w:val="x-none" w:eastAsia="x-none"/>
    </w:rPr>
  </w:style>
  <w:style w:type="paragraph" w:customStyle="1" w:styleId="Par-number1">
    <w:name w:val="Par-number 1."/>
    <w:basedOn w:val="Navaden"/>
    <w:next w:val="Navaden"/>
    <w:uiPriority w:val="99"/>
    <w:rsid w:val="00E15F00"/>
    <w:pPr>
      <w:widowControl w:val="0"/>
      <w:spacing w:line="360" w:lineRule="auto"/>
      <w:ind w:left="1428" w:hanging="360"/>
    </w:pPr>
    <w:rPr>
      <w:rFonts w:ascii="Times New Roman" w:hAnsi="Times New Roman"/>
      <w:sz w:val="24"/>
      <w:szCs w:val="20"/>
      <w:lang w:eastAsia="fr-BE"/>
    </w:rPr>
  </w:style>
  <w:style w:type="paragraph" w:customStyle="1" w:styleId="Par-numberi">
    <w:name w:val="Par-number (i)"/>
    <w:basedOn w:val="Navaden"/>
    <w:next w:val="Navaden"/>
    <w:uiPriority w:val="99"/>
    <w:rsid w:val="00E15F00"/>
    <w:pPr>
      <w:widowControl w:val="0"/>
      <w:numPr>
        <w:numId w:val="8"/>
      </w:numPr>
      <w:tabs>
        <w:tab w:val="left" w:pos="567"/>
      </w:tabs>
      <w:spacing w:line="360" w:lineRule="auto"/>
    </w:pPr>
    <w:rPr>
      <w:rFonts w:ascii="Times New Roman" w:hAnsi="Times New Roman"/>
      <w:sz w:val="24"/>
      <w:szCs w:val="20"/>
      <w:lang w:eastAsia="fr-BE"/>
    </w:rPr>
  </w:style>
  <w:style w:type="character" w:customStyle="1" w:styleId="OdstavekZnak">
    <w:name w:val="Odstavek Znak"/>
    <w:link w:val="Odstavek"/>
    <w:locked/>
    <w:rsid w:val="00E15F00"/>
    <w:rPr>
      <w:rFonts w:ascii="Arial" w:hAnsi="Arial" w:cs="Arial"/>
      <w:lang w:val="x-none" w:eastAsia="x-none"/>
    </w:rPr>
  </w:style>
  <w:style w:type="paragraph" w:customStyle="1" w:styleId="Odstavek">
    <w:name w:val="Odstavek"/>
    <w:basedOn w:val="Navaden"/>
    <w:link w:val="OdstavekZnak"/>
    <w:qFormat/>
    <w:rsid w:val="00E15F00"/>
    <w:pPr>
      <w:overflowPunct w:val="0"/>
      <w:autoSpaceDE w:val="0"/>
      <w:autoSpaceDN w:val="0"/>
      <w:adjustRightInd w:val="0"/>
      <w:spacing w:before="240" w:line="240" w:lineRule="auto"/>
      <w:ind w:firstLine="1021"/>
      <w:jc w:val="both"/>
    </w:pPr>
    <w:rPr>
      <w:rFonts w:eastAsiaTheme="minorHAnsi" w:cs="Arial"/>
      <w:sz w:val="22"/>
      <w:szCs w:val="22"/>
      <w:lang w:val="x-none" w:eastAsia="x-none"/>
    </w:rPr>
  </w:style>
  <w:style w:type="paragraph" w:customStyle="1" w:styleId="Odstavekseznama1">
    <w:name w:val="Odstavek seznama1"/>
    <w:basedOn w:val="Navaden"/>
    <w:uiPriority w:val="99"/>
    <w:qFormat/>
    <w:rsid w:val="00E15F00"/>
    <w:pPr>
      <w:spacing w:line="240" w:lineRule="auto"/>
      <w:ind w:left="720"/>
      <w:contextualSpacing/>
    </w:pPr>
    <w:rPr>
      <w:rFonts w:ascii="Times New Roman" w:hAnsi="Times New Roman"/>
      <w:sz w:val="24"/>
      <w:lang w:eastAsia="sl-SI"/>
    </w:rPr>
  </w:style>
  <w:style w:type="character" w:customStyle="1" w:styleId="AlineazatokoZnak">
    <w:name w:val="Alinea za točko Znak"/>
    <w:link w:val="Alineazatoko"/>
    <w:locked/>
    <w:rsid w:val="00E15F00"/>
    <w:rPr>
      <w:rFonts w:ascii="Arial" w:hAnsi="Arial" w:cs="Arial"/>
      <w:lang w:val="x-none" w:eastAsia="x-none"/>
    </w:rPr>
  </w:style>
  <w:style w:type="paragraph" w:customStyle="1" w:styleId="Alineazatoko">
    <w:name w:val="Alinea za točko"/>
    <w:basedOn w:val="Navaden"/>
    <w:link w:val="AlineazatokoZnak"/>
    <w:qFormat/>
    <w:rsid w:val="00E15F00"/>
    <w:pPr>
      <w:overflowPunct w:val="0"/>
      <w:autoSpaceDE w:val="0"/>
      <w:autoSpaceDN w:val="0"/>
      <w:adjustRightInd w:val="0"/>
      <w:spacing w:line="200" w:lineRule="exact"/>
      <w:ind w:left="720" w:hanging="360"/>
      <w:jc w:val="both"/>
    </w:pPr>
    <w:rPr>
      <w:rFonts w:eastAsiaTheme="minorHAnsi" w:cs="Arial"/>
      <w:sz w:val="22"/>
      <w:szCs w:val="22"/>
      <w:lang w:val="x-none" w:eastAsia="x-none"/>
    </w:rPr>
  </w:style>
  <w:style w:type="character" w:customStyle="1" w:styleId="rkovnatokazaodstavkomZnak">
    <w:name w:val="Črkovna točka_za odstavkom Znak"/>
    <w:link w:val="rkovnatokazaodstavkom"/>
    <w:locked/>
    <w:rsid w:val="00E15F00"/>
    <w:rPr>
      <w:rFonts w:ascii="Arial" w:hAnsi="Arial" w:cs="Arial"/>
      <w:lang w:val="x-none" w:eastAsia="x-none"/>
    </w:rPr>
  </w:style>
  <w:style w:type="paragraph" w:customStyle="1" w:styleId="rkovnatokazaodstavkom">
    <w:name w:val="Črkovna točka_za odstavkom"/>
    <w:basedOn w:val="Navaden"/>
    <w:link w:val="rkovnatokazaodstavkomZnak"/>
    <w:qFormat/>
    <w:rsid w:val="00E15F00"/>
    <w:pPr>
      <w:numPr>
        <w:numId w:val="12"/>
      </w:numPr>
      <w:overflowPunct w:val="0"/>
      <w:autoSpaceDE w:val="0"/>
      <w:autoSpaceDN w:val="0"/>
      <w:adjustRightInd w:val="0"/>
      <w:spacing w:line="200" w:lineRule="exact"/>
      <w:jc w:val="both"/>
    </w:pPr>
    <w:rPr>
      <w:rFonts w:eastAsiaTheme="minorHAnsi" w:cs="Arial"/>
      <w:sz w:val="22"/>
      <w:szCs w:val="22"/>
      <w:lang w:val="x-none" w:eastAsia="x-none"/>
    </w:rPr>
  </w:style>
  <w:style w:type="character" w:customStyle="1" w:styleId="OdsekZnak">
    <w:name w:val="Odsek Znak"/>
    <w:link w:val="Odsek"/>
    <w:locked/>
    <w:rsid w:val="00E15F00"/>
    <w:rPr>
      <w:rFonts w:ascii="Arial" w:hAnsi="Arial" w:cs="Arial"/>
      <w:b/>
      <w:lang w:val="x-none" w:eastAsia="x-none"/>
    </w:rPr>
  </w:style>
  <w:style w:type="paragraph" w:customStyle="1" w:styleId="Odsek">
    <w:name w:val="Odsek"/>
    <w:basedOn w:val="Oddelek"/>
    <w:link w:val="OdsekZnak"/>
    <w:qFormat/>
    <w:rsid w:val="00E15F00"/>
    <w:pPr>
      <w:numPr>
        <w:numId w:val="0"/>
      </w:numPr>
    </w:pPr>
  </w:style>
  <w:style w:type="character" w:customStyle="1" w:styleId="lenZnak">
    <w:name w:val="Člen Znak"/>
    <w:link w:val="len"/>
    <w:locked/>
    <w:rsid w:val="00E15F00"/>
    <w:rPr>
      <w:rFonts w:ascii="Arial" w:hAnsi="Arial" w:cs="Arial"/>
      <w:b/>
      <w:lang w:val="x-none" w:eastAsia="x-none"/>
    </w:rPr>
  </w:style>
  <w:style w:type="paragraph" w:customStyle="1" w:styleId="len">
    <w:name w:val="Člen"/>
    <w:basedOn w:val="Navaden"/>
    <w:link w:val="lenZnak"/>
    <w:qFormat/>
    <w:rsid w:val="00E15F00"/>
    <w:pPr>
      <w:suppressAutoHyphens/>
      <w:overflowPunct w:val="0"/>
      <w:autoSpaceDE w:val="0"/>
      <w:autoSpaceDN w:val="0"/>
      <w:adjustRightInd w:val="0"/>
      <w:spacing w:before="480" w:line="240" w:lineRule="auto"/>
      <w:jc w:val="center"/>
    </w:pPr>
    <w:rPr>
      <w:rFonts w:eastAsiaTheme="minorHAnsi" w:cs="Arial"/>
      <w:b/>
      <w:sz w:val="22"/>
      <w:szCs w:val="22"/>
      <w:lang w:val="x-none" w:eastAsia="x-none"/>
    </w:rPr>
  </w:style>
  <w:style w:type="paragraph" w:customStyle="1" w:styleId="lennaslov">
    <w:name w:val="Člen_naslov"/>
    <w:basedOn w:val="len"/>
    <w:uiPriority w:val="99"/>
    <w:qFormat/>
    <w:rsid w:val="00E15F00"/>
    <w:pPr>
      <w:spacing w:before="0"/>
    </w:pPr>
  </w:style>
  <w:style w:type="paragraph" w:customStyle="1" w:styleId="odstavek0">
    <w:name w:val="odstavek"/>
    <w:basedOn w:val="Navaden"/>
    <w:uiPriority w:val="99"/>
    <w:rsid w:val="00E15F00"/>
    <w:pPr>
      <w:spacing w:before="100" w:beforeAutospacing="1" w:after="100" w:afterAutospacing="1" w:line="240" w:lineRule="auto"/>
    </w:pPr>
    <w:rPr>
      <w:rFonts w:ascii="Times New Roman" w:hAnsi="Times New Roman"/>
      <w:sz w:val="24"/>
      <w:lang w:eastAsia="sl-SI"/>
    </w:rPr>
  </w:style>
  <w:style w:type="paragraph" w:customStyle="1" w:styleId="Default">
    <w:name w:val="Default"/>
    <w:uiPriority w:val="99"/>
    <w:rsid w:val="00E15F0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
    <w:name w:val="Body"/>
    <w:uiPriority w:val="99"/>
    <w:rsid w:val="00E15F00"/>
    <w:pPr>
      <w:spacing w:after="0" w:line="240" w:lineRule="auto"/>
    </w:pPr>
    <w:rPr>
      <w:rFonts w:ascii="Helvetica" w:eastAsia="ヒラギノ角ゴ Pro W3" w:hAnsi="Helvetica" w:cs="Times New Roman"/>
      <w:color w:val="000000"/>
      <w:sz w:val="24"/>
      <w:szCs w:val="20"/>
      <w:lang w:eastAsia="sl-SI"/>
    </w:rPr>
  </w:style>
  <w:style w:type="paragraph" w:customStyle="1" w:styleId="xmsonormal">
    <w:name w:val="x_msonormal"/>
    <w:basedOn w:val="Navaden"/>
    <w:uiPriority w:val="99"/>
    <w:rsid w:val="00E15F00"/>
    <w:pPr>
      <w:spacing w:line="240" w:lineRule="auto"/>
    </w:pPr>
    <w:rPr>
      <w:rFonts w:ascii="Calibri" w:eastAsia="Calibri" w:hAnsi="Calibri" w:cs="Calibri"/>
      <w:sz w:val="22"/>
      <w:szCs w:val="22"/>
      <w:lang w:eastAsia="sl-SI"/>
    </w:rPr>
  </w:style>
  <w:style w:type="character" w:styleId="Sprotnaopomba-sklic">
    <w:name w:val="footnote reference"/>
    <w:uiPriority w:val="99"/>
    <w:semiHidden/>
    <w:unhideWhenUsed/>
    <w:rsid w:val="00E15F00"/>
    <w:rPr>
      <w:vertAlign w:val="superscript"/>
    </w:rPr>
  </w:style>
  <w:style w:type="character" w:styleId="Pripombasklic">
    <w:name w:val="annotation reference"/>
    <w:uiPriority w:val="99"/>
    <w:semiHidden/>
    <w:unhideWhenUsed/>
    <w:rsid w:val="00E15F00"/>
    <w:rPr>
      <w:sz w:val="16"/>
      <w:szCs w:val="16"/>
    </w:rPr>
  </w:style>
  <w:style w:type="character" w:customStyle="1" w:styleId="Nerazreenaomemba">
    <w:name w:val="Nerazrešena omemba"/>
    <w:uiPriority w:val="99"/>
    <w:semiHidden/>
    <w:rsid w:val="00E15F00"/>
    <w:rPr>
      <w:color w:val="605E5C"/>
      <w:shd w:val="clear" w:color="auto" w:fill="E1DFDD"/>
    </w:rPr>
  </w:style>
  <w:style w:type="character" w:customStyle="1" w:styleId="tlid-translation">
    <w:name w:val="tlid-translation"/>
    <w:rsid w:val="00E15F00"/>
  </w:style>
  <w:style w:type="character" w:customStyle="1" w:styleId="HTML-oblikovanoZnak1">
    <w:name w:val="HTML-oblikovano Znak1"/>
    <w:basedOn w:val="Privzetapisavaodstavka"/>
    <w:uiPriority w:val="99"/>
    <w:rsid w:val="00E15F00"/>
    <w:rPr>
      <w:rFonts w:ascii="Consolas" w:hAnsi="Consolas" w:hint="default"/>
      <w:lang w:eastAsia="en-US"/>
    </w:rPr>
  </w:style>
  <w:style w:type="character" w:customStyle="1" w:styleId="Nerazreenaomemba1">
    <w:name w:val="Nerazrešena omemba1"/>
    <w:uiPriority w:val="99"/>
    <w:semiHidden/>
    <w:rsid w:val="00E15F00"/>
    <w:rPr>
      <w:color w:val="605E5C"/>
      <w:shd w:val="clear" w:color="auto" w:fill="E1DFDD"/>
    </w:rPr>
  </w:style>
  <w:style w:type="table" w:styleId="Tabelamrea">
    <w:name w:val="Table Grid"/>
    <w:basedOn w:val="Navadnatabela"/>
    <w:uiPriority w:val="59"/>
    <w:rsid w:val="00E15F00"/>
    <w:pPr>
      <w:spacing w:after="0" w:line="240" w:lineRule="auto"/>
    </w:pPr>
    <w:rPr>
      <w:rFonts w:ascii="Times New Roman" w:eastAsia="Times New Roman" w:hAnsi="Times New Roman"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vetlamrea1">
    <w:name w:val="Grid Table 1 Light"/>
    <w:basedOn w:val="Navadnatabela"/>
    <w:uiPriority w:val="46"/>
    <w:rsid w:val="00E15F00"/>
    <w:pPr>
      <w:spacing w:after="0" w:line="240" w:lineRule="auto"/>
    </w:pPr>
    <w:rPr>
      <w:rFonts w:ascii="Calibri" w:eastAsia="Calibri" w:hAnsi="Calibri" w:cs="Times New Roman"/>
      <w:lang w:val="en-US"/>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elamrea4poudarek3">
    <w:name w:val="Grid Table 4 Accent 3"/>
    <w:basedOn w:val="Navadnatabela"/>
    <w:uiPriority w:val="49"/>
    <w:rsid w:val="00E15F00"/>
    <w:pPr>
      <w:spacing w:after="0" w:line="240" w:lineRule="auto"/>
    </w:pPr>
    <w:rPr>
      <w:rFonts w:ascii="Calibri" w:eastAsia="Calibri" w:hAnsi="Calibri" w:cs="Times New Roman"/>
      <w:lang w:val="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66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cepp.eu/standards_and_guidances/methodologicalGuide.shtml" TargetMode="External"/><Relationship Id="rId13" Type="http://schemas.openxmlformats.org/officeDocument/2006/relationships/hyperlink" Target="https://www.ema.europa.eu/en/documents/product-information/comirnaty-epar-product-information_sl.pdf" TargetMode="External"/><Relationship Id="rId18" Type="http://schemas.openxmlformats.org/officeDocument/2006/relationships/hyperlink" Target="https://www.ema.europa.eu/en/documents/product-information/covid-19-vaccine-janssen-epar-product-information_sl.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nijz.si/sites/www.nijz.si/files/uploaded/ob_prijava_nezelenega_ucinka_po_cepljenju_v2_1.pdf" TargetMode="External"/><Relationship Id="rId7" Type="http://schemas.openxmlformats.org/officeDocument/2006/relationships/hyperlink" Target="https://www.ema.europa.eu/en/documents/other/pharmacovigilance-plan-eu-regulatory-network-covid-19-vaccines_en.pdf" TargetMode="External"/><Relationship Id="rId12" Type="http://schemas.openxmlformats.org/officeDocument/2006/relationships/hyperlink" Target="https://www.ema.europa.eu/en/documents/assessment-report/comirnaty-epar-public-assessment-report_en.pdf" TargetMode="External"/><Relationship Id="rId17" Type="http://schemas.openxmlformats.org/officeDocument/2006/relationships/hyperlink" Target="https://ec.europa.eu/health/documents/community-register/2021/20210129150842/anx_150842_sl.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ma.europa.eu/en/documents/assessment-report/covid-19-vaccine-astrazeneca-epar-public-assessment-report_en.pdf" TargetMode="External"/><Relationship Id="rId20" Type="http://schemas.openxmlformats.org/officeDocument/2006/relationships/hyperlink" Target="https://www.jazmp.si/humana-zdravila/farmakovigilanca/porocanje-o-nezelenih-ucinkih-zdravil/zdravila-za-katera-se-zahteva-dodatno-spremljanje-varnosti/"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en/human-regulatory/overview/public-health-threats/coronavirus-disease-covid-19/treatments-vaccines-covid-19"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ema.europa.eu/en/documents/product-information/covid-19-vaccine-moderna-epar-product-information_sl.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encepp.eu/encepp/studiesDatabase.jsp" TargetMode="External"/><Relationship Id="rId19" Type="http://schemas.openxmlformats.org/officeDocument/2006/relationships/hyperlink" Target="https://ec.europa.eu/health/documents/community-register/html/" TargetMode="External"/><Relationship Id="rId4" Type="http://schemas.openxmlformats.org/officeDocument/2006/relationships/webSettings" Target="webSettings.xml"/><Relationship Id="rId9" Type="http://schemas.openxmlformats.org/officeDocument/2006/relationships/hyperlink" Target="http://www.encepp.eu/encepp/studiesDatabase.jsp" TargetMode="External"/><Relationship Id="rId14" Type="http://schemas.openxmlformats.org/officeDocument/2006/relationships/hyperlink" Target="https://www.ema.europa.eu/en/documents/assessment-report/covid-19-vaccine-moderna-epar-public-assessment-report_en.pdf" TargetMode="External"/><Relationship Id="rId22" Type="http://schemas.openxmlformats.org/officeDocument/2006/relationships/hyperlink" Target="https://www.ema.europa.eu/en/documents/other/pharmacovigilance-plan-eu-regulatory-network-covid-19-vaccines_en.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21</Pages>
  <Words>6593</Words>
  <Characters>37581</Characters>
  <Application>Microsoft Office Word</Application>
  <DocSecurity>0</DocSecurity>
  <Lines>313</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Andreja Rajh</cp:lastModifiedBy>
  <cp:revision>11</cp:revision>
  <dcterms:created xsi:type="dcterms:W3CDTF">2021-03-25T06:43:00Z</dcterms:created>
  <dcterms:modified xsi:type="dcterms:W3CDTF">2021-03-25T09:41:00Z</dcterms:modified>
</cp:coreProperties>
</file>