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97E2" w14:textId="0B5A4D1D" w:rsidR="007D75CF" w:rsidRPr="00885BD1" w:rsidRDefault="00E03EDD" w:rsidP="00CD4BC8">
      <w:pPr>
        <w:jc w:val="both"/>
        <w:rPr>
          <w:rFonts w:cs="Arial"/>
          <w:b/>
          <w:bCs/>
          <w:szCs w:val="20"/>
          <w:lang w:val="sl-SI"/>
        </w:rPr>
      </w:pPr>
      <w:r w:rsidRPr="00885BD1">
        <w:rPr>
          <w:rFonts w:cs="Arial"/>
          <w:b/>
          <w:bCs/>
          <w:szCs w:val="20"/>
          <w:lang w:val="sl-SI"/>
        </w:rPr>
        <w:t>Verzija</w:t>
      </w:r>
      <w:r w:rsidR="00E25A0B">
        <w:rPr>
          <w:rFonts w:cs="Arial"/>
          <w:b/>
          <w:bCs/>
          <w:szCs w:val="20"/>
          <w:lang w:val="sl-SI"/>
        </w:rPr>
        <w:t xml:space="preserve"> </w:t>
      </w:r>
      <w:r w:rsidR="00F07E05">
        <w:rPr>
          <w:rFonts w:cs="Arial"/>
          <w:b/>
          <w:bCs/>
          <w:szCs w:val="20"/>
          <w:lang w:val="sl-SI"/>
        </w:rPr>
        <w:t>30</w:t>
      </w:r>
      <w:r w:rsidRPr="00885BD1">
        <w:rPr>
          <w:rFonts w:cs="Arial"/>
          <w:b/>
          <w:bCs/>
          <w:szCs w:val="20"/>
          <w:lang w:val="sl-SI"/>
        </w:rPr>
        <w:t xml:space="preserve">: </w:t>
      </w:r>
      <w:r w:rsidR="00F07E05">
        <w:rPr>
          <w:rFonts w:cs="Arial"/>
          <w:b/>
          <w:bCs/>
          <w:szCs w:val="20"/>
          <w:lang w:val="sl-SI"/>
        </w:rPr>
        <w:t>26</w:t>
      </w:r>
      <w:r w:rsidRPr="00885BD1">
        <w:rPr>
          <w:rFonts w:cs="Arial"/>
          <w:b/>
          <w:bCs/>
          <w:szCs w:val="20"/>
          <w:lang w:val="sl-SI"/>
        </w:rPr>
        <w:t>.</w:t>
      </w:r>
      <w:r w:rsidR="00415FDA" w:rsidRPr="00885BD1">
        <w:rPr>
          <w:rFonts w:cs="Arial"/>
          <w:b/>
          <w:bCs/>
          <w:szCs w:val="20"/>
          <w:lang w:val="sl-SI"/>
        </w:rPr>
        <w:t xml:space="preserve"> </w:t>
      </w:r>
      <w:r w:rsidR="00F07E05">
        <w:rPr>
          <w:rFonts w:cs="Arial"/>
          <w:b/>
          <w:bCs/>
          <w:szCs w:val="20"/>
          <w:lang w:val="sl-SI"/>
        </w:rPr>
        <w:t>10</w:t>
      </w:r>
      <w:r w:rsidRPr="00885BD1">
        <w:rPr>
          <w:rFonts w:cs="Arial"/>
          <w:b/>
          <w:bCs/>
          <w:szCs w:val="20"/>
          <w:lang w:val="sl-SI"/>
        </w:rPr>
        <w:t>.</w:t>
      </w:r>
      <w:r w:rsidR="00415FDA" w:rsidRPr="00885BD1">
        <w:rPr>
          <w:rFonts w:cs="Arial"/>
          <w:b/>
          <w:bCs/>
          <w:szCs w:val="20"/>
          <w:lang w:val="sl-SI"/>
        </w:rPr>
        <w:t xml:space="preserve"> </w:t>
      </w:r>
      <w:r w:rsidRPr="00885BD1">
        <w:rPr>
          <w:rFonts w:cs="Arial"/>
          <w:b/>
          <w:bCs/>
          <w:szCs w:val="20"/>
          <w:lang w:val="sl-SI"/>
        </w:rPr>
        <w:t>202</w:t>
      </w:r>
      <w:r w:rsidR="00CD4BC8" w:rsidRPr="00885BD1">
        <w:rPr>
          <w:rFonts w:cs="Arial"/>
          <w:b/>
          <w:bCs/>
          <w:szCs w:val="20"/>
          <w:lang w:val="sl-SI"/>
        </w:rPr>
        <w:t>2</w:t>
      </w:r>
    </w:p>
    <w:p w14:paraId="7AA43A47" w14:textId="095CC103" w:rsidR="00CD4BC8" w:rsidRPr="00885BD1" w:rsidRDefault="00CD4BC8" w:rsidP="00CD4BC8">
      <w:pPr>
        <w:jc w:val="both"/>
        <w:rPr>
          <w:rFonts w:cs="Arial"/>
          <w:b/>
          <w:bCs/>
          <w:szCs w:val="20"/>
          <w:lang w:val="sl-SI"/>
        </w:rPr>
      </w:pPr>
    </w:p>
    <w:p w14:paraId="46655673" w14:textId="38B242C2" w:rsidR="00CD4BC8" w:rsidRPr="00885BD1" w:rsidRDefault="00CD4BC8" w:rsidP="00CD4BC8">
      <w:pPr>
        <w:jc w:val="both"/>
        <w:rPr>
          <w:rFonts w:cs="Arial"/>
          <w:b/>
          <w:bCs/>
          <w:szCs w:val="20"/>
          <w:lang w:val="sl-SI"/>
        </w:rPr>
      </w:pPr>
    </w:p>
    <w:p w14:paraId="29B7E32C" w14:textId="0E92C888" w:rsidR="00CD4BC8" w:rsidRPr="00885BD1" w:rsidRDefault="00CD4BC8" w:rsidP="00CD4BC8">
      <w:pPr>
        <w:jc w:val="both"/>
        <w:rPr>
          <w:rFonts w:cs="Arial"/>
          <w:b/>
          <w:bCs/>
          <w:szCs w:val="20"/>
          <w:lang w:val="sl-SI"/>
        </w:rPr>
      </w:pPr>
    </w:p>
    <w:p w14:paraId="3023D011" w14:textId="68F1DAAA" w:rsidR="00CD4BC8" w:rsidRPr="00885BD1" w:rsidRDefault="00CD4BC8" w:rsidP="00CD4BC8">
      <w:pPr>
        <w:jc w:val="both"/>
        <w:rPr>
          <w:rFonts w:cs="Arial"/>
          <w:b/>
          <w:bCs/>
          <w:szCs w:val="20"/>
          <w:lang w:val="sl-SI"/>
        </w:rPr>
      </w:pPr>
    </w:p>
    <w:p w14:paraId="215E9855" w14:textId="4506AFEC" w:rsidR="00CD4BC8" w:rsidRPr="00885BD1" w:rsidRDefault="00CD4BC8" w:rsidP="00CD4BC8">
      <w:pPr>
        <w:jc w:val="both"/>
        <w:rPr>
          <w:rFonts w:cs="Arial"/>
          <w:b/>
          <w:bCs/>
          <w:szCs w:val="20"/>
          <w:lang w:val="sl-SI"/>
        </w:rPr>
      </w:pPr>
    </w:p>
    <w:p w14:paraId="2C97CFAC" w14:textId="5706B247" w:rsidR="00CD4BC8" w:rsidRPr="00885BD1" w:rsidRDefault="00CD4BC8" w:rsidP="00CD4BC8">
      <w:pPr>
        <w:jc w:val="both"/>
        <w:rPr>
          <w:rFonts w:cs="Arial"/>
          <w:b/>
          <w:bCs/>
          <w:szCs w:val="20"/>
          <w:lang w:val="sl-SI"/>
        </w:rPr>
      </w:pPr>
    </w:p>
    <w:p w14:paraId="36F241DC" w14:textId="06D55643" w:rsidR="00CD4BC8" w:rsidRPr="00885BD1" w:rsidRDefault="00CD4BC8" w:rsidP="00CD4BC8">
      <w:pPr>
        <w:jc w:val="both"/>
        <w:rPr>
          <w:rFonts w:cs="Arial"/>
          <w:b/>
          <w:bCs/>
          <w:szCs w:val="20"/>
          <w:lang w:val="sl-SI"/>
        </w:rPr>
      </w:pPr>
    </w:p>
    <w:p w14:paraId="415B0ACD" w14:textId="5CBA38BB" w:rsidR="00CD4BC8" w:rsidRPr="00885BD1" w:rsidRDefault="00CD4BC8" w:rsidP="00CD4BC8">
      <w:pPr>
        <w:jc w:val="both"/>
        <w:rPr>
          <w:rFonts w:cs="Arial"/>
          <w:b/>
          <w:bCs/>
          <w:szCs w:val="20"/>
          <w:lang w:val="sl-SI"/>
        </w:rPr>
      </w:pPr>
    </w:p>
    <w:p w14:paraId="6F1F4B1A" w14:textId="77777777" w:rsidR="00CD4BC8" w:rsidRPr="00885BD1" w:rsidRDefault="00CD4BC8" w:rsidP="00CD4BC8">
      <w:pPr>
        <w:jc w:val="both"/>
        <w:rPr>
          <w:rFonts w:cs="Arial"/>
          <w:b/>
          <w:bCs/>
          <w:szCs w:val="20"/>
          <w:lang w:val="sl-SI"/>
        </w:rPr>
      </w:pPr>
    </w:p>
    <w:p w14:paraId="673263BC" w14:textId="77777777" w:rsidR="00281B20" w:rsidRPr="00885BD1" w:rsidRDefault="00281B20" w:rsidP="00CD4BC8">
      <w:pPr>
        <w:jc w:val="both"/>
        <w:rPr>
          <w:rFonts w:cs="Arial"/>
          <w:szCs w:val="20"/>
          <w:lang w:val="sl-SI"/>
        </w:rPr>
      </w:pPr>
    </w:p>
    <w:p w14:paraId="288C41FB" w14:textId="4942A53B" w:rsidR="00281B20" w:rsidRDefault="00281B20" w:rsidP="00472FBB">
      <w:pPr>
        <w:jc w:val="center"/>
        <w:rPr>
          <w:b/>
          <w:bCs/>
          <w:sz w:val="32"/>
          <w:szCs w:val="32"/>
          <w:lang w:val="sl-SI"/>
        </w:rPr>
      </w:pPr>
      <w:r w:rsidRPr="00885BD1">
        <w:rPr>
          <w:b/>
          <w:bCs/>
          <w:sz w:val="32"/>
          <w:szCs w:val="32"/>
          <w:lang w:val="sl-SI"/>
        </w:rPr>
        <w:t>STRATEGIJA OBVLADOVANJA DEMENCE</w:t>
      </w:r>
      <w:r w:rsidR="00D100D7">
        <w:rPr>
          <w:b/>
          <w:bCs/>
          <w:sz w:val="32"/>
          <w:szCs w:val="32"/>
          <w:lang w:val="sl-SI"/>
        </w:rPr>
        <w:t xml:space="preserve"> V SLOVENIJI </w:t>
      </w:r>
      <w:r w:rsidR="00EF79A3" w:rsidRPr="00885BD1">
        <w:rPr>
          <w:b/>
          <w:bCs/>
          <w:sz w:val="32"/>
          <w:szCs w:val="32"/>
          <w:lang w:val="sl-SI"/>
        </w:rPr>
        <w:t xml:space="preserve">DO LETA </w:t>
      </w:r>
      <w:r w:rsidRPr="00885BD1">
        <w:rPr>
          <w:b/>
          <w:bCs/>
          <w:sz w:val="32"/>
          <w:szCs w:val="32"/>
          <w:lang w:val="sl-SI"/>
        </w:rPr>
        <w:t>203</w:t>
      </w:r>
      <w:r w:rsidR="00AF2250" w:rsidRPr="00885BD1">
        <w:rPr>
          <w:b/>
          <w:bCs/>
          <w:sz w:val="32"/>
          <w:szCs w:val="32"/>
          <w:lang w:val="sl-SI"/>
        </w:rPr>
        <w:t>0</w:t>
      </w:r>
    </w:p>
    <w:p w14:paraId="6D07C031" w14:textId="5D64F78F" w:rsidR="00797D2B" w:rsidRDefault="00797D2B" w:rsidP="00472FBB">
      <w:pPr>
        <w:jc w:val="center"/>
        <w:rPr>
          <w:b/>
          <w:bCs/>
          <w:sz w:val="32"/>
          <w:szCs w:val="32"/>
          <w:lang w:val="sl-SI"/>
        </w:rPr>
      </w:pPr>
    </w:p>
    <w:p w14:paraId="057A0830" w14:textId="3598C7BF" w:rsidR="00797D2B" w:rsidRDefault="00797D2B" w:rsidP="00472FBB">
      <w:pPr>
        <w:jc w:val="center"/>
        <w:rPr>
          <w:b/>
          <w:bCs/>
          <w:sz w:val="32"/>
          <w:szCs w:val="32"/>
          <w:lang w:val="sl-SI"/>
        </w:rPr>
      </w:pPr>
    </w:p>
    <w:p w14:paraId="3F353D20" w14:textId="77777777" w:rsidR="00CD4BC8" w:rsidRPr="00885BD1" w:rsidRDefault="00CD4BC8" w:rsidP="00CD4BC8">
      <w:pPr>
        <w:jc w:val="both"/>
        <w:rPr>
          <w:rFonts w:cs="Arial"/>
          <w:szCs w:val="20"/>
          <w:lang w:val="sl-SI"/>
        </w:rPr>
      </w:pPr>
    </w:p>
    <w:p w14:paraId="021A8E8D" w14:textId="77777777" w:rsidR="00CD4BC8" w:rsidRPr="00885BD1" w:rsidRDefault="00CD4BC8" w:rsidP="00CD4BC8">
      <w:pPr>
        <w:jc w:val="both"/>
        <w:rPr>
          <w:rFonts w:cs="Arial"/>
          <w:szCs w:val="20"/>
          <w:lang w:val="sl-SI"/>
        </w:rPr>
      </w:pPr>
    </w:p>
    <w:p w14:paraId="588B39FC" w14:textId="77777777" w:rsidR="00281B20" w:rsidRPr="00885BD1" w:rsidRDefault="00281B20" w:rsidP="00CD4BC8">
      <w:pPr>
        <w:jc w:val="both"/>
        <w:rPr>
          <w:rFonts w:cs="Arial"/>
          <w:szCs w:val="20"/>
          <w:lang w:val="sl-SI"/>
        </w:rPr>
      </w:pPr>
    </w:p>
    <w:p w14:paraId="703C530F" w14:textId="77777777" w:rsidR="00281B20" w:rsidRPr="00885BD1" w:rsidRDefault="00281B20" w:rsidP="00CD4BC8">
      <w:pPr>
        <w:jc w:val="both"/>
        <w:rPr>
          <w:rFonts w:cs="Arial"/>
          <w:szCs w:val="20"/>
          <w:lang w:val="sl-SI"/>
        </w:rPr>
      </w:pPr>
    </w:p>
    <w:p w14:paraId="554B5079" w14:textId="77777777" w:rsidR="00281B20" w:rsidRPr="00885BD1" w:rsidRDefault="00281B20" w:rsidP="00CD4BC8">
      <w:pPr>
        <w:jc w:val="both"/>
        <w:rPr>
          <w:rFonts w:cs="Arial"/>
          <w:szCs w:val="20"/>
          <w:lang w:val="sl-SI"/>
        </w:rPr>
      </w:pPr>
    </w:p>
    <w:p w14:paraId="455B0CB2" w14:textId="77777777" w:rsidR="00281B20" w:rsidRPr="00885BD1" w:rsidRDefault="00281B20" w:rsidP="00CD4BC8">
      <w:pPr>
        <w:jc w:val="both"/>
        <w:rPr>
          <w:rFonts w:cs="Arial"/>
          <w:szCs w:val="20"/>
          <w:lang w:val="sl-SI"/>
        </w:rPr>
      </w:pPr>
    </w:p>
    <w:p w14:paraId="5102E13B" w14:textId="77777777" w:rsidR="00281B20" w:rsidRPr="00885BD1" w:rsidRDefault="00281B20" w:rsidP="00CD4BC8">
      <w:pPr>
        <w:jc w:val="both"/>
        <w:rPr>
          <w:rFonts w:cs="Arial"/>
          <w:szCs w:val="20"/>
          <w:lang w:val="sl-SI"/>
        </w:rPr>
      </w:pPr>
    </w:p>
    <w:p w14:paraId="768762BB" w14:textId="77777777" w:rsidR="00281B20" w:rsidRPr="00885BD1" w:rsidRDefault="00281B20" w:rsidP="00CD4BC8">
      <w:pPr>
        <w:jc w:val="both"/>
        <w:rPr>
          <w:rFonts w:cs="Arial"/>
          <w:szCs w:val="20"/>
          <w:lang w:val="sl-SI"/>
        </w:rPr>
      </w:pPr>
    </w:p>
    <w:p w14:paraId="42E39905" w14:textId="77777777" w:rsidR="00281B20" w:rsidRPr="00885BD1" w:rsidRDefault="00281B20" w:rsidP="00CD4BC8">
      <w:pPr>
        <w:jc w:val="both"/>
        <w:rPr>
          <w:rFonts w:cs="Arial"/>
          <w:szCs w:val="20"/>
          <w:lang w:val="sl-SI"/>
        </w:rPr>
      </w:pPr>
    </w:p>
    <w:p w14:paraId="30721CAD" w14:textId="77777777" w:rsidR="00281B20" w:rsidRPr="00885BD1" w:rsidRDefault="00281B20" w:rsidP="00CD4BC8">
      <w:pPr>
        <w:jc w:val="both"/>
        <w:rPr>
          <w:rFonts w:cs="Arial"/>
          <w:szCs w:val="20"/>
          <w:lang w:val="sl-SI"/>
        </w:rPr>
      </w:pPr>
    </w:p>
    <w:p w14:paraId="24C2D3BE" w14:textId="77777777" w:rsidR="00281B20" w:rsidRPr="00885BD1" w:rsidRDefault="00281B20" w:rsidP="00CD4BC8">
      <w:pPr>
        <w:jc w:val="both"/>
        <w:rPr>
          <w:rFonts w:cs="Arial"/>
          <w:szCs w:val="20"/>
          <w:lang w:val="sl-SI"/>
        </w:rPr>
      </w:pPr>
    </w:p>
    <w:p w14:paraId="6141F105" w14:textId="77777777" w:rsidR="00281B20" w:rsidRPr="00885BD1" w:rsidRDefault="00281B20" w:rsidP="00CD4BC8">
      <w:pPr>
        <w:jc w:val="both"/>
        <w:rPr>
          <w:rFonts w:cs="Arial"/>
          <w:szCs w:val="20"/>
          <w:lang w:val="sl-SI"/>
        </w:rPr>
      </w:pPr>
    </w:p>
    <w:p w14:paraId="39C83438" w14:textId="77777777" w:rsidR="00281B20" w:rsidRPr="00885BD1" w:rsidRDefault="00281B20" w:rsidP="00CD4BC8">
      <w:pPr>
        <w:jc w:val="both"/>
        <w:rPr>
          <w:rFonts w:cs="Arial"/>
          <w:szCs w:val="20"/>
          <w:lang w:val="sl-SI"/>
        </w:rPr>
      </w:pPr>
    </w:p>
    <w:p w14:paraId="5088154B" w14:textId="77777777" w:rsidR="00281B20" w:rsidRPr="00885BD1" w:rsidRDefault="00281B20" w:rsidP="00CD4BC8">
      <w:pPr>
        <w:jc w:val="both"/>
        <w:rPr>
          <w:rFonts w:cs="Arial"/>
          <w:szCs w:val="20"/>
          <w:lang w:val="sl-SI"/>
        </w:rPr>
      </w:pPr>
    </w:p>
    <w:p w14:paraId="66B5F194" w14:textId="1CC9AA38" w:rsidR="00281B20" w:rsidRDefault="00281B20" w:rsidP="00CD4BC8">
      <w:pPr>
        <w:jc w:val="both"/>
        <w:rPr>
          <w:rFonts w:cs="Arial"/>
          <w:szCs w:val="20"/>
          <w:lang w:val="sl-SI"/>
        </w:rPr>
      </w:pPr>
    </w:p>
    <w:p w14:paraId="7F93DB64" w14:textId="66547C3E" w:rsidR="00C82654" w:rsidRDefault="00C82654" w:rsidP="00CD4BC8">
      <w:pPr>
        <w:jc w:val="both"/>
        <w:rPr>
          <w:rFonts w:cs="Arial"/>
          <w:szCs w:val="20"/>
          <w:lang w:val="sl-SI"/>
        </w:rPr>
      </w:pPr>
    </w:p>
    <w:p w14:paraId="522F4C89" w14:textId="77777777" w:rsidR="00C82654" w:rsidRPr="00885BD1" w:rsidRDefault="00C82654" w:rsidP="00CD4BC8">
      <w:pPr>
        <w:jc w:val="both"/>
        <w:rPr>
          <w:rFonts w:cs="Arial"/>
          <w:szCs w:val="20"/>
          <w:lang w:val="sl-SI"/>
        </w:rPr>
      </w:pPr>
    </w:p>
    <w:p w14:paraId="6D01BBA4" w14:textId="77777777" w:rsidR="00281B20" w:rsidRPr="00885BD1" w:rsidRDefault="00281B20" w:rsidP="00CD4BC8">
      <w:pPr>
        <w:jc w:val="both"/>
        <w:rPr>
          <w:rFonts w:cs="Arial"/>
          <w:szCs w:val="20"/>
          <w:lang w:val="sl-SI"/>
        </w:rPr>
      </w:pPr>
    </w:p>
    <w:p w14:paraId="76886C99" w14:textId="77777777" w:rsidR="00281B20" w:rsidRPr="00885BD1" w:rsidRDefault="00281B20" w:rsidP="00CD4BC8">
      <w:pPr>
        <w:jc w:val="both"/>
        <w:rPr>
          <w:rFonts w:cs="Arial"/>
          <w:szCs w:val="20"/>
          <w:lang w:val="sl-SI"/>
        </w:rPr>
      </w:pPr>
    </w:p>
    <w:p w14:paraId="6ABB2AAE" w14:textId="77777777" w:rsidR="00281B20" w:rsidRPr="00885BD1" w:rsidRDefault="00281B20" w:rsidP="00CD4BC8">
      <w:pPr>
        <w:jc w:val="both"/>
        <w:rPr>
          <w:rFonts w:cs="Arial"/>
          <w:szCs w:val="20"/>
          <w:lang w:val="sl-SI"/>
        </w:rPr>
      </w:pPr>
    </w:p>
    <w:p w14:paraId="29615437" w14:textId="77777777" w:rsidR="00281B20" w:rsidRPr="00885BD1" w:rsidRDefault="00281B20" w:rsidP="00CD4BC8">
      <w:pPr>
        <w:jc w:val="both"/>
        <w:rPr>
          <w:rFonts w:cs="Arial"/>
          <w:szCs w:val="20"/>
          <w:lang w:val="sl-SI"/>
        </w:rPr>
      </w:pPr>
    </w:p>
    <w:p w14:paraId="15E89740" w14:textId="77777777" w:rsidR="00281B20" w:rsidRPr="00885BD1" w:rsidRDefault="00281B20" w:rsidP="00CD4BC8">
      <w:pPr>
        <w:jc w:val="both"/>
        <w:rPr>
          <w:rFonts w:cs="Arial"/>
          <w:szCs w:val="20"/>
          <w:lang w:val="sl-SI"/>
        </w:rPr>
      </w:pPr>
    </w:p>
    <w:p w14:paraId="16FF40DA" w14:textId="77777777" w:rsidR="00281B20" w:rsidRPr="00885BD1" w:rsidRDefault="00281B20" w:rsidP="00CD4BC8">
      <w:pPr>
        <w:jc w:val="both"/>
        <w:rPr>
          <w:rFonts w:cs="Arial"/>
          <w:szCs w:val="20"/>
          <w:lang w:val="sl-SI"/>
        </w:rPr>
      </w:pPr>
    </w:p>
    <w:p w14:paraId="5967B36D" w14:textId="77777777" w:rsidR="00281B20" w:rsidRPr="00885BD1" w:rsidRDefault="00281B20" w:rsidP="00CD4BC8">
      <w:pPr>
        <w:jc w:val="both"/>
        <w:rPr>
          <w:rFonts w:cs="Arial"/>
          <w:szCs w:val="20"/>
          <w:lang w:val="sl-SI"/>
        </w:rPr>
      </w:pPr>
    </w:p>
    <w:p w14:paraId="7A5B3A54" w14:textId="77777777" w:rsidR="00281B20" w:rsidRPr="00885BD1" w:rsidRDefault="00281B20" w:rsidP="00CD4BC8">
      <w:pPr>
        <w:jc w:val="both"/>
        <w:rPr>
          <w:rFonts w:cs="Arial"/>
          <w:szCs w:val="20"/>
          <w:lang w:val="sl-SI"/>
        </w:rPr>
      </w:pPr>
    </w:p>
    <w:p w14:paraId="18D9B1A3" w14:textId="77777777" w:rsidR="00281B20" w:rsidRPr="00885BD1" w:rsidRDefault="00281B20" w:rsidP="00CD4BC8">
      <w:pPr>
        <w:jc w:val="both"/>
        <w:rPr>
          <w:rFonts w:cs="Arial"/>
          <w:szCs w:val="20"/>
          <w:lang w:val="sl-SI"/>
        </w:rPr>
      </w:pPr>
    </w:p>
    <w:p w14:paraId="72807D46" w14:textId="060BD498" w:rsidR="00281B20" w:rsidRPr="00885BD1" w:rsidRDefault="00CD4BC8" w:rsidP="00CD4BC8">
      <w:pPr>
        <w:jc w:val="center"/>
        <w:rPr>
          <w:rFonts w:cs="Arial"/>
          <w:szCs w:val="20"/>
          <w:lang w:val="sl-SI"/>
        </w:rPr>
      </w:pPr>
      <w:r w:rsidRPr="00885BD1">
        <w:rPr>
          <w:rFonts w:cs="Arial"/>
          <w:szCs w:val="20"/>
          <w:lang w:val="sl-SI"/>
        </w:rPr>
        <w:t xml:space="preserve">Ljubljana, </w:t>
      </w:r>
      <w:r w:rsidR="00F07E05">
        <w:rPr>
          <w:rFonts w:cs="Arial"/>
          <w:szCs w:val="20"/>
          <w:lang w:val="sl-SI"/>
        </w:rPr>
        <w:t>26.</w:t>
      </w:r>
      <w:r w:rsidRPr="00885BD1">
        <w:rPr>
          <w:rFonts w:cs="Arial"/>
          <w:szCs w:val="20"/>
          <w:lang w:val="sl-SI"/>
        </w:rPr>
        <w:t xml:space="preserve"> </w:t>
      </w:r>
      <w:r w:rsidR="00F07E05">
        <w:rPr>
          <w:rFonts w:cs="Arial"/>
          <w:szCs w:val="20"/>
          <w:lang w:val="sl-SI"/>
        </w:rPr>
        <w:t>10</w:t>
      </w:r>
      <w:r w:rsidRPr="00885BD1">
        <w:rPr>
          <w:rFonts w:cs="Arial"/>
          <w:szCs w:val="20"/>
          <w:lang w:val="sl-SI"/>
        </w:rPr>
        <w:t>. 2022</w:t>
      </w:r>
    </w:p>
    <w:p w14:paraId="4652D613" w14:textId="77777777" w:rsidR="00281B20" w:rsidRPr="00885BD1" w:rsidRDefault="00281B20" w:rsidP="00CD4BC8">
      <w:pPr>
        <w:jc w:val="both"/>
        <w:rPr>
          <w:rFonts w:cs="Arial"/>
          <w:szCs w:val="20"/>
          <w:lang w:val="sl-SI"/>
        </w:rPr>
      </w:pPr>
    </w:p>
    <w:p w14:paraId="72EB6340" w14:textId="77777777" w:rsidR="00281B20" w:rsidRPr="00885BD1" w:rsidRDefault="00281B20" w:rsidP="00CD4BC8">
      <w:pPr>
        <w:jc w:val="both"/>
        <w:rPr>
          <w:rFonts w:cs="Arial"/>
          <w:szCs w:val="20"/>
          <w:lang w:val="sl-SI"/>
        </w:rPr>
      </w:pPr>
    </w:p>
    <w:p w14:paraId="4B4B91F9" w14:textId="77777777" w:rsidR="00281B20" w:rsidRPr="00885BD1" w:rsidRDefault="00281B20" w:rsidP="00CD4BC8">
      <w:pPr>
        <w:jc w:val="both"/>
        <w:rPr>
          <w:rFonts w:cs="Arial"/>
          <w:szCs w:val="20"/>
          <w:lang w:val="sl-SI"/>
        </w:rPr>
      </w:pPr>
    </w:p>
    <w:p w14:paraId="2D2BE3E3" w14:textId="77777777" w:rsidR="00281B20" w:rsidRPr="00885BD1" w:rsidRDefault="00281B20" w:rsidP="00CD4BC8">
      <w:pPr>
        <w:jc w:val="both"/>
        <w:rPr>
          <w:rFonts w:cs="Arial"/>
          <w:szCs w:val="20"/>
          <w:lang w:val="sl-SI"/>
        </w:rPr>
      </w:pPr>
    </w:p>
    <w:p w14:paraId="07D23A8F" w14:textId="77777777" w:rsidR="00281B20" w:rsidRPr="00885BD1" w:rsidRDefault="00281B20" w:rsidP="00CD4BC8">
      <w:pPr>
        <w:jc w:val="both"/>
        <w:rPr>
          <w:rFonts w:cs="Arial"/>
          <w:szCs w:val="20"/>
          <w:lang w:val="sl-SI"/>
        </w:rPr>
      </w:pPr>
    </w:p>
    <w:p w14:paraId="271D312E" w14:textId="77777777" w:rsidR="00281B20" w:rsidRPr="00885BD1" w:rsidRDefault="00281B20" w:rsidP="00CD4BC8">
      <w:pPr>
        <w:jc w:val="both"/>
        <w:rPr>
          <w:rFonts w:cs="Arial"/>
          <w:szCs w:val="20"/>
          <w:lang w:val="sl-SI"/>
        </w:rPr>
      </w:pPr>
    </w:p>
    <w:p w14:paraId="25F47227" w14:textId="77777777" w:rsidR="00281B20" w:rsidRPr="00885BD1" w:rsidRDefault="00281B20" w:rsidP="00CD4BC8">
      <w:pPr>
        <w:jc w:val="both"/>
        <w:rPr>
          <w:rFonts w:cs="Arial"/>
          <w:szCs w:val="20"/>
          <w:lang w:val="sl-SI"/>
        </w:rPr>
      </w:pPr>
    </w:p>
    <w:p w14:paraId="19648775" w14:textId="77777777" w:rsidR="00281B20" w:rsidRPr="00885BD1" w:rsidRDefault="00281B20" w:rsidP="00CD4BC8">
      <w:pPr>
        <w:jc w:val="both"/>
        <w:rPr>
          <w:rFonts w:cs="Arial"/>
          <w:szCs w:val="20"/>
          <w:lang w:val="sl-SI"/>
        </w:rPr>
      </w:pPr>
    </w:p>
    <w:p w14:paraId="5FC1F5EA" w14:textId="77777777" w:rsidR="00AE78FF" w:rsidRPr="00885BD1" w:rsidRDefault="00AE78FF" w:rsidP="00472FBB">
      <w:pPr>
        <w:jc w:val="both"/>
        <w:rPr>
          <w:rFonts w:cs="Arial"/>
          <w:szCs w:val="20"/>
          <w:lang w:val="sl-SI"/>
        </w:rPr>
      </w:pPr>
      <w:r w:rsidRPr="00885BD1">
        <w:rPr>
          <w:rFonts w:cs="Arial"/>
          <w:szCs w:val="20"/>
          <w:lang w:val="sl-SI"/>
        </w:rPr>
        <w:lastRenderedPageBreak/>
        <w:br w:type="page"/>
      </w:r>
    </w:p>
    <w:p w14:paraId="68EF6093" w14:textId="4DC647A9" w:rsidR="00F07E05" w:rsidRPr="00F07E05" w:rsidRDefault="00281B20" w:rsidP="00F07E05">
      <w:pPr>
        <w:jc w:val="both"/>
        <w:rPr>
          <w:rFonts w:cs="Arial"/>
          <w:szCs w:val="20"/>
          <w:lang w:val="sl-SI"/>
        </w:rPr>
      </w:pPr>
      <w:r w:rsidRPr="00885BD1">
        <w:rPr>
          <w:rFonts w:cs="Arial"/>
          <w:szCs w:val="20"/>
          <w:lang w:val="sl-SI"/>
        </w:rPr>
        <w:lastRenderedPageBreak/>
        <w:t>Predlog dokumenta »Strategija obvladovanja demence v Sloveniji do leta 20</w:t>
      </w:r>
      <w:r w:rsidR="009F0385" w:rsidRPr="00885BD1">
        <w:rPr>
          <w:rFonts w:cs="Arial"/>
          <w:szCs w:val="20"/>
          <w:lang w:val="sl-SI"/>
        </w:rPr>
        <w:t>3</w:t>
      </w:r>
      <w:r w:rsidRPr="00885BD1">
        <w:rPr>
          <w:rFonts w:cs="Arial"/>
          <w:szCs w:val="20"/>
          <w:lang w:val="sl-SI"/>
        </w:rPr>
        <w:t>0« je pripravila</w:t>
      </w:r>
      <w:r w:rsidR="00472FBB" w:rsidRPr="00885BD1">
        <w:rPr>
          <w:rFonts w:cs="Arial"/>
          <w:szCs w:val="20"/>
          <w:lang w:val="sl-SI"/>
        </w:rPr>
        <w:t xml:space="preserve"> </w:t>
      </w:r>
      <w:r w:rsidRPr="00885BD1">
        <w:rPr>
          <w:rFonts w:cs="Arial"/>
          <w:szCs w:val="20"/>
          <w:lang w:val="sl-SI"/>
        </w:rPr>
        <w:t xml:space="preserve">delovna skupina, imenovana s sklepom </w:t>
      </w:r>
      <w:r w:rsidR="00472FBB" w:rsidRPr="00885BD1">
        <w:rPr>
          <w:rFonts w:cs="Arial"/>
          <w:szCs w:val="20"/>
          <w:lang w:val="sl-SI"/>
        </w:rPr>
        <w:t>024-25/2019/</w:t>
      </w:r>
      <w:r w:rsidR="00F07E05">
        <w:rPr>
          <w:rFonts w:cs="Arial"/>
          <w:szCs w:val="20"/>
          <w:lang w:val="sl-SI"/>
        </w:rPr>
        <w:t>35</w:t>
      </w:r>
      <w:r w:rsidR="00472FBB" w:rsidRPr="00885BD1">
        <w:rPr>
          <w:rFonts w:cs="Arial"/>
          <w:szCs w:val="20"/>
          <w:lang w:val="sl-SI"/>
        </w:rPr>
        <w:t xml:space="preserve"> z dne 20. 10. 202</w:t>
      </w:r>
      <w:r w:rsidR="00F07E05">
        <w:rPr>
          <w:rFonts w:cs="Arial"/>
          <w:szCs w:val="20"/>
          <w:lang w:val="sl-SI"/>
        </w:rPr>
        <w:t>2</w:t>
      </w:r>
      <w:r w:rsidR="00472FBB" w:rsidRPr="00885BD1">
        <w:rPr>
          <w:rFonts w:cs="Arial"/>
          <w:szCs w:val="20"/>
          <w:lang w:val="sl-SI"/>
        </w:rPr>
        <w:t xml:space="preserve"> </w:t>
      </w:r>
      <w:r w:rsidRPr="00885BD1">
        <w:rPr>
          <w:rFonts w:cs="Arial"/>
          <w:szCs w:val="20"/>
          <w:lang w:val="sl-SI"/>
        </w:rPr>
        <w:t>v sestavi:</w:t>
      </w:r>
      <w:r w:rsidR="008B193E">
        <w:rPr>
          <w:rFonts w:cs="Arial"/>
          <w:szCs w:val="20"/>
          <w:lang w:val="sl-SI"/>
        </w:rPr>
        <w:t xml:space="preserve"> </w:t>
      </w:r>
    </w:p>
    <w:p w14:paraId="475212F0" w14:textId="78C7C96E" w:rsidR="008B193E" w:rsidRPr="008B193E" w:rsidRDefault="00CD4BC8" w:rsidP="008B193E">
      <w:pPr>
        <w:pStyle w:val="Odstavekseznama"/>
        <w:numPr>
          <w:ilvl w:val="0"/>
          <w:numId w:val="2"/>
        </w:numPr>
        <w:jc w:val="both"/>
        <w:rPr>
          <w:rFonts w:ascii="Arial" w:hAnsi="Arial" w:cs="Arial"/>
          <w:sz w:val="20"/>
          <w:szCs w:val="20"/>
        </w:rPr>
      </w:pPr>
      <w:r w:rsidRPr="00885BD1">
        <w:rPr>
          <w:rFonts w:ascii="Arial" w:hAnsi="Arial" w:cs="Arial"/>
          <w:sz w:val="20"/>
          <w:szCs w:val="20"/>
        </w:rPr>
        <w:t xml:space="preserve">mag. Nadja Čobal, </w:t>
      </w:r>
      <w:r w:rsidR="00F07E05">
        <w:rPr>
          <w:rFonts w:ascii="Arial" w:hAnsi="Arial" w:cs="Arial"/>
          <w:sz w:val="20"/>
          <w:szCs w:val="20"/>
        </w:rPr>
        <w:t>vodja,</w:t>
      </w:r>
    </w:p>
    <w:p w14:paraId="09F1E2ED" w14:textId="6B14539A" w:rsidR="00CD4BC8" w:rsidRDefault="00CD4BC8" w:rsidP="005304A9">
      <w:pPr>
        <w:pStyle w:val="Odstavekseznama"/>
        <w:numPr>
          <w:ilvl w:val="0"/>
          <w:numId w:val="2"/>
        </w:numPr>
        <w:jc w:val="both"/>
        <w:rPr>
          <w:rFonts w:ascii="Arial" w:hAnsi="Arial" w:cs="Arial"/>
          <w:sz w:val="20"/>
          <w:szCs w:val="20"/>
        </w:rPr>
      </w:pPr>
      <w:r w:rsidRPr="00885BD1">
        <w:rPr>
          <w:rFonts w:ascii="Arial" w:hAnsi="Arial" w:cs="Arial"/>
          <w:sz w:val="20"/>
          <w:szCs w:val="20"/>
        </w:rPr>
        <w:t xml:space="preserve">dr. Zdenka Tičar, </w:t>
      </w:r>
      <w:r w:rsidR="00F07E05">
        <w:rPr>
          <w:rFonts w:ascii="Arial" w:hAnsi="Arial" w:cs="Arial"/>
          <w:sz w:val="20"/>
          <w:szCs w:val="20"/>
        </w:rPr>
        <w:t>namestnica vodje</w:t>
      </w:r>
      <w:r w:rsidRPr="00885BD1">
        <w:rPr>
          <w:rFonts w:ascii="Arial" w:hAnsi="Arial" w:cs="Arial"/>
          <w:sz w:val="20"/>
          <w:szCs w:val="20"/>
        </w:rPr>
        <w:t>,</w:t>
      </w:r>
    </w:p>
    <w:p w14:paraId="05D833CF" w14:textId="63B5E754" w:rsidR="00F07E05" w:rsidRDefault="00F07E05" w:rsidP="005304A9">
      <w:pPr>
        <w:pStyle w:val="Odstavekseznama"/>
        <w:numPr>
          <w:ilvl w:val="0"/>
          <w:numId w:val="2"/>
        </w:numPr>
        <w:jc w:val="both"/>
        <w:rPr>
          <w:rFonts w:ascii="Arial" w:hAnsi="Arial" w:cs="Arial"/>
          <w:sz w:val="20"/>
          <w:szCs w:val="20"/>
        </w:rPr>
      </w:pPr>
      <w:r>
        <w:rPr>
          <w:rFonts w:ascii="Arial" w:hAnsi="Arial" w:cs="Arial"/>
          <w:sz w:val="20"/>
          <w:szCs w:val="20"/>
        </w:rPr>
        <w:t>dr. Mojca Dobnik, članica,</w:t>
      </w:r>
    </w:p>
    <w:p w14:paraId="54786000" w14:textId="0B2ECE70" w:rsidR="00F07E05" w:rsidRPr="00885BD1" w:rsidRDefault="00F07E05" w:rsidP="005304A9">
      <w:pPr>
        <w:pStyle w:val="Odstavekseznama"/>
        <w:numPr>
          <w:ilvl w:val="0"/>
          <w:numId w:val="2"/>
        </w:numPr>
        <w:jc w:val="both"/>
        <w:rPr>
          <w:rFonts w:ascii="Arial" w:hAnsi="Arial" w:cs="Arial"/>
          <w:sz w:val="20"/>
          <w:szCs w:val="20"/>
        </w:rPr>
      </w:pPr>
      <w:r>
        <w:rPr>
          <w:rFonts w:ascii="Arial" w:hAnsi="Arial" w:cs="Arial"/>
          <w:sz w:val="20"/>
          <w:szCs w:val="20"/>
        </w:rPr>
        <w:t>Tanja Petkovič, članica,</w:t>
      </w:r>
    </w:p>
    <w:p w14:paraId="26B1ADC3" w14:textId="722495F4" w:rsidR="00CD4BC8" w:rsidRPr="00885BD1" w:rsidRDefault="00CD4BC8" w:rsidP="005304A9">
      <w:pPr>
        <w:pStyle w:val="Odstavekseznama"/>
        <w:numPr>
          <w:ilvl w:val="0"/>
          <w:numId w:val="2"/>
        </w:numPr>
        <w:jc w:val="both"/>
        <w:rPr>
          <w:rFonts w:ascii="Arial" w:hAnsi="Arial" w:cs="Arial"/>
          <w:sz w:val="20"/>
          <w:szCs w:val="20"/>
        </w:rPr>
      </w:pPr>
      <w:r w:rsidRPr="00885BD1">
        <w:rPr>
          <w:rFonts w:ascii="Arial" w:hAnsi="Arial" w:cs="Arial"/>
          <w:sz w:val="20"/>
          <w:szCs w:val="20"/>
        </w:rPr>
        <w:t>Janja Romih, članica,</w:t>
      </w:r>
    </w:p>
    <w:p w14:paraId="0963E3BD" w14:textId="1232F02C" w:rsidR="00CD4BC8" w:rsidRPr="00885BD1" w:rsidRDefault="00CD4BC8" w:rsidP="005304A9">
      <w:pPr>
        <w:pStyle w:val="Odstavekseznama"/>
        <w:numPr>
          <w:ilvl w:val="0"/>
          <w:numId w:val="2"/>
        </w:numPr>
        <w:jc w:val="both"/>
        <w:rPr>
          <w:rFonts w:ascii="Arial" w:hAnsi="Arial" w:cs="Arial"/>
          <w:sz w:val="20"/>
          <w:szCs w:val="20"/>
        </w:rPr>
      </w:pPr>
      <w:r w:rsidRPr="00885BD1">
        <w:rPr>
          <w:rFonts w:ascii="Arial" w:hAnsi="Arial" w:cs="Arial"/>
          <w:sz w:val="20"/>
          <w:szCs w:val="20"/>
        </w:rPr>
        <w:t>dr. Mercedes Lovrečič, članica,</w:t>
      </w:r>
    </w:p>
    <w:p w14:paraId="0DF23616" w14:textId="5EB52800" w:rsidR="00CD4BC8" w:rsidRPr="00885BD1" w:rsidRDefault="00CD4BC8" w:rsidP="005304A9">
      <w:pPr>
        <w:pStyle w:val="Odstavekseznama"/>
        <w:numPr>
          <w:ilvl w:val="0"/>
          <w:numId w:val="2"/>
        </w:numPr>
        <w:jc w:val="both"/>
        <w:rPr>
          <w:rFonts w:ascii="Arial" w:hAnsi="Arial" w:cs="Arial"/>
          <w:sz w:val="20"/>
          <w:szCs w:val="20"/>
        </w:rPr>
      </w:pPr>
      <w:r w:rsidRPr="00885BD1">
        <w:rPr>
          <w:rFonts w:ascii="Arial" w:hAnsi="Arial" w:cs="Arial"/>
          <w:sz w:val="20"/>
          <w:szCs w:val="20"/>
        </w:rPr>
        <w:t>dr. Zvezdan Pirtošek, član,</w:t>
      </w:r>
    </w:p>
    <w:p w14:paraId="20119082" w14:textId="2248755F" w:rsidR="00CD4BC8" w:rsidRDefault="00CD4BC8" w:rsidP="005304A9">
      <w:pPr>
        <w:pStyle w:val="Odstavekseznama"/>
        <w:numPr>
          <w:ilvl w:val="0"/>
          <w:numId w:val="2"/>
        </w:numPr>
        <w:jc w:val="both"/>
        <w:rPr>
          <w:rFonts w:ascii="Arial" w:hAnsi="Arial" w:cs="Arial"/>
          <w:sz w:val="20"/>
          <w:szCs w:val="20"/>
        </w:rPr>
      </w:pPr>
      <w:r w:rsidRPr="00885BD1">
        <w:rPr>
          <w:rFonts w:ascii="Arial" w:hAnsi="Arial" w:cs="Arial"/>
          <w:sz w:val="20"/>
          <w:szCs w:val="20"/>
        </w:rPr>
        <w:t>dr. Milica Gregorič Kramberger, članica,</w:t>
      </w:r>
    </w:p>
    <w:p w14:paraId="50CB8691" w14:textId="0E66F413" w:rsidR="00F07E05" w:rsidRDefault="00F07E05" w:rsidP="005304A9">
      <w:pPr>
        <w:pStyle w:val="Odstavekseznama"/>
        <w:numPr>
          <w:ilvl w:val="0"/>
          <w:numId w:val="2"/>
        </w:numPr>
        <w:jc w:val="both"/>
        <w:rPr>
          <w:rFonts w:ascii="Arial" w:hAnsi="Arial" w:cs="Arial"/>
          <w:sz w:val="20"/>
          <w:szCs w:val="20"/>
        </w:rPr>
      </w:pPr>
      <w:r>
        <w:rPr>
          <w:rFonts w:ascii="Arial" w:hAnsi="Arial" w:cs="Arial"/>
          <w:sz w:val="20"/>
          <w:szCs w:val="20"/>
        </w:rPr>
        <w:t>dr. Polona Rus Prelog, članica,</w:t>
      </w:r>
    </w:p>
    <w:p w14:paraId="1EAE4729" w14:textId="5D3E630C" w:rsidR="00F07E05" w:rsidRDefault="00F07E05" w:rsidP="005304A9">
      <w:pPr>
        <w:pStyle w:val="Odstavekseznama"/>
        <w:numPr>
          <w:ilvl w:val="0"/>
          <w:numId w:val="2"/>
        </w:numPr>
        <w:jc w:val="both"/>
        <w:rPr>
          <w:rFonts w:ascii="Arial" w:hAnsi="Arial" w:cs="Arial"/>
          <w:sz w:val="20"/>
          <w:szCs w:val="20"/>
        </w:rPr>
      </w:pPr>
      <w:r>
        <w:rPr>
          <w:rFonts w:ascii="Arial" w:hAnsi="Arial" w:cs="Arial"/>
          <w:sz w:val="20"/>
          <w:szCs w:val="20"/>
        </w:rPr>
        <w:t>mag. Tatjana Cvetko, članica,</w:t>
      </w:r>
    </w:p>
    <w:p w14:paraId="3D6AB64D" w14:textId="03C7EF8C" w:rsidR="00F07E05" w:rsidRDefault="00F07E05" w:rsidP="005304A9">
      <w:pPr>
        <w:pStyle w:val="Odstavekseznama"/>
        <w:numPr>
          <w:ilvl w:val="0"/>
          <w:numId w:val="2"/>
        </w:numPr>
        <w:jc w:val="both"/>
        <w:rPr>
          <w:rFonts w:ascii="Arial" w:hAnsi="Arial" w:cs="Arial"/>
          <w:sz w:val="20"/>
          <w:szCs w:val="20"/>
        </w:rPr>
      </w:pPr>
      <w:r>
        <w:rPr>
          <w:rFonts w:ascii="Arial" w:hAnsi="Arial" w:cs="Arial"/>
          <w:sz w:val="20"/>
          <w:szCs w:val="20"/>
        </w:rPr>
        <w:t>Štefanija Lukič Zlobec, članica.</w:t>
      </w:r>
    </w:p>
    <w:p w14:paraId="6056E0C7" w14:textId="77777777" w:rsidR="00F07E05" w:rsidRPr="00F07E05" w:rsidRDefault="00F07E05" w:rsidP="00F07E05">
      <w:pPr>
        <w:jc w:val="both"/>
        <w:rPr>
          <w:rFonts w:cs="Arial"/>
          <w:szCs w:val="20"/>
          <w:lang w:val="it-IT"/>
        </w:rPr>
      </w:pPr>
    </w:p>
    <w:p w14:paraId="39AF2A4F" w14:textId="283D7712" w:rsidR="00281B20" w:rsidRDefault="00281B20" w:rsidP="00CD4BC8">
      <w:pPr>
        <w:jc w:val="both"/>
        <w:rPr>
          <w:rFonts w:cs="Arial"/>
          <w:szCs w:val="20"/>
          <w:lang w:val="sl-SI"/>
        </w:rPr>
      </w:pPr>
    </w:p>
    <w:p w14:paraId="590DC3A1" w14:textId="0016EC61" w:rsidR="00F07E05" w:rsidRDefault="00F07E05" w:rsidP="00CD4BC8">
      <w:pPr>
        <w:jc w:val="both"/>
        <w:rPr>
          <w:rFonts w:cs="Arial"/>
          <w:szCs w:val="20"/>
          <w:lang w:val="sl-SI"/>
        </w:rPr>
      </w:pPr>
    </w:p>
    <w:p w14:paraId="0A770681" w14:textId="13413E5C" w:rsidR="00F07E05" w:rsidRDefault="00F07E05" w:rsidP="00CD4BC8">
      <w:pPr>
        <w:jc w:val="both"/>
        <w:rPr>
          <w:rFonts w:cs="Arial"/>
          <w:szCs w:val="20"/>
          <w:lang w:val="sl-SI"/>
        </w:rPr>
      </w:pPr>
    </w:p>
    <w:p w14:paraId="49021918" w14:textId="64D2FEDC" w:rsidR="00F07E05" w:rsidRDefault="00F07E05" w:rsidP="00CD4BC8">
      <w:pPr>
        <w:jc w:val="both"/>
        <w:rPr>
          <w:rFonts w:cs="Arial"/>
          <w:szCs w:val="20"/>
          <w:lang w:val="sl-SI"/>
        </w:rPr>
      </w:pPr>
    </w:p>
    <w:p w14:paraId="0D883656" w14:textId="3D9930BF" w:rsidR="00F07E05" w:rsidRDefault="00F07E05" w:rsidP="00CD4BC8">
      <w:pPr>
        <w:jc w:val="both"/>
        <w:rPr>
          <w:rFonts w:cs="Arial"/>
          <w:szCs w:val="20"/>
          <w:lang w:val="sl-SI"/>
        </w:rPr>
      </w:pPr>
    </w:p>
    <w:p w14:paraId="38EFEF5F" w14:textId="67BEDD23" w:rsidR="00F07E05" w:rsidRDefault="00F07E05" w:rsidP="00CD4BC8">
      <w:pPr>
        <w:jc w:val="both"/>
        <w:rPr>
          <w:rFonts w:cs="Arial"/>
          <w:szCs w:val="20"/>
          <w:lang w:val="sl-SI"/>
        </w:rPr>
      </w:pPr>
    </w:p>
    <w:p w14:paraId="20366873" w14:textId="77777777" w:rsidR="00F07E05" w:rsidRDefault="00F07E05" w:rsidP="00CD4BC8">
      <w:pPr>
        <w:jc w:val="both"/>
        <w:rPr>
          <w:rFonts w:cs="Arial"/>
          <w:szCs w:val="20"/>
          <w:lang w:val="sl-SI"/>
        </w:rPr>
      </w:pPr>
    </w:p>
    <w:p w14:paraId="6922AB8C" w14:textId="721C1244" w:rsidR="00F07E05" w:rsidRDefault="00F07E05" w:rsidP="00CD4BC8">
      <w:pPr>
        <w:jc w:val="both"/>
        <w:rPr>
          <w:rFonts w:cs="Arial"/>
          <w:szCs w:val="20"/>
          <w:lang w:val="sl-SI"/>
        </w:rPr>
      </w:pPr>
    </w:p>
    <w:p w14:paraId="39F5B6EF" w14:textId="77777777" w:rsidR="00F07E05" w:rsidRPr="00885BD1" w:rsidRDefault="00F07E05" w:rsidP="00CD4BC8">
      <w:pPr>
        <w:jc w:val="both"/>
        <w:rPr>
          <w:rFonts w:cs="Arial"/>
          <w:szCs w:val="20"/>
          <w:lang w:val="sl-SI"/>
        </w:rPr>
      </w:pPr>
    </w:p>
    <w:p w14:paraId="0FF6FE3B" w14:textId="41E04B23" w:rsidR="00281B20" w:rsidRPr="00885BD1" w:rsidRDefault="00281B20" w:rsidP="00CD4BC8">
      <w:pPr>
        <w:jc w:val="both"/>
        <w:rPr>
          <w:rFonts w:cs="Arial"/>
          <w:szCs w:val="20"/>
          <w:lang w:val="sl-SI"/>
        </w:rPr>
      </w:pPr>
      <w:r w:rsidRPr="00885BD1">
        <w:rPr>
          <w:rFonts w:cs="Arial"/>
          <w:szCs w:val="20"/>
          <w:lang w:val="sl-SI"/>
        </w:rPr>
        <w:t xml:space="preserve">Javna obravnava je trajala od </w:t>
      </w:r>
      <w:r w:rsidR="00F07E05" w:rsidRPr="00F07E05">
        <w:rPr>
          <w:rFonts w:cs="Arial"/>
          <w:szCs w:val="20"/>
          <w:highlight w:val="yellow"/>
          <w:lang w:val="sl-SI"/>
        </w:rPr>
        <w:t xml:space="preserve">2. 11. </w:t>
      </w:r>
      <w:r w:rsidRPr="00F07E05">
        <w:rPr>
          <w:rFonts w:cs="Arial"/>
          <w:szCs w:val="20"/>
          <w:highlight w:val="yellow"/>
          <w:lang w:val="sl-SI"/>
        </w:rPr>
        <w:t>d</w:t>
      </w:r>
      <w:r w:rsidR="00F07E05" w:rsidRPr="00F07E05">
        <w:rPr>
          <w:rFonts w:cs="Arial"/>
          <w:szCs w:val="20"/>
          <w:highlight w:val="yellow"/>
          <w:lang w:val="sl-SI"/>
        </w:rPr>
        <w:t>o 2. 12. 2022</w:t>
      </w:r>
      <w:r w:rsidR="00F07E05">
        <w:rPr>
          <w:rFonts w:cs="Arial"/>
          <w:szCs w:val="20"/>
          <w:lang w:val="sl-SI"/>
        </w:rPr>
        <w:t xml:space="preserve">. </w:t>
      </w:r>
    </w:p>
    <w:p w14:paraId="2E94AB60" w14:textId="54AF5169" w:rsidR="00B75357" w:rsidRDefault="00281B20" w:rsidP="00CD4BC8">
      <w:pPr>
        <w:jc w:val="both"/>
        <w:rPr>
          <w:rFonts w:cs="Arial"/>
          <w:szCs w:val="20"/>
          <w:lang w:val="sl-SI"/>
        </w:rPr>
      </w:pPr>
      <w:r w:rsidRPr="00885BD1">
        <w:rPr>
          <w:rFonts w:cs="Arial"/>
          <w:szCs w:val="20"/>
          <w:lang w:val="sl-SI"/>
        </w:rPr>
        <w:t>Strategijo obvladovanja demence v Sloveniji 202</w:t>
      </w:r>
      <w:r w:rsidR="00D879FF" w:rsidRPr="00885BD1">
        <w:rPr>
          <w:rFonts w:cs="Arial"/>
          <w:szCs w:val="20"/>
          <w:lang w:val="sl-SI"/>
        </w:rPr>
        <w:t>2</w:t>
      </w:r>
      <w:r w:rsidRPr="00885BD1">
        <w:rPr>
          <w:rFonts w:cs="Arial"/>
          <w:szCs w:val="20"/>
          <w:lang w:val="sl-SI"/>
        </w:rPr>
        <w:t>-203</w:t>
      </w:r>
      <w:r w:rsidR="00CD76AC" w:rsidRPr="00885BD1">
        <w:rPr>
          <w:rFonts w:cs="Arial"/>
          <w:szCs w:val="20"/>
          <w:lang w:val="sl-SI"/>
        </w:rPr>
        <w:t>0</w:t>
      </w:r>
      <w:r w:rsidRPr="00885BD1">
        <w:rPr>
          <w:rFonts w:cs="Arial"/>
          <w:szCs w:val="20"/>
          <w:lang w:val="sl-SI"/>
        </w:rPr>
        <w:t xml:space="preserve"> je sprejel</w:t>
      </w:r>
      <w:r w:rsidR="00B75357">
        <w:rPr>
          <w:rFonts w:cs="Arial"/>
          <w:szCs w:val="20"/>
          <w:lang w:val="sl-SI"/>
        </w:rPr>
        <w:t>a Vlada Republike Slovenije</w:t>
      </w:r>
      <w:r w:rsidRPr="00885BD1">
        <w:rPr>
          <w:rFonts w:cs="Arial"/>
          <w:szCs w:val="20"/>
          <w:lang w:val="sl-SI"/>
        </w:rPr>
        <w:t xml:space="preserve"> dne…</w:t>
      </w:r>
    </w:p>
    <w:p w14:paraId="1183D5A2" w14:textId="7F320834" w:rsidR="00281B20" w:rsidRPr="00885BD1" w:rsidRDefault="00281B20" w:rsidP="00CD4BC8">
      <w:pPr>
        <w:jc w:val="both"/>
        <w:rPr>
          <w:rFonts w:cs="Arial"/>
          <w:szCs w:val="20"/>
          <w:lang w:val="sl-SI"/>
        </w:rPr>
      </w:pPr>
    </w:p>
    <w:p w14:paraId="09A7642C" w14:textId="77777777" w:rsidR="00A11EEF" w:rsidRPr="00885BD1" w:rsidRDefault="00A11EEF" w:rsidP="00CD4BC8">
      <w:pPr>
        <w:jc w:val="both"/>
        <w:rPr>
          <w:rFonts w:cs="Arial"/>
          <w:szCs w:val="20"/>
          <w:lang w:val="sl-SI"/>
        </w:rPr>
      </w:pPr>
    </w:p>
    <w:p w14:paraId="75BAA7ED" w14:textId="77777777" w:rsidR="00A11EEF" w:rsidRPr="00885BD1" w:rsidRDefault="00A11EEF" w:rsidP="00CD4BC8">
      <w:pPr>
        <w:jc w:val="both"/>
        <w:rPr>
          <w:rFonts w:cs="Arial"/>
          <w:i/>
          <w:iCs/>
          <w:szCs w:val="20"/>
          <w:lang w:val="sl-SI"/>
        </w:rPr>
      </w:pPr>
    </w:p>
    <w:p w14:paraId="14C914EE" w14:textId="77777777" w:rsidR="00A11EEF" w:rsidRPr="00885BD1" w:rsidRDefault="00A11EEF" w:rsidP="00CD4BC8">
      <w:pPr>
        <w:jc w:val="both"/>
        <w:rPr>
          <w:rFonts w:cs="Arial"/>
          <w:i/>
          <w:iCs/>
          <w:szCs w:val="20"/>
          <w:lang w:val="sl-SI"/>
        </w:rPr>
      </w:pPr>
    </w:p>
    <w:p w14:paraId="01349C3F" w14:textId="77777777" w:rsidR="00A11EEF" w:rsidRPr="00885BD1" w:rsidRDefault="00A11EEF" w:rsidP="00CD4BC8">
      <w:pPr>
        <w:jc w:val="both"/>
        <w:rPr>
          <w:rFonts w:cs="Arial"/>
          <w:i/>
          <w:iCs/>
          <w:szCs w:val="20"/>
          <w:lang w:val="sl-SI"/>
        </w:rPr>
      </w:pPr>
    </w:p>
    <w:p w14:paraId="5A5ACFB0" w14:textId="77777777" w:rsidR="00A11EEF" w:rsidRPr="00885BD1" w:rsidRDefault="00A11EEF" w:rsidP="00CD4BC8">
      <w:pPr>
        <w:jc w:val="both"/>
        <w:rPr>
          <w:rFonts w:cs="Arial"/>
          <w:szCs w:val="20"/>
          <w:lang w:val="sl-SI"/>
        </w:rPr>
      </w:pPr>
    </w:p>
    <w:p w14:paraId="68DE729F" w14:textId="77777777" w:rsidR="00A11EEF" w:rsidRPr="00885BD1" w:rsidRDefault="00A11EEF" w:rsidP="00CD4BC8">
      <w:pPr>
        <w:jc w:val="both"/>
        <w:rPr>
          <w:rFonts w:cs="Arial"/>
          <w:szCs w:val="20"/>
          <w:lang w:val="sl-SI"/>
        </w:rPr>
      </w:pPr>
    </w:p>
    <w:p w14:paraId="38E02158" w14:textId="77777777" w:rsidR="00A11EEF" w:rsidRPr="00885BD1" w:rsidRDefault="00A11EEF" w:rsidP="00CD4BC8">
      <w:pPr>
        <w:jc w:val="both"/>
        <w:rPr>
          <w:rFonts w:cs="Arial"/>
          <w:szCs w:val="20"/>
          <w:lang w:val="sl-SI"/>
        </w:rPr>
      </w:pPr>
    </w:p>
    <w:p w14:paraId="096BEFCF" w14:textId="77777777" w:rsidR="00A11EEF" w:rsidRPr="00885BD1" w:rsidRDefault="00A11EEF" w:rsidP="00CD4BC8">
      <w:pPr>
        <w:jc w:val="both"/>
        <w:rPr>
          <w:rFonts w:cs="Arial"/>
          <w:szCs w:val="20"/>
          <w:lang w:val="sl-SI"/>
        </w:rPr>
      </w:pPr>
    </w:p>
    <w:p w14:paraId="0CDB8C94" w14:textId="77777777" w:rsidR="00A11EEF" w:rsidRPr="00885BD1" w:rsidRDefault="00A11EEF" w:rsidP="00CD4BC8">
      <w:pPr>
        <w:jc w:val="both"/>
        <w:rPr>
          <w:rFonts w:cs="Arial"/>
          <w:szCs w:val="20"/>
          <w:lang w:val="sl-SI"/>
        </w:rPr>
      </w:pPr>
    </w:p>
    <w:p w14:paraId="5DACBBF7" w14:textId="77777777" w:rsidR="00A11EEF" w:rsidRPr="00885BD1" w:rsidRDefault="00A11EEF" w:rsidP="00CD4BC8">
      <w:pPr>
        <w:jc w:val="both"/>
        <w:rPr>
          <w:rFonts w:cs="Arial"/>
          <w:szCs w:val="20"/>
          <w:lang w:val="sl-SI"/>
        </w:rPr>
      </w:pPr>
    </w:p>
    <w:p w14:paraId="46B3E765" w14:textId="77777777" w:rsidR="00A11EEF" w:rsidRPr="00885BD1" w:rsidRDefault="00A11EEF" w:rsidP="00CD4BC8">
      <w:pPr>
        <w:jc w:val="both"/>
        <w:rPr>
          <w:rFonts w:cs="Arial"/>
          <w:szCs w:val="20"/>
          <w:lang w:val="sl-SI"/>
        </w:rPr>
      </w:pPr>
    </w:p>
    <w:p w14:paraId="7EC0E069" w14:textId="77777777" w:rsidR="00A11EEF" w:rsidRPr="00885BD1" w:rsidRDefault="00A11EEF" w:rsidP="00CD4BC8">
      <w:pPr>
        <w:jc w:val="both"/>
        <w:rPr>
          <w:rFonts w:cs="Arial"/>
          <w:szCs w:val="20"/>
          <w:lang w:val="sl-SI"/>
        </w:rPr>
      </w:pPr>
    </w:p>
    <w:p w14:paraId="486E0A5D" w14:textId="77777777" w:rsidR="00A11EEF" w:rsidRPr="00885BD1" w:rsidRDefault="00A11EEF" w:rsidP="00CD4BC8">
      <w:pPr>
        <w:jc w:val="both"/>
        <w:rPr>
          <w:rFonts w:cs="Arial"/>
          <w:szCs w:val="20"/>
          <w:lang w:val="sl-SI"/>
        </w:rPr>
      </w:pPr>
    </w:p>
    <w:p w14:paraId="4090731E" w14:textId="77777777" w:rsidR="00A11EEF" w:rsidRPr="00885BD1" w:rsidRDefault="00A11EEF" w:rsidP="00CD4BC8">
      <w:pPr>
        <w:jc w:val="both"/>
        <w:rPr>
          <w:rFonts w:cs="Arial"/>
          <w:szCs w:val="20"/>
          <w:lang w:val="sl-SI"/>
        </w:rPr>
      </w:pPr>
    </w:p>
    <w:p w14:paraId="009D1DDE" w14:textId="77777777" w:rsidR="00A11EEF" w:rsidRPr="00885BD1" w:rsidRDefault="00A11EEF" w:rsidP="00CD4BC8">
      <w:pPr>
        <w:jc w:val="both"/>
        <w:rPr>
          <w:rFonts w:cs="Arial"/>
          <w:szCs w:val="20"/>
          <w:lang w:val="sl-SI"/>
        </w:rPr>
      </w:pPr>
    </w:p>
    <w:p w14:paraId="268F8A91" w14:textId="77777777" w:rsidR="00A11EEF" w:rsidRPr="00885BD1" w:rsidRDefault="00A11EEF" w:rsidP="00CD4BC8">
      <w:pPr>
        <w:jc w:val="both"/>
        <w:rPr>
          <w:rFonts w:cs="Arial"/>
          <w:szCs w:val="20"/>
          <w:lang w:val="sl-SI"/>
        </w:rPr>
      </w:pPr>
    </w:p>
    <w:p w14:paraId="036636CA" w14:textId="77777777" w:rsidR="00452E56" w:rsidRPr="00885BD1" w:rsidRDefault="00452E56">
      <w:pPr>
        <w:spacing w:line="240" w:lineRule="auto"/>
        <w:rPr>
          <w:rFonts w:cs="Arial"/>
          <w:szCs w:val="20"/>
          <w:lang w:val="sl-SI"/>
        </w:rPr>
      </w:pPr>
      <w:r w:rsidRPr="00885BD1">
        <w:rPr>
          <w:rFonts w:cs="Arial"/>
          <w:szCs w:val="20"/>
          <w:lang w:val="sl-SI"/>
        </w:rPr>
        <w:br w:type="page"/>
      </w:r>
    </w:p>
    <w:p w14:paraId="75F0197E" w14:textId="73D9BE4B" w:rsidR="00A11EEF" w:rsidRPr="00885BD1" w:rsidRDefault="00452E56" w:rsidP="00CD4BC8">
      <w:pPr>
        <w:jc w:val="both"/>
        <w:rPr>
          <w:rFonts w:cs="Arial"/>
          <w:b/>
          <w:bCs/>
          <w:sz w:val="24"/>
          <w:lang w:val="sl-SI"/>
        </w:rPr>
      </w:pPr>
      <w:r w:rsidRPr="00885BD1">
        <w:rPr>
          <w:rFonts w:cs="Arial"/>
          <w:b/>
          <w:bCs/>
          <w:sz w:val="24"/>
          <w:lang w:val="sl-SI"/>
        </w:rPr>
        <w:lastRenderedPageBreak/>
        <w:t>KAZALO</w:t>
      </w:r>
    </w:p>
    <w:p w14:paraId="2E2B7705" w14:textId="77777777" w:rsidR="00452E56" w:rsidRPr="00885BD1" w:rsidRDefault="00452E56" w:rsidP="00CD4BC8">
      <w:pPr>
        <w:jc w:val="both"/>
        <w:rPr>
          <w:rFonts w:cs="Arial"/>
          <w:szCs w:val="20"/>
          <w:lang w:val="sl-SI"/>
        </w:rPr>
      </w:pPr>
    </w:p>
    <w:p w14:paraId="2D36B60A" w14:textId="313D614C" w:rsidR="00C3713D" w:rsidRDefault="003C7E4E">
      <w:pPr>
        <w:pStyle w:val="Kazalovsebine1"/>
        <w:tabs>
          <w:tab w:val="right" w:leader="dot" w:pos="8488"/>
        </w:tabs>
        <w:rPr>
          <w:rFonts w:asciiTheme="minorHAnsi" w:eastAsiaTheme="minorEastAsia" w:hAnsiTheme="minorHAnsi" w:cstheme="minorBidi"/>
          <w:noProof/>
          <w:sz w:val="22"/>
          <w:szCs w:val="22"/>
          <w:lang w:val="sl-SI" w:eastAsia="sl-SI"/>
        </w:rPr>
      </w:pPr>
      <w:r w:rsidRPr="00885BD1">
        <w:rPr>
          <w:rFonts w:cs="Arial"/>
          <w:szCs w:val="20"/>
          <w:lang w:val="sl-SI"/>
        </w:rPr>
        <w:fldChar w:fldCharType="begin"/>
      </w:r>
      <w:r w:rsidRPr="00885BD1">
        <w:rPr>
          <w:rFonts w:cs="Arial"/>
          <w:szCs w:val="20"/>
          <w:lang w:val="sl-SI"/>
        </w:rPr>
        <w:instrText xml:space="preserve"> TOC \o "1-5" \h \z \u </w:instrText>
      </w:r>
      <w:r w:rsidRPr="00885BD1">
        <w:rPr>
          <w:rFonts w:cs="Arial"/>
          <w:szCs w:val="20"/>
          <w:lang w:val="sl-SI"/>
        </w:rPr>
        <w:fldChar w:fldCharType="separate"/>
      </w:r>
      <w:hyperlink w:anchor="_Toc117692273" w:history="1">
        <w:r w:rsidR="00C3713D" w:rsidRPr="00EE5F8B">
          <w:rPr>
            <w:rStyle w:val="Hiperpovezava"/>
            <w:rFonts w:eastAsiaTheme="majorEastAsia"/>
            <w:noProof/>
          </w:rPr>
          <w:t>UPORABA KRATIC</w:t>
        </w:r>
        <w:r w:rsidR="00C3713D">
          <w:rPr>
            <w:noProof/>
            <w:webHidden/>
          </w:rPr>
          <w:tab/>
        </w:r>
        <w:r w:rsidR="00C3713D">
          <w:rPr>
            <w:noProof/>
            <w:webHidden/>
          </w:rPr>
          <w:fldChar w:fldCharType="begin"/>
        </w:r>
        <w:r w:rsidR="00C3713D">
          <w:rPr>
            <w:noProof/>
            <w:webHidden/>
          </w:rPr>
          <w:instrText xml:space="preserve"> PAGEREF _Toc117692273 \h </w:instrText>
        </w:r>
        <w:r w:rsidR="00C3713D">
          <w:rPr>
            <w:noProof/>
            <w:webHidden/>
          </w:rPr>
        </w:r>
        <w:r w:rsidR="00C3713D">
          <w:rPr>
            <w:noProof/>
            <w:webHidden/>
          </w:rPr>
          <w:fldChar w:fldCharType="separate"/>
        </w:r>
        <w:r w:rsidR="003D1C3B">
          <w:rPr>
            <w:noProof/>
            <w:webHidden/>
          </w:rPr>
          <w:t>5</w:t>
        </w:r>
        <w:r w:rsidR="00C3713D">
          <w:rPr>
            <w:noProof/>
            <w:webHidden/>
          </w:rPr>
          <w:fldChar w:fldCharType="end"/>
        </w:r>
      </w:hyperlink>
    </w:p>
    <w:p w14:paraId="26F25F46" w14:textId="30C92BB9"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74" w:history="1">
        <w:r w:rsidR="00C3713D" w:rsidRPr="00EE5F8B">
          <w:rPr>
            <w:rStyle w:val="Hiperpovezava"/>
            <w:rFonts w:eastAsiaTheme="majorEastAsia"/>
            <w:noProof/>
          </w:rPr>
          <w:t>1 UVOD</w:t>
        </w:r>
        <w:r w:rsidR="00C3713D">
          <w:rPr>
            <w:noProof/>
            <w:webHidden/>
          </w:rPr>
          <w:tab/>
        </w:r>
        <w:r w:rsidR="00C3713D">
          <w:rPr>
            <w:noProof/>
            <w:webHidden/>
          </w:rPr>
          <w:fldChar w:fldCharType="begin"/>
        </w:r>
        <w:r w:rsidR="00C3713D">
          <w:rPr>
            <w:noProof/>
            <w:webHidden/>
          </w:rPr>
          <w:instrText xml:space="preserve"> PAGEREF _Toc117692274 \h </w:instrText>
        </w:r>
        <w:r w:rsidR="00C3713D">
          <w:rPr>
            <w:noProof/>
            <w:webHidden/>
          </w:rPr>
        </w:r>
        <w:r w:rsidR="00C3713D">
          <w:rPr>
            <w:noProof/>
            <w:webHidden/>
          </w:rPr>
          <w:fldChar w:fldCharType="separate"/>
        </w:r>
        <w:r>
          <w:rPr>
            <w:noProof/>
            <w:webHidden/>
          </w:rPr>
          <w:t>6</w:t>
        </w:r>
        <w:r w:rsidR="00C3713D">
          <w:rPr>
            <w:noProof/>
            <w:webHidden/>
          </w:rPr>
          <w:fldChar w:fldCharType="end"/>
        </w:r>
      </w:hyperlink>
    </w:p>
    <w:p w14:paraId="3B3DB867" w14:textId="61DA9B5F" w:rsidR="00C3713D" w:rsidRDefault="003D1C3B">
      <w:pPr>
        <w:pStyle w:val="Kazalovsebine1"/>
        <w:tabs>
          <w:tab w:val="left" w:pos="600"/>
          <w:tab w:val="right" w:leader="dot" w:pos="8488"/>
        </w:tabs>
        <w:rPr>
          <w:rFonts w:asciiTheme="minorHAnsi" w:eastAsiaTheme="minorEastAsia" w:hAnsiTheme="minorHAnsi" w:cstheme="minorBidi"/>
          <w:noProof/>
          <w:sz w:val="22"/>
          <w:szCs w:val="22"/>
          <w:lang w:val="sl-SI" w:eastAsia="sl-SI"/>
        </w:rPr>
      </w:pPr>
      <w:hyperlink w:anchor="_Toc117692275" w:history="1">
        <w:r w:rsidR="00C3713D" w:rsidRPr="00EE5F8B">
          <w:rPr>
            <w:rStyle w:val="Hiperpovezava"/>
            <w:rFonts w:eastAsiaTheme="majorEastAsia"/>
            <w:noProof/>
          </w:rPr>
          <w:t>1.1</w:t>
        </w:r>
        <w:r w:rsidR="00C3713D">
          <w:rPr>
            <w:rFonts w:asciiTheme="minorHAnsi" w:eastAsiaTheme="minorEastAsia" w:hAnsiTheme="minorHAnsi" w:cstheme="minorBidi"/>
            <w:noProof/>
            <w:sz w:val="22"/>
            <w:szCs w:val="22"/>
            <w:lang w:val="sl-SI" w:eastAsia="sl-SI"/>
          </w:rPr>
          <w:tab/>
        </w:r>
        <w:r w:rsidR="00C3713D" w:rsidRPr="00EE5F8B">
          <w:rPr>
            <w:rStyle w:val="Hiperpovezava"/>
            <w:rFonts w:eastAsiaTheme="majorEastAsia"/>
            <w:noProof/>
            <w:kern w:val="28"/>
          </w:rPr>
          <w:t>Namen, cilji in načela strategije</w:t>
        </w:r>
        <w:r w:rsidR="00C3713D">
          <w:rPr>
            <w:noProof/>
            <w:webHidden/>
          </w:rPr>
          <w:tab/>
        </w:r>
        <w:r w:rsidR="00C3713D">
          <w:rPr>
            <w:noProof/>
            <w:webHidden/>
          </w:rPr>
          <w:fldChar w:fldCharType="begin"/>
        </w:r>
        <w:r w:rsidR="00C3713D">
          <w:rPr>
            <w:noProof/>
            <w:webHidden/>
          </w:rPr>
          <w:instrText xml:space="preserve"> PAGEREF _Toc117692275 \h </w:instrText>
        </w:r>
        <w:r w:rsidR="00C3713D">
          <w:rPr>
            <w:noProof/>
            <w:webHidden/>
          </w:rPr>
        </w:r>
        <w:r w:rsidR="00C3713D">
          <w:rPr>
            <w:noProof/>
            <w:webHidden/>
          </w:rPr>
          <w:fldChar w:fldCharType="separate"/>
        </w:r>
        <w:r>
          <w:rPr>
            <w:noProof/>
            <w:webHidden/>
          </w:rPr>
          <w:t>8</w:t>
        </w:r>
        <w:r w:rsidR="00C3713D">
          <w:rPr>
            <w:noProof/>
            <w:webHidden/>
          </w:rPr>
          <w:fldChar w:fldCharType="end"/>
        </w:r>
      </w:hyperlink>
    </w:p>
    <w:p w14:paraId="49D81531" w14:textId="5AEE3556"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76" w:history="1">
        <w:r w:rsidR="00C3713D" w:rsidRPr="00EE5F8B">
          <w:rPr>
            <w:rStyle w:val="Hiperpovezava"/>
            <w:rFonts w:eastAsiaTheme="majorEastAsia"/>
            <w:noProof/>
            <w:kern w:val="28"/>
          </w:rPr>
          <w:t>2 OSNOVNA IZHODIŠČA ZA PRIPRAVO STRATEGIJE</w:t>
        </w:r>
        <w:r w:rsidR="00C3713D">
          <w:rPr>
            <w:noProof/>
            <w:webHidden/>
          </w:rPr>
          <w:tab/>
        </w:r>
        <w:r w:rsidR="00C3713D">
          <w:rPr>
            <w:noProof/>
            <w:webHidden/>
          </w:rPr>
          <w:fldChar w:fldCharType="begin"/>
        </w:r>
        <w:r w:rsidR="00C3713D">
          <w:rPr>
            <w:noProof/>
            <w:webHidden/>
          </w:rPr>
          <w:instrText xml:space="preserve"> PAGEREF _Toc117692276 \h </w:instrText>
        </w:r>
        <w:r w:rsidR="00C3713D">
          <w:rPr>
            <w:noProof/>
            <w:webHidden/>
          </w:rPr>
        </w:r>
        <w:r w:rsidR="00C3713D">
          <w:rPr>
            <w:noProof/>
            <w:webHidden/>
          </w:rPr>
          <w:fldChar w:fldCharType="separate"/>
        </w:r>
        <w:r>
          <w:rPr>
            <w:noProof/>
            <w:webHidden/>
          </w:rPr>
          <w:t>13</w:t>
        </w:r>
        <w:r w:rsidR="00C3713D">
          <w:rPr>
            <w:noProof/>
            <w:webHidden/>
          </w:rPr>
          <w:fldChar w:fldCharType="end"/>
        </w:r>
      </w:hyperlink>
    </w:p>
    <w:p w14:paraId="01B1E779" w14:textId="13105843"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77" w:history="1">
        <w:r w:rsidR="00C3713D" w:rsidRPr="00EE5F8B">
          <w:rPr>
            <w:rStyle w:val="Hiperpovezava"/>
            <w:rFonts w:eastAsiaTheme="majorEastAsia"/>
            <w:noProof/>
          </w:rPr>
          <w:t>2.1 Osveščanje in destigmatizacija bolezni</w:t>
        </w:r>
        <w:r w:rsidR="00C3713D">
          <w:rPr>
            <w:noProof/>
            <w:webHidden/>
          </w:rPr>
          <w:tab/>
        </w:r>
        <w:r w:rsidR="00C3713D">
          <w:rPr>
            <w:noProof/>
            <w:webHidden/>
          </w:rPr>
          <w:fldChar w:fldCharType="begin"/>
        </w:r>
        <w:r w:rsidR="00C3713D">
          <w:rPr>
            <w:noProof/>
            <w:webHidden/>
          </w:rPr>
          <w:instrText xml:space="preserve"> PAGEREF _Toc117692277 \h </w:instrText>
        </w:r>
        <w:r w:rsidR="00C3713D">
          <w:rPr>
            <w:noProof/>
            <w:webHidden/>
          </w:rPr>
        </w:r>
        <w:r w:rsidR="00C3713D">
          <w:rPr>
            <w:noProof/>
            <w:webHidden/>
          </w:rPr>
          <w:fldChar w:fldCharType="separate"/>
        </w:r>
        <w:r>
          <w:rPr>
            <w:noProof/>
            <w:webHidden/>
          </w:rPr>
          <w:t>15</w:t>
        </w:r>
        <w:r w:rsidR="00C3713D">
          <w:rPr>
            <w:noProof/>
            <w:webHidden/>
          </w:rPr>
          <w:fldChar w:fldCharType="end"/>
        </w:r>
      </w:hyperlink>
    </w:p>
    <w:p w14:paraId="2109CB4D" w14:textId="0224B1CB"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78" w:history="1">
        <w:r w:rsidR="00C3713D" w:rsidRPr="00EE5F8B">
          <w:rPr>
            <w:rStyle w:val="Hiperpovezava"/>
            <w:rFonts w:eastAsiaTheme="majorEastAsia"/>
            <w:noProof/>
          </w:rPr>
          <w:t>2. 2 Pravne podlage in pomembni dokumenti</w:t>
        </w:r>
        <w:r w:rsidR="00C3713D">
          <w:rPr>
            <w:noProof/>
            <w:webHidden/>
          </w:rPr>
          <w:tab/>
        </w:r>
        <w:r w:rsidR="00C3713D">
          <w:rPr>
            <w:noProof/>
            <w:webHidden/>
          </w:rPr>
          <w:fldChar w:fldCharType="begin"/>
        </w:r>
        <w:r w:rsidR="00C3713D">
          <w:rPr>
            <w:noProof/>
            <w:webHidden/>
          </w:rPr>
          <w:instrText xml:space="preserve"> PAGEREF _Toc117692278 \h </w:instrText>
        </w:r>
        <w:r w:rsidR="00C3713D">
          <w:rPr>
            <w:noProof/>
            <w:webHidden/>
          </w:rPr>
        </w:r>
        <w:r w:rsidR="00C3713D">
          <w:rPr>
            <w:noProof/>
            <w:webHidden/>
          </w:rPr>
          <w:fldChar w:fldCharType="separate"/>
        </w:r>
        <w:r>
          <w:rPr>
            <w:noProof/>
            <w:webHidden/>
          </w:rPr>
          <w:t>15</w:t>
        </w:r>
        <w:r w:rsidR="00C3713D">
          <w:rPr>
            <w:noProof/>
            <w:webHidden/>
          </w:rPr>
          <w:fldChar w:fldCharType="end"/>
        </w:r>
      </w:hyperlink>
    </w:p>
    <w:p w14:paraId="0FC90140" w14:textId="34851C01"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79" w:history="1">
        <w:r w:rsidR="00C3713D" w:rsidRPr="00EE5F8B">
          <w:rPr>
            <w:rStyle w:val="Hiperpovezava"/>
            <w:rFonts w:eastAsiaTheme="majorEastAsia"/>
            <w:noProof/>
          </w:rPr>
          <w:t>2. 3 Druge pomembne listine in dokumenti</w:t>
        </w:r>
        <w:r w:rsidR="00C3713D">
          <w:rPr>
            <w:noProof/>
            <w:webHidden/>
          </w:rPr>
          <w:tab/>
        </w:r>
        <w:r w:rsidR="00C3713D">
          <w:rPr>
            <w:noProof/>
            <w:webHidden/>
          </w:rPr>
          <w:fldChar w:fldCharType="begin"/>
        </w:r>
        <w:r w:rsidR="00C3713D">
          <w:rPr>
            <w:noProof/>
            <w:webHidden/>
          </w:rPr>
          <w:instrText xml:space="preserve"> PAGEREF _Toc117692279 \h </w:instrText>
        </w:r>
        <w:r w:rsidR="00C3713D">
          <w:rPr>
            <w:noProof/>
            <w:webHidden/>
          </w:rPr>
        </w:r>
        <w:r w:rsidR="00C3713D">
          <w:rPr>
            <w:noProof/>
            <w:webHidden/>
          </w:rPr>
          <w:fldChar w:fldCharType="separate"/>
        </w:r>
        <w:r>
          <w:rPr>
            <w:noProof/>
            <w:webHidden/>
          </w:rPr>
          <w:t>16</w:t>
        </w:r>
        <w:r w:rsidR="00C3713D">
          <w:rPr>
            <w:noProof/>
            <w:webHidden/>
          </w:rPr>
          <w:fldChar w:fldCharType="end"/>
        </w:r>
      </w:hyperlink>
    </w:p>
    <w:p w14:paraId="2D41A82D" w14:textId="40A99355"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80" w:history="1">
        <w:r w:rsidR="00C3713D" w:rsidRPr="00EE5F8B">
          <w:rPr>
            <w:rStyle w:val="Hiperpovezava"/>
            <w:rFonts w:eastAsiaTheme="majorEastAsia"/>
            <w:noProof/>
          </w:rPr>
          <w:t>2.4 Programi in storitve za osebe z demenco in njihove svojce</w:t>
        </w:r>
        <w:r w:rsidR="00C3713D">
          <w:rPr>
            <w:noProof/>
            <w:webHidden/>
          </w:rPr>
          <w:tab/>
        </w:r>
        <w:r w:rsidR="00C3713D">
          <w:rPr>
            <w:noProof/>
            <w:webHidden/>
          </w:rPr>
          <w:fldChar w:fldCharType="begin"/>
        </w:r>
        <w:r w:rsidR="00C3713D">
          <w:rPr>
            <w:noProof/>
            <w:webHidden/>
          </w:rPr>
          <w:instrText xml:space="preserve"> PAGEREF _Toc117692280 \h </w:instrText>
        </w:r>
        <w:r w:rsidR="00C3713D">
          <w:rPr>
            <w:noProof/>
            <w:webHidden/>
          </w:rPr>
        </w:r>
        <w:r w:rsidR="00C3713D">
          <w:rPr>
            <w:noProof/>
            <w:webHidden/>
          </w:rPr>
          <w:fldChar w:fldCharType="separate"/>
        </w:r>
        <w:r>
          <w:rPr>
            <w:noProof/>
            <w:webHidden/>
          </w:rPr>
          <w:t>16</w:t>
        </w:r>
        <w:r w:rsidR="00C3713D">
          <w:rPr>
            <w:noProof/>
            <w:webHidden/>
          </w:rPr>
          <w:fldChar w:fldCharType="end"/>
        </w:r>
      </w:hyperlink>
    </w:p>
    <w:p w14:paraId="4ADD9B77" w14:textId="64B0BE83"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81" w:history="1">
        <w:r w:rsidR="00C3713D" w:rsidRPr="00EE5F8B">
          <w:rPr>
            <w:rStyle w:val="Hiperpovezava"/>
            <w:rFonts w:eastAsiaTheme="majorEastAsia" w:cs="Arial"/>
            <w:noProof/>
            <w:kern w:val="32"/>
            <w:lang w:val="sl-SI" w:eastAsia="sl-SI"/>
          </w:rPr>
          <w:t>2. 5 Varstvo pravic oseb z demenco in njihovih svojcev</w:t>
        </w:r>
        <w:r w:rsidR="00C3713D">
          <w:rPr>
            <w:noProof/>
            <w:webHidden/>
          </w:rPr>
          <w:tab/>
        </w:r>
        <w:r w:rsidR="00C3713D">
          <w:rPr>
            <w:noProof/>
            <w:webHidden/>
          </w:rPr>
          <w:fldChar w:fldCharType="begin"/>
        </w:r>
        <w:r w:rsidR="00C3713D">
          <w:rPr>
            <w:noProof/>
            <w:webHidden/>
          </w:rPr>
          <w:instrText xml:space="preserve"> PAGEREF _Toc117692281 \h </w:instrText>
        </w:r>
        <w:r w:rsidR="00C3713D">
          <w:rPr>
            <w:noProof/>
            <w:webHidden/>
          </w:rPr>
        </w:r>
        <w:r w:rsidR="00C3713D">
          <w:rPr>
            <w:noProof/>
            <w:webHidden/>
          </w:rPr>
          <w:fldChar w:fldCharType="separate"/>
        </w:r>
        <w:r>
          <w:rPr>
            <w:noProof/>
            <w:webHidden/>
          </w:rPr>
          <w:t>17</w:t>
        </w:r>
        <w:r w:rsidR="00C3713D">
          <w:rPr>
            <w:noProof/>
            <w:webHidden/>
          </w:rPr>
          <w:fldChar w:fldCharType="end"/>
        </w:r>
      </w:hyperlink>
    </w:p>
    <w:p w14:paraId="32A20B42" w14:textId="183F47B8"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82" w:history="1">
        <w:r w:rsidR="00C3713D" w:rsidRPr="00EE5F8B">
          <w:rPr>
            <w:rStyle w:val="Hiperpovezava"/>
            <w:rFonts w:eastAsiaTheme="majorEastAsia"/>
            <w:noProof/>
          </w:rPr>
          <w:t>2. 5. 1 Glasgowska deklaracija (Pravice oseb z demenco in njihovih svojcev)</w:t>
        </w:r>
        <w:r w:rsidR="00C3713D">
          <w:rPr>
            <w:noProof/>
            <w:webHidden/>
          </w:rPr>
          <w:tab/>
        </w:r>
        <w:r w:rsidR="00C3713D">
          <w:rPr>
            <w:noProof/>
            <w:webHidden/>
          </w:rPr>
          <w:fldChar w:fldCharType="begin"/>
        </w:r>
        <w:r w:rsidR="00C3713D">
          <w:rPr>
            <w:noProof/>
            <w:webHidden/>
          </w:rPr>
          <w:instrText xml:space="preserve"> PAGEREF _Toc117692282 \h </w:instrText>
        </w:r>
        <w:r w:rsidR="00C3713D">
          <w:rPr>
            <w:noProof/>
            <w:webHidden/>
          </w:rPr>
        </w:r>
        <w:r w:rsidR="00C3713D">
          <w:rPr>
            <w:noProof/>
            <w:webHidden/>
          </w:rPr>
          <w:fldChar w:fldCharType="separate"/>
        </w:r>
        <w:r>
          <w:rPr>
            <w:noProof/>
            <w:webHidden/>
          </w:rPr>
          <w:t>17</w:t>
        </w:r>
        <w:r w:rsidR="00C3713D">
          <w:rPr>
            <w:noProof/>
            <w:webHidden/>
          </w:rPr>
          <w:fldChar w:fldCharType="end"/>
        </w:r>
      </w:hyperlink>
    </w:p>
    <w:p w14:paraId="0D96B374" w14:textId="2D21497F"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83" w:history="1">
        <w:r w:rsidR="00C3713D" w:rsidRPr="00EE5F8B">
          <w:rPr>
            <w:rStyle w:val="Hiperpovezava"/>
            <w:rFonts w:eastAsiaTheme="majorEastAsia"/>
            <w:noProof/>
          </w:rPr>
          <w:t>2. 5. 2 Konvencija o pravicah invalidov</w:t>
        </w:r>
        <w:r w:rsidR="00C3713D">
          <w:rPr>
            <w:noProof/>
            <w:webHidden/>
          </w:rPr>
          <w:tab/>
        </w:r>
        <w:r w:rsidR="00C3713D">
          <w:rPr>
            <w:noProof/>
            <w:webHidden/>
          </w:rPr>
          <w:fldChar w:fldCharType="begin"/>
        </w:r>
        <w:r w:rsidR="00C3713D">
          <w:rPr>
            <w:noProof/>
            <w:webHidden/>
          </w:rPr>
          <w:instrText xml:space="preserve"> PAGEREF _Toc117692283 \h </w:instrText>
        </w:r>
        <w:r w:rsidR="00C3713D">
          <w:rPr>
            <w:noProof/>
            <w:webHidden/>
          </w:rPr>
        </w:r>
        <w:r w:rsidR="00C3713D">
          <w:rPr>
            <w:noProof/>
            <w:webHidden/>
          </w:rPr>
          <w:fldChar w:fldCharType="separate"/>
        </w:r>
        <w:r>
          <w:rPr>
            <w:noProof/>
            <w:webHidden/>
          </w:rPr>
          <w:t>17</w:t>
        </w:r>
        <w:r w:rsidR="00C3713D">
          <w:rPr>
            <w:noProof/>
            <w:webHidden/>
          </w:rPr>
          <w:fldChar w:fldCharType="end"/>
        </w:r>
      </w:hyperlink>
    </w:p>
    <w:p w14:paraId="696F1FC3" w14:textId="29542095"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84" w:history="1">
        <w:r w:rsidR="00C3713D" w:rsidRPr="00EE5F8B">
          <w:rPr>
            <w:rStyle w:val="Hiperpovezava"/>
            <w:rFonts w:eastAsiaTheme="majorEastAsia"/>
            <w:noProof/>
            <w:kern w:val="28"/>
          </w:rPr>
          <w:t>3 TEMELJNA PREDNOSTNA PODROČJA</w:t>
        </w:r>
        <w:r w:rsidR="00C3713D">
          <w:rPr>
            <w:noProof/>
            <w:webHidden/>
          </w:rPr>
          <w:tab/>
        </w:r>
        <w:r w:rsidR="00C3713D">
          <w:rPr>
            <w:noProof/>
            <w:webHidden/>
          </w:rPr>
          <w:fldChar w:fldCharType="begin"/>
        </w:r>
        <w:r w:rsidR="00C3713D">
          <w:rPr>
            <w:noProof/>
            <w:webHidden/>
          </w:rPr>
          <w:instrText xml:space="preserve"> PAGEREF _Toc117692284 \h </w:instrText>
        </w:r>
        <w:r w:rsidR="00C3713D">
          <w:rPr>
            <w:noProof/>
            <w:webHidden/>
          </w:rPr>
        </w:r>
        <w:r w:rsidR="00C3713D">
          <w:rPr>
            <w:noProof/>
            <w:webHidden/>
          </w:rPr>
          <w:fldChar w:fldCharType="separate"/>
        </w:r>
        <w:r>
          <w:rPr>
            <w:noProof/>
            <w:webHidden/>
          </w:rPr>
          <w:t>19</w:t>
        </w:r>
        <w:r w:rsidR="00C3713D">
          <w:rPr>
            <w:noProof/>
            <w:webHidden/>
          </w:rPr>
          <w:fldChar w:fldCharType="end"/>
        </w:r>
      </w:hyperlink>
    </w:p>
    <w:p w14:paraId="672265A3" w14:textId="1AB11EAB"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85" w:history="1">
        <w:r w:rsidR="00C3713D" w:rsidRPr="00EE5F8B">
          <w:rPr>
            <w:rStyle w:val="Hiperpovezava"/>
            <w:rFonts w:eastAsiaTheme="majorEastAsia"/>
            <w:noProof/>
          </w:rPr>
          <w:t>3.1 Vzpostavitev in vzdrževanje nabora epidemioloških podatkov o demenci v Sloveniji</w:t>
        </w:r>
        <w:r w:rsidR="00C3713D">
          <w:rPr>
            <w:noProof/>
            <w:webHidden/>
          </w:rPr>
          <w:tab/>
        </w:r>
        <w:r w:rsidR="00C3713D">
          <w:rPr>
            <w:noProof/>
            <w:webHidden/>
          </w:rPr>
          <w:fldChar w:fldCharType="begin"/>
        </w:r>
        <w:r w:rsidR="00C3713D">
          <w:rPr>
            <w:noProof/>
            <w:webHidden/>
          </w:rPr>
          <w:instrText xml:space="preserve"> PAGEREF _Toc117692285 \h </w:instrText>
        </w:r>
        <w:r w:rsidR="00C3713D">
          <w:rPr>
            <w:noProof/>
            <w:webHidden/>
          </w:rPr>
        </w:r>
        <w:r w:rsidR="00C3713D">
          <w:rPr>
            <w:noProof/>
            <w:webHidden/>
          </w:rPr>
          <w:fldChar w:fldCharType="separate"/>
        </w:r>
        <w:r>
          <w:rPr>
            <w:noProof/>
            <w:webHidden/>
          </w:rPr>
          <w:t>19</w:t>
        </w:r>
        <w:r w:rsidR="00C3713D">
          <w:rPr>
            <w:noProof/>
            <w:webHidden/>
          </w:rPr>
          <w:fldChar w:fldCharType="end"/>
        </w:r>
      </w:hyperlink>
    </w:p>
    <w:p w14:paraId="2DA20A56" w14:textId="47277FBF"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86" w:history="1">
        <w:r w:rsidR="00C3713D" w:rsidRPr="00EE5F8B">
          <w:rPr>
            <w:rStyle w:val="Hiperpovezava"/>
            <w:rFonts w:eastAsiaTheme="majorEastAsia"/>
            <w:noProof/>
          </w:rPr>
          <w:t>3. 2 Mreža izvajalcev programov in storitev za osebe z demenco in njihove svojce</w:t>
        </w:r>
        <w:r w:rsidR="00C3713D">
          <w:rPr>
            <w:noProof/>
            <w:webHidden/>
          </w:rPr>
          <w:tab/>
        </w:r>
        <w:r w:rsidR="00C3713D">
          <w:rPr>
            <w:noProof/>
            <w:webHidden/>
          </w:rPr>
          <w:fldChar w:fldCharType="begin"/>
        </w:r>
        <w:r w:rsidR="00C3713D">
          <w:rPr>
            <w:noProof/>
            <w:webHidden/>
          </w:rPr>
          <w:instrText xml:space="preserve"> PAGEREF _Toc117692286 \h </w:instrText>
        </w:r>
        <w:r w:rsidR="00C3713D">
          <w:rPr>
            <w:noProof/>
            <w:webHidden/>
          </w:rPr>
        </w:r>
        <w:r w:rsidR="00C3713D">
          <w:rPr>
            <w:noProof/>
            <w:webHidden/>
          </w:rPr>
          <w:fldChar w:fldCharType="separate"/>
        </w:r>
        <w:r>
          <w:rPr>
            <w:noProof/>
            <w:webHidden/>
          </w:rPr>
          <w:t>19</w:t>
        </w:r>
        <w:r w:rsidR="00C3713D">
          <w:rPr>
            <w:noProof/>
            <w:webHidden/>
          </w:rPr>
          <w:fldChar w:fldCharType="end"/>
        </w:r>
      </w:hyperlink>
    </w:p>
    <w:p w14:paraId="3C736334" w14:textId="6B0A15E9"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87" w:history="1">
        <w:r w:rsidR="00C3713D" w:rsidRPr="00EE5F8B">
          <w:rPr>
            <w:rStyle w:val="Hiperpovezava"/>
            <w:rFonts w:eastAsiaTheme="majorEastAsia"/>
            <w:noProof/>
          </w:rPr>
          <w:t>3.2.1 Storitve in programi zdravstvenega varstva</w:t>
        </w:r>
        <w:r w:rsidR="00C3713D">
          <w:rPr>
            <w:noProof/>
            <w:webHidden/>
          </w:rPr>
          <w:tab/>
        </w:r>
        <w:r w:rsidR="00C3713D">
          <w:rPr>
            <w:noProof/>
            <w:webHidden/>
          </w:rPr>
          <w:fldChar w:fldCharType="begin"/>
        </w:r>
        <w:r w:rsidR="00C3713D">
          <w:rPr>
            <w:noProof/>
            <w:webHidden/>
          </w:rPr>
          <w:instrText xml:space="preserve"> PAGEREF _Toc117692287 \h </w:instrText>
        </w:r>
        <w:r w:rsidR="00C3713D">
          <w:rPr>
            <w:noProof/>
            <w:webHidden/>
          </w:rPr>
        </w:r>
        <w:r w:rsidR="00C3713D">
          <w:rPr>
            <w:noProof/>
            <w:webHidden/>
          </w:rPr>
          <w:fldChar w:fldCharType="separate"/>
        </w:r>
        <w:r>
          <w:rPr>
            <w:noProof/>
            <w:webHidden/>
          </w:rPr>
          <w:t>20</w:t>
        </w:r>
        <w:r w:rsidR="00C3713D">
          <w:rPr>
            <w:noProof/>
            <w:webHidden/>
          </w:rPr>
          <w:fldChar w:fldCharType="end"/>
        </w:r>
      </w:hyperlink>
    </w:p>
    <w:p w14:paraId="31B19330" w14:textId="3C13BFBD"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88" w:history="1">
        <w:r w:rsidR="00C3713D" w:rsidRPr="00EE5F8B">
          <w:rPr>
            <w:rStyle w:val="Hiperpovezava"/>
            <w:rFonts w:eastAsiaTheme="majorEastAsia"/>
            <w:noProof/>
          </w:rPr>
          <w:t>3.2.1.1 Primarno zdravstveno varstvo</w:t>
        </w:r>
        <w:r w:rsidR="00C3713D">
          <w:rPr>
            <w:noProof/>
            <w:webHidden/>
          </w:rPr>
          <w:tab/>
        </w:r>
        <w:r w:rsidR="00C3713D">
          <w:rPr>
            <w:noProof/>
            <w:webHidden/>
          </w:rPr>
          <w:fldChar w:fldCharType="begin"/>
        </w:r>
        <w:r w:rsidR="00C3713D">
          <w:rPr>
            <w:noProof/>
            <w:webHidden/>
          </w:rPr>
          <w:instrText xml:space="preserve"> PAGEREF _Toc117692288 \h </w:instrText>
        </w:r>
        <w:r w:rsidR="00C3713D">
          <w:rPr>
            <w:noProof/>
            <w:webHidden/>
          </w:rPr>
        </w:r>
        <w:r w:rsidR="00C3713D">
          <w:rPr>
            <w:noProof/>
            <w:webHidden/>
          </w:rPr>
          <w:fldChar w:fldCharType="separate"/>
        </w:r>
        <w:r>
          <w:rPr>
            <w:noProof/>
            <w:webHidden/>
          </w:rPr>
          <w:t>20</w:t>
        </w:r>
        <w:r w:rsidR="00C3713D">
          <w:rPr>
            <w:noProof/>
            <w:webHidden/>
          </w:rPr>
          <w:fldChar w:fldCharType="end"/>
        </w:r>
      </w:hyperlink>
    </w:p>
    <w:p w14:paraId="0468755A" w14:textId="573AA67F"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89" w:history="1">
        <w:r w:rsidR="00C3713D" w:rsidRPr="00EE5F8B">
          <w:rPr>
            <w:rStyle w:val="Hiperpovezava"/>
            <w:rFonts w:eastAsiaTheme="majorEastAsia"/>
            <w:noProof/>
          </w:rPr>
          <w:t>3.2.1.1.1 Ambulante družinske medicine</w:t>
        </w:r>
        <w:r w:rsidR="00C3713D">
          <w:rPr>
            <w:noProof/>
            <w:webHidden/>
          </w:rPr>
          <w:tab/>
        </w:r>
        <w:r w:rsidR="00C3713D">
          <w:rPr>
            <w:noProof/>
            <w:webHidden/>
          </w:rPr>
          <w:fldChar w:fldCharType="begin"/>
        </w:r>
        <w:r w:rsidR="00C3713D">
          <w:rPr>
            <w:noProof/>
            <w:webHidden/>
          </w:rPr>
          <w:instrText xml:space="preserve"> PAGEREF _Toc117692289 \h </w:instrText>
        </w:r>
        <w:r w:rsidR="00C3713D">
          <w:rPr>
            <w:noProof/>
            <w:webHidden/>
          </w:rPr>
        </w:r>
        <w:r w:rsidR="00C3713D">
          <w:rPr>
            <w:noProof/>
            <w:webHidden/>
          </w:rPr>
          <w:fldChar w:fldCharType="separate"/>
        </w:r>
        <w:r>
          <w:rPr>
            <w:noProof/>
            <w:webHidden/>
          </w:rPr>
          <w:t>21</w:t>
        </w:r>
        <w:r w:rsidR="00C3713D">
          <w:rPr>
            <w:noProof/>
            <w:webHidden/>
          </w:rPr>
          <w:fldChar w:fldCharType="end"/>
        </w:r>
      </w:hyperlink>
    </w:p>
    <w:p w14:paraId="366ABA2A" w14:textId="576DBCF8"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90" w:history="1">
        <w:r w:rsidR="00C3713D" w:rsidRPr="00EE5F8B">
          <w:rPr>
            <w:rStyle w:val="Hiperpovezava"/>
            <w:rFonts w:eastAsiaTheme="majorEastAsia"/>
            <w:noProof/>
          </w:rPr>
          <w:t>3.2.1.1.2 Zdravstveno vzgojni centri, Centri za krepitev zdravja (ZVC, CKZ)</w:t>
        </w:r>
        <w:r w:rsidR="00C3713D">
          <w:rPr>
            <w:noProof/>
            <w:webHidden/>
          </w:rPr>
          <w:tab/>
        </w:r>
        <w:r w:rsidR="00C3713D">
          <w:rPr>
            <w:noProof/>
            <w:webHidden/>
          </w:rPr>
          <w:fldChar w:fldCharType="begin"/>
        </w:r>
        <w:r w:rsidR="00C3713D">
          <w:rPr>
            <w:noProof/>
            <w:webHidden/>
          </w:rPr>
          <w:instrText xml:space="preserve"> PAGEREF _Toc117692290 \h </w:instrText>
        </w:r>
        <w:r w:rsidR="00C3713D">
          <w:rPr>
            <w:noProof/>
            <w:webHidden/>
          </w:rPr>
        </w:r>
        <w:r w:rsidR="00C3713D">
          <w:rPr>
            <w:noProof/>
            <w:webHidden/>
          </w:rPr>
          <w:fldChar w:fldCharType="separate"/>
        </w:r>
        <w:r>
          <w:rPr>
            <w:noProof/>
            <w:webHidden/>
          </w:rPr>
          <w:t>22</w:t>
        </w:r>
        <w:r w:rsidR="00C3713D">
          <w:rPr>
            <w:noProof/>
            <w:webHidden/>
          </w:rPr>
          <w:fldChar w:fldCharType="end"/>
        </w:r>
      </w:hyperlink>
    </w:p>
    <w:p w14:paraId="3774A723" w14:textId="596B78F9"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91" w:history="1">
        <w:r w:rsidR="00C3713D" w:rsidRPr="00EE5F8B">
          <w:rPr>
            <w:rStyle w:val="Hiperpovezava"/>
            <w:rFonts w:eastAsiaTheme="majorEastAsia"/>
            <w:noProof/>
          </w:rPr>
          <w:t>3.2.1.1.3 Centri za duševno zdravje odraslih (z mobilnimi timi)</w:t>
        </w:r>
        <w:r w:rsidR="00C3713D">
          <w:rPr>
            <w:noProof/>
            <w:webHidden/>
          </w:rPr>
          <w:tab/>
        </w:r>
        <w:r w:rsidR="00C3713D">
          <w:rPr>
            <w:noProof/>
            <w:webHidden/>
          </w:rPr>
          <w:fldChar w:fldCharType="begin"/>
        </w:r>
        <w:r w:rsidR="00C3713D">
          <w:rPr>
            <w:noProof/>
            <w:webHidden/>
          </w:rPr>
          <w:instrText xml:space="preserve"> PAGEREF _Toc117692291 \h </w:instrText>
        </w:r>
        <w:r w:rsidR="00C3713D">
          <w:rPr>
            <w:noProof/>
            <w:webHidden/>
          </w:rPr>
        </w:r>
        <w:r w:rsidR="00C3713D">
          <w:rPr>
            <w:noProof/>
            <w:webHidden/>
          </w:rPr>
          <w:fldChar w:fldCharType="separate"/>
        </w:r>
        <w:r>
          <w:rPr>
            <w:noProof/>
            <w:webHidden/>
          </w:rPr>
          <w:t>22</w:t>
        </w:r>
        <w:r w:rsidR="00C3713D">
          <w:rPr>
            <w:noProof/>
            <w:webHidden/>
          </w:rPr>
          <w:fldChar w:fldCharType="end"/>
        </w:r>
      </w:hyperlink>
    </w:p>
    <w:p w14:paraId="113CC74E" w14:textId="03AEED7A"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92" w:history="1">
        <w:r w:rsidR="00C3713D" w:rsidRPr="00EE5F8B">
          <w:rPr>
            <w:rStyle w:val="Hiperpovezava"/>
            <w:rFonts w:eastAsiaTheme="majorEastAsia"/>
            <w:noProof/>
          </w:rPr>
          <w:t>3.2.1.1.4 Patronažna služba</w:t>
        </w:r>
        <w:r w:rsidR="00C3713D">
          <w:rPr>
            <w:noProof/>
            <w:webHidden/>
          </w:rPr>
          <w:tab/>
        </w:r>
        <w:r w:rsidR="00C3713D">
          <w:rPr>
            <w:noProof/>
            <w:webHidden/>
          </w:rPr>
          <w:fldChar w:fldCharType="begin"/>
        </w:r>
        <w:r w:rsidR="00C3713D">
          <w:rPr>
            <w:noProof/>
            <w:webHidden/>
          </w:rPr>
          <w:instrText xml:space="preserve"> PAGEREF _Toc117692292 \h </w:instrText>
        </w:r>
        <w:r w:rsidR="00C3713D">
          <w:rPr>
            <w:noProof/>
            <w:webHidden/>
          </w:rPr>
        </w:r>
        <w:r w:rsidR="00C3713D">
          <w:rPr>
            <w:noProof/>
            <w:webHidden/>
          </w:rPr>
          <w:fldChar w:fldCharType="separate"/>
        </w:r>
        <w:r>
          <w:rPr>
            <w:noProof/>
            <w:webHidden/>
          </w:rPr>
          <w:t>22</w:t>
        </w:r>
        <w:r w:rsidR="00C3713D">
          <w:rPr>
            <w:noProof/>
            <w:webHidden/>
          </w:rPr>
          <w:fldChar w:fldCharType="end"/>
        </w:r>
      </w:hyperlink>
    </w:p>
    <w:p w14:paraId="63B6A9CA" w14:textId="6808C9EC"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93" w:history="1">
        <w:r w:rsidR="00C3713D" w:rsidRPr="00EE5F8B">
          <w:rPr>
            <w:rStyle w:val="Hiperpovezava"/>
            <w:rFonts w:eastAsiaTheme="majorEastAsia"/>
            <w:noProof/>
          </w:rPr>
          <w:t>3.2.1.1.5 Integrirana oskrba</w:t>
        </w:r>
        <w:r w:rsidR="00C3713D">
          <w:rPr>
            <w:noProof/>
            <w:webHidden/>
          </w:rPr>
          <w:tab/>
        </w:r>
        <w:r w:rsidR="00C3713D">
          <w:rPr>
            <w:noProof/>
            <w:webHidden/>
          </w:rPr>
          <w:fldChar w:fldCharType="begin"/>
        </w:r>
        <w:r w:rsidR="00C3713D">
          <w:rPr>
            <w:noProof/>
            <w:webHidden/>
          </w:rPr>
          <w:instrText xml:space="preserve"> PAGEREF _Toc117692293 \h </w:instrText>
        </w:r>
        <w:r w:rsidR="00C3713D">
          <w:rPr>
            <w:noProof/>
            <w:webHidden/>
          </w:rPr>
        </w:r>
        <w:r w:rsidR="00C3713D">
          <w:rPr>
            <w:noProof/>
            <w:webHidden/>
          </w:rPr>
          <w:fldChar w:fldCharType="separate"/>
        </w:r>
        <w:r>
          <w:rPr>
            <w:noProof/>
            <w:webHidden/>
          </w:rPr>
          <w:t>23</w:t>
        </w:r>
        <w:r w:rsidR="00C3713D">
          <w:rPr>
            <w:noProof/>
            <w:webHidden/>
          </w:rPr>
          <w:fldChar w:fldCharType="end"/>
        </w:r>
      </w:hyperlink>
    </w:p>
    <w:p w14:paraId="719C9BE5" w14:textId="481B4E0E"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94" w:history="1">
        <w:r w:rsidR="00C3713D" w:rsidRPr="00EE5F8B">
          <w:rPr>
            <w:rStyle w:val="Hiperpovezava"/>
            <w:rFonts w:eastAsiaTheme="majorEastAsia"/>
            <w:noProof/>
          </w:rPr>
          <w:t>3.2.1.1.6 Paliativna oskrba</w:t>
        </w:r>
        <w:r w:rsidR="00C3713D">
          <w:rPr>
            <w:noProof/>
            <w:webHidden/>
          </w:rPr>
          <w:tab/>
        </w:r>
        <w:r w:rsidR="00C3713D">
          <w:rPr>
            <w:noProof/>
            <w:webHidden/>
          </w:rPr>
          <w:fldChar w:fldCharType="begin"/>
        </w:r>
        <w:r w:rsidR="00C3713D">
          <w:rPr>
            <w:noProof/>
            <w:webHidden/>
          </w:rPr>
          <w:instrText xml:space="preserve"> PAGEREF _Toc117692294 \h </w:instrText>
        </w:r>
        <w:r w:rsidR="00C3713D">
          <w:rPr>
            <w:noProof/>
            <w:webHidden/>
          </w:rPr>
        </w:r>
        <w:r w:rsidR="00C3713D">
          <w:rPr>
            <w:noProof/>
            <w:webHidden/>
          </w:rPr>
          <w:fldChar w:fldCharType="separate"/>
        </w:r>
        <w:r>
          <w:rPr>
            <w:noProof/>
            <w:webHidden/>
          </w:rPr>
          <w:t>24</w:t>
        </w:r>
        <w:r w:rsidR="00C3713D">
          <w:rPr>
            <w:noProof/>
            <w:webHidden/>
          </w:rPr>
          <w:fldChar w:fldCharType="end"/>
        </w:r>
      </w:hyperlink>
    </w:p>
    <w:p w14:paraId="2015A784" w14:textId="1ECD0691"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95" w:history="1">
        <w:r w:rsidR="00C3713D" w:rsidRPr="00EE5F8B">
          <w:rPr>
            <w:rStyle w:val="Hiperpovezava"/>
            <w:rFonts w:eastAsiaTheme="majorEastAsia"/>
            <w:noProof/>
          </w:rPr>
          <w:t>3.2.1.2 Sekundarno in terciarno zdravstveno varstvo</w:t>
        </w:r>
        <w:r w:rsidR="00C3713D">
          <w:rPr>
            <w:noProof/>
            <w:webHidden/>
          </w:rPr>
          <w:tab/>
        </w:r>
        <w:r w:rsidR="00C3713D">
          <w:rPr>
            <w:noProof/>
            <w:webHidden/>
          </w:rPr>
          <w:fldChar w:fldCharType="begin"/>
        </w:r>
        <w:r w:rsidR="00C3713D">
          <w:rPr>
            <w:noProof/>
            <w:webHidden/>
          </w:rPr>
          <w:instrText xml:space="preserve"> PAGEREF _Toc117692295 \h </w:instrText>
        </w:r>
        <w:r w:rsidR="00C3713D">
          <w:rPr>
            <w:noProof/>
            <w:webHidden/>
          </w:rPr>
        </w:r>
        <w:r w:rsidR="00C3713D">
          <w:rPr>
            <w:noProof/>
            <w:webHidden/>
          </w:rPr>
          <w:fldChar w:fldCharType="separate"/>
        </w:r>
        <w:r>
          <w:rPr>
            <w:noProof/>
            <w:webHidden/>
          </w:rPr>
          <w:t>24</w:t>
        </w:r>
        <w:r w:rsidR="00C3713D">
          <w:rPr>
            <w:noProof/>
            <w:webHidden/>
          </w:rPr>
          <w:fldChar w:fldCharType="end"/>
        </w:r>
      </w:hyperlink>
    </w:p>
    <w:p w14:paraId="79C82839" w14:textId="1AFF8272"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96" w:history="1">
        <w:r w:rsidR="00C3713D" w:rsidRPr="00EE5F8B">
          <w:rPr>
            <w:rStyle w:val="Hiperpovezava"/>
            <w:rFonts w:eastAsiaTheme="majorEastAsia"/>
            <w:noProof/>
          </w:rPr>
          <w:t>3.2.2 Storitve in programi socialnega varstva</w:t>
        </w:r>
        <w:r w:rsidR="00C3713D">
          <w:rPr>
            <w:noProof/>
            <w:webHidden/>
          </w:rPr>
          <w:tab/>
        </w:r>
        <w:r w:rsidR="00C3713D">
          <w:rPr>
            <w:noProof/>
            <w:webHidden/>
          </w:rPr>
          <w:fldChar w:fldCharType="begin"/>
        </w:r>
        <w:r w:rsidR="00C3713D">
          <w:rPr>
            <w:noProof/>
            <w:webHidden/>
          </w:rPr>
          <w:instrText xml:space="preserve"> PAGEREF _Toc117692296 \h </w:instrText>
        </w:r>
        <w:r w:rsidR="00C3713D">
          <w:rPr>
            <w:noProof/>
            <w:webHidden/>
          </w:rPr>
        </w:r>
        <w:r w:rsidR="00C3713D">
          <w:rPr>
            <w:noProof/>
            <w:webHidden/>
          </w:rPr>
          <w:fldChar w:fldCharType="separate"/>
        </w:r>
        <w:r>
          <w:rPr>
            <w:noProof/>
            <w:webHidden/>
          </w:rPr>
          <w:t>26</w:t>
        </w:r>
        <w:r w:rsidR="00C3713D">
          <w:rPr>
            <w:noProof/>
            <w:webHidden/>
          </w:rPr>
          <w:fldChar w:fldCharType="end"/>
        </w:r>
      </w:hyperlink>
    </w:p>
    <w:p w14:paraId="0EBC1888" w14:textId="338FBEC7"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97" w:history="1">
        <w:r w:rsidR="00C3713D" w:rsidRPr="00EE5F8B">
          <w:rPr>
            <w:rStyle w:val="Hiperpovezava"/>
            <w:rFonts w:eastAsiaTheme="majorEastAsia"/>
            <w:noProof/>
          </w:rPr>
          <w:t>3.2.2.1 Institucionalno varstvo starejših - Domovi za starejše</w:t>
        </w:r>
        <w:r w:rsidR="00C3713D">
          <w:rPr>
            <w:noProof/>
            <w:webHidden/>
          </w:rPr>
          <w:tab/>
        </w:r>
        <w:r w:rsidR="00C3713D">
          <w:rPr>
            <w:noProof/>
            <w:webHidden/>
          </w:rPr>
          <w:fldChar w:fldCharType="begin"/>
        </w:r>
        <w:r w:rsidR="00C3713D">
          <w:rPr>
            <w:noProof/>
            <w:webHidden/>
          </w:rPr>
          <w:instrText xml:space="preserve"> PAGEREF _Toc117692297 \h </w:instrText>
        </w:r>
        <w:r w:rsidR="00C3713D">
          <w:rPr>
            <w:noProof/>
            <w:webHidden/>
          </w:rPr>
        </w:r>
        <w:r w:rsidR="00C3713D">
          <w:rPr>
            <w:noProof/>
            <w:webHidden/>
          </w:rPr>
          <w:fldChar w:fldCharType="separate"/>
        </w:r>
        <w:r>
          <w:rPr>
            <w:noProof/>
            <w:webHidden/>
          </w:rPr>
          <w:t>26</w:t>
        </w:r>
        <w:r w:rsidR="00C3713D">
          <w:rPr>
            <w:noProof/>
            <w:webHidden/>
          </w:rPr>
          <w:fldChar w:fldCharType="end"/>
        </w:r>
      </w:hyperlink>
    </w:p>
    <w:p w14:paraId="6105DCC4" w14:textId="2B735D14"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98" w:history="1">
        <w:r w:rsidR="00C3713D" w:rsidRPr="00EE5F8B">
          <w:rPr>
            <w:rStyle w:val="Hiperpovezava"/>
            <w:rFonts w:eastAsiaTheme="majorEastAsia"/>
            <w:noProof/>
          </w:rPr>
          <w:t>3.2.2.2 Dnevno varstvo in začasne namestitve</w:t>
        </w:r>
        <w:r w:rsidR="00C3713D">
          <w:rPr>
            <w:noProof/>
            <w:webHidden/>
          </w:rPr>
          <w:tab/>
        </w:r>
        <w:r w:rsidR="00C3713D">
          <w:rPr>
            <w:noProof/>
            <w:webHidden/>
          </w:rPr>
          <w:fldChar w:fldCharType="begin"/>
        </w:r>
        <w:r w:rsidR="00C3713D">
          <w:rPr>
            <w:noProof/>
            <w:webHidden/>
          </w:rPr>
          <w:instrText xml:space="preserve"> PAGEREF _Toc117692298 \h </w:instrText>
        </w:r>
        <w:r w:rsidR="00C3713D">
          <w:rPr>
            <w:noProof/>
            <w:webHidden/>
          </w:rPr>
        </w:r>
        <w:r w:rsidR="00C3713D">
          <w:rPr>
            <w:noProof/>
            <w:webHidden/>
          </w:rPr>
          <w:fldChar w:fldCharType="separate"/>
        </w:r>
        <w:r>
          <w:rPr>
            <w:noProof/>
            <w:webHidden/>
          </w:rPr>
          <w:t>27</w:t>
        </w:r>
        <w:r w:rsidR="00C3713D">
          <w:rPr>
            <w:noProof/>
            <w:webHidden/>
          </w:rPr>
          <w:fldChar w:fldCharType="end"/>
        </w:r>
      </w:hyperlink>
    </w:p>
    <w:p w14:paraId="38F3305B" w14:textId="73715811"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299" w:history="1">
        <w:r w:rsidR="00C3713D" w:rsidRPr="00EE5F8B">
          <w:rPr>
            <w:rStyle w:val="Hiperpovezava"/>
            <w:rFonts w:eastAsiaTheme="majorEastAsia"/>
            <w:noProof/>
          </w:rPr>
          <w:t>3.2.2.3 Pomoč na domu</w:t>
        </w:r>
        <w:r w:rsidR="00C3713D">
          <w:rPr>
            <w:noProof/>
            <w:webHidden/>
          </w:rPr>
          <w:tab/>
        </w:r>
        <w:r w:rsidR="00C3713D">
          <w:rPr>
            <w:noProof/>
            <w:webHidden/>
          </w:rPr>
          <w:fldChar w:fldCharType="begin"/>
        </w:r>
        <w:r w:rsidR="00C3713D">
          <w:rPr>
            <w:noProof/>
            <w:webHidden/>
          </w:rPr>
          <w:instrText xml:space="preserve"> PAGEREF _Toc117692299 \h </w:instrText>
        </w:r>
        <w:r w:rsidR="00C3713D">
          <w:rPr>
            <w:noProof/>
            <w:webHidden/>
          </w:rPr>
        </w:r>
        <w:r w:rsidR="00C3713D">
          <w:rPr>
            <w:noProof/>
            <w:webHidden/>
          </w:rPr>
          <w:fldChar w:fldCharType="separate"/>
        </w:r>
        <w:r>
          <w:rPr>
            <w:noProof/>
            <w:webHidden/>
          </w:rPr>
          <w:t>27</w:t>
        </w:r>
        <w:r w:rsidR="00C3713D">
          <w:rPr>
            <w:noProof/>
            <w:webHidden/>
          </w:rPr>
          <w:fldChar w:fldCharType="end"/>
        </w:r>
      </w:hyperlink>
    </w:p>
    <w:p w14:paraId="6492F523" w14:textId="38D58B1B"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00" w:history="1">
        <w:r w:rsidR="00C3713D" w:rsidRPr="00EE5F8B">
          <w:rPr>
            <w:rStyle w:val="Hiperpovezava"/>
            <w:rFonts w:eastAsiaTheme="majorEastAsia"/>
            <w:noProof/>
          </w:rPr>
          <w:t>3.2.3 Storitve in programi v skupnosti</w:t>
        </w:r>
        <w:r w:rsidR="00C3713D">
          <w:rPr>
            <w:noProof/>
            <w:webHidden/>
          </w:rPr>
          <w:tab/>
        </w:r>
        <w:r w:rsidR="00C3713D">
          <w:rPr>
            <w:noProof/>
            <w:webHidden/>
          </w:rPr>
          <w:fldChar w:fldCharType="begin"/>
        </w:r>
        <w:r w:rsidR="00C3713D">
          <w:rPr>
            <w:noProof/>
            <w:webHidden/>
          </w:rPr>
          <w:instrText xml:space="preserve"> PAGEREF _Toc117692300 \h </w:instrText>
        </w:r>
        <w:r w:rsidR="00C3713D">
          <w:rPr>
            <w:noProof/>
            <w:webHidden/>
          </w:rPr>
        </w:r>
        <w:r w:rsidR="00C3713D">
          <w:rPr>
            <w:noProof/>
            <w:webHidden/>
          </w:rPr>
          <w:fldChar w:fldCharType="separate"/>
        </w:r>
        <w:r>
          <w:rPr>
            <w:noProof/>
            <w:webHidden/>
          </w:rPr>
          <w:t>28</w:t>
        </w:r>
        <w:r w:rsidR="00C3713D">
          <w:rPr>
            <w:noProof/>
            <w:webHidden/>
          </w:rPr>
          <w:fldChar w:fldCharType="end"/>
        </w:r>
      </w:hyperlink>
    </w:p>
    <w:p w14:paraId="74D336FF" w14:textId="6E426977"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01" w:history="1">
        <w:r w:rsidR="00C3713D" w:rsidRPr="00EE5F8B">
          <w:rPr>
            <w:rStyle w:val="Hiperpovezava"/>
            <w:rFonts w:eastAsiaTheme="majorEastAsia"/>
            <w:noProof/>
          </w:rPr>
          <w:t>3.2.4. Dejavnosti nevladnih organizacij in neformalnih oskrbovalcev</w:t>
        </w:r>
        <w:r w:rsidR="00C3713D">
          <w:rPr>
            <w:noProof/>
            <w:webHidden/>
          </w:rPr>
          <w:tab/>
        </w:r>
        <w:r w:rsidR="00C3713D">
          <w:rPr>
            <w:noProof/>
            <w:webHidden/>
          </w:rPr>
          <w:fldChar w:fldCharType="begin"/>
        </w:r>
        <w:r w:rsidR="00C3713D">
          <w:rPr>
            <w:noProof/>
            <w:webHidden/>
          </w:rPr>
          <w:instrText xml:space="preserve"> PAGEREF _Toc117692301 \h </w:instrText>
        </w:r>
        <w:r w:rsidR="00C3713D">
          <w:rPr>
            <w:noProof/>
            <w:webHidden/>
          </w:rPr>
        </w:r>
        <w:r w:rsidR="00C3713D">
          <w:rPr>
            <w:noProof/>
            <w:webHidden/>
          </w:rPr>
          <w:fldChar w:fldCharType="separate"/>
        </w:r>
        <w:r>
          <w:rPr>
            <w:noProof/>
            <w:webHidden/>
          </w:rPr>
          <w:t>29</w:t>
        </w:r>
        <w:r w:rsidR="00C3713D">
          <w:rPr>
            <w:noProof/>
            <w:webHidden/>
          </w:rPr>
          <w:fldChar w:fldCharType="end"/>
        </w:r>
      </w:hyperlink>
    </w:p>
    <w:p w14:paraId="65F1DB6E" w14:textId="78F74D4F"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02" w:history="1">
        <w:r w:rsidR="00C3713D" w:rsidRPr="00EE5F8B">
          <w:rPr>
            <w:rStyle w:val="Hiperpovezava"/>
            <w:rFonts w:eastAsiaTheme="majorEastAsia" w:cs="Arial"/>
            <w:noProof/>
            <w:lang w:val="sl-SI"/>
          </w:rPr>
          <w:t>4 ZAGOTAVLJANJE KAKOVOSTI IN VARNOSTI</w:t>
        </w:r>
        <w:r w:rsidR="00C3713D">
          <w:rPr>
            <w:noProof/>
            <w:webHidden/>
          </w:rPr>
          <w:tab/>
        </w:r>
        <w:r w:rsidR="00C3713D">
          <w:rPr>
            <w:noProof/>
            <w:webHidden/>
          </w:rPr>
          <w:fldChar w:fldCharType="begin"/>
        </w:r>
        <w:r w:rsidR="00C3713D">
          <w:rPr>
            <w:noProof/>
            <w:webHidden/>
          </w:rPr>
          <w:instrText xml:space="preserve"> PAGEREF _Toc117692302 \h </w:instrText>
        </w:r>
        <w:r w:rsidR="00C3713D">
          <w:rPr>
            <w:noProof/>
            <w:webHidden/>
          </w:rPr>
        </w:r>
        <w:r w:rsidR="00C3713D">
          <w:rPr>
            <w:noProof/>
            <w:webHidden/>
          </w:rPr>
          <w:fldChar w:fldCharType="separate"/>
        </w:r>
        <w:r>
          <w:rPr>
            <w:noProof/>
            <w:webHidden/>
          </w:rPr>
          <w:t>31</w:t>
        </w:r>
        <w:r w:rsidR="00C3713D">
          <w:rPr>
            <w:noProof/>
            <w:webHidden/>
          </w:rPr>
          <w:fldChar w:fldCharType="end"/>
        </w:r>
      </w:hyperlink>
    </w:p>
    <w:p w14:paraId="0A7C027A" w14:textId="250EB675"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03" w:history="1">
        <w:r w:rsidR="00C3713D" w:rsidRPr="00EE5F8B">
          <w:rPr>
            <w:rStyle w:val="Hiperpovezava"/>
            <w:rFonts w:eastAsiaTheme="majorEastAsia"/>
            <w:noProof/>
          </w:rPr>
          <w:t>4.1 Strokovne smernice in klinične poti za kakovostno in varno obravnavo demence</w:t>
        </w:r>
        <w:r w:rsidR="00C3713D">
          <w:rPr>
            <w:noProof/>
            <w:webHidden/>
          </w:rPr>
          <w:tab/>
        </w:r>
        <w:r w:rsidR="00C3713D">
          <w:rPr>
            <w:noProof/>
            <w:webHidden/>
          </w:rPr>
          <w:fldChar w:fldCharType="begin"/>
        </w:r>
        <w:r w:rsidR="00C3713D">
          <w:rPr>
            <w:noProof/>
            <w:webHidden/>
          </w:rPr>
          <w:instrText xml:space="preserve"> PAGEREF _Toc117692303 \h </w:instrText>
        </w:r>
        <w:r w:rsidR="00C3713D">
          <w:rPr>
            <w:noProof/>
            <w:webHidden/>
          </w:rPr>
        </w:r>
        <w:r w:rsidR="00C3713D">
          <w:rPr>
            <w:noProof/>
            <w:webHidden/>
          </w:rPr>
          <w:fldChar w:fldCharType="separate"/>
        </w:r>
        <w:r>
          <w:rPr>
            <w:noProof/>
            <w:webHidden/>
          </w:rPr>
          <w:t>31</w:t>
        </w:r>
        <w:r w:rsidR="00C3713D">
          <w:rPr>
            <w:noProof/>
            <w:webHidden/>
          </w:rPr>
          <w:fldChar w:fldCharType="end"/>
        </w:r>
      </w:hyperlink>
    </w:p>
    <w:p w14:paraId="5277AAEE" w14:textId="31B25A28"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04" w:history="1">
        <w:r w:rsidR="00C3713D" w:rsidRPr="00EE5F8B">
          <w:rPr>
            <w:rStyle w:val="Hiperpovezava"/>
            <w:rFonts w:eastAsiaTheme="majorEastAsia"/>
            <w:noProof/>
          </w:rPr>
          <w:t>4.2 Protokoli sodelovanja</w:t>
        </w:r>
        <w:r w:rsidR="00C3713D">
          <w:rPr>
            <w:noProof/>
            <w:webHidden/>
          </w:rPr>
          <w:tab/>
        </w:r>
        <w:r w:rsidR="00C3713D">
          <w:rPr>
            <w:noProof/>
            <w:webHidden/>
          </w:rPr>
          <w:fldChar w:fldCharType="begin"/>
        </w:r>
        <w:r w:rsidR="00C3713D">
          <w:rPr>
            <w:noProof/>
            <w:webHidden/>
          </w:rPr>
          <w:instrText xml:space="preserve"> PAGEREF _Toc117692304 \h </w:instrText>
        </w:r>
        <w:r w:rsidR="00C3713D">
          <w:rPr>
            <w:noProof/>
            <w:webHidden/>
          </w:rPr>
        </w:r>
        <w:r w:rsidR="00C3713D">
          <w:rPr>
            <w:noProof/>
            <w:webHidden/>
          </w:rPr>
          <w:fldChar w:fldCharType="separate"/>
        </w:r>
        <w:r>
          <w:rPr>
            <w:noProof/>
            <w:webHidden/>
          </w:rPr>
          <w:t>32</w:t>
        </w:r>
        <w:r w:rsidR="00C3713D">
          <w:rPr>
            <w:noProof/>
            <w:webHidden/>
          </w:rPr>
          <w:fldChar w:fldCharType="end"/>
        </w:r>
      </w:hyperlink>
    </w:p>
    <w:p w14:paraId="53E55788" w14:textId="141994B7"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05" w:history="1">
        <w:r w:rsidR="00C3713D" w:rsidRPr="00EE5F8B">
          <w:rPr>
            <w:rStyle w:val="Hiperpovezava"/>
            <w:rFonts w:eastAsiaTheme="majorEastAsia"/>
            <w:noProof/>
          </w:rPr>
          <w:t>5 KADRI</w:t>
        </w:r>
        <w:r w:rsidR="00C3713D">
          <w:rPr>
            <w:noProof/>
            <w:webHidden/>
          </w:rPr>
          <w:tab/>
        </w:r>
        <w:r w:rsidR="00C3713D">
          <w:rPr>
            <w:noProof/>
            <w:webHidden/>
          </w:rPr>
          <w:fldChar w:fldCharType="begin"/>
        </w:r>
        <w:r w:rsidR="00C3713D">
          <w:rPr>
            <w:noProof/>
            <w:webHidden/>
          </w:rPr>
          <w:instrText xml:space="preserve"> PAGEREF _Toc117692305 \h </w:instrText>
        </w:r>
        <w:r w:rsidR="00C3713D">
          <w:rPr>
            <w:noProof/>
            <w:webHidden/>
          </w:rPr>
        </w:r>
        <w:r w:rsidR="00C3713D">
          <w:rPr>
            <w:noProof/>
            <w:webHidden/>
          </w:rPr>
          <w:fldChar w:fldCharType="separate"/>
        </w:r>
        <w:r>
          <w:rPr>
            <w:noProof/>
            <w:webHidden/>
          </w:rPr>
          <w:t>33</w:t>
        </w:r>
        <w:r w:rsidR="00C3713D">
          <w:rPr>
            <w:noProof/>
            <w:webHidden/>
          </w:rPr>
          <w:fldChar w:fldCharType="end"/>
        </w:r>
      </w:hyperlink>
    </w:p>
    <w:p w14:paraId="205BEBE7" w14:textId="0245305D"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06" w:history="1">
        <w:r w:rsidR="00C3713D" w:rsidRPr="00EE5F8B">
          <w:rPr>
            <w:rStyle w:val="Hiperpovezava"/>
            <w:rFonts w:eastAsiaTheme="majorEastAsia"/>
            <w:noProof/>
          </w:rPr>
          <w:t>6 IZOBRAŽEVANJE IN RAZISKAVE</w:t>
        </w:r>
        <w:r w:rsidR="00C3713D">
          <w:rPr>
            <w:noProof/>
            <w:webHidden/>
          </w:rPr>
          <w:tab/>
        </w:r>
        <w:r w:rsidR="00C3713D">
          <w:rPr>
            <w:noProof/>
            <w:webHidden/>
          </w:rPr>
          <w:fldChar w:fldCharType="begin"/>
        </w:r>
        <w:r w:rsidR="00C3713D">
          <w:rPr>
            <w:noProof/>
            <w:webHidden/>
          </w:rPr>
          <w:instrText xml:space="preserve"> PAGEREF _Toc117692306 \h </w:instrText>
        </w:r>
        <w:r w:rsidR="00C3713D">
          <w:rPr>
            <w:noProof/>
            <w:webHidden/>
          </w:rPr>
        </w:r>
        <w:r w:rsidR="00C3713D">
          <w:rPr>
            <w:noProof/>
            <w:webHidden/>
          </w:rPr>
          <w:fldChar w:fldCharType="separate"/>
        </w:r>
        <w:r>
          <w:rPr>
            <w:noProof/>
            <w:webHidden/>
          </w:rPr>
          <w:t>34</w:t>
        </w:r>
        <w:r w:rsidR="00C3713D">
          <w:rPr>
            <w:noProof/>
            <w:webHidden/>
          </w:rPr>
          <w:fldChar w:fldCharType="end"/>
        </w:r>
      </w:hyperlink>
    </w:p>
    <w:p w14:paraId="0175BB30" w14:textId="13D5AD3C"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07" w:history="1">
        <w:r w:rsidR="00C3713D" w:rsidRPr="00EE5F8B">
          <w:rPr>
            <w:rStyle w:val="Hiperpovezava"/>
            <w:rFonts w:eastAsiaTheme="majorEastAsia"/>
            <w:noProof/>
          </w:rPr>
          <w:t>6.1 Izobraževanje</w:t>
        </w:r>
        <w:r w:rsidR="00C3713D">
          <w:rPr>
            <w:noProof/>
            <w:webHidden/>
          </w:rPr>
          <w:tab/>
        </w:r>
        <w:r w:rsidR="00C3713D">
          <w:rPr>
            <w:noProof/>
            <w:webHidden/>
          </w:rPr>
          <w:fldChar w:fldCharType="begin"/>
        </w:r>
        <w:r w:rsidR="00C3713D">
          <w:rPr>
            <w:noProof/>
            <w:webHidden/>
          </w:rPr>
          <w:instrText xml:space="preserve"> PAGEREF _Toc117692307 \h </w:instrText>
        </w:r>
        <w:r w:rsidR="00C3713D">
          <w:rPr>
            <w:noProof/>
            <w:webHidden/>
          </w:rPr>
        </w:r>
        <w:r w:rsidR="00C3713D">
          <w:rPr>
            <w:noProof/>
            <w:webHidden/>
          </w:rPr>
          <w:fldChar w:fldCharType="separate"/>
        </w:r>
        <w:r>
          <w:rPr>
            <w:noProof/>
            <w:webHidden/>
          </w:rPr>
          <w:t>34</w:t>
        </w:r>
        <w:r w:rsidR="00C3713D">
          <w:rPr>
            <w:noProof/>
            <w:webHidden/>
          </w:rPr>
          <w:fldChar w:fldCharType="end"/>
        </w:r>
      </w:hyperlink>
    </w:p>
    <w:p w14:paraId="1C9AD1BE" w14:textId="1129AC31"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08" w:history="1">
        <w:r w:rsidR="00C3713D" w:rsidRPr="00EE5F8B">
          <w:rPr>
            <w:rStyle w:val="Hiperpovezava"/>
            <w:rFonts w:eastAsiaTheme="majorEastAsia"/>
            <w:noProof/>
          </w:rPr>
          <w:t>6.2 Raziskovanje</w:t>
        </w:r>
        <w:r w:rsidR="00C3713D">
          <w:rPr>
            <w:noProof/>
            <w:webHidden/>
          </w:rPr>
          <w:tab/>
        </w:r>
        <w:r w:rsidR="00C3713D">
          <w:rPr>
            <w:noProof/>
            <w:webHidden/>
          </w:rPr>
          <w:fldChar w:fldCharType="begin"/>
        </w:r>
        <w:r w:rsidR="00C3713D">
          <w:rPr>
            <w:noProof/>
            <w:webHidden/>
          </w:rPr>
          <w:instrText xml:space="preserve"> PAGEREF _Toc117692308 \h </w:instrText>
        </w:r>
        <w:r w:rsidR="00C3713D">
          <w:rPr>
            <w:noProof/>
            <w:webHidden/>
          </w:rPr>
        </w:r>
        <w:r w:rsidR="00C3713D">
          <w:rPr>
            <w:noProof/>
            <w:webHidden/>
          </w:rPr>
          <w:fldChar w:fldCharType="separate"/>
        </w:r>
        <w:r>
          <w:rPr>
            <w:noProof/>
            <w:webHidden/>
          </w:rPr>
          <w:t>34</w:t>
        </w:r>
        <w:r w:rsidR="00C3713D">
          <w:rPr>
            <w:noProof/>
            <w:webHidden/>
          </w:rPr>
          <w:fldChar w:fldCharType="end"/>
        </w:r>
      </w:hyperlink>
    </w:p>
    <w:p w14:paraId="7A6D2D6E" w14:textId="7C2B86AB"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09" w:history="1">
        <w:r w:rsidR="00C3713D" w:rsidRPr="00EE5F8B">
          <w:rPr>
            <w:rStyle w:val="Hiperpovezava"/>
            <w:rFonts w:eastAsiaTheme="majorEastAsia"/>
            <w:noProof/>
          </w:rPr>
          <w:t>7 DEJAVNOSTI ZA OBVLADOVANJE DEMENCE V ČASU EPIDEMIJE IN DRUGIH KRIZ</w:t>
        </w:r>
        <w:r w:rsidR="00C3713D">
          <w:rPr>
            <w:noProof/>
            <w:webHidden/>
          </w:rPr>
          <w:tab/>
        </w:r>
        <w:r w:rsidR="00C3713D">
          <w:rPr>
            <w:noProof/>
            <w:webHidden/>
          </w:rPr>
          <w:fldChar w:fldCharType="begin"/>
        </w:r>
        <w:r w:rsidR="00C3713D">
          <w:rPr>
            <w:noProof/>
            <w:webHidden/>
          </w:rPr>
          <w:instrText xml:space="preserve"> PAGEREF _Toc117692309 \h </w:instrText>
        </w:r>
        <w:r w:rsidR="00C3713D">
          <w:rPr>
            <w:noProof/>
            <w:webHidden/>
          </w:rPr>
        </w:r>
        <w:r w:rsidR="00C3713D">
          <w:rPr>
            <w:noProof/>
            <w:webHidden/>
          </w:rPr>
          <w:fldChar w:fldCharType="separate"/>
        </w:r>
        <w:r>
          <w:rPr>
            <w:noProof/>
            <w:webHidden/>
          </w:rPr>
          <w:t>36</w:t>
        </w:r>
        <w:r w:rsidR="00C3713D">
          <w:rPr>
            <w:noProof/>
            <w:webHidden/>
          </w:rPr>
          <w:fldChar w:fldCharType="end"/>
        </w:r>
      </w:hyperlink>
    </w:p>
    <w:p w14:paraId="4974BE46" w14:textId="4ED04E54"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10" w:history="1">
        <w:r w:rsidR="00C3713D" w:rsidRPr="00EE5F8B">
          <w:rPr>
            <w:rStyle w:val="Hiperpovezava"/>
            <w:rFonts w:eastAsiaTheme="majorEastAsia"/>
            <w:noProof/>
            <w:kern w:val="28"/>
          </w:rPr>
          <w:t xml:space="preserve">8 VODENJE, KOORDINACIJA IN EVALVACIJA IMPLEMENTACIJE STRATEGIJE </w:t>
        </w:r>
        <w:r w:rsidR="00C3713D" w:rsidRPr="00EE5F8B">
          <w:rPr>
            <w:rStyle w:val="Hiperpovezava"/>
            <w:rFonts w:eastAsiaTheme="majorEastAsia"/>
            <w:b/>
            <w:bCs/>
            <w:noProof/>
          </w:rPr>
          <w:t xml:space="preserve"> </w:t>
        </w:r>
        <w:r w:rsidR="00C3713D" w:rsidRPr="00EE5F8B">
          <w:rPr>
            <w:rStyle w:val="Hiperpovezava"/>
            <w:rFonts w:eastAsiaTheme="majorEastAsia"/>
            <w:noProof/>
          </w:rPr>
          <w:t>TER IZHODIŠČA ZA  AKCIJSKI  NAČRT</w:t>
        </w:r>
        <w:r w:rsidR="00C3713D">
          <w:rPr>
            <w:noProof/>
            <w:webHidden/>
          </w:rPr>
          <w:tab/>
        </w:r>
        <w:r w:rsidR="00C3713D">
          <w:rPr>
            <w:noProof/>
            <w:webHidden/>
          </w:rPr>
          <w:fldChar w:fldCharType="begin"/>
        </w:r>
        <w:r w:rsidR="00C3713D">
          <w:rPr>
            <w:noProof/>
            <w:webHidden/>
          </w:rPr>
          <w:instrText xml:space="preserve"> PAGEREF _Toc117692310 \h </w:instrText>
        </w:r>
        <w:r w:rsidR="00C3713D">
          <w:rPr>
            <w:noProof/>
            <w:webHidden/>
          </w:rPr>
        </w:r>
        <w:r w:rsidR="00C3713D">
          <w:rPr>
            <w:noProof/>
            <w:webHidden/>
          </w:rPr>
          <w:fldChar w:fldCharType="separate"/>
        </w:r>
        <w:r>
          <w:rPr>
            <w:noProof/>
            <w:webHidden/>
          </w:rPr>
          <w:t>37</w:t>
        </w:r>
        <w:r w:rsidR="00C3713D">
          <w:rPr>
            <w:noProof/>
            <w:webHidden/>
          </w:rPr>
          <w:fldChar w:fldCharType="end"/>
        </w:r>
      </w:hyperlink>
    </w:p>
    <w:p w14:paraId="1EB4557B" w14:textId="1860341F"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11" w:history="1">
        <w:r w:rsidR="00C3713D" w:rsidRPr="00EE5F8B">
          <w:rPr>
            <w:rStyle w:val="Hiperpovezava"/>
            <w:rFonts w:eastAsiaTheme="majorEastAsia"/>
            <w:noProof/>
            <w:kern w:val="28"/>
          </w:rPr>
          <w:t>9.</w:t>
        </w:r>
        <w:r w:rsidR="00C3713D" w:rsidRPr="00EE5F8B">
          <w:rPr>
            <w:rStyle w:val="Hiperpovezava"/>
            <w:rFonts w:eastAsiaTheme="majorEastAsia"/>
            <w:b/>
            <w:bCs/>
            <w:noProof/>
            <w:kern w:val="28"/>
          </w:rPr>
          <w:t xml:space="preserve"> </w:t>
        </w:r>
        <w:r w:rsidR="00C3713D" w:rsidRPr="00EE5F8B">
          <w:rPr>
            <w:rStyle w:val="Hiperpovezava"/>
            <w:rFonts w:eastAsiaTheme="majorEastAsia"/>
            <w:noProof/>
            <w:kern w:val="28"/>
          </w:rPr>
          <w:t>POJMOVNIK</w:t>
        </w:r>
        <w:r w:rsidR="00C3713D">
          <w:rPr>
            <w:noProof/>
            <w:webHidden/>
          </w:rPr>
          <w:tab/>
        </w:r>
        <w:r w:rsidR="00C3713D">
          <w:rPr>
            <w:noProof/>
            <w:webHidden/>
          </w:rPr>
          <w:fldChar w:fldCharType="begin"/>
        </w:r>
        <w:r w:rsidR="00C3713D">
          <w:rPr>
            <w:noProof/>
            <w:webHidden/>
          </w:rPr>
          <w:instrText xml:space="preserve"> PAGEREF _Toc117692311 \h </w:instrText>
        </w:r>
        <w:r w:rsidR="00C3713D">
          <w:rPr>
            <w:noProof/>
            <w:webHidden/>
          </w:rPr>
        </w:r>
        <w:r w:rsidR="00C3713D">
          <w:rPr>
            <w:noProof/>
            <w:webHidden/>
          </w:rPr>
          <w:fldChar w:fldCharType="separate"/>
        </w:r>
        <w:r>
          <w:rPr>
            <w:noProof/>
            <w:webHidden/>
          </w:rPr>
          <w:t>38</w:t>
        </w:r>
        <w:r w:rsidR="00C3713D">
          <w:rPr>
            <w:noProof/>
            <w:webHidden/>
          </w:rPr>
          <w:fldChar w:fldCharType="end"/>
        </w:r>
      </w:hyperlink>
    </w:p>
    <w:p w14:paraId="073FFF31" w14:textId="78959A49" w:rsidR="00C3713D" w:rsidRDefault="003D1C3B">
      <w:pPr>
        <w:pStyle w:val="Kazalovsebine1"/>
        <w:tabs>
          <w:tab w:val="right" w:leader="dot" w:pos="8488"/>
        </w:tabs>
        <w:rPr>
          <w:rFonts w:asciiTheme="minorHAnsi" w:eastAsiaTheme="minorEastAsia" w:hAnsiTheme="minorHAnsi" w:cstheme="minorBidi"/>
          <w:noProof/>
          <w:sz w:val="22"/>
          <w:szCs w:val="22"/>
          <w:lang w:val="sl-SI" w:eastAsia="sl-SI"/>
        </w:rPr>
      </w:pPr>
      <w:hyperlink w:anchor="_Toc117692312" w:history="1">
        <w:r w:rsidR="00C3713D" w:rsidRPr="00EE5F8B">
          <w:rPr>
            <w:rStyle w:val="Hiperpovezava"/>
            <w:rFonts w:eastAsiaTheme="majorEastAsia"/>
            <w:noProof/>
          </w:rPr>
          <w:t>10 LITERATURA</w:t>
        </w:r>
        <w:r w:rsidR="00C3713D">
          <w:rPr>
            <w:noProof/>
            <w:webHidden/>
          </w:rPr>
          <w:tab/>
        </w:r>
        <w:r w:rsidR="00C3713D">
          <w:rPr>
            <w:noProof/>
            <w:webHidden/>
          </w:rPr>
          <w:fldChar w:fldCharType="begin"/>
        </w:r>
        <w:r w:rsidR="00C3713D">
          <w:rPr>
            <w:noProof/>
            <w:webHidden/>
          </w:rPr>
          <w:instrText xml:space="preserve"> PAGEREF _Toc117692312 \h </w:instrText>
        </w:r>
        <w:r w:rsidR="00C3713D">
          <w:rPr>
            <w:noProof/>
            <w:webHidden/>
          </w:rPr>
        </w:r>
        <w:r w:rsidR="00C3713D">
          <w:rPr>
            <w:noProof/>
            <w:webHidden/>
          </w:rPr>
          <w:fldChar w:fldCharType="separate"/>
        </w:r>
        <w:r>
          <w:rPr>
            <w:noProof/>
            <w:webHidden/>
          </w:rPr>
          <w:t>40</w:t>
        </w:r>
        <w:r w:rsidR="00C3713D">
          <w:rPr>
            <w:noProof/>
            <w:webHidden/>
          </w:rPr>
          <w:fldChar w:fldCharType="end"/>
        </w:r>
      </w:hyperlink>
    </w:p>
    <w:p w14:paraId="395A545F" w14:textId="3D2DB46C" w:rsidR="00AF1A0E" w:rsidRPr="00885BD1" w:rsidRDefault="003C7E4E" w:rsidP="00CD4BC8">
      <w:pPr>
        <w:jc w:val="both"/>
        <w:rPr>
          <w:rFonts w:cs="Arial"/>
          <w:szCs w:val="20"/>
          <w:lang w:val="sl-SI"/>
        </w:rPr>
      </w:pPr>
      <w:r w:rsidRPr="00885BD1">
        <w:rPr>
          <w:rFonts w:cs="Arial"/>
          <w:szCs w:val="20"/>
          <w:lang w:val="sl-SI"/>
        </w:rPr>
        <w:fldChar w:fldCharType="end"/>
      </w:r>
    </w:p>
    <w:p w14:paraId="30EE3404" w14:textId="77777777" w:rsidR="00E546B0" w:rsidRDefault="00E546B0">
      <w:pPr>
        <w:spacing w:line="240" w:lineRule="auto"/>
        <w:rPr>
          <w:rFonts w:eastAsiaTheme="majorEastAsia" w:cs="Arial"/>
          <w:color w:val="2F5496" w:themeColor="accent1" w:themeShade="BF"/>
          <w:kern w:val="32"/>
          <w:szCs w:val="20"/>
          <w:lang w:val="sl-SI" w:eastAsia="sl-SI"/>
        </w:rPr>
      </w:pPr>
      <w:bookmarkStart w:id="0" w:name="_Toc62108576"/>
      <w:bookmarkStart w:id="1" w:name="_Toc62108595"/>
      <w:r>
        <w:br w:type="page"/>
      </w:r>
    </w:p>
    <w:p w14:paraId="2D1BA19A" w14:textId="732A182C" w:rsidR="00525D27" w:rsidRPr="00885BD1" w:rsidRDefault="00525D27" w:rsidP="00E546B0">
      <w:pPr>
        <w:pStyle w:val="Naslov1"/>
      </w:pPr>
      <w:bookmarkStart w:id="2" w:name="_Toc117692273"/>
      <w:r w:rsidRPr="00885BD1">
        <w:lastRenderedPageBreak/>
        <w:t>UPORABA KRATIC</w:t>
      </w:r>
      <w:bookmarkEnd w:id="2"/>
    </w:p>
    <w:p w14:paraId="31BAB7D8" w14:textId="77777777" w:rsidR="00525D27" w:rsidRPr="00885BD1" w:rsidRDefault="00525D27" w:rsidP="00525D27">
      <w:pPr>
        <w:rPr>
          <w:lang w:val="sl-SI" w:eastAsia="sl-SI"/>
        </w:rPr>
      </w:pPr>
    </w:p>
    <w:p w14:paraId="1E481139" w14:textId="443DBB3A" w:rsidR="00525D27" w:rsidRPr="00885BD1" w:rsidRDefault="00525D27" w:rsidP="001A28F3">
      <w:pPr>
        <w:spacing w:line="288" w:lineRule="auto"/>
        <w:rPr>
          <w:lang w:val="sl-SI"/>
        </w:rPr>
      </w:pPr>
      <w:r w:rsidRPr="00885BD1">
        <w:rPr>
          <w:lang w:val="sl-SI"/>
        </w:rPr>
        <w:t xml:space="preserve">AE </w:t>
      </w:r>
      <w:r w:rsidR="0075411E" w:rsidRPr="00885BD1">
        <w:rPr>
          <w:lang w:val="sl-SI"/>
        </w:rPr>
        <w:t xml:space="preserve">– </w:t>
      </w:r>
      <w:r w:rsidRPr="00885BD1">
        <w:rPr>
          <w:lang w:val="sl-SI"/>
        </w:rPr>
        <w:t xml:space="preserve">Alzheimer Europe </w:t>
      </w:r>
    </w:p>
    <w:p w14:paraId="7AB4AA30" w14:textId="45984F99" w:rsidR="00525D27" w:rsidRPr="00885BD1" w:rsidRDefault="00525D27" w:rsidP="001A28F3">
      <w:pPr>
        <w:spacing w:line="288" w:lineRule="auto"/>
        <w:rPr>
          <w:lang w:val="sl-SI"/>
        </w:rPr>
      </w:pPr>
      <w:r w:rsidRPr="00885BD1">
        <w:rPr>
          <w:lang w:val="sl-SI"/>
        </w:rPr>
        <w:t xml:space="preserve">ADI </w:t>
      </w:r>
      <w:r w:rsidR="0075411E" w:rsidRPr="00885BD1">
        <w:rPr>
          <w:lang w:val="sl-SI"/>
        </w:rPr>
        <w:t xml:space="preserve">– </w:t>
      </w:r>
      <w:r w:rsidRPr="00885BD1">
        <w:rPr>
          <w:lang w:val="sl-SI"/>
        </w:rPr>
        <w:t xml:space="preserve">Alzheimer's Disease International </w:t>
      </w:r>
    </w:p>
    <w:p w14:paraId="7E2E2D1B" w14:textId="77777777" w:rsidR="00C90092" w:rsidRPr="00885BD1" w:rsidRDefault="00C96F44" w:rsidP="001A28F3">
      <w:pPr>
        <w:spacing w:line="288" w:lineRule="auto"/>
        <w:rPr>
          <w:lang w:val="sl-SI"/>
        </w:rPr>
      </w:pPr>
      <w:r w:rsidRPr="00885BD1">
        <w:rPr>
          <w:lang w:val="sl-SI"/>
        </w:rPr>
        <w:t xml:space="preserve">ADM </w:t>
      </w:r>
      <w:r w:rsidR="00CA5025" w:rsidRPr="00885BD1">
        <w:rPr>
          <w:lang w:val="sl-SI"/>
        </w:rPr>
        <w:t>– ambulanta družinske medicine</w:t>
      </w:r>
      <w:r w:rsidR="00C90092" w:rsidRPr="00885BD1">
        <w:rPr>
          <w:lang w:val="sl-SI"/>
        </w:rPr>
        <w:t xml:space="preserve"> </w:t>
      </w:r>
    </w:p>
    <w:p w14:paraId="49FBAE7B" w14:textId="1B73F734" w:rsidR="00C90092" w:rsidRPr="00885BD1" w:rsidRDefault="00C90092" w:rsidP="00C90092">
      <w:pPr>
        <w:spacing w:line="288" w:lineRule="auto"/>
        <w:rPr>
          <w:lang w:val="sl-SI"/>
        </w:rPr>
      </w:pPr>
      <w:r w:rsidRPr="00885BD1">
        <w:rPr>
          <w:lang w:val="sl-SI"/>
        </w:rPr>
        <w:t xml:space="preserve">CKM - Center za kognitivne motnje UKC Ljubljana </w:t>
      </w:r>
    </w:p>
    <w:p w14:paraId="7A521329" w14:textId="1715F910" w:rsidR="00452458" w:rsidRPr="00885BD1" w:rsidRDefault="00452458" w:rsidP="001A28F3">
      <w:pPr>
        <w:spacing w:line="288" w:lineRule="auto"/>
        <w:rPr>
          <w:lang w:val="sl-SI"/>
        </w:rPr>
      </w:pPr>
      <w:r w:rsidRPr="00885BD1">
        <w:rPr>
          <w:lang w:val="sl-SI"/>
        </w:rPr>
        <w:t xml:space="preserve">CKZ </w:t>
      </w:r>
      <w:r w:rsidR="0075411E" w:rsidRPr="00885BD1">
        <w:rPr>
          <w:lang w:val="sl-SI"/>
        </w:rPr>
        <w:t>– c</w:t>
      </w:r>
      <w:r w:rsidRPr="00885BD1">
        <w:rPr>
          <w:lang w:val="sl-SI"/>
        </w:rPr>
        <w:t>ente</w:t>
      </w:r>
      <w:r w:rsidR="0075411E" w:rsidRPr="00885BD1">
        <w:rPr>
          <w:lang w:val="sl-SI"/>
        </w:rPr>
        <w:t>r</w:t>
      </w:r>
      <w:r w:rsidRPr="00885BD1">
        <w:rPr>
          <w:lang w:val="sl-SI"/>
        </w:rPr>
        <w:t xml:space="preserve"> za krepitev zdravja.</w:t>
      </w:r>
    </w:p>
    <w:p w14:paraId="088EE4AF" w14:textId="77777777" w:rsidR="006D0E78" w:rsidRPr="00885BD1" w:rsidRDefault="00601A35" w:rsidP="001A28F3">
      <w:pPr>
        <w:spacing w:line="288" w:lineRule="auto"/>
        <w:rPr>
          <w:lang w:val="sl-SI"/>
        </w:rPr>
      </w:pPr>
      <w:r w:rsidRPr="00885BD1">
        <w:rPr>
          <w:lang w:val="sl-SI"/>
        </w:rPr>
        <w:t xml:space="preserve">CDZO </w:t>
      </w:r>
      <w:r w:rsidR="0075411E" w:rsidRPr="00885BD1">
        <w:rPr>
          <w:lang w:val="sl-SI"/>
        </w:rPr>
        <w:t xml:space="preserve">– </w:t>
      </w:r>
      <w:r w:rsidRPr="00885BD1">
        <w:rPr>
          <w:lang w:val="sl-SI"/>
        </w:rPr>
        <w:t>cent</w:t>
      </w:r>
      <w:r w:rsidR="0075411E" w:rsidRPr="00885BD1">
        <w:rPr>
          <w:lang w:val="sl-SI"/>
        </w:rPr>
        <w:t>e</w:t>
      </w:r>
      <w:r w:rsidRPr="00885BD1">
        <w:rPr>
          <w:lang w:val="sl-SI"/>
        </w:rPr>
        <w:t>r za duševno zdravje odraslih</w:t>
      </w:r>
    </w:p>
    <w:p w14:paraId="18D5CE41" w14:textId="44CFF8C6" w:rsidR="00601A35" w:rsidRPr="00885BD1" w:rsidRDefault="006D0E78" w:rsidP="006D0E78">
      <w:pPr>
        <w:spacing w:line="288" w:lineRule="auto"/>
        <w:rPr>
          <w:lang w:val="sl-SI"/>
        </w:rPr>
      </w:pPr>
      <w:r w:rsidRPr="00885BD1">
        <w:rPr>
          <w:lang w:val="sl-SI"/>
        </w:rPr>
        <w:t xml:space="preserve">DM - družinska medicina </w:t>
      </w:r>
    </w:p>
    <w:p w14:paraId="6CEAAF4E" w14:textId="15CF9F55" w:rsidR="00562C9D" w:rsidRDefault="00562C9D" w:rsidP="001A28F3">
      <w:pPr>
        <w:spacing w:line="288" w:lineRule="auto"/>
        <w:rPr>
          <w:lang w:val="sl-SI"/>
        </w:rPr>
      </w:pPr>
      <w:r w:rsidRPr="00885BD1">
        <w:rPr>
          <w:lang w:val="sl-SI"/>
        </w:rPr>
        <w:t xml:space="preserve">DO </w:t>
      </w:r>
      <w:r w:rsidR="0075411E" w:rsidRPr="00885BD1">
        <w:rPr>
          <w:lang w:val="sl-SI"/>
        </w:rPr>
        <w:t>– d</w:t>
      </w:r>
      <w:r w:rsidRPr="00885BD1">
        <w:rPr>
          <w:lang w:val="sl-SI"/>
        </w:rPr>
        <w:t>olgotrajna oskrba</w:t>
      </w:r>
    </w:p>
    <w:p w14:paraId="59202FFB" w14:textId="01F2C6F5" w:rsidR="00621F89" w:rsidRPr="00885BD1" w:rsidRDefault="00621F89" w:rsidP="001A28F3">
      <w:pPr>
        <w:spacing w:line="288" w:lineRule="auto"/>
        <w:rPr>
          <w:lang w:val="sl-SI"/>
        </w:rPr>
      </w:pPr>
      <w:r>
        <w:rPr>
          <w:lang w:val="sl-SI"/>
        </w:rPr>
        <w:t>E</w:t>
      </w:r>
      <w:r w:rsidRPr="00621F89">
        <w:rPr>
          <w:lang w:val="sl-SI"/>
        </w:rPr>
        <w:t>GP</w:t>
      </w:r>
      <w:r w:rsidRPr="00C55468">
        <w:rPr>
          <w:lang w:val="sl-SI"/>
        </w:rPr>
        <w:t xml:space="preserve"> - </w:t>
      </w:r>
      <w:r w:rsidR="002A7BD1">
        <w:rPr>
          <w:lang w:val="sl-SI"/>
        </w:rPr>
        <w:t>E</w:t>
      </w:r>
      <w:r w:rsidRPr="00621F89">
        <w:rPr>
          <w:lang w:val="sl-SI"/>
        </w:rPr>
        <w:t>not</w:t>
      </w:r>
      <w:r w:rsidR="002A7BD1">
        <w:rPr>
          <w:lang w:val="sl-SI"/>
        </w:rPr>
        <w:t>a</w:t>
      </w:r>
      <w:r w:rsidRPr="00621F89">
        <w:rPr>
          <w:lang w:val="sl-SI"/>
        </w:rPr>
        <w:t xml:space="preserve"> za gerontopsihiatrijo</w:t>
      </w:r>
    </w:p>
    <w:p w14:paraId="5780F406" w14:textId="5E571097" w:rsidR="00452458" w:rsidRPr="00885BD1" w:rsidRDefault="00452458" w:rsidP="001A28F3">
      <w:pPr>
        <w:spacing w:line="288" w:lineRule="auto"/>
        <w:rPr>
          <w:lang w:val="sl-SI"/>
        </w:rPr>
      </w:pPr>
      <w:r w:rsidRPr="00885BD1">
        <w:rPr>
          <w:lang w:val="sl-SI"/>
        </w:rPr>
        <w:t>KPSS – kratek preizkus spoznavnih sposobnosti</w:t>
      </w:r>
    </w:p>
    <w:p w14:paraId="47D67CD3" w14:textId="0F573FF1" w:rsidR="00525D27" w:rsidRPr="00885BD1" w:rsidRDefault="00525D27" w:rsidP="001A28F3">
      <w:pPr>
        <w:spacing w:line="288" w:lineRule="auto"/>
        <w:rPr>
          <w:lang w:val="sl-SI"/>
        </w:rPr>
      </w:pPr>
      <w:r w:rsidRPr="00885BD1">
        <w:rPr>
          <w:lang w:val="sl-SI"/>
        </w:rPr>
        <w:t xml:space="preserve">LPSR </w:t>
      </w:r>
      <w:r w:rsidR="0075411E" w:rsidRPr="00885BD1">
        <w:rPr>
          <w:lang w:val="sl-SI"/>
        </w:rPr>
        <w:t xml:space="preserve">– </w:t>
      </w:r>
      <w:r w:rsidRPr="00885BD1">
        <w:rPr>
          <w:lang w:val="sl-SI"/>
        </w:rPr>
        <w:t>Letni program statističnih raziskovanj</w:t>
      </w:r>
    </w:p>
    <w:p w14:paraId="213CAC63" w14:textId="7206860D" w:rsidR="007E796A" w:rsidRPr="00885BD1" w:rsidRDefault="007E796A" w:rsidP="001A28F3">
      <w:pPr>
        <w:spacing w:line="288" w:lineRule="auto"/>
        <w:rPr>
          <w:lang w:val="sl-SI"/>
        </w:rPr>
      </w:pPr>
      <w:r w:rsidRPr="00885BD1">
        <w:rPr>
          <w:lang w:val="sl-SI"/>
        </w:rPr>
        <w:t xml:space="preserve">MDDSZ – Ministrstvo za delo, družino, socialne zadeve in enke možnosti  </w:t>
      </w:r>
    </w:p>
    <w:p w14:paraId="35080BEA" w14:textId="77777777" w:rsidR="00621F89" w:rsidRDefault="007E796A" w:rsidP="001A28F3">
      <w:pPr>
        <w:spacing w:line="288" w:lineRule="auto"/>
        <w:rPr>
          <w:lang w:val="sl-SI"/>
        </w:rPr>
      </w:pPr>
      <w:r w:rsidRPr="00885BD1">
        <w:rPr>
          <w:lang w:val="sl-SI"/>
        </w:rPr>
        <w:t>MZ – Ministrstvo za zdravje</w:t>
      </w:r>
    </w:p>
    <w:p w14:paraId="796DD636" w14:textId="0D3572F9" w:rsidR="00525D27" w:rsidRPr="00885BD1" w:rsidRDefault="007E22A0" w:rsidP="001A28F3">
      <w:pPr>
        <w:spacing w:line="288" w:lineRule="auto"/>
        <w:rPr>
          <w:lang w:val="sl-SI"/>
        </w:rPr>
      </w:pPr>
      <w:r w:rsidRPr="00885BD1">
        <w:rPr>
          <w:lang w:val="sl-SI"/>
        </w:rPr>
        <w:t>NIJZ – Nacionalni inštitut za javno zdravje</w:t>
      </w:r>
    </w:p>
    <w:p w14:paraId="178E512A" w14:textId="7FBC7366" w:rsidR="00525D27" w:rsidRPr="00885BD1" w:rsidRDefault="00B60D1C" w:rsidP="001A28F3">
      <w:pPr>
        <w:spacing w:line="288" w:lineRule="auto"/>
        <w:rPr>
          <w:lang w:val="sl-SI"/>
        </w:rPr>
      </w:pPr>
      <w:r w:rsidRPr="00885BD1">
        <w:rPr>
          <w:lang w:val="sl-SI"/>
        </w:rPr>
        <w:t xml:space="preserve">NVO </w:t>
      </w:r>
      <w:r w:rsidR="0075411E" w:rsidRPr="00885BD1">
        <w:rPr>
          <w:lang w:val="sl-SI"/>
        </w:rPr>
        <w:t xml:space="preserve">– </w:t>
      </w:r>
      <w:r w:rsidRPr="00885BD1">
        <w:rPr>
          <w:lang w:val="sl-SI"/>
        </w:rPr>
        <w:t>nevladn</w:t>
      </w:r>
      <w:r w:rsidR="0075411E" w:rsidRPr="00885BD1">
        <w:rPr>
          <w:lang w:val="sl-SI"/>
        </w:rPr>
        <w:t>a</w:t>
      </w:r>
      <w:r w:rsidRPr="00885BD1">
        <w:rPr>
          <w:lang w:val="sl-SI"/>
        </w:rPr>
        <w:t xml:space="preserve"> organizacij</w:t>
      </w:r>
      <w:r w:rsidR="0075411E" w:rsidRPr="00885BD1">
        <w:rPr>
          <w:lang w:val="sl-SI"/>
        </w:rPr>
        <w:t>a</w:t>
      </w:r>
    </w:p>
    <w:p w14:paraId="240477CE" w14:textId="21362210" w:rsidR="00452458" w:rsidRPr="00885BD1" w:rsidRDefault="00452458" w:rsidP="001A28F3">
      <w:pPr>
        <w:spacing w:line="288" w:lineRule="auto"/>
        <w:rPr>
          <w:lang w:val="sl-SI"/>
        </w:rPr>
      </w:pPr>
      <w:r w:rsidRPr="00885BD1">
        <w:rPr>
          <w:lang w:val="sl-SI"/>
        </w:rPr>
        <w:t>OE – območna enota</w:t>
      </w:r>
    </w:p>
    <w:p w14:paraId="0B9FD774" w14:textId="74D4C673" w:rsidR="00601A35" w:rsidRPr="00885BD1" w:rsidRDefault="00601A35" w:rsidP="001A28F3">
      <w:pPr>
        <w:spacing w:line="288" w:lineRule="auto"/>
        <w:rPr>
          <w:lang w:val="sl-SI"/>
        </w:rPr>
      </w:pPr>
      <w:r w:rsidRPr="00885BD1">
        <w:rPr>
          <w:lang w:val="sl-SI"/>
        </w:rPr>
        <w:t xml:space="preserve">OLDO </w:t>
      </w:r>
      <w:r w:rsidR="0075411E" w:rsidRPr="00885BD1">
        <w:rPr>
          <w:lang w:val="sl-SI"/>
        </w:rPr>
        <w:t>– o</w:t>
      </w:r>
      <w:r w:rsidRPr="00885BD1">
        <w:rPr>
          <w:lang w:val="sl-SI"/>
        </w:rPr>
        <w:t>cenjevalna lestvica dolgotrajne oskrbe</w:t>
      </w:r>
    </w:p>
    <w:p w14:paraId="45F5DB3E" w14:textId="00C8A329" w:rsidR="0075411E" w:rsidRPr="00885BD1" w:rsidRDefault="0075411E" w:rsidP="001A28F3">
      <w:pPr>
        <w:spacing w:line="288" w:lineRule="auto"/>
        <w:rPr>
          <w:lang w:val="sl-SI"/>
        </w:rPr>
      </w:pPr>
      <w:r w:rsidRPr="00885BD1">
        <w:rPr>
          <w:lang w:val="sl-SI"/>
        </w:rPr>
        <w:t>PB – psihiatrična bolnišnica</w:t>
      </w:r>
    </w:p>
    <w:p w14:paraId="65050402" w14:textId="77777777" w:rsidR="0075411E" w:rsidRPr="00885BD1" w:rsidRDefault="0075411E" w:rsidP="001A28F3">
      <w:pPr>
        <w:spacing w:line="288" w:lineRule="auto"/>
        <w:rPr>
          <w:lang w:val="sl-SI"/>
        </w:rPr>
      </w:pPr>
      <w:r w:rsidRPr="00885BD1">
        <w:rPr>
          <w:lang w:val="sl-SI"/>
        </w:rPr>
        <w:t xml:space="preserve">ReNPDZ18-28 – Resolucija o nacionalnem programu duševnega zdravja 2018-2028 </w:t>
      </w:r>
    </w:p>
    <w:p w14:paraId="6FEDF3DD" w14:textId="78877B92" w:rsidR="0075411E" w:rsidRPr="00885BD1" w:rsidRDefault="0075411E" w:rsidP="001A28F3">
      <w:pPr>
        <w:spacing w:line="288" w:lineRule="auto"/>
        <w:rPr>
          <w:lang w:val="sl-SI"/>
        </w:rPr>
      </w:pPr>
      <w:r w:rsidRPr="00885BD1">
        <w:rPr>
          <w:lang w:val="sl-SI"/>
        </w:rPr>
        <w:t>ReNPSV2</w:t>
      </w:r>
      <w:r w:rsidR="00F07E05">
        <w:rPr>
          <w:lang w:val="sl-SI"/>
        </w:rPr>
        <w:t>2</w:t>
      </w:r>
      <w:r w:rsidRPr="00885BD1">
        <w:rPr>
          <w:lang w:val="sl-SI"/>
        </w:rPr>
        <w:t>-30 – Resolucija o nacionalnem programu socialnega varstva  za obdobje 202</w:t>
      </w:r>
      <w:r w:rsidR="00F07E05">
        <w:rPr>
          <w:lang w:val="sl-SI"/>
        </w:rPr>
        <w:t>2</w:t>
      </w:r>
      <w:r w:rsidRPr="00885BD1">
        <w:rPr>
          <w:lang w:val="sl-SI"/>
        </w:rPr>
        <w:t xml:space="preserve">–2030 </w:t>
      </w:r>
    </w:p>
    <w:p w14:paraId="1566D866" w14:textId="77777777" w:rsidR="00CA3C17" w:rsidRPr="00885BD1" w:rsidRDefault="0075411E" w:rsidP="001A28F3">
      <w:pPr>
        <w:spacing w:line="288" w:lineRule="auto"/>
        <w:rPr>
          <w:lang w:val="sl-SI"/>
        </w:rPr>
      </w:pPr>
      <w:r w:rsidRPr="00885BD1">
        <w:rPr>
          <w:lang w:val="sl-SI"/>
        </w:rPr>
        <w:t>ReNPZV16–25 – Resolucija o nacionalnem planu zdravstvenega varstva 2016–2025</w:t>
      </w:r>
    </w:p>
    <w:p w14:paraId="08D5F4AF" w14:textId="2EA56093" w:rsidR="0075411E" w:rsidRDefault="00CA3C17" w:rsidP="001A28F3">
      <w:pPr>
        <w:spacing w:line="288" w:lineRule="auto"/>
        <w:rPr>
          <w:lang w:val="sl-SI"/>
        </w:rPr>
      </w:pPr>
      <w:r w:rsidRPr="00885BD1">
        <w:rPr>
          <w:lang w:val="sl-SI"/>
        </w:rPr>
        <w:t>SZO – Svetovna zdravstvena organizacija</w:t>
      </w:r>
      <w:r w:rsidR="0075411E" w:rsidRPr="00885BD1">
        <w:rPr>
          <w:lang w:val="sl-SI"/>
        </w:rPr>
        <w:t xml:space="preserve"> </w:t>
      </w:r>
    </w:p>
    <w:p w14:paraId="1976A1C6" w14:textId="053D2561" w:rsidR="00621F89" w:rsidRDefault="00621F89" w:rsidP="001A28F3">
      <w:pPr>
        <w:spacing w:line="288" w:lineRule="auto"/>
        <w:rPr>
          <w:lang w:val="sl-SI"/>
        </w:rPr>
      </w:pPr>
      <w:r>
        <w:rPr>
          <w:lang w:val="sl-SI"/>
        </w:rPr>
        <w:t>UKC – Univerzitetni klinični center</w:t>
      </w:r>
    </w:p>
    <w:p w14:paraId="62DDE875" w14:textId="0A1190EB" w:rsidR="00621F89" w:rsidRPr="00885BD1" w:rsidRDefault="00621F89" w:rsidP="001A28F3">
      <w:pPr>
        <w:spacing w:line="288" w:lineRule="auto"/>
        <w:rPr>
          <w:lang w:val="sl-SI"/>
        </w:rPr>
      </w:pPr>
      <w:r>
        <w:rPr>
          <w:lang w:val="sl-SI"/>
        </w:rPr>
        <w:t xml:space="preserve">UPK </w:t>
      </w:r>
      <w:r w:rsidR="00F07E05">
        <w:rPr>
          <w:lang w:val="sl-SI"/>
        </w:rPr>
        <w:t xml:space="preserve">Ljubljana </w:t>
      </w:r>
      <w:r>
        <w:rPr>
          <w:lang w:val="sl-SI"/>
        </w:rPr>
        <w:t xml:space="preserve">– Univerzitetna psihiatrična klinika </w:t>
      </w:r>
      <w:r w:rsidR="00F07E05">
        <w:rPr>
          <w:lang w:val="sl-SI"/>
        </w:rPr>
        <w:t>Ljubljana</w:t>
      </w:r>
    </w:p>
    <w:p w14:paraId="5AA57687" w14:textId="77777777" w:rsidR="00CA3C17" w:rsidRPr="00885BD1" w:rsidRDefault="007E22A0" w:rsidP="001A28F3">
      <w:pPr>
        <w:spacing w:line="288" w:lineRule="auto"/>
        <w:rPr>
          <w:lang w:val="sl-SI"/>
        </w:rPr>
      </w:pPr>
      <w:r w:rsidRPr="00885BD1">
        <w:rPr>
          <w:lang w:val="sl-SI"/>
        </w:rPr>
        <w:t xml:space="preserve">WHO </w:t>
      </w:r>
      <w:r w:rsidR="0075411E" w:rsidRPr="00885BD1">
        <w:rPr>
          <w:lang w:val="sl-SI"/>
        </w:rPr>
        <w:t xml:space="preserve">– </w:t>
      </w:r>
      <w:r w:rsidRPr="00885BD1">
        <w:rPr>
          <w:lang w:val="sl-SI"/>
        </w:rPr>
        <w:t xml:space="preserve">World Health Organization, </w:t>
      </w:r>
    </w:p>
    <w:p w14:paraId="0882EB26" w14:textId="30341F67" w:rsidR="00CA5025" w:rsidRPr="00885BD1" w:rsidRDefault="00893440" w:rsidP="001A28F3">
      <w:pPr>
        <w:spacing w:line="288" w:lineRule="auto"/>
        <w:rPr>
          <w:lang w:val="sl-SI"/>
        </w:rPr>
      </w:pPr>
      <w:r w:rsidRPr="00885BD1">
        <w:rPr>
          <w:lang w:val="sl-SI"/>
        </w:rPr>
        <w:t xml:space="preserve">ZDM </w:t>
      </w:r>
      <w:r w:rsidR="0075411E" w:rsidRPr="00885BD1">
        <w:rPr>
          <w:lang w:val="sl-SI"/>
        </w:rPr>
        <w:t>– z</w:t>
      </w:r>
      <w:r w:rsidRPr="00885BD1">
        <w:rPr>
          <w:lang w:val="sl-SI"/>
        </w:rPr>
        <w:t>dravnik družinsk</w:t>
      </w:r>
      <w:r w:rsidR="00B5647E" w:rsidRPr="00885BD1">
        <w:rPr>
          <w:lang w:val="sl-SI"/>
        </w:rPr>
        <w:t>e</w:t>
      </w:r>
      <w:r w:rsidRPr="00885BD1">
        <w:rPr>
          <w:lang w:val="sl-SI"/>
        </w:rPr>
        <w:t xml:space="preserve"> medicin</w:t>
      </w:r>
      <w:r w:rsidR="00B5647E" w:rsidRPr="00885BD1">
        <w:rPr>
          <w:lang w:val="sl-SI"/>
        </w:rPr>
        <w:t>e</w:t>
      </w:r>
    </w:p>
    <w:p w14:paraId="4E6FF6BB" w14:textId="4F5B6D6D" w:rsidR="00562C9D" w:rsidRPr="00885BD1" w:rsidRDefault="00562C9D" w:rsidP="001A28F3">
      <w:pPr>
        <w:spacing w:line="288" w:lineRule="auto"/>
        <w:rPr>
          <w:lang w:val="sl-SI"/>
        </w:rPr>
      </w:pPr>
      <w:r w:rsidRPr="00885BD1">
        <w:rPr>
          <w:lang w:val="sl-SI"/>
        </w:rPr>
        <w:t xml:space="preserve">ZDOsk </w:t>
      </w:r>
      <w:r w:rsidR="0075411E" w:rsidRPr="00885BD1">
        <w:rPr>
          <w:lang w:val="sl-SI"/>
        </w:rPr>
        <w:t xml:space="preserve">– </w:t>
      </w:r>
      <w:r w:rsidRPr="00885BD1">
        <w:rPr>
          <w:lang w:val="sl-SI"/>
        </w:rPr>
        <w:t>Zakon o dolgotrajni oskrbi</w:t>
      </w:r>
    </w:p>
    <w:p w14:paraId="7D18F29B" w14:textId="0DF6C1F1" w:rsidR="00562C9D" w:rsidRPr="00885BD1" w:rsidRDefault="00562C9D" w:rsidP="001A28F3">
      <w:pPr>
        <w:spacing w:line="288" w:lineRule="auto"/>
        <w:rPr>
          <w:lang w:val="sl-SI"/>
        </w:rPr>
      </w:pPr>
      <w:r w:rsidRPr="00885BD1">
        <w:rPr>
          <w:lang w:val="sl-SI"/>
        </w:rPr>
        <w:t xml:space="preserve">ZDSta </w:t>
      </w:r>
      <w:r w:rsidR="0075411E" w:rsidRPr="00885BD1">
        <w:rPr>
          <w:lang w:val="sl-SI"/>
        </w:rPr>
        <w:t xml:space="preserve">– </w:t>
      </w:r>
      <w:r w:rsidRPr="00885BD1">
        <w:rPr>
          <w:lang w:val="sl-SI"/>
        </w:rPr>
        <w:t>Zakon o državni statistiki</w:t>
      </w:r>
    </w:p>
    <w:p w14:paraId="3891F54F" w14:textId="19B061E7" w:rsidR="00B327EF" w:rsidRPr="00885BD1" w:rsidRDefault="00B327EF" w:rsidP="001A28F3">
      <w:pPr>
        <w:spacing w:line="288" w:lineRule="auto"/>
        <w:rPr>
          <w:lang w:val="sl-SI"/>
        </w:rPr>
      </w:pPr>
      <w:r w:rsidRPr="00885BD1">
        <w:rPr>
          <w:lang w:val="sl-SI"/>
        </w:rPr>
        <w:t xml:space="preserve">ZDZdr </w:t>
      </w:r>
      <w:r w:rsidR="0075411E" w:rsidRPr="00885BD1">
        <w:rPr>
          <w:lang w:val="sl-SI"/>
        </w:rPr>
        <w:t xml:space="preserve">– </w:t>
      </w:r>
      <w:r w:rsidRPr="00885BD1">
        <w:rPr>
          <w:lang w:val="sl-SI"/>
        </w:rPr>
        <w:t xml:space="preserve">Zakon o duševnem zdravju  </w:t>
      </w:r>
    </w:p>
    <w:p w14:paraId="719FA600" w14:textId="232AA43C" w:rsidR="00525D27" w:rsidRPr="00885BD1" w:rsidRDefault="00452458" w:rsidP="001A28F3">
      <w:pPr>
        <w:spacing w:line="288" w:lineRule="auto"/>
        <w:rPr>
          <w:lang w:val="sl-SI"/>
        </w:rPr>
      </w:pPr>
      <w:r w:rsidRPr="00885BD1">
        <w:rPr>
          <w:lang w:val="sl-SI"/>
        </w:rPr>
        <w:t xml:space="preserve">ZVC </w:t>
      </w:r>
      <w:r w:rsidR="0075411E" w:rsidRPr="00885BD1">
        <w:rPr>
          <w:lang w:val="sl-SI"/>
        </w:rPr>
        <w:t xml:space="preserve">– </w:t>
      </w:r>
      <w:r w:rsidRPr="00885BD1">
        <w:rPr>
          <w:lang w:val="sl-SI"/>
        </w:rPr>
        <w:t>zdravstveno vzgojni center</w:t>
      </w:r>
      <w:r w:rsidR="00525D27" w:rsidRPr="00885BD1">
        <w:rPr>
          <w:lang w:val="sl-SI"/>
        </w:rPr>
        <w:t xml:space="preserve">  </w:t>
      </w:r>
    </w:p>
    <w:p w14:paraId="76AD4BC1" w14:textId="7F014C4E" w:rsidR="002242E7" w:rsidRPr="00885BD1" w:rsidRDefault="00525D27" w:rsidP="001A28F3">
      <w:pPr>
        <w:spacing w:line="288" w:lineRule="auto"/>
        <w:rPr>
          <w:lang w:val="sl-SI"/>
        </w:rPr>
      </w:pPr>
      <w:r w:rsidRPr="00885BD1">
        <w:rPr>
          <w:lang w:val="sl-SI"/>
        </w:rPr>
        <w:t xml:space="preserve">ZZPPZ </w:t>
      </w:r>
      <w:r w:rsidR="0075411E" w:rsidRPr="00885BD1">
        <w:rPr>
          <w:lang w:val="sl-SI"/>
        </w:rPr>
        <w:t xml:space="preserve">– </w:t>
      </w:r>
      <w:r w:rsidRPr="00885BD1">
        <w:rPr>
          <w:lang w:val="sl-SI"/>
        </w:rPr>
        <w:t>Zakona o zbirkah podatkov s področja zdravstvenega varstva</w:t>
      </w:r>
      <w:r w:rsidR="002242E7" w:rsidRPr="00885BD1">
        <w:rPr>
          <w:lang w:val="sl-SI"/>
        </w:rPr>
        <w:t xml:space="preserve"> </w:t>
      </w:r>
    </w:p>
    <w:p w14:paraId="1183F5E7" w14:textId="13E9C1AC" w:rsidR="002242E7" w:rsidRPr="00885BD1" w:rsidRDefault="00562C9D" w:rsidP="001A28F3">
      <w:pPr>
        <w:spacing w:line="288" w:lineRule="auto"/>
        <w:rPr>
          <w:lang w:val="sl-SI"/>
        </w:rPr>
      </w:pPr>
      <w:r w:rsidRPr="00885BD1">
        <w:rPr>
          <w:lang w:val="sl-SI"/>
        </w:rPr>
        <w:t xml:space="preserve">ZZVZZ </w:t>
      </w:r>
      <w:r w:rsidR="0075411E" w:rsidRPr="00885BD1">
        <w:rPr>
          <w:lang w:val="sl-SI"/>
        </w:rPr>
        <w:t xml:space="preserve">– </w:t>
      </w:r>
      <w:r w:rsidRPr="00885BD1">
        <w:rPr>
          <w:lang w:val="sl-SI"/>
        </w:rPr>
        <w:t xml:space="preserve">Zakon o zdravstvenem varstvu in zdravstvenem zavarovanju </w:t>
      </w:r>
      <w:r w:rsidR="002242E7" w:rsidRPr="00885BD1">
        <w:rPr>
          <w:lang w:val="sl-SI"/>
        </w:rPr>
        <w:t xml:space="preserve">  </w:t>
      </w:r>
    </w:p>
    <w:p w14:paraId="1C812588" w14:textId="77777777" w:rsidR="00153310" w:rsidRPr="00885BD1" w:rsidRDefault="00153310">
      <w:pPr>
        <w:spacing w:line="240" w:lineRule="auto"/>
        <w:rPr>
          <w:lang w:val="sl-SI"/>
        </w:rPr>
      </w:pPr>
      <w:r w:rsidRPr="00885BD1">
        <w:rPr>
          <w:lang w:val="sl-SI"/>
        </w:rPr>
        <w:br w:type="page"/>
      </w:r>
    </w:p>
    <w:p w14:paraId="4D42EE52" w14:textId="5BB6F123" w:rsidR="00540728" w:rsidRPr="00A31350" w:rsidRDefault="00C655BB" w:rsidP="00E546B0">
      <w:pPr>
        <w:pStyle w:val="Naslov1"/>
      </w:pPr>
      <w:bookmarkStart w:id="3" w:name="_Toc117692274"/>
      <w:r w:rsidRPr="00A31350">
        <w:lastRenderedPageBreak/>
        <w:t xml:space="preserve">1 </w:t>
      </w:r>
      <w:r w:rsidR="00A11EEF" w:rsidRPr="00A31350">
        <w:t>UVOD</w:t>
      </w:r>
      <w:bookmarkEnd w:id="0"/>
      <w:bookmarkEnd w:id="1"/>
      <w:bookmarkEnd w:id="3"/>
    </w:p>
    <w:p w14:paraId="523498BF" w14:textId="786910FF" w:rsidR="00540728" w:rsidRPr="00885BD1" w:rsidRDefault="00540728" w:rsidP="00AA2C40">
      <w:pPr>
        <w:jc w:val="both"/>
        <w:rPr>
          <w:lang w:val="sl-SI" w:eastAsia="sl-SI"/>
        </w:rPr>
      </w:pPr>
    </w:p>
    <w:p w14:paraId="20BD6794" w14:textId="35E7EEDD" w:rsidR="00AF2250" w:rsidRPr="00885BD1" w:rsidRDefault="00AF2250" w:rsidP="00AF2250">
      <w:pPr>
        <w:jc w:val="both"/>
        <w:rPr>
          <w:lang w:val="sl-SI" w:eastAsia="sl-SI"/>
        </w:rPr>
      </w:pPr>
      <w:r w:rsidRPr="00885BD1">
        <w:rPr>
          <w:rFonts w:cs="Arial"/>
          <w:color w:val="000000" w:themeColor="text1"/>
          <w:szCs w:val="20"/>
          <w:lang w:val="sl-SI"/>
        </w:rPr>
        <w:t xml:space="preserve">Svet se sooča s povečevanjem števila starejših. Politike zdravega staranja usmerjajo pozornost h krepitvi dejavnih zmožnosti posameznika, ki </w:t>
      </w:r>
      <w:r w:rsidR="00097D69" w:rsidRPr="00885BD1">
        <w:rPr>
          <w:rFonts w:cs="Arial"/>
          <w:color w:val="000000" w:themeColor="text1"/>
          <w:szCs w:val="20"/>
          <w:lang w:val="sl-SI"/>
        </w:rPr>
        <w:t xml:space="preserve">tudi starejšim </w:t>
      </w:r>
      <w:r w:rsidRPr="00885BD1">
        <w:rPr>
          <w:rFonts w:cs="Arial"/>
          <w:color w:val="000000" w:themeColor="text1"/>
          <w:szCs w:val="20"/>
          <w:lang w:val="sl-SI"/>
        </w:rPr>
        <w:t xml:space="preserve">omogočajo, da živijo polno in ustvarjalno življenje. Ukrepi za izboljšanje zdravega staranja prebivalstva so potrebni na več ravneh in v več </w:t>
      </w:r>
      <w:r w:rsidR="003A5BF5">
        <w:rPr>
          <w:rFonts w:cs="Arial"/>
          <w:color w:val="000000" w:themeColor="text1"/>
          <w:szCs w:val="20"/>
          <w:lang w:val="sl-SI"/>
        </w:rPr>
        <w:t>področjih</w:t>
      </w:r>
      <w:r w:rsidR="003A5BF5" w:rsidRPr="00885BD1">
        <w:rPr>
          <w:rFonts w:cs="Arial"/>
          <w:color w:val="000000" w:themeColor="text1"/>
          <w:szCs w:val="20"/>
          <w:lang w:val="sl-SI"/>
        </w:rPr>
        <w:t xml:space="preserve"> </w:t>
      </w:r>
      <w:r w:rsidRPr="00885BD1">
        <w:rPr>
          <w:rFonts w:cs="Arial"/>
          <w:color w:val="000000" w:themeColor="text1"/>
          <w:szCs w:val="20"/>
          <w:lang w:val="sl-SI"/>
        </w:rPr>
        <w:t>moramo skrbeti za promocijo zdravja, preprečevanje bolezni, ohranjanje psihofizične zmogljivosti in razvoj ustvarjalnih sposobnosti posameznika</w:t>
      </w:r>
      <w:r w:rsidRPr="00885BD1">
        <w:rPr>
          <w:lang w:val="sl-SI"/>
        </w:rPr>
        <w:t xml:space="preserve"> </w:t>
      </w:r>
      <w:r w:rsidRPr="00885BD1">
        <w:rPr>
          <w:rFonts w:cs="Arial"/>
          <w:color w:val="000000" w:themeColor="text1"/>
          <w:szCs w:val="20"/>
          <w:lang w:val="sl-SI"/>
        </w:rPr>
        <w:t>skozi celoten življenjski cikel. Aktivno in zdravo staranje je posledica več dejavnikov na katere lahko država in družba precej vplivata, vendar je ključna o</w:t>
      </w:r>
      <w:r w:rsidR="002B3EC5" w:rsidRPr="00885BD1">
        <w:rPr>
          <w:rFonts w:cs="Arial"/>
          <w:color w:val="000000" w:themeColor="text1"/>
          <w:szCs w:val="20"/>
          <w:lang w:val="sl-SI"/>
        </w:rPr>
        <w:t>s</w:t>
      </w:r>
      <w:r w:rsidR="00400502" w:rsidRPr="00885BD1">
        <w:rPr>
          <w:rFonts w:cs="Arial"/>
          <w:color w:val="000000" w:themeColor="text1"/>
          <w:szCs w:val="20"/>
          <w:lang w:val="sl-SI"/>
        </w:rPr>
        <w:t>vešč</w:t>
      </w:r>
      <w:r w:rsidRPr="00885BD1">
        <w:rPr>
          <w:rFonts w:cs="Arial"/>
          <w:color w:val="000000" w:themeColor="text1"/>
          <w:szCs w:val="20"/>
          <w:lang w:val="sl-SI"/>
        </w:rPr>
        <w:t>en</w:t>
      </w:r>
      <w:r w:rsidR="00400502" w:rsidRPr="00885BD1">
        <w:rPr>
          <w:rFonts w:cs="Arial"/>
          <w:color w:val="000000" w:themeColor="text1"/>
          <w:szCs w:val="20"/>
          <w:lang w:val="sl-SI"/>
        </w:rPr>
        <w:t>ost</w:t>
      </w:r>
      <w:r w:rsidRPr="00885BD1">
        <w:rPr>
          <w:rFonts w:cs="Arial"/>
          <w:color w:val="000000" w:themeColor="text1"/>
          <w:szCs w:val="20"/>
          <w:lang w:val="sl-SI"/>
        </w:rPr>
        <w:t xml:space="preserve"> in odgovorna skrb vsakega posameznika za zdrav osebni življenjski slog.</w:t>
      </w:r>
    </w:p>
    <w:p w14:paraId="71BDFDC5" w14:textId="77777777" w:rsidR="00AF2250" w:rsidRPr="00885BD1" w:rsidRDefault="00AF2250" w:rsidP="00AA2C40">
      <w:pPr>
        <w:jc w:val="both"/>
        <w:rPr>
          <w:lang w:val="sl-SI" w:eastAsia="sl-SI"/>
        </w:rPr>
      </w:pPr>
    </w:p>
    <w:p w14:paraId="15244908" w14:textId="66C8D9B4" w:rsidR="00AA2C40" w:rsidRPr="00885BD1" w:rsidRDefault="00AA2C40" w:rsidP="00AA2C40">
      <w:pPr>
        <w:jc w:val="both"/>
        <w:rPr>
          <w:lang w:val="sl-SI" w:eastAsia="sl-SI"/>
        </w:rPr>
      </w:pPr>
      <w:r w:rsidRPr="00885BD1">
        <w:rPr>
          <w:lang w:val="sl-SI" w:eastAsia="sl-SI"/>
        </w:rPr>
        <w:t>Slovenija je država z dolgoživo družbo. Pričakovano trajanje življenja se podaljšuje, delež starejših nad 65 let narašča in trenutno predstavlja 20</w:t>
      </w:r>
      <w:r w:rsidR="003A5BF5">
        <w:rPr>
          <w:lang w:val="sl-SI" w:eastAsia="sl-SI"/>
        </w:rPr>
        <w:t>,</w:t>
      </w:r>
      <w:r w:rsidRPr="00885BD1">
        <w:rPr>
          <w:lang w:val="sl-SI" w:eastAsia="sl-SI"/>
        </w:rPr>
        <w:t xml:space="preserve">9 % prebivalstva. Ob upoštevanju gibanja </w:t>
      </w:r>
      <w:r w:rsidR="003A5BF5" w:rsidRPr="00885BD1">
        <w:rPr>
          <w:lang w:val="sl-SI" w:eastAsia="sl-SI"/>
        </w:rPr>
        <w:t>pričakovane</w:t>
      </w:r>
      <w:r w:rsidR="003A5BF5">
        <w:rPr>
          <w:lang w:val="sl-SI" w:eastAsia="sl-SI"/>
        </w:rPr>
        <w:t>ga</w:t>
      </w:r>
      <w:r w:rsidR="003A5BF5" w:rsidRPr="00885BD1">
        <w:rPr>
          <w:lang w:val="sl-SI" w:eastAsia="sl-SI"/>
        </w:rPr>
        <w:t xml:space="preserve"> </w:t>
      </w:r>
      <w:r w:rsidRPr="00885BD1">
        <w:rPr>
          <w:lang w:val="sl-SI" w:eastAsia="sl-SI"/>
        </w:rPr>
        <w:t>trajanj</w:t>
      </w:r>
      <w:r w:rsidR="003A5BF5">
        <w:rPr>
          <w:lang w:val="sl-SI" w:eastAsia="sl-SI"/>
        </w:rPr>
        <w:t>a</w:t>
      </w:r>
      <w:r w:rsidRPr="00885BD1">
        <w:rPr>
          <w:lang w:val="sl-SI" w:eastAsia="sl-SI"/>
        </w:rPr>
        <w:t xml:space="preserve"> življenja bodo te spremembe v Sloveniji še izrazitejše. Do leta 2030 se bo število prebivalstva, starega 65 let in več povečalo na 24,8 %, do leta 2060 na 29,5 %. Demografske spremembe so odraz razvoja v moderni družbi in dejstvo</w:t>
      </w:r>
      <w:r w:rsidR="003A5BF5">
        <w:rPr>
          <w:lang w:val="sl-SI" w:eastAsia="sl-SI"/>
        </w:rPr>
        <w:t>,</w:t>
      </w:r>
      <w:r w:rsidRPr="00885BD1">
        <w:rPr>
          <w:lang w:val="sl-SI" w:eastAsia="sl-SI"/>
        </w:rPr>
        <w:t xml:space="preserve"> kateremu je potrebno prilagoditi obstoječe sisteme in ureditve ter tako ustvariti možnosti za kakovostno življenje vseh generacij in dostojno staranje. S staranjem se veča tudi breme bolezni in krepijo potrebe za dolgotrajno oskrbo.</w:t>
      </w:r>
    </w:p>
    <w:p w14:paraId="2C126B4F" w14:textId="77777777" w:rsidR="00AA2C40" w:rsidRPr="00885BD1" w:rsidRDefault="00AA2C40" w:rsidP="00AA2C40">
      <w:pPr>
        <w:jc w:val="both"/>
        <w:rPr>
          <w:lang w:val="sl-SI" w:eastAsia="sl-SI"/>
        </w:rPr>
      </w:pPr>
    </w:p>
    <w:p w14:paraId="49A9DD8A" w14:textId="085D5A84" w:rsidR="00AA2C40" w:rsidRPr="00885BD1" w:rsidRDefault="00AA2C40" w:rsidP="00AA2C40">
      <w:pPr>
        <w:jc w:val="both"/>
        <w:rPr>
          <w:lang w:val="sl-SI" w:eastAsia="sl-SI"/>
        </w:rPr>
      </w:pPr>
      <w:r w:rsidRPr="00885BD1">
        <w:rPr>
          <w:lang w:val="sl-SI" w:eastAsia="sl-SI"/>
        </w:rPr>
        <w:t>Demenca predstavlja enega največjih izzivov dolgožive družbe. Z izrazom demenca opisujemo napredujoče in novonastalo bolezensko stanje, ki se kaže z motnjami spomina, mišljenja, orientacije, prepoznavanja, razumevanja, govornega izražanja, presoje, vedenja, zaznavanja in čustvovanja, ki omejuje posameznikove dnevne aktivnosti in vodi v potrebo po zagotavljanju pomoči s strani druge osebe. Ocenjeno ekonomsko breme v Sloveniji, ki je bilo izračunano po presečni metodi, v obdobju 2015 - 2017 se giblje okoli 11,4 milijonov EUR</w:t>
      </w:r>
      <w:r w:rsidR="003A5BF5">
        <w:rPr>
          <w:lang w:val="sl-SI" w:eastAsia="sl-SI"/>
        </w:rPr>
        <w:t xml:space="preserve"> letno</w:t>
      </w:r>
      <w:r w:rsidRPr="00885BD1">
        <w:rPr>
          <w:lang w:val="sl-SI" w:eastAsia="sl-SI"/>
        </w:rPr>
        <w:t xml:space="preserve"> oz. 0,3 % vseh izdatkov za zdravstvo.</w:t>
      </w:r>
      <w:r w:rsidR="00F03002" w:rsidRPr="00885BD1">
        <w:rPr>
          <w:lang w:val="sl-SI" w:eastAsia="sl-SI"/>
        </w:rPr>
        <w:t xml:space="preserve"> </w:t>
      </w:r>
      <w:r w:rsidR="00074665" w:rsidRPr="00885BD1">
        <w:rPr>
          <w:lang w:val="sl-SI" w:eastAsia="sl-SI"/>
        </w:rPr>
        <w:t xml:space="preserve">Svetovna zdravstvena organizacija (SZO) </w:t>
      </w:r>
      <w:r w:rsidR="00F03002" w:rsidRPr="00885BD1">
        <w:rPr>
          <w:lang w:val="sl-SI" w:eastAsia="sl-SI"/>
        </w:rPr>
        <w:t>je izračunala</w:t>
      </w:r>
      <w:r w:rsidR="00074665" w:rsidRPr="00885BD1">
        <w:rPr>
          <w:lang w:val="sl-SI" w:eastAsia="sl-SI"/>
        </w:rPr>
        <w:t xml:space="preserve"> svetovn</w:t>
      </w:r>
      <w:r w:rsidR="00F03002" w:rsidRPr="00885BD1">
        <w:rPr>
          <w:lang w:val="sl-SI" w:eastAsia="sl-SI"/>
        </w:rPr>
        <w:t>e</w:t>
      </w:r>
      <w:r w:rsidR="00074665" w:rsidRPr="00885BD1">
        <w:rPr>
          <w:lang w:val="sl-SI" w:eastAsia="sl-SI"/>
        </w:rPr>
        <w:t xml:space="preserve"> strošk</w:t>
      </w:r>
      <w:r w:rsidR="00F03002" w:rsidRPr="00885BD1">
        <w:rPr>
          <w:lang w:val="sl-SI" w:eastAsia="sl-SI"/>
        </w:rPr>
        <w:t>e</w:t>
      </w:r>
      <w:r w:rsidR="00074665" w:rsidRPr="00885BD1">
        <w:rPr>
          <w:lang w:val="sl-SI" w:eastAsia="sl-SI"/>
        </w:rPr>
        <w:t xml:space="preserve"> demence v letu 2015</w:t>
      </w:r>
      <w:r w:rsidR="00F03002" w:rsidRPr="00885BD1">
        <w:rPr>
          <w:lang w:val="sl-SI" w:eastAsia="sl-SI"/>
        </w:rPr>
        <w:t>, ki so</w:t>
      </w:r>
      <w:r w:rsidR="00074665" w:rsidRPr="00885BD1">
        <w:rPr>
          <w:lang w:val="sl-SI" w:eastAsia="sl-SI"/>
        </w:rPr>
        <w:t xml:space="preserve"> znašali 818 milijard EUR oz. </w:t>
      </w:r>
      <w:r w:rsidR="00F07E05">
        <w:rPr>
          <w:lang w:val="sl-SI" w:eastAsia="sl-SI"/>
        </w:rPr>
        <w:t>1 odstotek</w:t>
      </w:r>
      <w:r w:rsidR="00074665" w:rsidRPr="00885BD1">
        <w:rPr>
          <w:lang w:val="sl-SI" w:eastAsia="sl-SI"/>
        </w:rPr>
        <w:t xml:space="preserve"> svetovnega bruto domačega proizvoda</w:t>
      </w:r>
      <w:r w:rsidR="00DA083C">
        <w:rPr>
          <w:rStyle w:val="Sprotnaopomba-sklic"/>
          <w:lang w:val="sl-SI" w:eastAsia="sl-SI"/>
        </w:rPr>
        <w:footnoteReference w:id="1"/>
      </w:r>
      <w:r w:rsidR="00074665" w:rsidRPr="00885BD1">
        <w:rPr>
          <w:lang w:val="sl-SI" w:eastAsia="sl-SI"/>
        </w:rPr>
        <w:t>.</w:t>
      </w:r>
      <w:r w:rsidRPr="00885BD1">
        <w:rPr>
          <w:lang w:val="sl-SI" w:eastAsia="sl-SI"/>
        </w:rPr>
        <w:t xml:space="preserve"> </w:t>
      </w:r>
    </w:p>
    <w:p w14:paraId="15AA4111" w14:textId="364B9032" w:rsidR="00A11EEF" w:rsidRPr="00885BD1" w:rsidRDefault="00A11EEF" w:rsidP="00CD4BC8">
      <w:pPr>
        <w:jc w:val="both"/>
        <w:rPr>
          <w:rFonts w:cs="Arial"/>
          <w:szCs w:val="20"/>
          <w:lang w:val="sl-SI"/>
        </w:rPr>
      </w:pPr>
    </w:p>
    <w:p w14:paraId="27E82F5B" w14:textId="77777777" w:rsidR="00F03002" w:rsidRPr="00885BD1" w:rsidRDefault="00AA2C40" w:rsidP="00AA2C40">
      <w:pPr>
        <w:jc w:val="both"/>
        <w:rPr>
          <w:rFonts w:cs="Arial"/>
          <w:szCs w:val="20"/>
          <w:lang w:val="sl-SI"/>
        </w:rPr>
      </w:pPr>
      <w:r w:rsidRPr="00885BD1">
        <w:rPr>
          <w:rFonts w:cs="Arial"/>
          <w:szCs w:val="20"/>
          <w:lang w:val="sl-SI"/>
        </w:rPr>
        <w:t xml:space="preserve">Demenca je posledica nevrodegenerativnih, žilnih, vnetnih ali drugih bolezni možganov, ki se pri posamezniku razvijajo postopoma. Sodobni nevrološki diagnostični pristopi z uporabo analize bioloških označevalcev, nevrofizioloških ter naprednih slikovnih metod, omogočajo opredelitev narave bolezenskega procesa že v zgodnjih fazah bolezni, ko pri posamezniku še ne gre za razvito klinično sliko demence. Natančna in zgodnja diagnoza zagotavlja izbiro ustreznega terapevtskega pristopa, napoved prognoze bolezni in zasnovo postdiagnostične obravnave, hkrati pa osebi z demenco in njegovim svojcem olajša soočanje z boleznijo in omogoči načrtovanje prihodnosti. </w:t>
      </w:r>
    </w:p>
    <w:p w14:paraId="0AB639DE" w14:textId="77777777" w:rsidR="00532A8D" w:rsidRPr="00885BD1" w:rsidRDefault="00532A8D" w:rsidP="00AA2C40">
      <w:pPr>
        <w:jc w:val="both"/>
        <w:rPr>
          <w:rFonts w:cs="Arial"/>
          <w:szCs w:val="20"/>
          <w:lang w:val="sl-SI"/>
        </w:rPr>
      </w:pPr>
    </w:p>
    <w:p w14:paraId="024B5B4F" w14:textId="6A3A1B00" w:rsidR="00E20F95" w:rsidRPr="00885BD1" w:rsidRDefault="00AA2C40" w:rsidP="00E20F95">
      <w:pPr>
        <w:jc w:val="both"/>
        <w:rPr>
          <w:rFonts w:cs="Arial"/>
          <w:szCs w:val="20"/>
          <w:lang w:val="sl-SI"/>
        </w:rPr>
      </w:pPr>
      <w:r w:rsidRPr="00885BD1">
        <w:rPr>
          <w:rFonts w:cs="Arial"/>
          <w:szCs w:val="20"/>
          <w:lang w:val="sl-SI"/>
        </w:rPr>
        <w:t xml:space="preserve">Znanih je več dejavnikov tveganja za razvoj demence, ki so v znatni meri odvisni od posameznikovega okolja, življenjskega stila in nekaterih pridruženih bolezni, ki bi jih bilo mogoče učinkoviteje zdraviti in s tem preprečevati razvoj demence. Največji nespremenljiv dejavnik tveganja je starost, čeprav za demenco obolevajo tudi ljudje že pred 65. letom (kar predstavlja 9 </w:t>
      </w:r>
      <w:r w:rsidR="000C6B0F">
        <w:rPr>
          <w:rFonts w:cs="Arial"/>
          <w:szCs w:val="20"/>
          <w:lang w:val="sl-SI"/>
        </w:rPr>
        <w:t>odstotkov</w:t>
      </w:r>
      <w:r w:rsidRPr="00885BD1">
        <w:rPr>
          <w:rFonts w:cs="Arial"/>
          <w:szCs w:val="20"/>
          <w:lang w:val="sl-SI"/>
        </w:rPr>
        <w:t xml:space="preserve"> </w:t>
      </w:r>
      <w:r w:rsidR="000C6B0F">
        <w:rPr>
          <w:rFonts w:cs="Arial"/>
          <w:szCs w:val="20"/>
          <w:lang w:val="sl-SI"/>
        </w:rPr>
        <w:t xml:space="preserve">obolelih oseb z </w:t>
      </w:r>
      <w:r w:rsidRPr="00885BD1">
        <w:rPr>
          <w:rFonts w:cs="Arial"/>
          <w:szCs w:val="20"/>
          <w:lang w:val="sl-SI"/>
        </w:rPr>
        <w:t>demenc</w:t>
      </w:r>
      <w:r w:rsidR="000C6B0F">
        <w:rPr>
          <w:rFonts w:cs="Arial"/>
          <w:szCs w:val="20"/>
          <w:lang w:val="sl-SI"/>
        </w:rPr>
        <w:t>o</w:t>
      </w:r>
      <w:r w:rsidRPr="00885BD1">
        <w:rPr>
          <w:rFonts w:cs="Arial"/>
          <w:szCs w:val="20"/>
          <w:lang w:val="sl-SI"/>
        </w:rPr>
        <w:t xml:space="preserve">). </w:t>
      </w:r>
      <w:r w:rsidR="00E20F95" w:rsidRPr="00885BD1">
        <w:rPr>
          <w:rFonts w:cs="Arial"/>
          <w:szCs w:val="20"/>
          <w:lang w:val="sl-SI"/>
        </w:rPr>
        <w:t>Demenca je za družbo velik izziv in strošek</w:t>
      </w:r>
      <w:r w:rsidR="00E20F95" w:rsidRPr="00885BD1">
        <w:rPr>
          <w:rFonts w:cs="Arial"/>
          <w:szCs w:val="20"/>
          <w:vertAlign w:val="superscript"/>
          <w:lang w:val="sl-SI"/>
        </w:rPr>
        <w:footnoteReference w:id="2"/>
      </w:r>
      <w:r w:rsidR="00E20F95" w:rsidRPr="00885BD1">
        <w:rPr>
          <w:rFonts w:cs="Arial"/>
          <w:szCs w:val="20"/>
          <w:lang w:val="sl-SI"/>
        </w:rPr>
        <w:t xml:space="preserve"> in med starejšimi Evropejci predstavlja glavni vzrok za odvisnost od drugih in invalidnost</w:t>
      </w:r>
      <w:r w:rsidR="00E20F95" w:rsidRPr="00885BD1">
        <w:rPr>
          <w:rFonts w:cs="Arial"/>
          <w:szCs w:val="20"/>
          <w:vertAlign w:val="superscript"/>
          <w:lang w:val="sl-SI"/>
        </w:rPr>
        <w:footnoteReference w:id="3"/>
      </w:r>
      <w:r w:rsidR="00E20F95" w:rsidRPr="00885BD1">
        <w:rPr>
          <w:rFonts w:cs="Arial"/>
          <w:szCs w:val="20"/>
          <w:lang w:val="sl-SI"/>
        </w:rPr>
        <w:t xml:space="preserve">. V skladu z </w:t>
      </w:r>
      <w:r w:rsidR="00E20F95" w:rsidRPr="00885BD1">
        <w:rPr>
          <w:rFonts w:cs="Arial"/>
          <w:szCs w:val="20"/>
          <w:lang w:val="sl-SI"/>
        </w:rPr>
        <w:lastRenderedPageBreak/>
        <w:t>globalnim akcijskim načrtom o javnem zdravju in odzivu na demenco (SZO, 2017-2025</w:t>
      </w:r>
      <w:r w:rsidR="00E20F95" w:rsidRPr="00885BD1">
        <w:rPr>
          <w:rFonts w:cs="Arial"/>
          <w:szCs w:val="20"/>
          <w:vertAlign w:val="superscript"/>
          <w:lang w:val="sl-SI"/>
        </w:rPr>
        <w:footnoteReference w:id="4"/>
      </w:r>
      <w:r w:rsidR="00E20F95" w:rsidRPr="00885BD1">
        <w:rPr>
          <w:rFonts w:cs="Arial"/>
          <w:szCs w:val="20"/>
          <w:lang w:val="sl-SI"/>
        </w:rPr>
        <w:t>), je potrebno demenco obravnavati kot prednostno nalogo javnega zdravja, o</w:t>
      </w:r>
      <w:r w:rsidR="002B3EC5" w:rsidRPr="00885BD1">
        <w:rPr>
          <w:rFonts w:cs="Arial"/>
          <w:szCs w:val="20"/>
          <w:lang w:val="sl-SI"/>
        </w:rPr>
        <w:t>s</w:t>
      </w:r>
      <w:r w:rsidR="00E20F95" w:rsidRPr="00885BD1">
        <w:rPr>
          <w:rFonts w:cs="Arial"/>
          <w:szCs w:val="20"/>
          <w:lang w:val="sl-SI"/>
        </w:rPr>
        <w:t xml:space="preserve">veščati družbo in zmanjševati tveganja za demenco, vzpostaviti ustrezne mehanizme za zdravljenje, oskrbo in podporo obolelim, podporo skrbnikom in vzpodbujati raziskovalno okolje, inovacije in inovativne pristope. </w:t>
      </w:r>
    </w:p>
    <w:p w14:paraId="5E3372CF" w14:textId="1FFA9787" w:rsidR="00F03002" w:rsidRPr="00885BD1" w:rsidRDefault="00F03002" w:rsidP="00AA2C40">
      <w:pPr>
        <w:jc w:val="both"/>
        <w:rPr>
          <w:rFonts w:cs="Arial"/>
          <w:szCs w:val="20"/>
          <w:lang w:val="sl-SI"/>
        </w:rPr>
      </w:pPr>
    </w:p>
    <w:p w14:paraId="68B83FAC" w14:textId="4254A9CE" w:rsidR="004655F8" w:rsidRPr="00885BD1" w:rsidRDefault="00AA2C40" w:rsidP="00AA2C40">
      <w:pPr>
        <w:jc w:val="both"/>
        <w:rPr>
          <w:rFonts w:cs="Arial"/>
          <w:szCs w:val="20"/>
          <w:lang w:val="sl-SI"/>
        </w:rPr>
      </w:pPr>
      <w:bookmarkStart w:id="4" w:name="_Hlk95462814"/>
      <w:r w:rsidRPr="00885BD1">
        <w:rPr>
          <w:rFonts w:cs="Arial"/>
          <w:szCs w:val="20"/>
          <w:lang w:val="sl-SI"/>
        </w:rPr>
        <w:t>Glasgowsk</w:t>
      </w:r>
      <w:r w:rsidR="00C1155B" w:rsidRPr="00885BD1">
        <w:rPr>
          <w:rFonts w:cs="Arial"/>
          <w:szCs w:val="20"/>
          <w:lang w:val="sl-SI"/>
        </w:rPr>
        <w:t>a</w:t>
      </w:r>
      <w:r w:rsidRPr="00885BD1">
        <w:rPr>
          <w:rFonts w:cs="Arial"/>
          <w:szCs w:val="20"/>
          <w:lang w:val="sl-SI"/>
        </w:rPr>
        <w:t xml:space="preserve"> deklaracij</w:t>
      </w:r>
      <w:r w:rsidR="00C1155B" w:rsidRPr="00885BD1">
        <w:rPr>
          <w:rFonts w:cs="Arial"/>
          <w:szCs w:val="20"/>
          <w:lang w:val="sl-SI"/>
        </w:rPr>
        <w:t>a</w:t>
      </w:r>
      <w:bookmarkEnd w:id="4"/>
      <w:r w:rsidR="00E6375F" w:rsidRPr="00885BD1">
        <w:rPr>
          <w:rStyle w:val="Sprotnaopomba-sklic"/>
          <w:rFonts w:cs="Arial"/>
          <w:szCs w:val="20"/>
          <w:lang w:val="sl-SI"/>
        </w:rPr>
        <w:footnoteReference w:id="5"/>
      </w:r>
      <w:r w:rsidR="00C1155B" w:rsidRPr="00885BD1">
        <w:rPr>
          <w:rFonts w:cs="Arial"/>
          <w:szCs w:val="20"/>
          <w:lang w:val="sl-SI"/>
        </w:rPr>
        <w:t xml:space="preserve"> </w:t>
      </w:r>
      <w:r w:rsidRPr="00885BD1">
        <w:rPr>
          <w:rFonts w:cs="Arial"/>
          <w:szCs w:val="20"/>
          <w:lang w:val="sl-SI"/>
        </w:rPr>
        <w:t>poziva k oblikovanju Evropske strategije za demenco in k oblikovanju strategij za demenco v vseh evropskih državah. Pozvani smo k zagotavljanju pravic, dostojanstva in avtonomije posameznikov z demenco, blaženju negativnih posledic v družbi. V družbi je še vedno močno prisotna stigma demence, kar vpliva na čas diagnoze, življenje obolelega in bližnjih ter tudi na finančni strošek družbe. Glavno priporočilo Alzheimer Europe (AE) in Alzheimer's Disease International (ADI) je o</w:t>
      </w:r>
      <w:r w:rsidR="002B3EC5" w:rsidRPr="00885BD1">
        <w:rPr>
          <w:rFonts w:cs="Arial"/>
          <w:szCs w:val="20"/>
          <w:lang w:val="sl-SI"/>
        </w:rPr>
        <w:t>s</w:t>
      </w:r>
      <w:r w:rsidRPr="00885BD1">
        <w:rPr>
          <w:rFonts w:cs="Arial"/>
          <w:szCs w:val="20"/>
          <w:lang w:val="sl-SI"/>
        </w:rPr>
        <w:t xml:space="preserve">veščanje, kar bo pripomoglo k pravočasni obravnavi in pravočasni ureditvi dostopa do storitev. S pristopi k zmanjšanju dejavnikov tveganja, na katere lahko vplivamo, bomo prispevali, da se pričetek bolezni pri posameznikih zamakne in omogočili manjše družbeno finančno breme. Zaradi narave bolezni je potrebno tudi vzpostaviti pravne okvirje za obravnavo osebe z demenco kot osebe z oviranostmi. </w:t>
      </w:r>
    </w:p>
    <w:p w14:paraId="748F4A01" w14:textId="77777777" w:rsidR="004655F8" w:rsidRPr="00885BD1" w:rsidRDefault="004655F8" w:rsidP="00AA2C40">
      <w:pPr>
        <w:jc w:val="both"/>
        <w:rPr>
          <w:rFonts w:cs="Arial"/>
          <w:szCs w:val="20"/>
          <w:lang w:val="sl-SI"/>
        </w:rPr>
      </w:pPr>
    </w:p>
    <w:p w14:paraId="54E562B0" w14:textId="4A9490C5" w:rsidR="00885BD1" w:rsidRPr="00885BD1" w:rsidRDefault="00AA2C40" w:rsidP="00AA2C40">
      <w:pPr>
        <w:jc w:val="both"/>
        <w:rPr>
          <w:rFonts w:cs="Arial"/>
          <w:szCs w:val="20"/>
          <w:lang w:val="sl-SI"/>
        </w:rPr>
      </w:pPr>
      <w:r w:rsidRPr="00885BD1">
        <w:rPr>
          <w:rFonts w:cs="Arial"/>
          <w:szCs w:val="20"/>
          <w:lang w:val="sl-SI"/>
        </w:rPr>
        <w:t xml:space="preserve">Slovenija je že leta 2016 sprejela Strategijo za obvladovanje demence v Sloveniji do leta 2020. Druga </w:t>
      </w:r>
      <w:r w:rsidR="008555A6" w:rsidRPr="008555A6">
        <w:rPr>
          <w:rFonts w:cs="Arial"/>
          <w:szCs w:val="20"/>
          <w:lang w:val="sl-SI"/>
        </w:rPr>
        <w:t>Strategija obvladovanja demence v Sloveniji do leta 2030</w:t>
      </w:r>
      <w:r w:rsidR="008555A6">
        <w:rPr>
          <w:rFonts w:cs="Arial"/>
          <w:szCs w:val="20"/>
          <w:lang w:val="sl-SI"/>
        </w:rPr>
        <w:t xml:space="preserve"> (v nadaljnjem besedilu:</w:t>
      </w:r>
      <w:r w:rsidR="00B07CF5">
        <w:rPr>
          <w:rFonts w:cs="Arial"/>
          <w:szCs w:val="20"/>
          <w:lang w:val="sl-SI"/>
        </w:rPr>
        <w:t xml:space="preserve"> </w:t>
      </w:r>
      <w:r w:rsidR="008555A6">
        <w:rPr>
          <w:rFonts w:cs="Arial"/>
          <w:szCs w:val="20"/>
          <w:lang w:val="sl-SI"/>
        </w:rPr>
        <w:t>S</w:t>
      </w:r>
      <w:r w:rsidRPr="00885BD1">
        <w:rPr>
          <w:rFonts w:cs="Arial"/>
          <w:szCs w:val="20"/>
          <w:lang w:val="sl-SI"/>
        </w:rPr>
        <w:t>trategija</w:t>
      </w:r>
      <w:r w:rsidR="008555A6">
        <w:rPr>
          <w:rFonts w:cs="Arial"/>
          <w:szCs w:val="20"/>
          <w:lang w:val="sl-SI"/>
        </w:rPr>
        <w:t>)</w:t>
      </w:r>
      <w:r w:rsidRPr="00885BD1">
        <w:rPr>
          <w:rFonts w:cs="Arial"/>
          <w:szCs w:val="20"/>
          <w:lang w:val="sl-SI"/>
        </w:rPr>
        <w:t xml:space="preserve"> pomeni nadaljevanje in tudi nadgradnjo načrtovanih in usklajenih dejavnosti za obvladovanje demence, kot jo je zastavila prva </w:t>
      </w:r>
      <w:r w:rsidRPr="00D631B6">
        <w:rPr>
          <w:rFonts w:cs="Arial"/>
          <w:szCs w:val="20"/>
          <w:lang w:val="sl-SI"/>
        </w:rPr>
        <w:t>strategija.</w:t>
      </w:r>
      <w:r w:rsidR="00446F5A" w:rsidRPr="00D631B6">
        <w:rPr>
          <w:rFonts w:cs="Arial"/>
          <w:szCs w:val="20"/>
          <w:lang w:val="sl-SI"/>
        </w:rPr>
        <w:t xml:space="preserve"> Med cilji, ki so bili doseženi </w:t>
      </w:r>
      <w:r w:rsidR="00D631B6" w:rsidRPr="00D631B6">
        <w:rPr>
          <w:rFonts w:cs="Arial"/>
          <w:szCs w:val="20"/>
          <w:lang w:val="sl-SI"/>
        </w:rPr>
        <w:t xml:space="preserve">s predhodno strategijo </w:t>
      </w:r>
      <w:r w:rsidR="00446F5A" w:rsidRPr="00D631B6">
        <w:rPr>
          <w:rFonts w:cs="Arial"/>
          <w:szCs w:val="20"/>
          <w:lang w:val="sl-SI"/>
        </w:rPr>
        <w:t>sodi ozaveščanje, zmanjševanje stigme in izobraževanje oskrbovalcev in strokovnih izvajalcev v zdravstv</w:t>
      </w:r>
      <w:r w:rsidR="00E376C7">
        <w:rPr>
          <w:rFonts w:cs="Arial"/>
          <w:szCs w:val="20"/>
          <w:lang w:val="sl-SI"/>
        </w:rPr>
        <w:t>enem varstvu</w:t>
      </w:r>
      <w:r w:rsidR="00D100D7">
        <w:rPr>
          <w:rFonts w:cs="Arial"/>
          <w:szCs w:val="20"/>
          <w:lang w:val="sl-SI"/>
        </w:rPr>
        <w:t xml:space="preserve">, </w:t>
      </w:r>
      <w:r w:rsidR="00446F5A" w:rsidRPr="00D631B6">
        <w:rPr>
          <w:rFonts w:cs="Arial"/>
          <w:szCs w:val="20"/>
          <w:lang w:val="sl-SI"/>
        </w:rPr>
        <w:t>socialnem varstvu</w:t>
      </w:r>
      <w:r w:rsidR="00D100D7">
        <w:rPr>
          <w:rFonts w:cs="Arial"/>
          <w:szCs w:val="20"/>
          <w:lang w:val="sl-SI"/>
        </w:rPr>
        <w:t xml:space="preserve"> in dolgotrajni oskrbi</w:t>
      </w:r>
      <w:r w:rsidR="00446F5A" w:rsidRPr="00D631B6">
        <w:rPr>
          <w:rFonts w:cs="Arial"/>
          <w:szCs w:val="20"/>
          <w:lang w:val="sl-SI"/>
        </w:rPr>
        <w:t xml:space="preserve">. </w:t>
      </w:r>
      <w:r w:rsidR="00885BD1" w:rsidRPr="00D631B6">
        <w:rPr>
          <w:lang w:val="sl-SI"/>
        </w:rPr>
        <w:t>Ministrstvo za zdravje je sofinanciralo devet programov izobraževanja in osveščanja za obvladovanje demence v letih 2017 in 2018. Dva programa sta bila namenjena izobraževanju strokovnih izvajalcev v zdravstvu, ostalih sedem programov pa je po vseh slovenskih regijah izvajalo izobraževanja za formalne in neformalne oskrbovalce oseb z demenco. V programe izobraževanja je bilo neposredno vključeni</w:t>
      </w:r>
      <w:r w:rsidR="00446F5A" w:rsidRPr="00D631B6">
        <w:rPr>
          <w:lang w:val="sl-SI"/>
        </w:rPr>
        <w:t>h več kot 13</w:t>
      </w:r>
      <w:r w:rsidR="006209A4">
        <w:rPr>
          <w:lang w:val="sl-SI"/>
        </w:rPr>
        <w:t>.</w:t>
      </w:r>
      <w:r w:rsidR="00446F5A" w:rsidRPr="00D631B6">
        <w:rPr>
          <w:lang w:val="sl-SI"/>
        </w:rPr>
        <w:t xml:space="preserve">000 udeležencev, </w:t>
      </w:r>
      <w:r w:rsidR="00885BD1" w:rsidRPr="00D631B6">
        <w:rPr>
          <w:lang w:val="sl-SI"/>
        </w:rPr>
        <w:t xml:space="preserve">posredno preko izdanih gradiv in objav v medijih pa več kot polovica prebivalcev Slovenije. </w:t>
      </w:r>
      <w:r w:rsidR="00446F5A" w:rsidRPr="00D631B6">
        <w:rPr>
          <w:lang w:val="sl-SI"/>
        </w:rPr>
        <w:t xml:space="preserve">V okviru tega programa je Spominčica vzpostavila mrežo Demenci prijaznih točk, s katero uspešno nadaljuje ozaveščanje in dostopnost do storitev za osebe z demenco v lokalnih okoljih. </w:t>
      </w:r>
      <w:r w:rsidR="00885BD1" w:rsidRPr="00D631B6">
        <w:rPr>
          <w:lang w:val="sl-SI"/>
        </w:rPr>
        <w:t>K uspešnosti izvedenih programov izobraževanja je poleg kompetentnih in angažiranih izvajalcev projektov veliko pripomoglo odlično sodelovanje Ministrstva za zdravje in Ministrstva za delo, družino, socialne zadeve in enake možnosti. Prav medresorsko sodelovanje obeh ministrstev na teh programih je lahko zgled in vodilo pri doseganju ciljev Strategije</w:t>
      </w:r>
      <w:r w:rsidR="00446F5A" w:rsidRPr="00D631B6">
        <w:rPr>
          <w:lang w:val="sl-SI"/>
        </w:rPr>
        <w:t>. To se je izkazal</w:t>
      </w:r>
      <w:r w:rsidR="006209A4">
        <w:rPr>
          <w:lang w:val="sl-SI"/>
        </w:rPr>
        <w:t>o</w:t>
      </w:r>
      <w:r w:rsidR="00446F5A" w:rsidRPr="00D631B6">
        <w:rPr>
          <w:lang w:val="sl-SI"/>
        </w:rPr>
        <w:t xml:space="preserve"> za uspešen in učinkovit pristop, s katerim velja nadaljevati </w:t>
      </w:r>
      <w:r w:rsidR="006209A4">
        <w:rPr>
          <w:lang w:val="sl-SI"/>
        </w:rPr>
        <w:t>v</w:t>
      </w:r>
      <w:r w:rsidR="006209A4" w:rsidRPr="00D631B6">
        <w:rPr>
          <w:lang w:val="sl-SI"/>
        </w:rPr>
        <w:t xml:space="preserve"> nov</w:t>
      </w:r>
      <w:r w:rsidR="006209A4">
        <w:rPr>
          <w:lang w:val="sl-SI"/>
        </w:rPr>
        <w:t>i</w:t>
      </w:r>
      <w:r w:rsidR="006209A4" w:rsidRPr="00D631B6">
        <w:rPr>
          <w:lang w:val="sl-SI"/>
        </w:rPr>
        <w:t xml:space="preserve"> </w:t>
      </w:r>
      <w:r w:rsidR="006209A4">
        <w:rPr>
          <w:lang w:val="sl-SI"/>
        </w:rPr>
        <w:t>s</w:t>
      </w:r>
      <w:r w:rsidR="006209A4" w:rsidRPr="00D631B6">
        <w:rPr>
          <w:lang w:val="sl-SI"/>
        </w:rPr>
        <w:t>trategij</w:t>
      </w:r>
      <w:r w:rsidR="006209A4">
        <w:rPr>
          <w:lang w:val="sl-SI"/>
        </w:rPr>
        <w:t>i</w:t>
      </w:r>
      <w:r w:rsidR="00446F5A" w:rsidRPr="00D631B6">
        <w:rPr>
          <w:lang w:val="sl-SI"/>
        </w:rPr>
        <w:t>. M</w:t>
      </w:r>
      <w:r w:rsidR="00446F5A">
        <w:rPr>
          <w:lang w:val="sl-SI"/>
        </w:rPr>
        <w:t>ed cilji, ki niso bili doseženi je vzpostavitev epidemioloških študij in</w:t>
      </w:r>
      <w:r w:rsidR="00E376C7">
        <w:rPr>
          <w:lang w:val="sl-SI"/>
        </w:rPr>
        <w:t xml:space="preserve"> nacionalnega</w:t>
      </w:r>
      <w:r w:rsidR="00446F5A">
        <w:rPr>
          <w:lang w:val="sl-SI"/>
        </w:rPr>
        <w:t xml:space="preserve"> registra, mreže spominskih centrov in prilagojena pomoč za oseb</w:t>
      </w:r>
      <w:r w:rsidR="006209A4">
        <w:rPr>
          <w:lang w:val="sl-SI"/>
        </w:rPr>
        <w:t>e</w:t>
      </w:r>
      <w:r w:rsidR="00446F5A">
        <w:rPr>
          <w:lang w:val="sl-SI"/>
        </w:rPr>
        <w:t xml:space="preserve"> z demenco v domači oskrbi</w:t>
      </w:r>
      <w:r w:rsidR="006209A4">
        <w:rPr>
          <w:lang w:val="sl-SI"/>
        </w:rPr>
        <w:t>, kjer jih živi</w:t>
      </w:r>
      <w:r w:rsidR="00B07CF5">
        <w:rPr>
          <w:lang w:val="sl-SI"/>
        </w:rPr>
        <w:t xml:space="preserve"> </w:t>
      </w:r>
      <w:r w:rsidR="006209A4">
        <w:rPr>
          <w:lang w:val="sl-SI"/>
        </w:rPr>
        <w:t>v</w:t>
      </w:r>
      <w:r w:rsidR="00446F5A">
        <w:rPr>
          <w:lang w:val="sl-SI"/>
        </w:rPr>
        <w:t>ečina</w:t>
      </w:r>
      <w:r w:rsidR="007C75BA">
        <w:rPr>
          <w:lang w:val="sl-SI"/>
        </w:rPr>
        <w:t xml:space="preserve">. S to </w:t>
      </w:r>
      <w:r w:rsidR="00DB6869">
        <w:rPr>
          <w:lang w:val="sl-SI"/>
        </w:rPr>
        <w:t xml:space="preserve">Strategijo </w:t>
      </w:r>
      <w:r w:rsidR="007C75BA">
        <w:rPr>
          <w:lang w:val="sl-SI"/>
        </w:rPr>
        <w:t>se namenja več pozornosti prav oskrbi v skupnosti, ureditvi statusa oseb z demenco in podpori svojcem ter se dopolni z Zakonom o dolgotrajni oskrbi</w:t>
      </w:r>
      <w:r w:rsidR="00D100D7" w:rsidRPr="00D100D7">
        <w:rPr>
          <w:lang w:val="sl-SI"/>
        </w:rPr>
        <w:t xml:space="preserve"> (Uradni list RS, št. 196/21; ZDOsk)</w:t>
      </w:r>
      <w:r w:rsidR="007C75BA">
        <w:rPr>
          <w:lang w:val="sl-SI"/>
        </w:rPr>
        <w:t>.</w:t>
      </w:r>
    </w:p>
    <w:p w14:paraId="4BE76A68" w14:textId="77777777" w:rsidR="00885BD1" w:rsidRPr="00885BD1" w:rsidRDefault="00885BD1" w:rsidP="00AA2C40">
      <w:pPr>
        <w:jc w:val="both"/>
        <w:rPr>
          <w:rFonts w:cs="Arial"/>
          <w:szCs w:val="20"/>
          <w:lang w:val="sl-SI"/>
        </w:rPr>
      </w:pPr>
    </w:p>
    <w:p w14:paraId="1BDE442B" w14:textId="2CA1FA0D" w:rsidR="00AA2C40" w:rsidRPr="00885BD1" w:rsidRDefault="00AA2C40" w:rsidP="00AA2C40">
      <w:pPr>
        <w:jc w:val="both"/>
        <w:rPr>
          <w:rFonts w:cs="Arial"/>
          <w:szCs w:val="20"/>
          <w:lang w:val="sl-SI"/>
        </w:rPr>
      </w:pPr>
      <w:r w:rsidRPr="00885BD1">
        <w:rPr>
          <w:rFonts w:cs="Arial"/>
          <w:szCs w:val="20"/>
          <w:lang w:val="sl-SI"/>
        </w:rPr>
        <w:t xml:space="preserve">V </w:t>
      </w:r>
      <w:r w:rsidR="00DB6869">
        <w:rPr>
          <w:rFonts w:cs="Arial"/>
          <w:szCs w:val="20"/>
          <w:lang w:val="sl-SI"/>
        </w:rPr>
        <w:t>S</w:t>
      </w:r>
      <w:r w:rsidR="00DB6869" w:rsidRPr="00885BD1">
        <w:rPr>
          <w:rFonts w:cs="Arial"/>
          <w:szCs w:val="20"/>
          <w:lang w:val="sl-SI"/>
        </w:rPr>
        <w:t xml:space="preserve">trategiji </w:t>
      </w:r>
      <w:r w:rsidRPr="00885BD1">
        <w:rPr>
          <w:rFonts w:cs="Arial"/>
          <w:szCs w:val="20"/>
          <w:lang w:val="sl-SI"/>
        </w:rPr>
        <w:t>zasledujemo implementacijo členov Glasgo</w:t>
      </w:r>
      <w:r w:rsidR="004655F8" w:rsidRPr="00885BD1">
        <w:rPr>
          <w:rFonts w:cs="Arial"/>
          <w:szCs w:val="20"/>
          <w:lang w:val="sl-SI"/>
        </w:rPr>
        <w:t>w</w:t>
      </w:r>
      <w:r w:rsidRPr="00885BD1">
        <w:rPr>
          <w:rFonts w:cs="Arial"/>
          <w:szCs w:val="20"/>
          <w:lang w:val="sl-SI"/>
        </w:rPr>
        <w:t>ske deklaracije in sledimo</w:t>
      </w:r>
      <w:r w:rsidR="002A7A07" w:rsidRPr="00885BD1">
        <w:rPr>
          <w:lang w:val="sl-SI"/>
        </w:rPr>
        <w:t xml:space="preserve"> </w:t>
      </w:r>
      <w:r w:rsidR="002A7A07" w:rsidRPr="00885BD1">
        <w:rPr>
          <w:rFonts w:cs="Arial"/>
          <w:szCs w:val="20"/>
          <w:lang w:val="sl-SI"/>
        </w:rPr>
        <w:t>akcijskemu načrtu 2017-2025 World Health Organization (v nadaljnjem besedilu:</w:t>
      </w:r>
      <w:r w:rsidRPr="00885BD1">
        <w:rPr>
          <w:rFonts w:cs="Arial"/>
          <w:szCs w:val="20"/>
          <w:lang w:val="sl-SI"/>
        </w:rPr>
        <w:t xml:space="preserve"> </w:t>
      </w:r>
      <w:r w:rsidR="00CA3C17" w:rsidRPr="00885BD1">
        <w:rPr>
          <w:rFonts w:cs="Arial"/>
          <w:szCs w:val="20"/>
          <w:lang w:val="sl-SI"/>
        </w:rPr>
        <w:t>SZO (Svetovna zdravstvena organizacija)</w:t>
      </w:r>
      <w:r w:rsidR="002A7A07" w:rsidRPr="00885BD1">
        <w:rPr>
          <w:rFonts w:cs="Arial"/>
          <w:szCs w:val="20"/>
          <w:lang w:val="sl-SI"/>
        </w:rPr>
        <w:t>)</w:t>
      </w:r>
      <w:r w:rsidRPr="00885BD1">
        <w:rPr>
          <w:rFonts w:cs="Arial"/>
          <w:szCs w:val="20"/>
          <w:lang w:val="sl-SI"/>
        </w:rPr>
        <w:t>.</w:t>
      </w:r>
    </w:p>
    <w:p w14:paraId="2BA6EC8B" w14:textId="17BA578D" w:rsidR="001267E4" w:rsidRPr="00885BD1" w:rsidRDefault="001267E4" w:rsidP="00AA2C40">
      <w:pPr>
        <w:jc w:val="both"/>
        <w:rPr>
          <w:rFonts w:cs="Arial"/>
          <w:szCs w:val="20"/>
          <w:lang w:val="sl-SI"/>
        </w:rPr>
      </w:pPr>
    </w:p>
    <w:p w14:paraId="0762C6F0" w14:textId="42034A7C" w:rsidR="001267E4" w:rsidRPr="00885BD1" w:rsidRDefault="001267E4" w:rsidP="001267E4">
      <w:pPr>
        <w:jc w:val="both"/>
        <w:rPr>
          <w:rFonts w:cs="Arial"/>
          <w:szCs w:val="20"/>
          <w:lang w:val="sl-SI"/>
        </w:rPr>
      </w:pPr>
      <w:r w:rsidRPr="00885BD1">
        <w:rPr>
          <w:rFonts w:cs="Arial"/>
          <w:szCs w:val="20"/>
          <w:lang w:val="sl-SI"/>
        </w:rPr>
        <w:lastRenderedPageBreak/>
        <w:t>Podrobnejše naloge za doseganje posameznih ciljev, viri financiranja ter kazalniki merjenja izvajanja Strategije bodo opredeljene v akcijskih načrtih</w:t>
      </w:r>
      <w:r w:rsidR="006209A4">
        <w:rPr>
          <w:rFonts w:cs="Arial"/>
          <w:szCs w:val="20"/>
          <w:lang w:val="sl-SI"/>
        </w:rPr>
        <w:t>,</w:t>
      </w:r>
      <w:r w:rsidRPr="00885BD1">
        <w:rPr>
          <w:rFonts w:cs="Arial"/>
          <w:szCs w:val="20"/>
          <w:lang w:val="sl-SI"/>
        </w:rPr>
        <w:t xml:space="preserve"> v kater</w:t>
      </w:r>
      <w:r w:rsidR="006209A4">
        <w:rPr>
          <w:rFonts w:cs="Arial"/>
          <w:szCs w:val="20"/>
          <w:lang w:val="sl-SI"/>
        </w:rPr>
        <w:t>ih</w:t>
      </w:r>
      <w:r w:rsidRPr="00885BD1">
        <w:rPr>
          <w:rFonts w:cs="Arial"/>
          <w:szCs w:val="20"/>
          <w:lang w:val="sl-SI"/>
        </w:rPr>
        <w:t xml:space="preserve"> bo določeno spremljanje uresničevanja Strategije za obvladovanje demence.</w:t>
      </w:r>
    </w:p>
    <w:p w14:paraId="7376A1BA" w14:textId="00C2E356" w:rsidR="001267E4" w:rsidRPr="004B7C11" w:rsidRDefault="001267E4" w:rsidP="001267E4">
      <w:pPr>
        <w:jc w:val="both"/>
        <w:rPr>
          <w:rFonts w:cs="Arial"/>
          <w:szCs w:val="20"/>
          <w:lang w:val="sl-SI"/>
        </w:rPr>
      </w:pPr>
      <w:r w:rsidRPr="004B7C11">
        <w:rPr>
          <w:rFonts w:cs="Arial"/>
          <w:szCs w:val="20"/>
          <w:lang w:val="sl-SI"/>
        </w:rPr>
        <w:t>Za spremljanje izvajanja Strategije minister za zdravje imenuje Svet za obvladovanje demence.</w:t>
      </w:r>
    </w:p>
    <w:p w14:paraId="3B6659E2" w14:textId="77777777" w:rsidR="006209A4" w:rsidRDefault="006209A4" w:rsidP="001267E4">
      <w:pPr>
        <w:jc w:val="both"/>
        <w:rPr>
          <w:rFonts w:cs="Arial"/>
          <w:szCs w:val="20"/>
          <w:lang w:val="sl-SI"/>
        </w:rPr>
      </w:pPr>
    </w:p>
    <w:p w14:paraId="292753C8" w14:textId="171C7FFA" w:rsidR="001267E4" w:rsidRPr="004B7C11" w:rsidRDefault="001267E4" w:rsidP="001267E4">
      <w:pPr>
        <w:jc w:val="both"/>
        <w:rPr>
          <w:rFonts w:cs="Arial"/>
          <w:szCs w:val="20"/>
          <w:lang w:val="sl-SI"/>
        </w:rPr>
      </w:pPr>
      <w:r w:rsidRPr="004B7C11">
        <w:rPr>
          <w:rFonts w:cs="Arial"/>
          <w:szCs w:val="20"/>
          <w:lang w:val="sl-SI"/>
        </w:rPr>
        <w:t>Za spremljanje izvajanja ciljev ter nalog iz akcijskega načrta Ministrstvo za zdravje pripravi letno poročilo o izvajanju Strategije, ki ga obravnava in sprejme Svet za obvladovanje demence.</w:t>
      </w:r>
    </w:p>
    <w:p w14:paraId="54993CA5" w14:textId="77777777" w:rsidR="006209A4" w:rsidRDefault="006209A4" w:rsidP="001267E4">
      <w:pPr>
        <w:jc w:val="both"/>
        <w:rPr>
          <w:rFonts w:cs="Arial"/>
          <w:szCs w:val="20"/>
          <w:lang w:val="sl-SI"/>
        </w:rPr>
      </w:pPr>
    </w:p>
    <w:p w14:paraId="62BD8A99" w14:textId="161F7D6B" w:rsidR="001267E4" w:rsidRPr="00885BD1" w:rsidRDefault="00DB6869" w:rsidP="001267E4">
      <w:pPr>
        <w:jc w:val="both"/>
        <w:rPr>
          <w:rFonts w:cs="Arial"/>
          <w:szCs w:val="20"/>
          <w:lang w:val="sl-SI"/>
        </w:rPr>
      </w:pPr>
      <w:r w:rsidRPr="00DB6869">
        <w:rPr>
          <w:rFonts w:cs="Arial"/>
          <w:szCs w:val="20"/>
          <w:lang w:val="sl-SI"/>
        </w:rPr>
        <w:t xml:space="preserve">Ministrstvo za zdravje </w:t>
      </w:r>
      <w:r>
        <w:rPr>
          <w:rFonts w:cs="Arial"/>
          <w:szCs w:val="20"/>
          <w:lang w:val="sl-SI"/>
        </w:rPr>
        <w:t>d</w:t>
      </w:r>
      <w:r w:rsidRPr="004B7C11">
        <w:rPr>
          <w:rFonts w:cs="Arial"/>
          <w:szCs w:val="20"/>
          <w:lang w:val="sl-SI"/>
        </w:rPr>
        <w:t xml:space="preserve">oloči </w:t>
      </w:r>
      <w:r w:rsidR="001267E4" w:rsidRPr="004B7C11">
        <w:rPr>
          <w:rFonts w:cs="Arial"/>
          <w:szCs w:val="20"/>
          <w:lang w:val="sl-SI"/>
        </w:rPr>
        <w:t>način spremljanja izvajanja Strategije in nosilci pri pristojnih deležnikih.</w:t>
      </w:r>
    </w:p>
    <w:p w14:paraId="0BE79593" w14:textId="77777777" w:rsidR="00AA2C40" w:rsidRPr="00885BD1" w:rsidRDefault="00AA2C40" w:rsidP="00AA2C40">
      <w:pPr>
        <w:jc w:val="both"/>
        <w:rPr>
          <w:rFonts w:cs="Arial"/>
          <w:szCs w:val="20"/>
          <w:lang w:val="sl-SI"/>
        </w:rPr>
      </w:pPr>
    </w:p>
    <w:p w14:paraId="3F8EE139" w14:textId="07BB3CE3" w:rsidR="00A11EEF" w:rsidRPr="00885BD1" w:rsidRDefault="00A11EEF" w:rsidP="00E546B0">
      <w:pPr>
        <w:pStyle w:val="Naslov1"/>
        <w:numPr>
          <w:ilvl w:val="1"/>
          <w:numId w:val="16"/>
        </w:numPr>
      </w:pPr>
      <w:bookmarkStart w:id="5" w:name="_Toc62108596"/>
      <w:bookmarkStart w:id="6" w:name="_Toc117692275"/>
      <w:r w:rsidRPr="00885BD1">
        <w:rPr>
          <w:rStyle w:val="NaslovZnak"/>
          <w:rFonts w:ascii="Arial" w:eastAsiaTheme="majorEastAsia" w:hAnsi="Arial" w:cs="Arial"/>
          <w:b w:val="0"/>
          <w:bCs w:val="0"/>
          <w:sz w:val="24"/>
          <w:szCs w:val="24"/>
          <w:lang w:val="sl-SI"/>
        </w:rPr>
        <w:t>Namen</w:t>
      </w:r>
      <w:r w:rsidR="009C041D" w:rsidRPr="00885BD1">
        <w:rPr>
          <w:rStyle w:val="NaslovZnak"/>
          <w:rFonts w:ascii="Arial" w:eastAsiaTheme="majorEastAsia" w:hAnsi="Arial" w:cs="Arial"/>
          <w:b w:val="0"/>
          <w:bCs w:val="0"/>
          <w:sz w:val="24"/>
          <w:szCs w:val="24"/>
          <w:lang w:val="sl-SI"/>
        </w:rPr>
        <w:t xml:space="preserve">, </w:t>
      </w:r>
      <w:r w:rsidR="007B711A" w:rsidRPr="00885BD1">
        <w:rPr>
          <w:rStyle w:val="NaslovZnak"/>
          <w:rFonts w:ascii="Arial" w:eastAsiaTheme="majorEastAsia" w:hAnsi="Arial" w:cs="Arial"/>
          <w:b w:val="0"/>
          <w:bCs w:val="0"/>
          <w:sz w:val="24"/>
          <w:szCs w:val="24"/>
          <w:lang w:val="sl-SI"/>
        </w:rPr>
        <w:t xml:space="preserve">cilji </w:t>
      </w:r>
      <w:r w:rsidR="00875866" w:rsidRPr="00885BD1">
        <w:rPr>
          <w:rStyle w:val="NaslovZnak"/>
          <w:rFonts w:ascii="Arial" w:eastAsiaTheme="majorEastAsia" w:hAnsi="Arial" w:cs="Arial"/>
          <w:b w:val="0"/>
          <w:bCs w:val="0"/>
          <w:sz w:val="24"/>
          <w:szCs w:val="24"/>
          <w:lang w:val="sl-SI"/>
        </w:rPr>
        <w:t>in</w:t>
      </w:r>
      <w:r w:rsidR="009C041D" w:rsidRPr="00885BD1">
        <w:rPr>
          <w:rStyle w:val="NaslovZnak"/>
          <w:rFonts w:ascii="Arial" w:eastAsiaTheme="majorEastAsia" w:hAnsi="Arial" w:cs="Arial"/>
          <w:b w:val="0"/>
          <w:bCs w:val="0"/>
          <w:sz w:val="24"/>
          <w:szCs w:val="24"/>
          <w:lang w:val="sl-SI"/>
        </w:rPr>
        <w:t xml:space="preserve"> </w:t>
      </w:r>
      <w:r w:rsidR="007B711A" w:rsidRPr="00885BD1">
        <w:rPr>
          <w:rStyle w:val="NaslovZnak"/>
          <w:rFonts w:ascii="Arial" w:eastAsiaTheme="majorEastAsia" w:hAnsi="Arial" w:cs="Arial"/>
          <w:b w:val="0"/>
          <w:bCs w:val="0"/>
          <w:sz w:val="24"/>
          <w:szCs w:val="24"/>
          <w:lang w:val="sl-SI"/>
        </w:rPr>
        <w:t>načela</w:t>
      </w:r>
      <w:r w:rsidRPr="00885BD1">
        <w:rPr>
          <w:rStyle w:val="NaslovZnak"/>
          <w:rFonts w:ascii="Arial" w:eastAsiaTheme="majorEastAsia" w:hAnsi="Arial" w:cs="Arial"/>
          <w:b w:val="0"/>
          <w:bCs w:val="0"/>
          <w:sz w:val="24"/>
          <w:szCs w:val="24"/>
          <w:lang w:val="sl-SI"/>
        </w:rPr>
        <w:t xml:space="preserve"> strategije</w:t>
      </w:r>
      <w:bookmarkEnd w:id="5"/>
      <w:bookmarkEnd w:id="6"/>
      <w:r w:rsidRPr="00885BD1">
        <w:t xml:space="preserve"> </w:t>
      </w:r>
    </w:p>
    <w:p w14:paraId="5B600FE1" w14:textId="77777777" w:rsidR="00AA2C40" w:rsidRPr="00885BD1" w:rsidRDefault="00AA2C40" w:rsidP="00AA2C40">
      <w:pPr>
        <w:jc w:val="both"/>
        <w:rPr>
          <w:lang w:val="sl-SI" w:eastAsia="sl-SI"/>
        </w:rPr>
      </w:pPr>
    </w:p>
    <w:p w14:paraId="7464AAF5" w14:textId="2AC73E9B" w:rsidR="00AD7E84" w:rsidRPr="00885BD1" w:rsidRDefault="00AD7E84" w:rsidP="00991E24">
      <w:pPr>
        <w:jc w:val="both"/>
        <w:rPr>
          <w:lang w:val="sl-SI" w:eastAsia="sl-SI"/>
        </w:rPr>
      </w:pPr>
      <w:r w:rsidRPr="00885BD1">
        <w:rPr>
          <w:lang w:val="sl-SI" w:eastAsia="sl-SI"/>
        </w:rPr>
        <w:t xml:space="preserve">Strategija </w:t>
      </w:r>
      <w:r w:rsidR="00991E24" w:rsidRPr="00885BD1">
        <w:rPr>
          <w:lang w:val="sl-SI" w:eastAsia="sl-SI"/>
        </w:rPr>
        <w:t xml:space="preserve">je temeljni dokument, ki omogoča usklajen in celostni pristop vseh deležnikov pri reševanju problema demence in podobnih stanj. Namen </w:t>
      </w:r>
      <w:r w:rsidR="008555A6">
        <w:rPr>
          <w:lang w:val="sl-SI" w:eastAsia="sl-SI"/>
        </w:rPr>
        <w:t>S</w:t>
      </w:r>
      <w:r w:rsidR="00991E24" w:rsidRPr="00885BD1">
        <w:rPr>
          <w:lang w:val="sl-SI" w:eastAsia="sl-SI"/>
        </w:rPr>
        <w:t xml:space="preserve">trategije je zagotovitev preventivnih ukrepov (izobraževanje in spodbujanje prebivalstva </w:t>
      </w:r>
      <w:r w:rsidR="00097D69">
        <w:rPr>
          <w:lang w:val="sl-SI" w:eastAsia="sl-SI"/>
        </w:rPr>
        <w:t>k</w:t>
      </w:r>
      <w:r w:rsidR="00991E24" w:rsidRPr="00885BD1">
        <w:rPr>
          <w:lang w:val="sl-SI" w:eastAsia="sl-SI"/>
        </w:rPr>
        <w:t xml:space="preserve"> zdrav</w:t>
      </w:r>
      <w:r w:rsidR="00097D69">
        <w:rPr>
          <w:lang w:val="sl-SI" w:eastAsia="sl-SI"/>
        </w:rPr>
        <w:t>emu</w:t>
      </w:r>
      <w:r w:rsidR="00991E24" w:rsidRPr="00885BD1">
        <w:rPr>
          <w:lang w:val="sl-SI" w:eastAsia="sl-SI"/>
        </w:rPr>
        <w:t xml:space="preserve"> način</w:t>
      </w:r>
      <w:r w:rsidR="00097D69">
        <w:rPr>
          <w:lang w:val="sl-SI" w:eastAsia="sl-SI"/>
        </w:rPr>
        <w:t>u</w:t>
      </w:r>
      <w:r w:rsidR="00991E24" w:rsidRPr="00885BD1">
        <w:rPr>
          <w:lang w:val="sl-SI" w:eastAsia="sl-SI"/>
        </w:rPr>
        <w:t xml:space="preserve"> življenja, uravnotežen</w:t>
      </w:r>
      <w:r w:rsidR="00097D69">
        <w:rPr>
          <w:lang w:val="sl-SI" w:eastAsia="sl-SI"/>
        </w:rPr>
        <w:t>i</w:t>
      </w:r>
      <w:r w:rsidR="00991E24" w:rsidRPr="00885BD1">
        <w:rPr>
          <w:lang w:val="sl-SI" w:eastAsia="sl-SI"/>
        </w:rPr>
        <w:t xml:space="preserve"> prehran</w:t>
      </w:r>
      <w:r w:rsidR="00097D69">
        <w:rPr>
          <w:lang w:val="sl-SI" w:eastAsia="sl-SI"/>
        </w:rPr>
        <w:t>i</w:t>
      </w:r>
      <w:r w:rsidR="00991E24" w:rsidRPr="00885BD1">
        <w:rPr>
          <w:lang w:val="sl-SI" w:eastAsia="sl-SI"/>
        </w:rPr>
        <w:t>, redn</w:t>
      </w:r>
      <w:r w:rsidR="00097D69">
        <w:rPr>
          <w:lang w:val="sl-SI" w:eastAsia="sl-SI"/>
        </w:rPr>
        <w:t>i</w:t>
      </w:r>
      <w:r w:rsidR="00991E24" w:rsidRPr="00885BD1">
        <w:rPr>
          <w:lang w:val="sl-SI" w:eastAsia="sl-SI"/>
        </w:rPr>
        <w:t xml:space="preserve"> fizičn</w:t>
      </w:r>
      <w:r w:rsidR="00097D69">
        <w:rPr>
          <w:lang w:val="sl-SI" w:eastAsia="sl-SI"/>
        </w:rPr>
        <w:t>i</w:t>
      </w:r>
      <w:r w:rsidR="00991E24" w:rsidRPr="00885BD1">
        <w:rPr>
          <w:lang w:val="sl-SI" w:eastAsia="sl-SI"/>
        </w:rPr>
        <w:t xml:space="preserve"> in mentaln</w:t>
      </w:r>
      <w:r w:rsidR="00097D69">
        <w:rPr>
          <w:lang w:val="sl-SI" w:eastAsia="sl-SI"/>
        </w:rPr>
        <w:t>i</w:t>
      </w:r>
      <w:r w:rsidR="00991E24" w:rsidRPr="00885BD1">
        <w:rPr>
          <w:lang w:val="sl-SI" w:eastAsia="sl-SI"/>
        </w:rPr>
        <w:t xml:space="preserve"> dejavnost</w:t>
      </w:r>
      <w:r w:rsidR="00097D69">
        <w:rPr>
          <w:lang w:val="sl-SI" w:eastAsia="sl-SI"/>
        </w:rPr>
        <w:t>i</w:t>
      </w:r>
      <w:r w:rsidR="00991E24" w:rsidRPr="00885BD1">
        <w:rPr>
          <w:lang w:val="sl-SI" w:eastAsia="sl-SI"/>
        </w:rPr>
        <w:t>), zgodnjega odkrivanja bolezni</w:t>
      </w:r>
      <w:r w:rsidR="0068239D" w:rsidRPr="00885BD1">
        <w:rPr>
          <w:lang w:val="sl-SI" w:eastAsia="sl-SI"/>
        </w:rPr>
        <w:t>,</w:t>
      </w:r>
      <w:r w:rsidR="00991E24" w:rsidRPr="00885BD1">
        <w:rPr>
          <w:lang w:val="sl-SI" w:eastAsia="sl-SI"/>
        </w:rPr>
        <w:t xml:space="preserve"> ustrezne celostne postdiagnostične obravnave oseb z demenco</w:t>
      </w:r>
      <w:r w:rsidR="0068239D" w:rsidRPr="00885BD1">
        <w:rPr>
          <w:lang w:val="sl-SI" w:eastAsia="sl-SI"/>
        </w:rPr>
        <w:t xml:space="preserve"> (</w:t>
      </w:r>
      <w:r w:rsidR="00991E24" w:rsidRPr="00885BD1">
        <w:rPr>
          <w:lang w:val="sl-SI" w:eastAsia="sl-SI"/>
        </w:rPr>
        <w:t>pri čemer se spoštujejo osnovne človekove pravice v skladu z Glasgowsko deklaracijo</w:t>
      </w:r>
      <w:r w:rsidR="0068239D" w:rsidRPr="00885BD1">
        <w:rPr>
          <w:lang w:val="sl-SI" w:eastAsia="sl-SI"/>
        </w:rPr>
        <w:t>), podpore svojcem in neformalnim skrbnikom, destigmatizacije bolezni, razvoj demenci prijaznega okolja in spodbujanje raziskovalne dejavnosti.</w:t>
      </w:r>
      <w:r w:rsidR="00834DA1" w:rsidRPr="00885BD1">
        <w:rPr>
          <w:lang w:val="sl-SI" w:eastAsia="sl-SI"/>
        </w:rPr>
        <w:t xml:space="preserve"> </w:t>
      </w:r>
      <w:r w:rsidR="009C041D" w:rsidRPr="00885BD1">
        <w:rPr>
          <w:lang w:val="sl-SI"/>
        </w:rPr>
        <w:t>Strategija določa ukrepe, ki bodo zagotavljali dostopnost do informiranosti prebivalstva o demenci, kar najbolje zadovoljeval</w:t>
      </w:r>
      <w:r w:rsidR="00D12D8A" w:rsidRPr="00885BD1">
        <w:rPr>
          <w:lang w:val="sl-SI"/>
        </w:rPr>
        <w:t>i</w:t>
      </w:r>
      <w:r w:rsidR="009C041D" w:rsidRPr="00885BD1">
        <w:rPr>
          <w:lang w:val="sl-SI"/>
        </w:rPr>
        <w:t xml:space="preserve"> potrebe oseb z demenco, njihovih svojcev ter zagotovil</w:t>
      </w:r>
      <w:r w:rsidR="00D12D8A" w:rsidRPr="00885BD1">
        <w:rPr>
          <w:lang w:val="sl-SI"/>
        </w:rPr>
        <w:t>i</w:t>
      </w:r>
      <w:r w:rsidR="009C041D" w:rsidRPr="00885BD1">
        <w:rPr>
          <w:lang w:val="sl-SI"/>
        </w:rPr>
        <w:t xml:space="preserve"> zadostno podporo v vseh okoljih. </w:t>
      </w:r>
      <w:r w:rsidR="00834DA1" w:rsidRPr="00885BD1">
        <w:rPr>
          <w:lang w:val="sl-SI" w:eastAsia="sl-SI"/>
        </w:rPr>
        <w:t xml:space="preserve">Posebna </w:t>
      </w:r>
      <w:r w:rsidR="00D12D8A" w:rsidRPr="00885BD1">
        <w:rPr>
          <w:lang w:val="sl-SI" w:eastAsia="sl-SI"/>
        </w:rPr>
        <w:t>pozornost</w:t>
      </w:r>
      <w:r w:rsidR="00834DA1" w:rsidRPr="00885BD1">
        <w:rPr>
          <w:lang w:val="sl-SI" w:eastAsia="sl-SI"/>
        </w:rPr>
        <w:t xml:space="preserve"> je namenjena </w:t>
      </w:r>
      <w:r w:rsidR="00D12D8A" w:rsidRPr="00885BD1">
        <w:rPr>
          <w:lang w:val="sl-SI" w:eastAsia="sl-SI"/>
        </w:rPr>
        <w:t xml:space="preserve">ženskam in drugim </w:t>
      </w:r>
      <w:r w:rsidR="00834DA1" w:rsidRPr="00885BD1">
        <w:rPr>
          <w:lang w:val="sl-SI" w:eastAsia="sl-SI"/>
        </w:rPr>
        <w:t>ranljivim skupinam prebivalstva.</w:t>
      </w:r>
      <w:r w:rsidR="00C41763" w:rsidRPr="00885BD1">
        <w:rPr>
          <w:lang w:val="sl-SI" w:eastAsia="sl-SI"/>
        </w:rPr>
        <w:t xml:space="preserve"> </w:t>
      </w:r>
    </w:p>
    <w:p w14:paraId="4FD60F7A" w14:textId="621C978E" w:rsidR="00C41763" w:rsidRPr="00885BD1" w:rsidRDefault="00C41763" w:rsidP="00C41763">
      <w:pPr>
        <w:jc w:val="both"/>
        <w:rPr>
          <w:lang w:val="sl-SI" w:eastAsia="sl-SI"/>
        </w:rPr>
      </w:pPr>
    </w:p>
    <w:p w14:paraId="7DEF136D" w14:textId="38B98000" w:rsidR="00C41763" w:rsidRPr="00885BD1" w:rsidRDefault="00C41763" w:rsidP="00C41763">
      <w:pPr>
        <w:jc w:val="both"/>
        <w:rPr>
          <w:lang w:val="sl-SI" w:eastAsia="sl-SI"/>
        </w:rPr>
      </w:pPr>
      <w:r w:rsidRPr="00885BD1">
        <w:rPr>
          <w:lang w:val="sl-SI" w:eastAsia="sl-SI"/>
        </w:rPr>
        <w:t>Namen Strategije je tudi izboljšati slovenske podatke o demenci</w:t>
      </w:r>
      <w:r w:rsidR="00D12D8A" w:rsidRPr="00885BD1">
        <w:rPr>
          <w:lang w:val="sl-SI" w:eastAsia="sl-SI"/>
        </w:rPr>
        <w:t xml:space="preserve"> in vzpostaviti nacionalni register</w:t>
      </w:r>
      <w:r w:rsidR="00875866" w:rsidRPr="00885BD1">
        <w:rPr>
          <w:lang w:val="sl-SI" w:eastAsia="sl-SI"/>
        </w:rPr>
        <w:t>, kar je v</w:t>
      </w:r>
      <w:r w:rsidRPr="00885BD1">
        <w:rPr>
          <w:lang w:val="sl-SI" w:eastAsia="sl-SI"/>
        </w:rPr>
        <w:t xml:space="preserve"> skladu z Akcijskim načrtom SZO 2017-2025</w:t>
      </w:r>
      <w:r w:rsidR="00875866" w:rsidRPr="00885BD1">
        <w:rPr>
          <w:lang w:val="sl-SI" w:eastAsia="sl-SI"/>
        </w:rPr>
        <w:t>, da</w:t>
      </w:r>
      <w:r w:rsidRPr="00885BD1">
        <w:rPr>
          <w:lang w:val="sl-SI" w:eastAsia="sl-SI"/>
        </w:rPr>
        <w:t xml:space="preserve"> naj bi do leta 2025 polovica držav v sklopu nacionalnega informacijskega sistema zdravstvenega</w:t>
      </w:r>
      <w:r w:rsidR="00E376C7">
        <w:rPr>
          <w:lang w:val="sl-SI" w:eastAsia="sl-SI"/>
        </w:rPr>
        <w:t xml:space="preserve"> varstva,</w:t>
      </w:r>
      <w:r w:rsidRPr="00885BD1">
        <w:rPr>
          <w:lang w:val="sl-SI" w:eastAsia="sl-SI"/>
        </w:rPr>
        <w:t xml:space="preserve"> socialnega varstva</w:t>
      </w:r>
      <w:r w:rsidR="00E376C7">
        <w:rPr>
          <w:lang w:val="sl-SI" w:eastAsia="sl-SI"/>
        </w:rPr>
        <w:t xml:space="preserve"> in dolgotrajne oskrbe</w:t>
      </w:r>
      <w:r w:rsidRPr="00885BD1">
        <w:rPr>
          <w:lang w:val="sl-SI" w:eastAsia="sl-SI"/>
        </w:rPr>
        <w:t xml:space="preserve"> redno zbirala podatke na osnovi temeljnega nabora kazalnikov za epidemiološko spremljanje demence.</w:t>
      </w:r>
    </w:p>
    <w:p w14:paraId="2E47F03E" w14:textId="18D84767" w:rsidR="0068239D" w:rsidRPr="00885BD1" w:rsidRDefault="0068239D" w:rsidP="00991E24">
      <w:pPr>
        <w:jc w:val="both"/>
        <w:rPr>
          <w:lang w:val="sl-SI" w:eastAsia="sl-SI"/>
        </w:rPr>
      </w:pPr>
    </w:p>
    <w:p w14:paraId="7D37BB49" w14:textId="77777777" w:rsidR="0008243B" w:rsidRPr="0008243B" w:rsidRDefault="0008243B" w:rsidP="00D631B6">
      <w:pPr>
        <w:jc w:val="both"/>
        <w:rPr>
          <w:b/>
          <w:bCs/>
          <w:lang w:val="sl-SI"/>
        </w:rPr>
      </w:pPr>
      <w:r w:rsidRPr="0008243B">
        <w:rPr>
          <w:b/>
          <w:bCs/>
          <w:lang w:val="sl-SI"/>
        </w:rPr>
        <w:t xml:space="preserve">Cilji Strategije so: </w:t>
      </w:r>
    </w:p>
    <w:p w14:paraId="5E18D501" w14:textId="77777777" w:rsidR="0008243B" w:rsidRPr="0008243B" w:rsidRDefault="0008243B" w:rsidP="00D631B6">
      <w:pPr>
        <w:numPr>
          <w:ilvl w:val="0"/>
          <w:numId w:val="28"/>
        </w:numPr>
        <w:jc w:val="both"/>
        <w:rPr>
          <w:b/>
          <w:bCs/>
          <w:lang w:val="sl-SI"/>
        </w:rPr>
      </w:pPr>
      <w:r w:rsidRPr="0008243B">
        <w:rPr>
          <w:b/>
          <w:bCs/>
          <w:lang w:val="sl-SI"/>
        </w:rPr>
        <w:t>Spodbujanje preventivnih programov za zmanjševanje dejavnikov tveganja ter za ohranjanje in krepitev zdravja v skupnosti z različnimi pristopi do posameznih skupin in posameznikov.</w:t>
      </w:r>
    </w:p>
    <w:p w14:paraId="79B0805F" w14:textId="77777777" w:rsidR="0008243B" w:rsidRPr="0008243B" w:rsidRDefault="0008243B" w:rsidP="00D631B6">
      <w:pPr>
        <w:numPr>
          <w:ilvl w:val="0"/>
          <w:numId w:val="29"/>
        </w:numPr>
        <w:jc w:val="both"/>
        <w:rPr>
          <w:lang w:val="sl-SI"/>
        </w:rPr>
      </w:pPr>
      <w:r w:rsidRPr="0008243B">
        <w:rPr>
          <w:lang w:val="sl-SI"/>
        </w:rPr>
        <w:t>Krepitev zaščitnih dejavnikov in zmanjšanje dejavnikov tveganja za razvoj demence.</w:t>
      </w:r>
    </w:p>
    <w:p w14:paraId="0339A3C4" w14:textId="50B846DE" w:rsidR="0008243B" w:rsidRPr="0008243B" w:rsidRDefault="0008243B" w:rsidP="00D631B6">
      <w:pPr>
        <w:numPr>
          <w:ilvl w:val="0"/>
          <w:numId w:val="29"/>
        </w:numPr>
        <w:jc w:val="both"/>
        <w:rPr>
          <w:lang w:val="sl-SI"/>
        </w:rPr>
      </w:pPr>
      <w:r w:rsidRPr="0008243B">
        <w:rPr>
          <w:lang w:val="sl-SI"/>
        </w:rPr>
        <w:t xml:space="preserve">Prepoznavanje dejavnikov tveganja v populaciji, vzpostavitev dejavnosti za preprečevanje krhkosti, zgodnje prepoznavanje kognitivne motnje ter preprečevanje slabšanja kognitivnega stanja, aktivno vključevanje v preventivne programe na lokalnem nivoju, ustvarjanje demenci prijaznih lokalnih okolij. </w:t>
      </w:r>
    </w:p>
    <w:p w14:paraId="554C555E" w14:textId="77777777" w:rsidR="0008243B" w:rsidRPr="0008243B" w:rsidRDefault="0008243B" w:rsidP="00D631B6">
      <w:pPr>
        <w:numPr>
          <w:ilvl w:val="0"/>
          <w:numId w:val="29"/>
        </w:numPr>
        <w:jc w:val="both"/>
        <w:rPr>
          <w:lang w:val="sl-SI"/>
        </w:rPr>
      </w:pPr>
      <w:r w:rsidRPr="0008243B">
        <w:rPr>
          <w:lang w:val="sl-SI"/>
        </w:rPr>
        <w:t xml:space="preserve">Osveščanje splošne in ciljnih populacij o zdravem načinu življenja in preprečevanju dejavnikov tveganja za nastanek demence. </w:t>
      </w:r>
    </w:p>
    <w:p w14:paraId="190860FF" w14:textId="5A419AA1" w:rsidR="008B193E" w:rsidRDefault="0008243B" w:rsidP="008B193E">
      <w:pPr>
        <w:numPr>
          <w:ilvl w:val="0"/>
          <w:numId w:val="29"/>
        </w:numPr>
        <w:jc w:val="both"/>
        <w:rPr>
          <w:lang w:val="sl-SI"/>
        </w:rPr>
      </w:pPr>
      <w:r w:rsidRPr="0008243B">
        <w:rPr>
          <w:lang w:val="sl-SI"/>
        </w:rPr>
        <w:t>Uvedba enotnih presejalnih testov v skladu s priporočili stroke.</w:t>
      </w:r>
    </w:p>
    <w:tbl>
      <w:tblPr>
        <w:tblStyle w:val="Tabelamrea"/>
        <w:tblW w:w="0" w:type="auto"/>
        <w:tblLook w:val="04A0" w:firstRow="1" w:lastRow="0" w:firstColumn="1" w:lastColumn="0" w:noHBand="0" w:noVBand="1"/>
      </w:tblPr>
      <w:tblGrid>
        <w:gridCol w:w="2829"/>
        <w:gridCol w:w="2829"/>
        <w:gridCol w:w="2830"/>
      </w:tblGrid>
      <w:tr w:rsidR="008B193E" w14:paraId="46BB649C" w14:textId="77777777" w:rsidTr="008B193E">
        <w:tc>
          <w:tcPr>
            <w:tcW w:w="2829" w:type="dxa"/>
          </w:tcPr>
          <w:p w14:paraId="23738C56" w14:textId="5C290DBA" w:rsidR="008B193E" w:rsidRDefault="008B193E" w:rsidP="008B193E">
            <w:pPr>
              <w:jc w:val="both"/>
              <w:rPr>
                <w:lang w:val="sl-SI"/>
              </w:rPr>
            </w:pPr>
            <w:r>
              <w:rPr>
                <w:lang w:val="sl-SI"/>
              </w:rPr>
              <w:t>Kazalnik</w:t>
            </w:r>
          </w:p>
        </w:tc>
        <w:tc>
          <w:tcPr>
            <w:tcW w:w="2829" w:type="dxa"/>
          </w:tcPr>
          <w:p w14:paraId="22DB957D" w14:textId="280D770C" w:rsidR="008B193E" w:rsidRDefault="008B193E" w:rsidP="008B193E">
            <w:pPr>
              <w:jc w:val="both"/>
              <w:rPr>
                <w:lang w:val="sl-SI"/>
              </w:rPr>
            </w:pPr>
            <w:r>
              <w:rPr>
                <w:lang w:val="sl-SI"/>
              </w:rPr>
              <w:t>Izhodiščna vrednost/ocena</w:t>
            </w:r>
          </w:p>
        </w:tc>
        <w:tc>
          <w:tcPr>
            <w:tcW w:w="2830" w:type="dxa"/>
          </w:tcPr>
          <w:p w14:paraId="5D029282" w14:textId="6EB912B0" w:rsidR="008B193E" w:rsidRDefault="008B193E" w:rsidP="008B193E">
            <w:pPr>
              <w:jc w:val="both"/>
              <w:rPr>
                <w:lang w:val="sl-SI"/>
              </w:rPr>
            </w:pPr>
            <w:r>
              <w:rPr>
                <w:lang w:val="sl-SI"/>
              </w:rPr>
              <w:t>Ciljna vrednost/ocena</w:t>
            </w:r>
          </w:p>
        </w:tc>
      </w:tr>
      <w:tr w:rsidR="008B193E" w14:paraId="2FAB03E2" w14:textId="77777777" w:rsidTr="008B193E">
        <w:tc>
          <w:tcPr>
            <w:tcW w:w="2829" w:type="dxa"/>
          </w:tcPr>
          <w:p w14:paraId="1E0F9748" w14:textId="3464ECA8" w:rsidR="008B193E" w:rsidRDefault="008B193E" w:rsidP="008B193E">
            <w:pPr>
              <w:jc w:val="both"/>
              <w:rPr>
                <w:lang w:val="sl-SI"/>
              </w:rPr>
            </w:pPr>
            <w:r>
              <w:rPr>
                <w:lang w:val="sl-SI"/>
              </w:rPr>
              <w:t>Delež nacionalnih programov</w:t>
            </w:r>
            <w:r w:rsidR="00066A18">
              <w:rPr>
                <w:lang w:val="sl-SI"/>
              </w:rPr>
              <w:t xml:space="preserve"> na področju zdravstva in socialnega varstva</w:t>
            </w:r>
            <w:r>
              <w:rPr>
                <w:lang w:val="sl-SI"/>
              </w:rPr>
              <w:t xml:space="preserve">, ki </w:t>
            </w:r>
            <w:r w:rsidR="00066A18">
              <w:rPr>
                <w:lang w:val="sl-SI"/>
              </w:rPr>
              <w:t>s svojimi ukrepi delno ali v celoti izrecno naslavljajo  osebe z demenco</w:t>
            </w:r>
          </w:p>
        </w:tc>
        <w:tc>
          <w:tcPr>
            <w:tcW w:w="2829" w:type="dxa"/>
          </w:tcPr>
          <w:p w14:paraId="49DB33DF" w14:textId="77777777" w:rsidR="008B193E" w:rsidRDefault="008B193E" w:rsidP="008B193E">
            <w:pPr>
              <w:jc w:val="both"/>
              <w:rPr>
                <w:lang w:val="sl-SI"/>
              </w:rPr>
            </w:pPr>
          </w:p>
          <w:p w14:paraId="572B5A21" w14:textId="014EA063" w:rsidR="00066A18" w:rsidRDefault="00066A18" w:rsidP="008B193E">
            <w:pPr>
              <w:jc w:val="both"/>
              <w:rPr>
                <w:lang w:val="sl-SI"/>
              </w:rPr>
            </w:pPr>
            <w:r>
              <w:rPr>
                <w:lang w:val="sl-SI"/>
              </w:rPr>
              <w:t>5 % &lt;</w:t>
            </w:r>
          </w:p>
        </w:tc>
        <w:tc>
          <w:tcPr>
            <w:tcW w:w="2830" w:type="dxa"/>
          </w:tcPr>
          <w:p w14:paraId="7AEEC123" w14:textId="77777777" w:rsidR="008B193E" w:rsidRDefault="008B193E" w:rsidP="008B193E">
            <w:pPr>
              <w:jc w:val="both"/>
              <w:rPr>
                <w:lang w:val="sl-SI"/>
              </w:rPr>
            </w:pPr>
          </w:p>
          <w:p w14:paraId="352D8DF0" w14:textId="45F6AC8D" w:rsidR="00066A18" w:rsidRDefault="00066A18" w:rsidP="008B193E">
            <w:pPr>
              <w:jc w:val="both"/>
              <w:rPr>
                <w:lang w:val="sl-SI"/>
              </w:rPr>
            </w:pPr>
            <w:r>
              <w:rPr>
                <w:lang w:val="sl-SI"/>
              </w:rPr>
              <w:t>15 % &gt;</w:t>
            </w:r>
          </w:p>
        </w:tc>
      </w:tr>
    </w:tbl>
    <w:p w14:paraId="21D5EFB4" w14:textId="10D5E6E2" w:rsidR="008B193E" w:rsidRPr="008B193E" w:rsidRDefault="008B193E" w:rsidP="00F07E05">
      <w:pPr>
        <w:jc w:val="both"/>
        <w:rPr>
          <w:lang w:val="sl-SI"/>
        </w:rPr>
      </w:pPr>
    </w:p>
    <w:p w14:paraId="32DA7A70" w14:textId="77777777" w:rsidR="0008243B" w:rsidRPr="0008243B" w:rsidRDefault="0008243B" w:rsidP="00D631B6">
      <w:pPr>
        <w:jc w:val="both"/>
        <w:rPr>
          <w:lang w:val="sl-SI"/>
        </w:rPr>
      </w:pPr>
    </w:p>
    <w:p w14:paraId="0297F3EE" w14:textId="77777777" w:rsidR="0008243B" w:rsidRPr="0008243B" w:rsidRDefault="0008243B" w:rsidP="00D631B6">
      <w:pPr>
        <w:numPr>
          <w:ilvl w:val="0"/>
          <w:numId w:val="28"/>
        </w:numPr>
        <w:jc w:val="both"/>
        <w:rPr>
          <w:rFonts w:cs="Arial"/>
          <w:lang w:val="sl-SI"/>
        </w:rPr>
      </w:pPr>
      <w:r w:rsidRPr="0008243B">
        <w:rPr>
          <w:rFonts w:cs="Arial"/>
          <w:b/>
          <w:bCs/>
          <w:lang w:val="sl-SI"/>
        </w:rPr>
        <w:t>Diagnosticiranje zgodnjih faz nevrokognitivnih motenj, izboljšanje dostopnosti do kakovostnih, varnih in učinkovitih zdravstvenih obravnav in zdravljenja</w:t>
      </w:r>
    </w:p>
    <w:p w14:paraId="1A75B1C1" w14:textId="44507FFC" w:rsidR="0008243B" w:rsidRDefault="0008243B" w:rsidP="00D631B6">
      <w:pPr>
        <w:numPr>
          <w:ilvl w:val="0"/>
          <w:numId w:val="37"/>
        </w:numPr>
        <w:jc w:val="both"/>
        <w:rPr>
          <w:rFonts w:cs="Arial"/>
          <w:lang w:val="sl-SI"/>
        </w:rPr>
      </w:pPr>
      <w:r w:rsidRPr="0008243B">
        <w:rPr>
          <w:rFonts w:cs="Arial"/>
          <w:lang w:val="sl-SI"/>
        </w:rPr>
        <w:t>Zagotoviti zgodnjo in pravočasno diagnostiko ter uvedbo zdravljenja.</w:t>
      </w:r>
    </w:p>
    <w:p w14:paraId="5F4AC10F" w14:textId="48839794" w:rsidR="006E6D81" w:rsidRPr="0008243B" w:rsidRDefault="006E6D81" w:rsidP="00D631B6">
      <w:pPr>
        <w:numPr>
          <w:ilvl w:val="0"/>
          <w:numId w:val="37"/>
        </w:numPr>
        <w:jc w:val="both"/>
        <w:rPr>
          <w:rFonts w:cs="Arial"/>
          <w:lang w:val="sl-SI"/>
        </w:rPr>
      </w:pPr>
      <w:r>
        <w:rPr>
          <w:rFonts w:cs="Arial"/>
          <w:lang w:val="sl-SI"/>
        </w:rPr>
        <w:t xml:space="preserve">Zagotoviti in formalizirati nefarmakološke </w:t>
      </w:r>
      <w:r w:rsidRPr="006E6D81">
        <w:rPr>
          <w:rFonts w:cs="Arial"/>
          <w:lang w:val="sl-SI"/>
        </w:rPr>
        <w:t>pristope</w:t>
      </w:r>
      <w:r>
        <w:rPr>
          <w:rFonts w:cs="Arial"/>
          <w:lang w:val="sl-SI"/>
        </w:rPr>
        <w:t xml:space="preserve"> pri </w:t>
      </w:r>
      <w:r w:rsidR="008555A6">
        <w:rPr>
          <w:rFonts w:cs="Arial"/>
          <w:lang w:val="sl-SI"/>
        </w:rPr>
        <w:t xml:space="preserve">obravnavi oseb z </w:t>
      </w:r>
      <w:r>
        <w:rPr>
          <w:rFonts w:cs="Arial"/>
          <w:lang w:val="sl-SI"/>
        </w:rPr>
        <w:t>demence</w:t>
      </w:r>
      <w:r w:rsidRPr="006E6D81">
        <w:rPr>
          <w:rFonts w:cs="Arial"/>
          <w:lang w:val="sl-SI"/>
        </w:rPr>
        <w:t>.</w:t>
      </w:r>
    </w:p>
    <w:p w14:paraId="3030E6C0" w14:textId="77777777" w:rsidR="0008243B" w:rsidRPr="0008243B" w:rsidRDefault="0008243B" w:rsidP="00D631B6">
      <w:pPr>
        <w:numPr>
          <w:ilvl w:val="0"/>
          <w:numId w:val="37"/>
        </w:numPr>
        <w:spacing w:after="160" w:line="252" w:lineRule="auto"/>
        <w:contextualSpacing/>
        <w:jc w:val="both"/>
        <w:rPr>
          <w:rFonts w:cs="Arial"/>
          <w:szCs w:val="22"/>
          <w:lang w:val="sl-SI"/>
        </w:rPr>
      </w:pPr>
      <w:r w:rsidRPr="0008243B">
        <w:rPr>
          <w:rFonts w:cs="Arial"/>
          <w:szCs w:val="22"/>
          <w:lang w:val="sl-SI"/>
        </w:rPr>
        <w:t>Od samega začetka zagotoviti integrirane storitve in multidisciplinarno obravnavo.</w:t>
      </w:r>
    </w:p>
    <w:p w14:paraId="5F110F9E" w14:textId="7B5AD5F0" w:rsidR="0008243B" w:rsidRPr="0008243B" w:rsidRDefault="0008243B" w:rsidP="00D631B6">
      <w:pPr>
        <w:numPr>
          <w:ilvl w:val="0"/>
          <w:numId w:val="37"/>
        </w:numPr>
        <w:spacing w:after="160" w:line="252" w:lineRule="auto"/>
        <w:contextualSpacing/>
        <w:jc w:val="both"/>
        <w:rPr>
          <w:rFonts w:cs="Arial"/>
          <w:szCs w:val="22"/>
          <w:lang w:val="sl-SI"/>
        </w:rPr>
      </w:pPr>
      <w:r w:rsidRPr="0008243B">
        <w:rPr>
          <w:rFonts w:cs="Arial"/>
          <w:lang w:val="sl-SI"/>
        </w:rPr>
        <w:t xml:space="preserve">Izboljšati dostopnost in </w:t>
      </w:r>
      <w:r w:rsidR="008555A6">
        <w:rPr>
          <w:rFonts w:cs="Arial"/>
          <w:lang w:val="sl-SI"/>
        </w:rPr>
        <w:t>kakovost</w:t>
      </w:r>
      <w:r w:rsidR="008555A6" w:rsidRPr="0008243B">
        <w:rPr>
          <w:rFonts w:cs="Arial"/>
          <w:lang w:val="sl-SI"/>
        </w:rPr>
        <w:t xml:space="preserve"> </w:t>
      </w:r>
      <w:r w:rsidRPr="0008243B">
        <w:rPr>
          <w:rFonts w:cs="Arial"/>
          <w:lang w:val="sl-SI"/>
        </w:rPr>
        <w:t xml:space="preserve">zdravstvenih storitev za zgodnjo diagnozo motnje, ki se kaže z demenco. </w:t>
      </w:r>
    </w:p>
    <w:p w14:paraId="2C90FF42" w14:textId="77777777" w:rsidR="0008243B" w:rsidRPr="0008243B" w:rsidRDefault="0008243B" w:rsidP="00D631B6">
      <w:pPr>
        <w:numPr>
          <w:ilvl w:val="0"/>
          <w:numId w:val="37"/>
        </w:numPr>
        <w:jc w:val="both"/>
        <w:rPr>
          <w:rFonts w:cs="Arial"/>
          <w:lang w:val="sl-SI"/>
        </w:rPr>
      </w:pPr>
      <w:r w:rsidRPr="0008243B">
        <w:rPr>
          <w:rFonts w:cs="Arial"/>
          <w:lang w:val="sl-SI"/>
        </w:rPr>
        <w:t xml:space="preserve">Izboljšati in poenotiti diagnostične postopke s policentričnim pristopom na nacionalni ravni, z mrežo spominskih centrov, </w:t>
      </w:r>
      <w:r w:rsidRPr="0008243B">
        <w:rPr>
          <w:lang w:val="sl-SI"/>
        </w:rPr>
        <w:t xml:space="preserve">s kadrovskimi normativi za interdisciplinarno timsko obravnavo za </w:t>
      </w:r>
      <w:r w:rsidRPr="0008243B">
        <w:rPr>
          <w:rFonts w:cs="Arial"/>
          <w:lang w:val="sl-SI"/>
        </w:rPr>
        <w:t xml:space="preserve">zdravljenje in oskrbo oseb z demenco, v skladu s sodobnimi kliničnimi trendi. </w:t>
      </w:r>
    </w:p>
    <w:p w14:paraId="519D5F2B" w14:textId="58B32E66" w:rsidR="0008243B" w:rsidRPr="0008243B" w:rsidRDefault="00257017" w:rsidP="00D631B6">
      <w:pPr>
        <w:numPr>
          <w:ilvl w:val="0"/>
          <w:numId w:val="37"/>
        </w:numPr>
        <w:jc w:val="both"/>
        <w:rPr>
          <w:rFonts w:cs="Arial"/>
          <w:lang w:val="sl-SI"/>
        </w:rPr>
      </w:pPr>
      <w:r>
        <w:rPr>
          <w:rFonts w:cs="Arial"/>
          <w:lang w:val="sl-SI"/>
        </w:rPr>
        <w:t>Razširiti že obstoječo</w:t>
      </w:r>
      <w:r w:rsidR="0008243B" w:rsidRPr="0008243B">
        <w:rPr>
          <w:rFonts w:cs="Arial"/>
          <w:lang w:val="sl-SI"/>
        </w:rPr>
        <w:t xml:space="preserve"> terciarno obravnavo v primeru zahtevnih kliničnih slik, z dostopom do sodobnih metod diagnostike in zdravljenja. </w:t>
      </w:r>
    </w:p>
    <w:p w14:paraId="1D58C672" w14:textId="3DDA4B9B" w:rsidR="0008243B" w:rsidRPr="00F07E05" w:rsidRDefault="0008243B" w:rsidP="00D631B6">
      <w:pPr>
        <w:numPr>
          <w:ilvl w:val="0"/>
          <w:numId w:val="37"/>
        </w:numPr>
        <w:jc w:val="both"/>
        <w:rPr>
          <w:b/>
          <w:bCs/>
          <w:lang w:val="sl-SI"/>
        </w:rPr>
      </w:pPr>
      <w:r w:rsidRPr="0008243B">
        <w:rPr>
          <w:rFonts w:cs="Arial"/>
          <w:lang w:val="sl-SI"/>
        </w:rPr>
        <w:t>Zagotoviti kakovost, dostopnost in učinkovitost obravnave z uvedbo kazalnikov kakovosti.</w:t>
      </w:r>
    </w:p>
    <w:tbl>
      <w:tblPr>
        <w:tblStyle w:val="Tabelamrea"/>
        <w:tblW w:w="0" w:type="auto"/>
        <w:tblLook w:val="04A0" w:firstRow="1" w:lastRow="0" w:firstColumn="1" w:lastColumn="0" w:noHBand="0" w:noVBand="1"/>
      </w:tblPr>
      <w:tblGrid>
        <w:gridCol w:w="2829"/>
        <w:gridCol w:w="2829"/>
        <w:gridCol w:w="2830"/>
      </w:tblGrid>
      <w:tr w:rsidR="00066A18" w:rsidRPr="00066A18" w14:paraId="27F063A5" w14:textId="77777777" w:rsidTr="00066A18">
        <w:tc>
          <w:tcPr>
            <w:tcW w:w="2829" w:type="dxa"/>
          </w:tcPr>
          <w:p w14:paraId="7CAF7E47" w14:textId="0C2D9743" w:rsidR="00066A18" w:rsidRPr="00F07E05" w:rsidRDefault="00066A18" w:rsidP="00066A18">
            <w:pPr>
              <w:jc w:val="both"/>
              <w:rPr>
                <w:lang w:val="sl-SI"/>
              </w:rPr>
            </w:pPr>
            <w:r w:rsidRPr="00F07E05">
              <w:rPr>
                <w:lang w:val="sl-SI"/>
              </w:rPr>
              <w:t>Kazalnik</w:t>
            </w:r>
          </w:p>
        </w:tc>
        <w:tc>
          <w:tcPr>
            <w:tcW w:w="2829" w:type="dxa"/>
          </w:tcPr>
          <w:p w14:paraId="738C71B6" w14:textId="5A02A864" w:rsidR="00066A18" w:rsidRPr="00F07E05" w:rsidRDefault="00066A18" w:rsidP="00066A18">
            <w:pPr>
              <w:jc w:val="both"/>
              <w:rPr>
                <w:lang w:val="sl-SI"/>
              </w:rPr>
            </w:pPr>
            <w:r w:rsidRPr="00F07E05">
              <w:rPr>
                <w:lang w:val="sl-SI"/>
              </w:rPr>
              <w:t>Izhodiščna vrednost/ocena</w:t>
            </w:r>
          </w:p>
        </w:tc>
        <w:tc>
          <w:tcPr>
            <w:tcW w:w="2830" w:type="dxa"/>
          </w:tcPr>
          <w:p w14:paraId="6DF34023" w14:textId="78D978C3" w:rsidR="00066A18" w:rsidRPr="00F07E05" w:rsidRDefault="00066A18" w:rsidP="00066A18">
            <w:pPr>
              <w:jc w:val="both"/>
              <w:rPr>
                <w:lang w:val="sl-SI"/>
              </w:rPr>
            </w:pPr>
            <w:r w:rsidRPr="00F07E05">
              <w:rPr>
                <w:lang w:val="sl-SI"/>
              </w:rPr>
              <w:t>Ciljna vrednost/ocena</w:t>
            </w:r>
          </w:p>
        </w:tc>
      </w:tr>
      <w:tr w:rsidR="00066A18" w:rsidRPr="00066A18" w14:paraId="70368F70" w14:textId="77777777" w:rsidTr="00066A18">
        <w:tc>
          <w:tcPr>
            <w:tcW w:w="2829" w:type="dxa"/>
          </w:tcPr>
          <w:p w14:paraId="4C2B7E31" w14:textId="484F1448" w:rsidR="00066A18" w:rsidRPr="00F07E05" w:rsidRDefault="00066A18" w:rsidP="00066A18">
            <w:pPr>
              <w:jc w:val="both"/>
              <w:rPr>
                <w:lang w:val="sl-SI"/>
              </w:rPr>
            </w:pPr>
            <w:r w:rsidRPr="00F07E05">
              <w:rPr>
                <w:lang w:val="sl-SI"/>
              </w:rPr>
              <w:t>Število oseb z demenco</w:t>
            </w:r>
            <w:r w:rsidR="001F1DF5">
              <w:rPr>
                <w:lang w:val="sl-SI"/>
              </w:rPr>
              <w:t>, ki so deležni pravočasnega in  ustreznega zdravljenja</w:t>
            </w:r>
          </w:p>
        </w:tc>
        <w:tc>
          <w:tcPr>
            <w:tcW w:w="2829" w:type="dxa"/>
          </w:tcPr>
          <w:p w14:paraId="3B95020E" w14:textId="08ECF247" w:rsidR="00066A18" w:rsidRPr="00F07E05" w:rsidRDefault="001F1DF5" w:rsidP="00066A18">
            <w:pPr>
              <w:jc w:val="both"/>
              <w:rPr>
                <w:lang w:val="sl-SI"/>
              </w:rPr>
            </w:pPr>
            <w:r>
              <w:rPr>
                <w:lang w:val="sl-SI"/>
              </w:rPr>
              <w:t>20% &lt;</w:t>
            </w:r>
          </w:p>
        </w:tc>
        <w:tc>
          <w:tcPr>
            <w:tcW w:w="2830" w:type="dxa"/>
          </w:tcPr>
          <w:p w14:paraId="5E7CAE46" w14:textId="57A667C0" w:rsidR="00066A18" w:rsidRPr="00F07E05" w:rsidRDefault="001F1DF5" w:rsidP="00066A18">
            <w:pPr>
              <w:jc w:val="both"/>
              <w:rPr>
                <w:lang w:val="sl-SI"/>
              </w:rPr>
            </w:pPr>
            <w:r>
              <w:rPr>
                <w:lang w:val="sl-SI"/>
              </w:rPr>
              <w:t>50% &gt;</w:t>
            </w:r>
          </w:p>
        </w:tc>
      </w:tr>
    </w:tbl>
    <w:p w14:paraId="7A9355FE" w14:textId="77777777" w:rsidR="00066A18" w:rsidRPr="0008243B" w:rsidRDefault="00066A18" w:rsidP="00F07E05">
      <w:pPr>
        <w:jc w:val="both"/>
        <w:rPr>
          <w:b/>
          <w:bCs/>
          <w:lang w:val="sl-SI"/>
        </w:rPr>
      </w:pPr>
    </w:p>
    <w:p w14:paraId="71C1C460" w14:textId="77777777" w:rsidR="0008243B" w:rsidRPr="0008243B" w:rsidRDefault="0008243B" w:rsidP="00D631B6">
      <w:pPr>
        <w:jc w:val="both"/>
        <w:rPr>
          <w:b/>
          <w:bCs/>
          <w:lang w:val="sl-SI"/>
        </w:rPr>
      </w:pPr>
    </w:p>
    <w:p w14:paraId="31978339" w14:textId="7631E30A" w:rsidR="0008243B" w:rsidRPr="0008243B" w:rsidRDefault="0008243B" w:rsidP="00D631B6">
      <w:pPr>
        <w:numPr>
          <w:ilvl w:val="0"/>
          <w:numId w:val="28"/>
        </w:numPr>
        <w:jc w:val="both"/>
        <w:rPr>
          <w:b/>
          <w:bCs/>
          <w:lang w:val="sl-SI"/>
        </w:rPr>
      </w:pPr>
      <w:r w:rsidRPr="0008243B">
        <w:rPr>
          <w:b/>
          <w:bCs/>
          <w:lang w:val="sl-SI"/>
        </w:rPr>
        <w:t xml:space="preserve">Izboljšanje dostopnosti do ustrezne in usklajene </w:t>
      </w:r>
      <w:bookmarkStart w:id="7" w:name="_Hlk95912652"/>
      <w:r w:rsidRPr="0008243B">
        <w:rPr>
          <w:b/>
          <w:bCs/>
          <w:lang w:val="sl-SI"/>
        </w:rPr>
        <w:t xml:space="preserve">postdiagnostične multidisciplinarne </w:t>
      </w:r>
      <w:bookmarkEnd w:id="7"/>
      <w:r w:rsidRPr="0008243B">
        <w:rPr>
          <w:b/>
          <w:bCs/>
          <w:lang w:val="sl-SI"/>
        </w:rPr>
        <w:t>obravnave</w:t>
      </w:r>
      <w:r w:rsidR="008555A6">
        <w:rPr>
          <w:b/>
          <w:bCs/>
          <w:lang w:val="sl-SI"/>
        </w:rPr>
        <w:t xml:space="preserve"> za</w:t>
      </w:r>
      <w:r w:rsidRPr="0008243B">
        <w:rPr>
          <w:b/>
          <w:bCs/>
          <w:lang w:val="sl-SI"/>
        </w:rPr>
        <w:t xml:space="preserve"> oseb</w:t>
      </w:r>
      <w:r w:rsidR="008555A6">
        <w:rPr>
          <w:b/>
          <w:bCs/>
          <w:lang w:val="sl-SI"/>
        </w:rPr>
        <w:t>e</w:t>
      </w:r>
      <w:r w:rsidRPr="0008243B">
        <w:rPr>
          <w:b/>
          <w:bCs/>
          <w:lang w:val="sl-SI"/>
        </w:rPr>
        <w:t xml:space="preserve"> z demenco, vključno z integrirano obravnavo, </w:t>
      </w:r>
      <w:r w:rsidR="008555A6">
        <w:rPr>
          <w:b/>
          <w:bCs/>
          <w:lang w:val="sl-SI"/>
        </w:rPr>
        <w:t xml:space="preserve">dolgotrajno oskrbo, </w:t>
      </w:r>
      <w:r w:rsidRPr="0008243B">
        <w:rPr>
          <w:b/>
          <w:bCs/>
          <w:lang w:val="sl-SI"/>
        </w:rPr>
        <w:t>socialnimi storitvami, podporo družinam oziroma skrbnikom v lokalnem okolju</w:t>
      </w:r>
      <w:r w:rsidRPr="0008243B">
        <w:rPr>
          <w:lang w:val="sl-SI"/>
        </w:rPr>
        <w:t xml:space="preserve"> </w:t>
      </w:r>
      <w:r w:rsidRPr="0008243B">
        <w:rPr>
          <w:b/>
          <w:bCs/>
          <w:lang w:val="sl-SI"/>
        </w:rPr>
        <w:t>ter dostopom do paliativne obravnave.</w:t>
      </w:r>
    </w:p>
    <w:p w14:paraId="1C91EE5C" w14:textId="123C44B9" w:rsidR="0008243B" w:rsidRPr="0008243B" w:rsidRDefault="0008243B" w:rsidP="00D631B6">
      <w:pPr>
        <w:numPr>
          <w:ilvl w:val="0"/>
          <w:numId w:val="30"/>
        </w:numPr>
        <w:jc w:val="both"/>
        <w:rPr>
          <w:lang w:val="sl-SI"/>
        </w:rPr>
      </w:pPr>
      <w:r w:rsidRPr="0008243B">
        <w:rPr>
          <w:lang w:val="sl-SI"/>
        </w:rPr>
        <w:t xml:space="preserve">Zagotoviti kakovostno, učinkovito in celostno obravnavo oseb z demenco, </w:t>
      </w:r>
      <w:r w:rsidR="00C70836">
        <w:rPr>
          <w:lang w:val="sl-SI"/>
        </w:rPr>
        <w:t xml:space="preserve">vključitev v dolgotrajno oskrbo, </w:t>
      </w:r>
      <w:r w:rsidRPr="0008243B">
        <w:rPr>
          <w:lang w:val="sl-SI"/>
        </w:rPr>
        <w:t>prilagojeno tudi na vrsto in stadij demence.</w:t>
      </w:r>
    </w:p>
    <w:p w14:paraId="2572124B" w14:textId="7B572988" w:rsidR="0008243B" w:rsidRPr="0008243B" w:rsidRDefault="0008243B" w:rsidP="00D631B6">
      <w:pPr>
        <w:numPr>
          <w:ilvl w:val="0"/>
          <w:numId w:val="30"/>
        </w:numPr>
        <w:jc w:val="both"/>
        <w:rPr>
          <w:lang w:val="sl-SI"/>
        </w:rPr>
      </w:pPr>
      <w:r w:rsidRPr="0008243B">
        <w:rPr>
          <w:lang w:val="sl-SI"/>
        </w:rPr>
        <w:t>Izboljšati učinkovitost izvajanja storitev in gospodarjenja s kadrovskimi in finančnimi viri</w:t>
      </w:r>
      <w:r w:rsidR="00835ADB">
        <w:rPr>
          <w:lang w:val="sl-SI"/>
        </w:rPr>
        <w:t>.</w:t>
      </w:r>
    </w:p>
    <w:p w14:paraId="24349D0A" w14:textId="77777777" w:rsidR="0008243B" w:rsidRPr="0008243B" w:rsidRDefault="0008243B" w:rsidP="00D631B6">
      <w:pPr>
        <w:numPr>
          <w:ilvl w:val="0"/>
          <w:numId w:val="30"/>
        </w:numPr>
        <w:jc w:val="both"/>
        <w:rPr>
          <w:lang w:val="sl-SI"/>
        </w:rPr>
      </w:pPr>
      <w:r w:rsidRPr="0008243B">
        <w:rPr>
          <w:lang w:val="sl-SI"/>
        </w:rPr>
        <w:t>Opolnomočiti osebe z demenco in njihove svojce za ohranjanje samostojnosti.</w:t>
      </w:r>
    </w:p>
    <w:p w14:paraId="117961A7" w14:textId="77777777" w:rsidR="0008243B" w:rsidRPr="0008243B" w:rsidRDefault="0008243B" w:rsidP="00D631B6">
      <w:pPr>
        <w:numPr>
          <w:ilvl w:val="0"/>
          <w:numId w:val="30"/>
        </w:numPr>
        <w:jc w:val="both"/>
        <w:rPr>
          <w:lang w:val="sl-SI"/>
        </w:rPr>
      </w:pPr>
      <w:r w:rsidRPr="0008243B">
        <w:rPr>
          <w:lang w:val="sl-SI"/>
        </w:rPr>
        <w:t>Prilagoditi storitve osebam z demenco.</w:t>
      </w:r>
    </w:p>
    <w:p w14:paraId="78A3EF0C" w14:textId="77777777" w:rsidR="0008243B" w:rsidRPr="0008243B" w:rsidRDefault="0008243B" w:rsidP="00D631B6">
      <w:pPr>
        <w:numPr>
          <w:ilvl w:val="0"/>
          <w:numId w:val="30"/>
        </w:numPr>
        <w:jc w:val="both"/>
        <w:rPr>
          <w:lang w:val="sl-SI"/>
        </w:rPr>
      </w:pPr>
      <w:r w:rsidRPr="0008243B">
        <w:rPr>
          <w:lang w:val="sl-SI"/>
        </w:rPr>
        <w:t>Izboljšati kakovost življenja oseb z demenco in njihovih svojcev.</w:t>
      </w:r>
    </w:p>
    <w:p w14:paraId="4416A615" w14:textId="77777777" w:rsidR="0008243B" w:rsidRPr="0008243B" w:rsidRDefault="0008243B" w:rsidP="00D631B6">
      <w:pPr>
        <w:numPr>
          <w:ilvl w:val="0"/>
          <w:numId w:val="30"/>
        </w:numPr>
        <w:jc w:val="both"/>
        <w:rPr>
          <w:lang w:val="sl-SI"/>
        </w:rPr>
      </w:pPr>
      <w:r w:rsidRPr="0008243B">
        <w:rPr>
          <w:lang w:val="sl-SI"/>
        </w:rPr>
        <w:t>Izvajanje storitev v skladu s potrebami in zmožnostmi osebe, ki te storitve potrebuje.</w:t>
      </w:r>
    </w:p>
    <w:p w14:paraId="33EE3DE2" w14:textId="1164B5C9" w:rsidR="0008243B" w:rsidRPr="0008243B" w:rsidRDefault="0008243B" w:rsidP="00D631B6">
      <w:pPr>
        <w:numPr>
          <w:ilvl w:val="0"/>
          <w:numId w:val="30"/>
        </w:numPr>
        <w:jc w:val="both"/>
        <w:rPr>
          <w:lang w:val="sl-SI"/>
        </w:rPr>
      </w:pPr>
      <w:r w:rsidRPr="0008243B">
        <w:rPr>
          <w:lang w:val="sl-SI"/>
        </w:rPr>
        <w:t xml:space="preserve">Zagotoviti dostopnost in kakovost </w:t>
      </w:r>
      <w:r w:rsidR="00F31FA3">
        <w:rPr>
          <w:lang w:val="sl-SI"/>
        </w:rPr>
        <w:t xml:space="preserve">v dolgotrajni oskrbi, </w:t>
      </w:r>
      <w:r w:rsidRPr="0008243B">
        <w:rPr>
          <w:lang w:val="sl-SI"/>
        </w:rPr>
        <w:t>socialnovarstvenih storitev za podporo osebam z demenco, njihovim družinam in oskrbovalcem</w:t>
      </w:r>
      <w:r w:rsidR="00D631B6">
        <w:rPr>
          <w:lang w:val="sl-SI"/>
        </w:rPr>
        <w:t xml:space="preserve"> ter</w:t>
      </w:r>
      <w:r w:rsidR="00D631B6" w:rsidRPr="0008243B">
        <w:rPr>
          <w:lang w:val="sl-SI"/>
        </w:rPr>
        <w:t xml:space="preserve"> krepitvijo storitev v skupnosti.</w:t>
      </w:r>
    </w:p>
    <w:p w14:paraId="1672EED6" w14:textId="5B3EB5D0" w:rsidR="0008243B" w:rsidRPr="0008243B" w:rsidRDefault="0008243B" w:rsidP="00D631B6">
      <w:pPr>
        <w:numPr>
          <w:ilvl w:val="0"/>
          <w:numId w:val="30"/>
        </w:numPr>
        <w:jc w:val="both"/>
        <w:rPr>
          <w:lang w:val="sl-SI"/>
        </w:rPr>
      </w:pPr>
      <w:r w:rsidRPr="0008243B">
        <w:rPr>
          <w:lang w:val="sl-SI"/>
        </w:rPr>
        <w:t xml:space="preserve">Širiti mrežo storitev in programov </w:t>
      </w:r>
      <w:r w:rsidR="00C70836">
        <w:rPr>
          <w:lang w:val="sl-SI"/>
        </w:rPr>
        <w:t xml:space="preserve">v dolgotrajni oskrbi, </w:t>
      </w:r>
      <w:r w:rsidRPr="0008243B">
        <w:rPr>
          <w:lang w:val="sl-SI"/>
        </w:rPr>
        <w:t>socialno varstvenih storitv</w:t>
      </w:r>
      <w:r w:rsidR="00C70836">
        <w:rPr>
          <w:lang w:val="sl-SI"/>
        </w:rPr>
        <w:t>ah</w:t>
      </w:r>
      <w:r w:rsidRPr="0008243B">
        <w:rPr>
          <w:lang w:val="sl-SI"/>
        </w:rPr>
        <w:t>, izboljšati možnost izbire storitev</w:t>
      </w:r>
      <w:r w:rsidR="00C82654">
        <w:rPr>
          <w:lang w:val="sl-SI"/>
        </w:rPr>
        <w:t>.</w:t>
      </w:r>
      <w:r w:rsidRPr="0008243B">
        <w:rPr>
          <w:lang w:val="sl-SI"/>
        </w:rPr>
        <w:t xml:space="preserve"> </w:t>
      </w:r>
    </w:p>
    <w:p w14:paraId="524154C5" w14:textId="77777777" w:rsidR="0008243B" w:rsidRPr="0008243B" w:rsidRDefault="0008243B" w:rsidP="00D631B6">
      <w:pPr>
        <w:numPr>
          <w:ilvl w:val="0"/>
          <w:numId w:val="30"/>
        </w:numPr>
        <w:jc w:val="both"/>
        <w:rPr>
          <w:lang w:val="sl-SI"/>
        </w:rPr>
      </w:pPr>
      <w:r w:rsidRPr="0008243B">
        <w:rPr>
          <w:lang w:val="sl-SI"/>
        </w:rPr>
        <w:t>Organizirati in izvajati storitve na način, ki je uporabniku prilagojen, prijazen in do njega spoštljiv.</w:t>
      </w:r>
    </w:p>
    <w:p w14:paraId="2F5DD8EB" w14:textId="05174638" w:rsidR="0008243B" w:rsidRDefault="0008243B" w:rsidP="00D631B6">
      <w:pPr>
        <w:numPr>
          <w:ilvl w:val="0"/>
          <w:numId w:val="30"/>
        </w:numPr>
        <w:jc w:val="both"/>
        <w:rPr>
          <w:lang w:val="sl-SI"/>
        </w:rPr>
      </w:pPr>
      <w:r w:rsidRPr="0008243B">
        <w:rPr>
          <w:lang w:val="sl-SI"/>
        </w:rPr>
        <w:t>Opredeliti kriterije in način paliativne obravnave pri osebah z demenco.</w:t>
      </w:r>
    </w:p>
    <w:p w14:paraId="68ED7D33" w14:textId="79E909D5" w:rsidR="001F1DF5" w:rsidRDefault="001F1DF5" w:rsidP="001F1DF5">
      <w:pPr>
        <w:jc w:val="both"/>
        <w:rPr>
          <w:lang w:val="sl-SI"/>
        </w:rPr>
      </w:pPr>
    </w:p>
    <w:tbl>
      <w:tblPr>
        <w:tblStyle w:val="Tabelamrea"/>
        <w:tblW w:w="0" w:type="auto"/>
        <w:tblLook w:val="04A0" w:firstRow="1" w:lastRow="0" w:firstColumn="1" w:lastColumn="0" w:noHBand="0" w:noVBand="1"/>
      </w:tblPr>
      <w:tblGrid>
        <w:gridCol w:w="2829"/>
        <w:gridCol w:w="2829"/>
        <w:gridCol w:w="2830"/>
      </w:tblGrid>
      <w:tr w:rsidR="001F1DF5" w14:paraId="6A8B303E" w14:textId="77777777" w:rsidTr="001F1DF5">
        <w:tc>
          <w:tcPr>
            <w:tcW w:w="2829" w:type="dxa"/>
          </w:tcPr>
          <w:p w14:paraId="7C5BF30B" w14:textId="3D5DA037" w:rsidR="001F1DF5" w:rsidRDefault="001F1DF5" w:rsidP="001F1DF5">
            <w:pPr>
              <w:jc w:val="both"/>
              <w:rPr>
                <w:lang w:val="sl-SI"/>
              </w:rPr>
            </w:pPr>
            <w:r>
              <w:rPr>
                <w:lang w:val="sl-SI"/>
              </w:rPr>
              <w:t xml:space="preserve">Kazalnik </w:t>
            </w:r>
          </w:p>
        </w:tc>
        <w:tc>
          <w:tcPr>
            <w:tcW w:w="2829" w:type="dxa"/>
          </w:tcPr>
          <w:p w14:paraId="6E87F896" w14:textId="75321001" w:rsidR="001F1DF5" w:rsidRDefault="001F1DF5" w:rsidP="001F1DF5">
            <w:pPr>
              <w:jc w:val="both"/>
              <w:rPr>
                <w:lang w:val="sl-SI"/>
              </w:rPr>
            </w:pPr>
            <w:r>
              <w:rPr>
                <w:lang w:val="sl-SI"/>
              </w:rPr>
              <w:t>Izhodiščna vrednost/ocena</w:t>
            </w:r>
          </w:p>
        </w:tc>
        <w:tc>
          <w:tcPr>
            <w:tcW w:w="2830" w:type="dxa"/>
          </w:tcPr>
          <w:p w14:paraId="71587B9D" w14:textId="55BB470B" w:rsidR="001F1DF5" w:rsidRDefault="001F1DF5" w:rsidP="001F1DF5">
            <w:pPr>
              <w:jc w:val="both"/>
              <w:rPr>
                <w:lang w:val="sl-SI"/>
              </w:rPr>
            </w:pPr>
            <w:r>
              <w:rPr>
                <w:lang w:val="sl-SI"/>
              </w:rPr>
              <w:t>Ciljna vrednost/ocena</w:t>
            </w:r>
          </w:p>
        </w:tc>
      </w:tr>
      <w:tr w:rsidR="001F1DF5" w14:paraId="2DFCE400" w14:textId="77777777" w:rsidTr="001F1DF5">
        <w:tc>
          <w:tcPr>
            <w:tcW w:w="2829" w:type="dxa"/>
          </w:tcPr>
          <w:p w14:paraId="78C69E40" w14:textId="2B735C48" w:rsidR="001F1DF5" w:rsidRDefault="001F1DF5" w:rsidP="001F1DF5">
            <w:pPr>
              <w:jc w:val="both"/>
              <w:rPr>
                <w:lang w:val="sl-SI"/>
              </w:rPr>
            </w:pPr>
            <w:r>
              <w:rPr>
                <w:lang w:val="sl-SI"/>
              </w:rPr>
              <w:t>Število oseb z demenco, ki so deležne integrirane obravnave v skupnosti</w:t>
            </w:r>
          </w:p>
        </w:tc>
        <w:tc>
          <w:tcPr>
            <w:tcW w:w="2829" w:type="dxa"/>
          </w:tcPr>
          <w:p w14:paraId="5E583EB6" w14:textId="77777777" w:rsidR="001F1DF5" w:rsidRDefault="001F1DF5" w:rsidP="001F1DF5">
            <w:pPr>
              <w:jc w:val="both"/>
              <w:rPr>
                <w:lang w:val="sl-SI"/>
              </w:rPr>
            </w:pPr>
          </w:p>
          <w:p w14:paraId="76B1F462" w14:textId="39BB37CB" w:rsidR="001F1DF5" w:rsidRDefault="001F1DF5" w:rsidP="001F1DF5">
            <w:pPr>
              <w:jc w:val="both"/>
              <w:rPr>
                <w:lang w:val="sl-SI"/>
              </w:rPr>
            </w:pPr>
            <w:r>
              <w:rPr>
                <w:lang w:val="sl-SI"/>
              </w:rPr>
              <w:t>10% &lt;</w:t>
            </w:r>
          </w:p>
        </w:tc>
        <w:tc>
          <w:tcPr>
            <w:tcW w:w="2830" w:type="dxa"/>
          </w:tcPr>
          <w:p w14:paraId="69D7A961" w14:textId="77777777" w:rsidR="001F1DF5" w:rsidRDefault="001F1DF5" w:rsidP="001F1DF5">
            <w:pPr>
              <w:jc w:val="both"/>
              <w:rPr>
                <w:lang w:val="sl-SI"/>
              </w:rPr>
            </w:pPr>
          </w:p>
          <w:p w14:paraId="23F94C9D" w14:textId="4F96C094" w:rsidR="001F1DF5" w:rsidRDefault="001F1DF5" w:rsidP="001F1DF5">
            <w:pPr>
              <w:jc w:val="both"/>
              <w:rPr>
                <w:lang w:val="sl-SI"/>
              </w:rPr>
            </w:pPr>
            <w:r>
              <w:rPr>
                <w:lang w:val="sl-SI"/>
              </w:rPr>
              <w:t>40% &gt;</w:t>
            </w:r>
          </w:p>
        </w:tc>
      </w:tr>
      <w:tr w:rsidR="001F1DF5" w14:paraId="058C7A91" w14:textId="77777777" w:rsidTr="001F1DF5">
        <w:tc>
          <w:tcPr>
            <w:tcW w:w="2829" w:type="dxa"/>
          </w:tcPr>
          <w:p w14:paraId="282F1137" w14:textId="1113B7F9" w:rsidR="001F1DF5" w:rsidRDefault="006E3E47" w:rsidP="001F1DF5">
            <w:pPr>
              <w:jc w:val="both"/>
              <w:rPr>
                <w:lang w:val="sl-SI"/>
              </w:rPr>
            </w:pPr>
            <w:r>
              <w:rPr>
                <w:lang w:val="sl-SI"/>
              </w:rPr>
              <w:t>Zmanjšanje števila</w:t>
            </w:r>
            <w:r w:rsidR="001F1DF5">
              <w:rPr>
                <w:lang w:val="sl-SI"/>
              </w:rPr>
              <w:t xml:space="preserve"> oseb z demenco</w:t>
            </w:r>
            <w:r>
              <w:rPr>
                <w:lang w:val="sl-SI"/>
              </w:rPr>
              <w:t>, ki čakajo na</w:t>
            </w:r>
            <w:r w:rsidR="001F1DF5">
              <w:rPr>
                <w:lang w:val="sl-SI"/>
              </w:rPr>
              <w:t xml:space="preserve"> sprejem v socialnovarstveni zavod več kot 6 mesecev</w:t>
            </w:r>
          </w:p>
        </w:tc>
        <w:tc>
          <w:tcPr>
            <w:tcW w:w="2829" w:type="dxa"/>
          </w:tcPr>
          <w:p w14:paraId="339CB021" w14:textId="77777777" w:rsidR="001F1DF5" w:rsidRDefault="001F1DF5" w:rsidP="001F1DF5">
            <w:pPr>
              <w:jc w:val="both"/>
              <w:rPr>
                <w:lang w:val="sl-SI"/>
              </w:rPr>
            </w:pPr>
          </w:p>
          <w:p w14:paraId="30B437EF" w14:textId="38D7AB59" w:rsidR="001F1DF5" w:rsidRDefault="001F1DF5" w:rsidP="001F1DF5">
            <w:pPr>
              <w:jc w:val="both"/>
              <w:rPr>
                <w:lang w:val="sl-SI"/>
              </w:rPr>
            </w:pPr>
            <w:r>
              <w:rPr>
                <w:lang w:val="sl-SI"/>
              </w:rPr>
              <w:t>30% &gt;</w:t>
            </w:r>
          </w:p>
        </w:tc>
        <w:tc>
          <w:tcPr>
            <w:tcW w:w="2830" w:type="dxa"/>
          </w:tcPr>
          <w:p w14:paraId="441A95E0" w14:textId="77777777" w:rsidR="001F1DF5" w:rsidRDefault="001F1DF5" w:rsidP="001F1DF5">
            <w:pPr>
              <w:jc w:val="both"/>
              <w:rPr>
                <w:lang w:val="sl-SI"/>
              </w:rPr>
            </w:pPr>
          </w:p>
          <w:p w14:paraId="0CD29435" w14:textId="7E87A484" w:rsidR="001F1DF5" w:rsidRDefault="001F1DF5" w:rsidP="001F1DF5">
            <w:pPr>
              <w:jc w:val="both"/>
              <w:rPr>
                <w:lang w:val="sl-SI"/>
              </w:rPr>
            </w:pPr>
            <w:r>
              <w:rPr>
                <w:lang w:val="sl-SI"/>
              </w:rPr>
              <w:t>10% &lt;</w:t>
            </w:r>
          </w:p>
        </w:tc>
      </w:tr>
      <w:tr w:rsidR="001F1DF5" w14:paraId="427A14D0" w14:textId="77777777" w:rsidTr="001F1DF5">
        <w:tc>
          <w:tcPr>
            <w:tcW w:w="2829" w:type="dxa"/>
          </w:tcPr>
          <w:p w14:paraId="4C84260F" w14:textId="4082BE04" w:rsidR="001F1DF5" w:rsidRDefault="006E3E47" w:rsidP="001F1DF5">
            <w:pPr>
              <w:jc w:val="both"/>
              <w:rPr>
                <w:lang w:val="sl-SI"/>
              </w:rPr>
            </w:pPr>
            <w:r>
              <w:rPr>
                <w:lang w:val="sl-SI"/>
              </w:rPr>
              <w:lastRenderedPageBreak/>
              <w:t>Opredelitev kriterijev in način</w:t>
            </w:r>
            <w:r w:rsidR="000C6B0F">
              <w:rPr>
                <w:lang w:val="sl-SI"/>
              </w:rPr>
              <w:t>a</w:t>
            </w:r>
            <w:r>
              <w:rPr>
                <w:lang w:val="sl-SI"/>
              </w:rPr>
              <w:t xml:space="preserve"> paliativne obravnave oseb z demenco v okviru nacionalnega programa za paliativo</w:t>
            </w:r>
          </w:p>
        </w:tc>
        <w:tc>
          <w:tcPr>
            <w:tcW w:w="2829" w:type="dxa"/>
          </w:tcPr>
          <w:p w14:paraId="6CDF152D" w14:textId="77777777" w:rsidR="001F1DF5" w:rsidRDefault="001F1DF5" w:rsidP="001F1DF5">
            <w:pPr>
              <w:jc w:val="both"/>
              <w:rPr>
                <w:lang w:val="sl-SI"/>
              </w:rPr>
            </w:pPr>
          </w:p>
          <w:p w14:paraId="04B4DBC1" w14:textId="2ED07A7D" w:rsidR="006E3E47" w:rsidRDefault="006E3E47" w:rsidP="001F1DF5">
            <w:pPr>
              <w:jc w:val="both"/>
              <w:rPr>
                <w:lang w:val="sl-SI"/>
              </w:rPr>
            </w:pPr>
            <w:r>
              <w:rPr>
                <w:lang w:val="sl-SI"/>
              </w:rPr>
              <w:t xml:space="preserve">0% </w:t>
            </w:r>
          </w:p>
        </w:tc>
        <w:tc>
          <w:tcPr>
            <w:tcW w:w="2830" w:type="dxa"/>
          </w:tcPr>
          <w:p w14:paraId="57249749" w14:textId="77777777" w:rsidR="001F1DF5" w:rsidRDefault="001F1DF5" w:rsidP="001F1DF5">
            <w:pPr>
              <w:jc w:val="both"/>
              <w:rPr>
                <w:lang w:val="sl-SI"/>
              </w:rPr>
            </w:pPr>
          </w:p>
          <w:p w14:paraId="295F2779" w14:textId="3211197B" w:rsidR="006E3E47" w:rsidRDefault="006E3E47" w:rsidP="001F1DF5">
            <w:pPr>
              <w:jc w:val="both"/>
              <w:rPr>
                <w:lang w:val="sl-SI"/>
              </w:rPr>
            </w:pPr>
            <w:r>
              <w:rPr>
                <w:lang w:val="sl-SI"/>
              </w:rPr>
              <w:t>100 %</w:t>
            </w:r>
          </w:p>
        </w:tc>
      </w:tr>
    </w:tbl>
    <w:p w14:paraId="7C2B1754" w14:textId="77777777" w:rsidR="001F1DF5" w:rsidRPr="0008243B" w:rsidRDefault="001F1DF5" w:rsidP="00F07E05">
      <w:pPr>
        <w:jc w:val="both"/>
        <w:rPr>
          <w:lang w:val="sl-SI"/>
        </w:rPr>
      </w:pPr>
    </w:p>
    <w:p w14:paraId="3E57708F" w14:textId="77777777" w:rsidR="0008243B" w:rsidRPr="0008243B" w:rsidRDefault="0008243B" w:rsidP="00D631B6">
      <w:pPr>
        <w:jc w:val="both"/>
        <w:rPr>
          <w:b/>
          <w:bCs/>
          <w:lang w:val="sl-SI"/>
        </w:rPr>
      </w:pPr>
    </w:p>
    <w:p w14:paraId="3B85F8D6" w14:textId="77777777" w:rsidR="0008243B" w:rsidRPr="0008243B" w:rsidRDefault="0008243B" w:rsidP="00D631B6">
      <w:pPr>
        <w:numPr>
          <w:ilvl w:val="0"/>
          <w:numId w:val="28"/>
        </w:numPr>
        <w:jc w:val="both"/>
        <w:rPr>
          <w:b/>
          <w:bCs/>
          <w:lang w:val="sl-SI"/>
        </w:rPr>
      </w:pPr>
      <w:r w:rsidRPr="0008243B">
        <w:rPr>
          <w:b/>
          <w:bCs/>
          <w:lang w:val="sl-SI"/>
        </w:rPr>
        <w:t>Uporaba sodobnih informacijsko-komunikacijskih tehnologij (v nadaljnjem besedilu: IKT) za obravnavo in podporo osebam z demenco.</w:t>
      </w:r>
    </w:p>
    <w:p w14:paraId="1DA8103F" w14:textId="0D70528B" w:rsidR="0008243B" w:rsidRPr="0008243B" w:rsidRDefault="0008243B" w:rsidP="00D631B6">
      <w:pPr>
        <w:numPr>
          <w:ilvl w:val="0"/>
          <w:numId w:val="31"/>
        </w:numPr>
        <w:jc w:val="both"/>
        <w:rPr>
          <w:lang w:val="sl-SI"/>
        </w:rPr>
      </w:pPr>
      <w:r w:rsidRPr="0008243B">
        <w:rPr>
          <w:lang w:val="sl-SI"/>
        </w:rPr>
        <w:t>Razvoj IKT podpore za čimbolj samostojno življenje v domačem okolju</w:t>
      </w:r>
      <w:r w:rsidR="00C70836">
        <w:rPr>
          <w:lang w:val="sl-SI"/>
        </w:rPr>
        <w:t xml:space="preserve"> skladno z določbami ZDO</w:t>
      </w:r>
      <w:r w:rsidRPr="0008243B">
        <w:rPr>
          <w:lang w:val="sl-SI"/>
        </w:rPr>
        <w:t>.</w:t>
      </w:r>
    </w:p>
    <w:p w14:paraId="538406F2" w14:textId="670DB783" w:rsidR="0008243B" w:rsidRPr="0008243B" w:rsidRDefault="0008243B" w:rsidP="00D631B6">
      <w:pPr>
        <w:numPr>
          <w:ilvl w:val="0"/>
          <w:numId w:val="31"/>
        </w:numPr>
        <w:jc w:val="both"/>
        <w:rPr>
          <w:lang w:val="sl-SI"/>
        </w:rPr>
      </w:pPr>
      <w:r w:rsidRPr="0008243B">
        <w:rPr>
          <w:lang w:val="sl-SI"/>
        </w:rPr>
        <w:t>Zagotoviti pretok podatkov o zaznanem kognitivnem upadu, izvedenih diagnostičnih postopkih, zdravljenju in postdiagnostični obravnavi med zdravstvenimi sistemi</w:t>
      </w:r>
      <w:r w:rsidR="00F31FA3">
        <w:rPr>
          <w:lang w:val="sl-SI"/>
        </w:rPr>
        <w:t>, v dolgotrajni oskrbi</w:t>
      </w:r>
      <w:r w:rsidRPr="0008243B">
        <w:rPr>
          <w:lang w:val="sl-SI"/>
        </w:rPr>
        <w:t xml:space="preserve"> in socialno-varstvenimi sistemi .</w:t>
      </w:r>
    </w:p>
    <w:p w14:paraId="3104B453" w14:textId="3B4289C5" w:rsidR="006E3E47" w:rsidRDefault="0008243B" w:rsidP="006E3E47">
      <w:pPr>
        <w:numPr>
          <w:ilvl w:val="0"/>
          <w:numId w:val="31"/>
        </w:numPr>
        <w:jc w:val="both"/>
        <w:rPr>
          <w:lang w:val="sl-SI"/>
        </w:rPr>
      </w:pPr>
      <w:r w:rsidRPr="0008243B">
        <w:rPr>
          <w:lang w:val="sl-SI"/>
        </w:rPr>
        <w:t xml:space="preserve">Vzpostaviti sistem informiranja in svetovanja za podporo osebam z demenco in svojcem/oskrbovalcem.  </w:t>
      </w:r>
    </w:p>
    <w:tbl>
      <w:tblPr>
        <w:tblStyle w:val="Tabelamrea"/>
        <w:tblW w:w="0" w:type="auto"/>
        <w:tblLook w:val="04A0" w:firstRow="1" w:lastRow="0" w:firstColumn="1" w:lastColumn="0" w:noHBand="0" w:noVBand="1"/>
      </w:tblPr>
      <w:tblGrid>
        <w:gridCol w:w="2829"/>
        <w:gridCol w:w="2829"/>
        <w:gridCol w:w="2830"/>
      </w:tblGrid>
      <w:tr w:rsidR="006E3E47" w14:paraId="0CD4AC10" w14:textId="77777777" w:rsidTr="006E3E47">
        <w:tc>
          <w:tcPr>
            <w:tcW w:w="2829" w:type="dxa"/>
          </w:tcPr>
          <w:p w14:paraId="0423D5C9" w14:textId="71D7C1BD" w:rsidR="006E3E47" w:rsidRDefault="006E3E47" w:rsidP="006E3E47">
            <w:pPr>
              <w:jc w:val="both"/>
              <w:rPr>
                <w:lang w:val="sl-SI"/>
              </w:rPr>
            </w:pPr>
            <w:r>
              <w:rPr>
                <w:lang w:val="sl-SI"/>
              </w:rPr>
              <w:t>Kazalnik</w:t>
            </w:r>
          </w:p>
        </w:tc>
        <w:tc>
          <w:tcPr>
            <w:tcW w:w="2829" w:type="dxa"/>
          </w:tcPr>
          <w:p w14:paraId="6DCD45C6" w14:textId="5F0098C8" w:rsidR="006E3E47" w:rsidRDefault="006E3E47" w:rsidP="006E3E47">
            <w:pPr>
              <w:jc w:val="both"/>
              <w:rPr>
                <w:lang w:val="sl-SI"/>
              </w:rPr>
            </w:pPr>
            <w:r>
              <w:rPr>
                <w:lang w:val="sl-SI"/>
              </w:rPr>
              <w:t>Izhodiščna vrednost/ocena</w:t>
            </w:r>
          </w:p>
        </w:tc>
        <w:tc>
          <w:tcPr>
            <w:tcW w:w="2830" w:type="dxa"/>
          </w:tcPr>
          <w:p w14:paraId="76FAC140" w14:textId="2404C730" w:rsidR="006E3E47" w:rsidRDefault="006E3E47" w:rsidP="006E3E47">
            <w:pPr>
              <w:jc w:val="both"/>
              <w:rPr>
                <w:lang w:val="sl-SI"/>
              </w:rPr>
            </w:pPr>
            <w:r>
              <w:rPr>
                <w:lang w:val="sl-SI"/>
              </w:rPr>
              <w:t>Ciljna vrednost/ocena</w:t>
            </w:r>
          </w:p>
        </w:tc>
      </w:tr>
      <w:tr w:rsidR="006E3E47" w14:paraId="74046446" w14:textId="77777777" w:rsidTr="006E3E47">
        <w:tc>
          <w:tcPr>
            <w:tcW w:w="2829" w:type="dxa"/>
          </w:tcPr>
          <w:p w14:paraId="55D9A65F" w14:textId="45BE3371" w:rsidR="006E3E47" w:rsidRDefault="006E3E47" w:rsidP="006E3E47">
            <w:pPr>
              <w:jc w:val="both"/>
              <w:rPr>
                <w:lang w:val="sl-SI"/>
              </w:rPr>
            </w:pPr>
            <w:r>
              <w:rPr>
                <w:lang w:val="sl-SI"/>
              </w:rPr>
              <w:t>Vzpostavitev IKT podpore za osebe z demenco in njihovih svojcev</w:t>
            </w:r>
          </w:p>
        </w:tc>
        <w:tc>
          <w:tcPr>
            <w:tcW w:w="2829" w:type="dxa"/>
          </w:tcPr>
          <w:p w14:paraId="19240CBB" w14:textId="77777777" w:rsidR="006E3E47" w:rsidRDefault="006E3E47" w:rsidP="006E3E47">
            <w:pPr>
              <w:jc w:val="both"/>
              <w:rPr>
                <w:lang w:val="sl-SI"/>
              </w:rPr>
            </w:pPr>
          </w:p>
          <w:p w14:paraId="19D06C12" w14:textId="274363CD" w:rsidR="006E3E47" w:rsidRDefault="006E3E47" w:rsidP="006E3E47">
            <w:pPr>
              <w:jc w:val="both"/>
              <w:rPr>
                <w:lang w:val="sl-SI"/>
              </w:rPr>
            </w:pPr>
            <w:r>
              <w:rPr>
                <w:lang w:val="sl-SI"/>
              </w:rPr>
              <w:t>3% &lt;</w:t>
            </w:r>
          </w:p>
        </w:tc>
        <w:tc>
          <w:tcPr>
            <w:tcW w:w="2830" w:type="dxa"/>
          </w:tcPr>
          <w:p w14:paraId="092F6E7E" w14:textId="77777777" w:rsidR="006E3E47" w:rsidRDefault="006E3E47" w:rsidP="006E3E47">
            <w:pPr>
              <w:jc w:val="both"/>
              <w:rPr>
                <w:lang w:val="sl-SI"/>
              </w:rPr>
            </w:pPr>
          </w:p>
          <w:p w14:paraId="6BCEB50B" w14:textId="0751E69D" w:rsidR="006E3E47" w:rsidRDefault="006E3E47" w:rsidP="006E3E47">
            <w:pPr>
              <w:jc w:val="both"/>
              <w:rPr>
                <w:lang w:val="sl-SI"/>
              </w:rPr>
            </w:pPr>
            <w:r>
              <w:rPr>
                <w:lang w:val="sl-SI"/>
              </w:rPr>
              <w:t>20% &gt;</w:t>
            </w:r>
          </w:p>
        </w:tc>
      </w:tr>
    </w:tbl>
    <w:p w14:paraId="02AC22C3" w14:textId="77777777" w:rsidR="006E3E47" w:rsidRPr="006E3E47" w:rsidRDefault="006E3E47" w:rsidP="00F07E05">
      <w:pPr>
        <w:jc w:val="both"/>
        <w:rPr>
          <w:lang w:val="sl-SI"/>
        </w:rPr>
      </w:pPr>
    </w:p>
    <w:p w14:paraId="4A71A7C7" w14:textId="77777777" w:rsidR="0008243B" w:rsidRPr="0008243B" w:rsidRDefault="0008243B" w:rsidP="00D631B6">
      <w:pPr>
        <w:jc w:val="both"/>
        <w:rPr>
          <w:lang w:val="sl-SI"/>
        </w:rPr>
      </w:pPr>
    </w:p>
    <w:p w14:paraId="053E5BB5" w14:textId="77777777" w:rsidR="0008243B" w:rsidRPr="0008243B" w:rsidRDefault="0008243B" w:rsidP="00D631B6">
      <w:pPr>
        <w:numPr>
          <w:ilvl w:val="0"/>
          <w:numId w:val="28"/>
        </w:numPr>
        <w:jc w:val="both"/>
        <w:rPr>
          <w:b/>
          <w:bCs/>
          <w:lang w:val="sl-SI"/>
        </w:rPr>
      </w:pPr>
      <w:r w:rsidRPr="0008243B">
        <w:rPr>
          <w:b/>
          <w:bCs/>
          <w:lang w:val="sl-SI"/>
        </w:rPr>
        <w:t xml:space="preserve">Spoštovanje dostojanstva oseb z demenco, zmanjševanje stigme ter osveščanje širše družbe in strokovne javnosti za razvoj in vzpostavitev demenci prijaznih skupnosti. </w:t>
      </w:r>
    </w:p>
    <w:p w14:paraId="4450DD22" w14:textId="77777777" w:rsidR="0008243B" w:rsidRPr="0008243B" w:rsidRDefault="0008243B" w:rsidP="00D631B6">
      <w:pPr>
        <w:numPr>
          <w:ilvl w:val="0"/>
          <w:numId w:val="32"/>
        </w:numPr>
        <w:jc w:val="both"/>
        <w:rPr>
          <w:lang w:val="sl-SI"/>
        </w:rPr>
      </w:pPr>
      <w:r w:rsidRPr="0008243B">
        <w:rPr>
          <w:lang w:val="sl-SI"/>
        </w:rPr>
        <w:t>Destigmatizacija demence</w:t>
      </w:r>
    </w:p>
    <w:p w14:paraId="6D404BE6" w14:textId="77777777" w:rsidR="0008243B" w:rsidRPr="0008243B" w:rsidRDefault="0008243B" w:rsidP="00D631B6">
      <w:pPr>
        <w:numPr>
          <w:ilvl w:val="0"/>
          <w:numId w:val="32"/>
        </w:numPr>
        <w:jc w:val="both"/>
        <w:rPr>
          <w:lang w:val="sl-SI"/>
        </w:rPr>
      </w:pPr>
      <w:r w:rsidRPr="0008243B">
        <w:rPr>
          <w:lang w:val="sl-SI"/>
        </w:rPr>
        <w:t>Prepoznavanje, svetovanje in ukrepanje ob znakih zlorab, nasilja in zanemarjanja.</w:t>
      </w:r>
    </w:p>
    <w:p w14:paraId="56AC9BA2" w14:textId="77777777" w:rsidR="0008243B" w:rsidRPr="0008243B" w:rsidRDefault="0008243B" w:rsidP="00D631B6">
      <w:pPr>
        <w:numPr>
          <w:ilvl w:val="0"/>
          <w:numId w:val="32"/>
        </w:numPr>
        <w:jc w:val="both"/>
        <w:rPr>
          <w:lang w:val="sl-SI"/>
        </w:rPr>
      </w:pPr>
      <w:r w:rsidRPr="0008243B">
        <w:rPr>
          <w:lang w:val="sl-SI"/>
        </w:rPr>
        <w:t>Opolnomočenje oseb z demenco.</w:t>
      </w:r>
    </w:p>
    <w:p w14:paraId="36DB710A" w14:textId="62564250" w:rsidR="0008243B" w:rsidRDefault="0008243B" w:rsidP="00D631B6">
      <w:pPr>
        <w:numPr>
          <w:ilvl w:val="0"/>
          <w:numId w:val="32"/>
        </w:numPr>
        <w:jc w:val="both"/>
        <w:rPr>
          <w:lang w:val="sl-SI"/>
        </w:rPr>
      </w:pPr>
      <w:r w:rsidRPr="0008243B">
        <w:rPr>
          <w:lang w:val="sl-SI"/>
        </w:rPr>
        <w:t>Zagotavljanje pravne podpore.</w:t>
      </w:r>
    </w:p>
    <w:tbl>
      <w:tblPr>
        <w:tblStyle w:val="Tabelamrea"/>
        <w:tblW w:w="0" w:type="auto"/>
        <w:tblLook w:val="04A0" w:firstRow="1" w:lastRow="0" w:firstColumn="1" w:lastColumn="0" w:noHBand="0" w:noVBand="1"/>
      </w:tblPr>
      <w:tblGrid>
        <w:gridCol w:w="2829"/>
        <w:gridCol w:w="2829"/>
        <w:gridCol w:w="2830"/>
      </w:tblGrid>
      <w:tr w:rsidR="006E3E47" w14:paraId="49E6270B" w14:textId="77777777" w:rsidTr="006E3E47">
        <w:tc>
          <w:tcPr>
            <w:tcW w:w="2829" w:type="dxa"/>
          </w:tcPr>
          <w:p w14:paraId="753697D6" w14:textId="0AFA1A64" w:rsidR="006E3E47" w:rsidRDefault="006E3E47" w:rsidP="006E3E47">
            <w:pPr>
              <w:jc w:val="both"/>
              <w:rPr>
                <w:lang w:val="sl-SI"/>
              </w:rPr>
            </w:pPr>
            <w:r>
              <w:rPr>
                <w:lang w:val="sl-SI"/>
              </w:rPr>
              <w:t>Kazalnik</w:t>
            </w:r>
          </w:p>
        </w:tc>
        <w:tc>
          <w:tcPr>
            <w:tcW w:w="2829" w:type="dxa"/>
          </w:tcPr>
          <w:p w14:paraId="4A6BE72D" w14:textId="11D3764E" w:rsidR="006E3E47" w:rsidRDefault="006E3E47" w:rsidP="006E3E47">
            <w:pPr>
              <w:jc w:val="both"/>
              <w:rPr>
                <w:lang w:val="sl-SI"/>
              </w:rPr>
            </w:pPr>
            <w:r>
              <w:rPr>
                <w:lang w:val="sl-SI"/>
              </w:rPr>
              <w:t>Izhodiščna vrednost/ocena</w:t>
            </w:r>
          </w:p>
        </w:tc>
        <w:tc>
          <w:tcPr>
            <w:tcW w:w="2830" w:type="dxa"/>
          </w:tcPr>
          <w:p w14:paraId="28907BB2" w14:textId="5F62DF2E" w:rsidR="006E3E47" w:rsidRDefault="006E3E47" w:rsidP="006E3E47">
            <w:pPr>
              <w:jc w:val="both"/>
              <w:rPr>
                <w:lang w:val="sl-SI"/>
              </w:rPr>
            </w:pPr>
            <w:r>
              <w:rPr>
                <w:lang w:val="sl-SI"/>
              </w:rPr>
              <w:t>Ciljna vrednost/ocena</w:t>
            </w:r>
          </w:p>
        </w:tc>
      </w:tr>
      <w:tr w:rsidR="006E3E47" w14:paraId="1E2A85CD" w14:textId="77777777" w:rsidTr="006E3E47">
        <w:tc>
          <w:tcPr>
            <w:tcW w:w="2829" w:type="dxa"/>
          </w:tcPr>
          <w:p w14:paraId="1D74A07F" w14:textId="44FAA169" w:rsidR="006E3E47" w:rsidRDefault="006E3E47" w:rsidP="006E3E47">
            <w:pPr>
              <w:jc w:val="both"/>
              <w:rPr>
                <w:lang w:val="sl-SI"/>
              </w:rPr>
            </w:pPr>
            <w:r>
              <w:rPr>
                <w:lang w:val="sl-SI"/>
              </w:rPr>
              <w:t>Delež oseb z demenco in njihovih svojcev, ki so deležni programov za opolnomočenje</w:t>
            </w:r>
          </w:p>
        </w:tc>
        <w:tc>
          <w:tcPr>
            <w:tcW w:w="2829" w:type="dxa"/>
          </w:tcPr>
          <w:p w14:paraId="01D9D06C" w14:textId="77777777" w:rsidR="006E3E47" w:rsidRDefault="006E3E47" w:rsidP="006E3E47">
            <w:pPr>
              <w:jc w:val="both"/>
              <w:rPr>
                <w:lang w:val="sl-SI"/>
              </w:rPr>
            </w:pPr>
          </w:p>
          <w:p w14:paraId="1E3DF743" w14:textId="5D59B348" w:rsidR="006E3E47" w:rsidRDefault="006E3E47" w:rsidP="006E3E47">
            <w:pPr>
              <w:jc w:val="both"/>
              <w:rPr>
                <w:lang w:val="sl-SI"/>
              </w:rPr>
            </w:pPr>
            <w:r>
              <w:rPr>
                <w:lang w:val="sl-SI"/>
              </w:rPr>
              <w:t>30% &lt;</w:t>
            </w:r>
          </w:p>
        </w:tc>
        <w:tc>
          <w:tcPr>
            <w:tcW w:w="2830" w:type="dxa"/>
          </w:tcPr>
          <w:p w14:paraId="0B1BF5EF" w14:textId="77777777" w:rsidR="006E3E47" w:rsidRDefault="006E3E47" w:rsidP="006E3E47">
            <w:pPr>
              <w:jc w:val="both"/>
              <w:rPr>
                <w:lang w:val="sl-SI"/>
              </w:rPr>
            </w:pPr>
          </w:p>
          <w:p w14:paraId="4A4397FC" w14:textId="7C48E9B3" w:rsidR="006E3E47" w:rsidRDefault="006E3E47" w:rsidP="006E3E47">
            <w:pPr>
              <w:jc w:val="both"/>
              <w:rPr>
                <w:lang w:val="sl-SI"/>
              </w:rPr>
            </w:pPr>
            <w:r>
              <w:rPr>
                <w:lang w:val="sl-SI"/>
              </w:rPr>
              <w:t>80% &gt;</w:t>
            </w:r>
          </w:p>
        </w:tc>
      </w:tr>
    </w:tbl>
    <w:p w14:paraId="223AD540" w14:textId="77777777" w:rsidR="006E3E47" w:rsidRPr="0008243B" w:rsidRDefault="006E3E47" w:rsidP="00F07E05">
      <w:pPr>
        <w:jc w:val="both"/>
        <w:rPr>
          <w:lang w:val="sl-SI"/>
        </w:rPr>
      </w:pPr>
    </w:p>
    <w:p w14:paraId="1B8C68A6" w14:textId="77777777" w:rsidR="0008243B" w:rsidRPr="0008243B" w:rsidRDefault="0008243B" w:rsidP="00D631B6">
      <w:pPr>
        <w:jc w:val="both"/>
        <w:rPr>
          <w:b/>
          <w:bCs/>
          <w:lang w:val="sl-SI"/>
        </w:rPr>
      </w:pPr>
    </w:p>
    <w:p w14:paraId="74975DE0" w14:textId="77777777" w:rsidR="0008243B" w:rsidRPr="0008243B" w:rsidRDefault="0008243B" w:rsidP="00D631B6">
      <w:pPr>
        <w:numPr>
          <w:ilvl w:val="0"/>
          <w:numId w:val="28"/>
        </w:numPr>
        <w:jc w:val="both"/>
        <w:rPr>
          <w:b/>
          <w:bCs/>
          <w:lang w:val="sl-SI"/>
        </w:rPr>
      </w:pPr>
      <w:r w:rsidRPr="0008243B">
        <w:rPr>
          <w:b/>
          <w:bCs/>
          <w:lang w:val="sl-SI"/>
        </w:rPr>
        <w:t>Izobraževanje vseh poklicnih skupin na področju obvladovanja demence.</w:t>
      </w:r>
    </w:p>
    <w:p w14:paraId="1159D9FF" w14:textId="77777777" w:rsidR="0008243B" w:rsidRPr="0008243B" w:rsidRDefault="0008243B" w:rsidP="00D631B6">
      <w:pPr>
        <w:numPr>
          <w:ilvl w:val="0"/>
          <w:numId w:val="33"/>
        </w:numPr>
        <w:jc w:val="both"/>
        <w:rPr>
          <w:lang w:val="sl-SI"/>
        </w:rPr>
      </w:pPr>
      <w:r w:rsidRPr="0008243B">
        <w:rPr>
          <w:lang w:val="sl-SI"/>
        </w:rPr>
        <w:t>Zagotoviti ustrezna znanja vsem zaposlenim, ki prihajajo v stik z obolelimi z demenco.</w:t>
      </w:r>
    </w:p>
    <w:p w14:paraId="3F0CCC00" w14:textId="143A772F" w:rsidR="0008243B" w:rsidRDefault="0008243B" w:rsidP="00D631B6">
      <w:pPr>
        <w:numPr>
          <w:ilvl w:val="0"/>
          <w:numId w:val="33"/>
        </w:numPr>
        <w:jc w:val="both"/>
        <w:rPr>
          <w:lang w:val="sl-SI"/>
        </w:rPr>
      </w:pPr>
      <w:r w:rsidRPr="0008243B">
        <w:rPr>
          <w:lang w:val="sl-SI"/>
        </w:rPr>
        <w:t>Zagotavljanje izpopolnjevanj in usposabljanj za zaposlene izvajalce zdravstvenih</w:t>
      </w:r>
      <w:r w:rsidR="00F31FA3">
        <w:rPr>
          <w:lang w:val="sl-SI"/>
        </w:rPr>
        <w:t xml:space="preserve">, dolgotrajnih </w:t>
      </w:r>
      <w:r w:rsidRPr="0008243B">
        <w:rPr>
          <w:lang w:val="sl-SI"/>
        </w:rPr>
        <w:t xml:space="preserve"> in socialnovarstvenih storitev.</w:t>
      </w:r>
    </w:p>
    <w:tbl>
      <w:tblPr>
        <w:tblStyle w:val="Tabelamrea"/>
        <w:tblW w:w="0" w:type="auto"/>
        <w:tblLook w:val="04A0" w:firstRow="1" w:lastRow="0" w:firstColumn="1" w:lastColumn="0" w:noHBand="0" w:noVBand="1"/>
      </w:tblPr>
      <w:tblGrid>
        <w:gridCol w:w="2829"/>
        <w:gridCol w:w="2829"/>
        <w:gridCol w:w="2830"/>
      </w:tblGrid>
      <w:tr w:rsidR="006E3E47" w14:paraId="5206AF2C" w14:textId="77777777" w:rsidTr="006E3E47">
        <w:tc>
          <w:tcPr>
            <w:tcW w:w="2829" w:type="dxa"/>
          </w:tcPr>
          <w:p w14:paraId="4BEBC64E" w14:textId="0F8B3D89" w:rsidR="006E3E47" w:rsidRDefault="006E3E47" w:rsidP="006E3E47">
            <w:pPr>
              <w:jc w:val="both"/>
              <w:rPr>
                <w:lang w:val="sl-SI"/>
              </w:rPr>
            </w:pPr>
            <w:r>
              <w:rPr>
                <w:lang w:val="sl-SI"/>
              </w:rPr>
              <w:t>Kazalnik</w:t>
            </w:r>
          </w:p>
        </w:tc>
        <w:tc>
          <w:tcPr>
            <w:tcW w:w="2829" w:type="dxa"/>
          </w:tcPr>
          <w:p w14:paraId="2F2376D4" w14:textId="745C1669" w:rsidR="006E3E47" w:rsidRDefault="006E3E47" w:rsidP="006E3E47">
            <w:pPr>
              <w:jc w:val="both"/>
              <w:rPr>
                <w:lang w:val="sl-SI"/>
              </w:rPr>
            </w:pPr>
            <w:r>
              <w:rPr>
                <w:lang w:val="sl-SI"/>
              </w:rPr>
              <w:t>Izodiščna vrednost/ocena</w:t>
            </w:r>
          </w:p>
        </w:tc>
        <w:tc>
          <w:tcPr>
            <w:tcW w:w="2830" w:type="dxa"/>
          </w:tcPr>
          <w:p w14:paraId="7E926A58" w14:textId="23B2941E" w:rsidR="006E3E47" w:rsidRDefault="006E3E47" w:rsidP="006E3E47">
            <w:pPr>
              <w:jc w:val="both"/>
              <w:rPr>
                <w:lang w:val="sl-SI"/>
              </w:rPr>
            </w:pPr>
            <w:r>
              <w:rPr>
                <w:lang w:val="sl-SI"/>
              </w:rPr>
              <w:t>Ciljna vrednost/ocena</w:t>
            </w:r>
          </w:p>
        </w:tc>
      </w:tr>
      <w:tr w:rsidR="006E3E47" w14:paraId="3F262210" w14:textId="77777777" w:rsidTr="006E3E47">
        <w:tc>
          <w:tcPr>
            <w:tcW w:w="2829" w:type="dxa"/>
          </w:tcPr>
          <w:p w14:paraId="657B18E7" w14:textId="459CDF49" w:rsidR="006E3E47" w:rsidRDefault="006E3E47" w:rsidP="006E3E47">
            <w:pPr>
              <w:jc w:val="both"/>
              <w:rPr>
                <w:lang w:val="sl-SI"/>
              </w:rPr>
            </w:pPr>
            <w:r>
              <w:rPr>
                <w:lang w:val="sl-SI"/>
              </w:rPr>
              <w:t>Delež zaposlenih, ki so deležni dodatnih izpopolnjevanj in usposabljanj za komuniciranje in delo z osebami z demenco</w:t>
            </w:r>
          </w:p>
        </w:tc>
        <w:tc>
          <w:tcPr>
            <w:tcW w:w="2829" w:type="dxa"/>
          </w:tcPr>
          <w:p w14:paraId="54FEEECA" w14:textId="77777777" w:rsidR="006E3E47" w:rsidRDefault="006E3E47" w:rsidP="006E3E47">
            <w:pPr>
              <w:jc w:val="both"/>
              <w:rPr>
                <w:lang w:val="sl-SI"/>
              </w:rPr>
            </w:pPr>
          </w:p>
          <w:p w14:paraId="6793F6B5" w14:textId="77777777" w:rsidR="006E3E47" w:rsidRDefault="006E3E47" w:rsidP="006E3E47">
            <w:pPr>
              <w:jc w:val="both"/>
              <w:rPr>
                <w:lang w:val="sl-SI"/>
              </w:rPr>
            </w:pPr>
          </w:p>
          <w:p w14:paraId="3E7741AA" w14:textId="669C5911" w:rsidR="006E3E47" w:rsidRDefault="006E3E47" w:rsidP="006E3E47">
            <w:pPr>
              <w:jc w:val="both"/>
              <w:rPr>
                <w:lang w:val="sl-SI"/>
              </w:rPr>
            </w:pPr>
            <w:r>
              <w:rPr>
                <w:lang w:val="sl-SI"/>
              </w:rPr>
              <w:t>30% &gt;</w:t>
            </w:r>
          </w:p>
        </w:tc>
        <w:tc>
          <w:tcPr>
            <w:tcW w:w="2830" w:type="dxa"/>
          </w:tcPr>
          <w:p w14:paraId="22E384B7" w14:textId="77777777" w:rsidR="006E3E47" w:rsidRDefault="006E3E47" w:rsidP="006E3E47">
            <w:pPr>
              <w:jc w:val="both"/>
              <w:rPr>
                <w:lang w:val="sl-SI"/>
              </w:rPr>
            </w:pPr>
          </w:p>
          <w:p w14:paraId="4A0A666C" w14:textId="77777777" w:rsidR="006E3E47" w:rsidRDefault="006E3E47" w:rsidP="006E3E47">
            <w:pPr>
              <w:jc w:val="both"/>
              <w:rPr>
                <w:lang w:val="sl-SI"/>
              </w:rPr>
            </w:pPr>
          </w:p>
          <w:p w14:paraId="001EF83E" w14:textId="343F7C72" w:rsidR="006E3E47" w:rsidRDefault="006E3E47" w:rsidP="006E3E47">
            <w:pPr>
              <w:jc w:val="both"/>
              <w:rPr>
                <w:lang w:val="sl-SI"/>
              </w:rPr>
            </w:pPr>
            <w:r>
              <w:rPr>
                <w:lang w:val="sl-SI"/>
              </w:rPr>
              <w:t>80% &gt;</w:t>
            </w:r>
          </w:p>
        </w:tc>
      </w:tr>
    </w:tbl>
    <w:p w14:paraId="21FB02FE" w14:textId="77777777" w:rsidR="006E3E47" w:rsidRPr="0008243B" w:rsidRDefault="006E3E47" w:rsidP="00F07E05">
      <w:pPr>
        <w:jc w:val="both"/>
        <w:rPr>
          <w:lang w:val="sl-SI"/>
        </w:rPr>
      </w:pPr>
    </w:p>
    <w:p w14:paraId="68FAF6F6" w14:textId="77777777" w:rsidR="0008243B" w:rsidRPr="0008243B" w:rsidRDefault="0008243B" w:rsidP="00D631B6">
      <w:pPr>
        <w:jc w:val="both"/>
        <w:rPr>
          <w:b/>
          <w:bCs/>
          <w:lang w:val="sl-SI"/>
        </w:rPr>
      </w:pPr>
    </w:p>
    <w:p w14:paraId="7EE128D5" w14:textId="77777777" w:rsidR="0008243B" w:rsidRPr="0008243B" w:rsidRDefault="0008243B" w:rsidP="00D631B6">
      <w:pPr>
        <w:numPr>
          <w:ilvl w:val="0"/>
          <w:numId w:val="28"/>
        </w:numPr>
        <w:jc w:val="both"/>
        <w:rPr>
          <w:b/>
          <w:bCs/>
          <w:lang w:val="sl-SI"/>
        </w:rPr>
      </w:pPr>
      <w:r w:rsidRPr="0008243B">
        <w:rPr>
          <w:b/>
          <w:bCs/>
          <w:lang w:val="sl-SI"/>
        </w:rPr>
        <w:t xml:space="preserve">Vzpostavitev zbiranja podatkov o demenci na nacionalni ravni. </w:t>
      </w:r>
    </w:p>
    <w:p w14:paraId="1EE8820B" w14:textId="77777777" w:rsidR="0008243B" w:rsidRPr="0008243B" w:rsidRDefault="0008243B" w:rsidP="00D631B6">
      <w:pPr>
        <w:numPr>
          <w:ilvl w:val="0"/>
          <w:numId w:val="34"/>
        </w:numPr>
        <w:jc w:val="both"/>
        <w:rPr>
          <w:lang w:val="sl-SI"/>
        </w:rPr>
      </w:pPr>
      <w:r w:rsidRPr="0008243B">
        <w:rPr>
          <w:lang w:val="sl-SI"/>
        </w:rPr>
        <w:lastRenderedPageBreak/>
        <w:t>Vzpostavitev nacionalnega registra za spremljanje incidence, prevalence, kliničnih in drugih značilnosti demenc.</w:t>
      </w:r>
    </w:p>
    <w:p w14:paraId="58D1B3D7" w14:textId="77777777" w:rsidR="0008243B" w:rsidRPr="0008243B" w:rsidRDefault="0008243B" w:rsidP="00D631B6">
      <w:pPr>
        <w:numPr>
          <w:ilvl w:val="0"/>
          <w:numId w:val="34"/>
        </w:numPr>
        <w:jc w:val="both"/>
        <w:rPr>
          <w:lang w:val="sl-SI"/>
        </w:rPr>
      </w:pPr>
      <w:r w:rsidRPr="0008243B">
        <w:rPr>
          <w:lang w:val="sl-SI"/>
        </w:rPr>
        <w:t xml:space="preserve">Beležiti tako pogoste kot redke oblike demence in značilnosti v zvezi z oskrbo ter zdravili. </w:t>
      </w:r>
    </w:p>
    <w:p w14:paraId="7FED22C2" w14:textId="34EE1682" w:rsidR="0008243B" w:rsidRDefault="0008243B" w:rsidP="00D631B6">
      <w:pPr>
        <w:numPr>
          <w:ilvl w:val="0"/>
          <w:numId w:val="34"/>
        </w:numPr>
        <w:jc w:val="both"/>
        <w:rPr>
          <w:lang w:val="sl-SI"/>
        </w:rPr>
      </w:pPr>
      <w:r w:rsidRPr="0008243B">
        <w:rPr>
          <w:lang w:val="sl-SI"/>
        </w:rPr>
        <w:t xml:space="preserve">Prikaz demografskih značilnosti bolnikov, stanja in kakovosti </w:t>
      </w:r>
      <w:bookmarkStart w:id="8" w:name="_Hlk95915150"/>
      <w:r w:rsidRPr="0008243B">
        <w:rPr>
          <w:lang w:val="sl-SI"/>
        </w:rPr>
        <w:t xml:space="preserve">oskrbe bolnikov </w:t>
      </w:r>
      <w:bookmarkEnd w:id="8"/>
      <w:r w:rsidRPr="0008243B">
        <w:rPr>
          <w:lang w:val="sl-SI"/>
        </w:rPr>
        <w:t xml:space="preserve">po državi. </w:t>
      </w:r>
    </w:p>
    <w:tbl>
      <w:tblPr>
        <w:tblStyle w:val="Tabelamrea"/>
        <w:tblW w:w="0" w:type="auto"/>
        <w:tblLook w:val="04A0" w:firstRow="1" w:lastRow="0" w:firstColumn="1" w:lastColumn="0" w:noHBand="0" w:noVBand="1"/>
      </w:tblPr>
      <w:tblGrid>
        <w:gridCol w:w="2829"/>
        <w:gridCol w:w="2829"/>
        <w:gridCol w:w="2830"/>
      </w:tblGrid>
      <w:tr w:rsidR="0090307A" w14:paraId="0BD51016" w14:textId="77777777" w:rsidTr="0090307A">
        <w:tc>
          <w:tcPr>
            <w:tcW w:w="2829" w:type="dxa"/>
          </w:tcPr>
          <w:p w14:paraId="59C24A1F" w14:textId="44DB136B" w:rsidR="0090307A" w:rsidRDefault="0090307A" w:rsidP="006E3E47">
            <w:pPr>
              <w:jc w:val="both"/>
              <w:rPr>
                <w:lang w:val="sl-SI"/>
              </w:rPr>
            </w:pPr>
            <w:r>
              <w:rPr>
                <w:lang w:val="sl-SI"/>
              </w:rPr>
              <w:t>Kazalnik</w:t>
            </w:r>
          </w:p>
        </w:tc>
        <w:tc>
          <w:tcPr>
            <w:tcW w:w="2829" w:type="dxa"/>
          </w:tcPr>
          <w:p w14:paraId="0DA25D22" w14:textId="1C298B58" w:rsidR="0090307A" w:rsidRDefault="0090307A" w:rsidP="006E3E47">
            <w:pPr>
              <w:jc w:val="both"/>
              <w:rPr>
                <w:lang w:val="sl-SI"/>
              </w:rPr>
            </w:pPr>
            <w:r>
              <w:rPr>
                <w:lang w:val="sl-SI"/>
              </w:rPr>
              <w:t>Izhodiščna vrednost/ocena</w:t>
            </w:r>
          </w:p>
        </w:tc>
        <w:tc>
          <w:tcPr>
            <w:tcW w:w="2830" w:type="dxa"/>
          </w:tcPr>
          <w:p w14:paraId="28DB9AF9" w14:textId="7634B825" w:rsidR="0090307A" w:rsidRDefault="0090307A" w:rsidP="006E3E47">
            <w:pPr>
              <w:jc w:val="both"/>
              <w:rPr>
                <w:lang w:val="sl-SI"/>
              </w:rPr>
            </w:pPr>
            <w:r>
              <w:rPr>
                <w:lang w:val="sl-SI"/>
              </w:rPr>
              <w:t>Ciljna vrednost/ocena</w:t>
            </w:r>
          </w:p>
        </w:tc>
      </w:tr>
      <w:tr w:rsidR="0090307A" w14:paraId="1EC9DB9A" w14:textId="77777777" w:rsidTr="0090307A">
        <w:tc>
          <w:tcPr>
            <w:tcW w:w="2829" w:type="dxa"/>
          </w:tcPr>
          <w:p w14:paraId="07D6D65D" w14:textId="661D35A5" w:rsidR="0090307A" w:rsidRDefault="0090307A" w:rsidP="006E3E47">
            <w:pPr>
              <w:jc w:val="both"/>
              <w:rPr>
                <w:lang w:val="sl-SI"/>
              </w:rPr>
            </w:pPr>
            <w:r>
              <w:rPr>
                <w:lang w:val="sl-SI"/>
              </w:rPr>
              <w:t>Nabor podatkov za spremljanje incidence, prevalence in obravnave oseb z demenco</w:t>
            </w:r>
          </w:p>
        </w:tc>
        <w:tc>
          <w:tcPr>
            <w:tcW w:w="2829" w:type="dxa"/>
          </w:tcPr>
          <w:p w14:paraId="579281B6" w14:textId="77777777" w:rsidR="0090307A" w:rsidRDefault="0090307A" w:rsidP="006E3E47">
            <w:pPr>
              <w:jc w:val="both"/>
              <w:rPr>
                <w:lang w:val="sl-SI"/>
              </w:rPr>
            </w:pPr>
          </w:p>
          <w:p w14:paraId="57EA745E" w14:textId="44304524" w:rsidR="0090307A" w:rsidRDefault="0090307A" w:rsidP="006E3E47">
            <w:pPr>
              <w:jc w:val="both"/>
              <w:rPr>
                <w:lang w:val="sl-SI"/>
              </w:rPr>
            </w:pPr>
            <w:r>
              <w:rPr>
                <w:lang w:val="sl-SI"/>
              </w:rPr>
              <w:t>30% &lt;</w:t>
            </w:r>
          </w:p>
        </w:tc>
        <w:tc>
          <w:tcPr>
            <w:tcW w:w="2830" w:type="dxa"/>
          </w:tcPr>
          <w:p w14:paraId="4C187059" w14:textId="77777777" w:rsidR="0090307A" w:rsidRDefault="0090307A" w:rsidP="006E3E47">
            <w:pPr>
              <w:jc w:val="both"/>
              <w:rPr>
                <w:lang w:val="sl-SI"/>
              </w:rPr>
            </w:pPr>
          </w:p>
          <w:p w14:paraId="587F1808" w14:textId="1957EDF3" w:rsidR="0090307A" w:rsidRDefault="0090307A" w:rsidP="006E3E47">
            <w:pPr>
              <w:jc w:val="both"/>
              <w:rPr>
                <w:lang w:val="sl-SI"/>
              </w:rPr>
            </w:pPr>
            <w:r>
              <w:rPr>
                <w:lang w:val="sl-SI"/>
              </w:rPr>
              <w:t>100 %</w:t>
            </w:r>
          </w:p>
        </w:tc>
      </w:tr>
    </w:tbl>
    <w:p w14:paraId="2CE23DDD" w14:textId="77777777" w:rsidR="006E3E47" w:rsidRPr="0008243B" w:rsidRDefault="006E3E47" w:rsidP="00F07E05">
      <w:pPr>
        <w:jc w:val="both"/>
        <w:rPr>
          <w:lang w:val="sl-SI"/>
        </w:rPr>
      </w:pPr>
    </w:p>
    <w:p w14:paraId="475B5CA5" w14:textId="77777777" w:rsidR="0008243B" w:rsidRPr="0008243B" w:rsidRDefault="0008243B" w:rsidP="00D631B6">
      <w:pPr>
        <w:jc w:val="both"/>
        <w:rPr>
          <w:b/>
          <w:bCs/>
          <w:lang w:val="sl-SI"/>
        </w:rPr>
      </w:pPr>
    </w:p>
    <w:p w14:paraId="16FDFCA3" w14:textId="77777777" w:rsidR="0008243B" w:rsidRPr="0008243B" w:rsidRDefault="0008243B" w:rsidP="00D631B6">
      <w:pPr>
        <w:numPr>
          <w:ilvl w:val="0"/>
          <w:numId w:val="28"/>
        </w:numPr>
        <w:jc w:val="both"/>
        <w:rPr>
          <w:b/>
          <w:bCs/>
          <w:lang w:val="sl-SI"/>
        </w:rPr>
      </w:pPr>
      <w:r w:rsidRPr="0008243B">
        <w:rPr>
          <w:b/>
          <w:bCs/>
          <w:lang w:val="sl-SI"/>
        </w:rPr>
        <w:t>Spodbujanje sodobnih raziskav o demenci.</w:t>
      </w:r>
    </w:p>
    <w:p w14:paraId="764B28FD" w14:textId="6C90F7E7" w:rsidR="006F79B3" w:rsidRDefault="006F79B3" w:rsidP="00D631B6">
      <w:pPr>
        <w:numPr>
          <w:ilvl w:val="0"/>
          <w:numId w:val="35"/>
        </w:numPr>
        <w:jc w:val="both"/>
        <w:rPr>
          <w:lang w:val="sl-SI"/>
        </w:rPr>
      </w:pPr>
      <w:r w:rsidRPr="0008243B">
        <w:rPr>
          <w:lang w:val="sl-SI"/>
        </w:rPr>
        <w:t>Ugotavljanje in predlog prioritetnih usmeritev na nacionalnem nivoju</w:t>
      </w:r>
      <w:r w:rsidR="00C70836">
        <w:rPr>
          <w:lang w:val="sl-SI"/>
        </w:rPr>
        <w:t>.</w:t>
      </w:r>
      <w:r w:rsidRPr="0008243B">
        <w:rPr>
          <w:lang w:val="sl-SI"/>
        </w:rPr>
        <w:t xml:space="preserve"> </w:t>
      </w:r>
    </w:p>
    <w:p w14:paraId="28D1B2C3" w14:textId="32E0D4A9" w:rsidR="0008243B" w:rsidRPr="0008243B" w:rsidRDefault="0008243B" w:rsidP="00D631B6">
      <w:pPr>
        <w:numPr>
          <w:ilvl w:val="0"/>
          <w:numId w:val="35"/>
        </w:numPr>
        <w:jc w:val="both"/>
        <w:rPr>
          <w:lang w:val="sl-SI"/>
        </w:rPr>
      </w:pPr>
      <w:r w:rsidRPr="0008243B">
        <w:rPr>
          <w:lang w:val="sl-SI"/>
        </w:rPr>
        <w:t>Zagotoviti raznolikost in uravnoteženost med različnimi kategorijami raziskav na področju demence.</w:t>
      </w:r>
    </w:p>
    <w:p w14:paraId="604A51FD" w14:textId="50B1B672" w:rsidR="0008243B" w:rsidRPr="0008243B" w:rsidRDefault="0008243B" w:rsidP="00D631B6">
      <w:pPr>
        <w:numPr>
          <w:ilvl w:val="0"/>
          <w:numId w:val="35"/>
        </w:numPr>
        <w:jc w:val="both"/>
        <w:rPr>
          <w:lang w:val="sl-SI"/>
        </w:rPr>
      </w:pPr>
      <w:r w:rsidRPr="0008243B">
        <w:rPr>
          <w:lang w:val="sl-SI"/>
        </w:rPr>
        <w:t xml:space="preserve">Zagotoviti koordinacijo in izboljšati pregled nad raziskovalnim delom ter predlagati/uvesti kriterije za ocenjevanje </w:t>
      </w:r>
      <w:r w:rsidR="00C70836">
        <w:rPr>
          <w:lang w:val="sl-SI"/>
        </w:rPr>
        <w:t>kakovosti</w:t>
      </w:r>
      <w:r w:rsidR="00C70836" w:rsidRPr="0008243B">
        <w:rPr>
          <w:lang w:val="sl-SI"/>
        </w:rPr>
        <w:t xml:space="preserve"> </w:t>
      </w:r>
      <w:r w:rsidRPr="0008243B">
        <w:rPr>
          <w:lang w:val="sl-SI"/>
        </w:rPr>
        <w:t>razisk</w:t>
      </w:r>
      <w:r w:rsidR="006F79B3">
        <w:rPr>
          <w:lang w:val="sl-SI"/>
        </w:rPr>
        <w:t>av</w:t>
      </w:r>
      <w:r w:rsidRPr="0008243B">
        <w:rPr>
          <w:lang w:val="sl-SI"/>
        </w:rPr>
        <w:t xml:space="preserve">. </w:t>
      </w:r>
    </w:p>
    <w:p w14:paraId="1E38437C" w14:textId="77777777" w:rsidR="0008243B" w:rsidRPr="0008243B" w:rsidRDefault="0008243B" w:rsidP="00D631B6">
      <w:pPr>
        <w:numPr>
          <w:ilvl w:val="0"/>
          <w:numId w:val="35"/>
        </w:numPr>
        <w:jc w:val="both"/>
        <w:rPr>
          <w:lang w:val="sl-SI"/>
        </w:rPr>
      </w:pPr>
      <w:r w:rsidRPr="0008243B">
        <w:rPr>
          <w:lang w:val="sl-SI"/>
        </w:rPr>
        <w:t>Vzpostavitev sistema za epidemiološke študije o osebah z demenco.</w:t>
      </w:r>
    </w:p>
    <w:p w14:paraId="6F81A716" w14:textId="3442CBDE" w:rsidR="0008243B" w:rsidRDefault="0008243B" w:rsidP="00D631B6">
      <w:pPr>
        <w:numPr>
          <w:ilvl w:val="0"/>
          <w:numId w:val="35"/>
        </w:numPr>
        <w:jc w:val="both"/>
        <w:rPr>
          <w:lang w:val="sl-SI"/>
        </w:rPr>
      </w:pPr>
      <w:r w:rsidRPr="0008243B">
        <w:rPr>
          <w:lang w:val="sl-SI"/>
        </w:rPr>
        <w:t>Vzpodbujanje interdisciplinarnega, multicentričnega sodelovanja raziskovalcev na nacionalni in mednarodni ravni.</w:t>
      </w:r>
    </w:p>
    <w:tbl>
      <w:tblPr>
        <w:tblStyle w:val="Tabelamrea"/>
        <w:tblW w:w="0" w:type="auto"/>
        <w:tblLook w:val="04A0" w:firstRow="1" w:lastRow="0" w:firstColumn="1" w:lastColumn="0" w:noHBand="0" w:noVBand="1"/>
      </w:tblPr>
      <w:tblGrid>
        <w:gridCol w:w="2829"/>
        <w:gridCol w:w="2829"/>
        <w:gridCol w:w="2830"/>
      </w:tblGrid>
      <w:tr w:rsidR="0090307A" w14:paraId="401C78C0" w14:textId="77777777" w:rsidTr="0090307A">
        <w:tc>
          <w:tcPr>
            <w:tcW w:w="2829" w:type="dxa"/>
          </w:tcPr>
          <w:p w14:paraId="4C1B06A8" w14:textId="597C1198" w:rsidR="0090307A" w:rsidRDefault="0090307A" w:rsidP="0090307A">
            <w:pPr>
              <w:jc w:val="both"/>
              <w:rPr>
                <w:lang w:val="sl-SI"/>
              </w:rPr>
            </w:pPr>
            <w:r>
              <w:rPr>
                <w:lang w:val="sl-SI"/>
              </w:rPr>
              <w:t>Kazalnik</w:t>
            </w:r>
          </w:p>
        </w:tc>
        <w:tc>
          <w:tcPr>
            <w:tcW w:w="2829" w:type="dxa"/>
          </w:tcPr>
          <w:p w14:paraId="43DB3E9C" w14:textId="45B94A4C" w:rsidR="0090307A" w:rsidRDefault="0090307A" w:rsidP="0090307A">
            <w:pPr>
              <w:jc w:val="both"/>
              <w:rPr>
                <w:lang w:val="sl-SI"/>
              </w:rPr>
            </w:pPr>
            <w:r>
              <w:rPr>
                <w:lang w:val="sl-SI"/>
              </w:rPr>
              <w:t>Izhodiščna vrednost/ocena</w:t>
            </w:r>
          </w:p>
        </w:tc>
        <w:tc>
          <w:tcPr>
            <w:tcW w:w="2830" w:type="dxa"/>
          </w:tcPr>
          <w:p w14:paraId="4CFDCFDF" w14:textId="71A418F6" w:rsidR="0090307A" w:rsidRDefault="0090307A" w:rsidP="0090307A">
            <w:pPr>
              <w:jc w:val="both"/>
              <w:rPr>
                <w:lang w:val="sl-SI"/>
              </w:rPr>
            </w:pPr>
            <w:r>
              <w:rPr>
                <w:lang w:val="sl-SI"/>
              </w:rPr>
              <w:t>Ciljna vrednost/ocena</w:t>
            </w:r>
          </w:p>
        </w:tc>
      </w:tr>
      <w:tr w:rsidR="0090307A" w14:paraId="1394F61B" w14:textId="77777777" w:rsidTr="0090307A">
        <w:tc>
          <w:tcPr>
            <w:tcW w:w="2829" w:type="dxa"/>
          </w:tcPr>
          <w:p w14:paraId="1F513651" w14:textId="76D4C96F" w:rsidR="0090307A" w:rsidRDefault="0090307A" w:rsidP="0090307A">
            <w:pPr>
              <w:jc w:val="both"/>
              <w:rPr>
                <w:lang w:val="sl-SI"/>
              </w:rPr>
            </w:pPr>
            <w:r>
              <w:rPr>
                <w:lang w:val="sl-SI"/>
              </w:rPr>
              <w:t>Opredelitev nacionalnih prioritetnih usmeritev za raziskave za najmanj 5-letna obdobja</w:t>
            </w:r>
          </w:p>
        </w:tc>
        <w:tc>
          <w:tcPr>
            <w:tcW w:w="2829" w:type="dxa"/>
          </w:tcPr>
          <w:p w14:paraId="3499181F" w14:textId="77777777" w:rsidR="0090307A" w:rsidRDefault="0090307A" w:rsidP="0090307A">
            <w:pPr>
              <w:jc w:val="both"/>
              <w:rPr>
                <w:lang w:val="sl-SI"/>
              </w:rPr>
            </w:pPr>
          </w:p>
          <w:p w14:paraId="099D8FBB" w14:textId="44571070" w:rsidR="0090307A" w:rsidRDefault="0090307A" w:rsidP="0090307A">
            <w:pPr>
              <w:jc w:val="both"/>
              <w:rPr>
                <w:lang w:val="sl-SI"/>
              </w:rPr>
            </w:pPr>
            <w:r>
              <w:rPr>
                <w:lang w:val="sl-SI"/>
              </w:rPr>
              <w:t>0%</w:t>
            </w:r>
          </w:p>
        </w:tc>
        <w:tc>
          <w:tcPr>
            <w:tcW w:w="2830" w:type="dxa"/>
          </w:tcPr>
          <w:p w14:paraId="37C6919E" w14:textId="77777777" w:rsidR="0090307A" w:rsidRDefault="0090307A" w:rsidP="0090307A">
            <w:pPr>
              <w:jc w:val="both"/>
              <w:rPr>
                <w:lang w:val="sl-SI"/>
              </w:rPr>
            </w:pPr>
          </w:p>
          <w:p w14:paraId="7C9FA54A" w14:textId="6052C385" w:rsidR="0090307A" w:rsidRDefault="0090307A" w:rsidP="0090307A">
            <w:pPr>
              <w:jc w:val="both"/>
              <w:rPr>
                <w:lang w:val="sl-SI"/>
              </w:rPr>
            </w:pPr>
            <w:r>
              <w:rPr>
                <w:lang w:val="sl-SI"/>
              </w:rPr>
              <w:t>100%</w:t>
            </w:r>
          </w:p>
        </w:tc>
      </w:tr>
      <w:tr w:rsidR="0090307A" w14:paraId="341263AE" w14:textId="77777777" w:rsidTr="0090307A">
        <w:tc>
          <w:tcPr>
            <w:tcW w:w="2829" w:type="dxa"/>
          </w:tcPr>
          <w:p w14:paraId="04141D15" w14:textId="6E3B4B45" w:rsidR="0090307A" w:rsidRDefault="0090307A" w:rsidP="0090307A">
            <w:pPr>
              <w:jc w:val="both"/>
              <w:rPr>
                <w:lang w:val="sl-SI"/>
              </w:rPr>
            </w:pPr>
            <w:r>
              <w:rPr>
                <w:lang w:val="sl-SI"/>
              </w:rPr>
              <w:t>Raziskave o demenci, ki so v skladu z nacionalnimi prioritetami</w:t>
            </w:r>
          </w:p>
        </w:tc>
        <w:tc>
          <w:tcPr>
            <w:tcW w:w="2829" w:type="dxa"/>
          </w:tcPr>
          <w:p w14:paraId="2F5A9E68" w14:textId="77777777" w:rsidR="0090307A" w:rsidRDefault="0090307A" w:rsidP="0090307A">
            <w:pPr>
              <w:jc w:val="both"/>
              <w:rPr>
                <w:lang w:val="sl-SI"/>
              </w:rPr>
            </w:pPr>
          </w:p>
          <w:p w14:paraId="12AC5AD7" w14:textId="4408731F" w:rsidR="0090307A" w:rsidRDefault="0090307A" w:rsidP="0090307A">
            <w:pPr>
              <w:jc w:val="both"/>
              <w:rPr>
                <w:lang w:val="sl-SI"/>
              </w:rPr>
            </w:pPr>
            <w:r>
              <w:rPr>
                <w:lang w:val="sl-SI"/>
              </w:rPr>
              <w:t>40% &lt;</w:t>
            </w:r>
          </w:p>
        </w:tc>
        <w:tc>
          <w:tcPr>
            <w:tcW w:w="2830" w:type="dxa"/>
          </w:tcPr>
          <w:p w14:paraId="7CA94015" w14:textId="77777777" w:rsidR="0090307A" w:rsidRDefault="0090307A" w:rsidP="0090307A">
            <w:pPr>
              <w:jc w:val="both"/>
              <w:rPr>
                <w:lang w:val="sl-SI"/>
              </w:rPr>
            </w:pPr>
          </w:p>
          <w:p w14:paraId="7925A406" w14:textId="7AAC85BD" w:rsidR="0090307A" w:rsidRDefault="0090307A" w:rsidP="0090307A">
            <w:pPr>
              <w:jc w:val="both"/>
              <w:rPr>
                <w:lang w:val="sl-SI"/>
              </w:rPr>
            </w:pPr>
            <w:r>
              <w:rPr>
                <w:lang w:val="sl-SI"/>
              </w:rPr>
              <w:t>100%</w:t>
            </w:r>
          </w:p>
        </w:tc>
      </w:tr>
      <w:tr w:rsidR="0090307A" w14:paraId="682F62CF" w14:textId="77777777" w:rsidTr="0090307A">
        <w:tc>
          <w:tcPr>
            <w:tcW w:w="2829" w:type="dxa"/>
          </w:tcPr>
          <w:p w14:paraId="34D4602C" w14:textId="56414AFC" w:rsidR="0090307A" w:rsidRDefault="0090307A" w:rsidP="0090307A">
            <w:pPr>
              <w:jc w:val="both"/>
              <w:rPr>
                <w:lang w:val="sl-SI"/>
              </w:rPr>
            </w:pPr>
            <w:r>
              <w:rPr>
                <w:lang w:val="sl-SI"/>
              </w:rPr>
              <w:t>Povečanje števila raziskav na nacionalni in mednarodni ravni</w:t>
            </w:r>
          </w:p>
        </w:tc>
        <w:tc>
          <w:tcPr>
            <w:tcW w:w="2829" w:type="dxa"/>
          </w:tcPr>
          <w:p w14:paraId="25A008E2" w14:textId="77777777" w:rsidR="0090307A" w:rsidRDefault="0090307A" w:rsidP="0090307A">
            <w:pPr>
              <w:jc w:val="both"/>
              <w:rPr>
                <w:lang w:val="sl-SI"/>
              </w:rPr>
            </w:pPr>
          </w:p>
          <w:p w14:paraId="527A587E" w14:textId="4F11B998" w:rsidR="0090307A" w:rsidRDefault="0090307A" w:rsidP="0090307A">
            <w:pPr>
              <w:jc w:val="both"/>
              <w:rPr>
                <w:lang w:val="sl-SI"/>
              </w:rPr>
            </w:pPr>
            <w:r>
              <w:rPr>
                <w:lang w:val="sl-SI"/>
              </w:rPr>
              <w:t>40% &lt;</w:t>
            </w:r>
          </w:p>
        </w:tc>
        <w:tc>
          <w:tcPr>
            <w:tcW w:w="2830" w:type="dxa"/>
          </w:tcPr>
          <w:p w14:paraId="516CD13A" w14:textId="77777777" w:rsidR="0090307A" w:rsidRDefault="0090307A" w:rsidP="0090307A">
            <w:pPr>
              <w:jc w:val="both"/>
              <w:rPr>
                <w:lang w:val="sl-SI"/>
              </w:rPr>
            </w:pPr>
          </w:p>
          <w:p w14:paraId="3AA1B1D1" w14:textId="3628414E" w:rsidR="0090307A" w:rsidRDefault="0090307A" w:rsidP="0090307A">
            <w:pPr>
              <w:jc w:val="both"/>
              <w:rPr>
                <w:lang w:val="sl-SI"/>
              </w:rPr>
            </w:pPr>
            <w:r>
              <w:rPr>
                <w:lang w:val="sl-SI"/>
              </w:rPr>
              <w:t>70%</w:t>
            </w:r>
            <w:r w:rsidR="004E1395">
              <w:rPr>
                <w:lang w:val="sl-SI"/>
              </w:rPr>
              <w:t xml:space="preserve"> &gt;</w:t>
            </w:r>
          </w:p>
        </w:tc>
      </w:tr>
    </w:tbl>
    <w:p w14:paraId="0193E283" w14:textId="77777777" w:rsidR="0090307A" w:rsidRPr="0008243B" w:rsidRDefault="0090307A" w:rsidP="00F07E05">
      <w:pPr>
        <w:jc w:val="both"/>
        <w:rPr>
          <w:lang w:val="sl-SI"/>
        </w:rPr>
      </w:pPr>
    </w:p>
    <w:p w14:paraId="5BF3FC4A" w14:textId="77777777" w:rsidR="0008243B" w:rsidRPr="0008243B" w:rsidRDefault="0008243B" w:rsidP="00D631B6">
      <w:pPr>
        <w:jc w:val="both"/>
        <w:rPr>
          <w:b/>
          <w:bCs/>
          <w:lang w:val="sl-SI"/>
        </w:rPr>
      </w:pPr>
    </w:p>
    <w:p w14:paraId="3A22821E" w14:textId="037C3B82" w:rsidR="0008243B" w:rsidRPr="0008243B" w:rsidRDefault="0008243B" w:rsidP="00D631B6">
      <w:pPr>
        <w:numPr>
          <w:ilvl w:val="0"/>
          <w:numId w:val="28"/>
        </w:numPr>
        <w:jc w:val="both"/>
        <w:rPr>
          <w:b/>
          <w:bCs/>
          <w:lang w:val="sl-SI"/>
        </w:rPr>
      </w:pPr>
      <w:r w:rsidRPr="0008243B">
        <w:rPr>
          <w:b/>
          <w:bCs/>
          <w:lang w:val="sl-SI"/>
        </w:rPr>
        <w:t xml:space="preserve">Vzpostavitev nacionalnega </w:t>
      </w:r>
      <w:r w:rsidR="000662DA">
        <w:rPr>
          <w:b/>
          <w:bCs/>
          <w:lang w:val="sl-SI"/>
        </w:rPr>
        <w:t>organa</w:t>
      </w:r>
      <w:r w:rsidRPr="0008243B">
        <w:rPr>
          <w:b/>
          <w:bCs/>
          <w:lang w:val="sl-SI"/>
        </w:rPr>
        <w:t xml:space="preserve"> za demenco. </w:t>
      </w:r>
    </w:p>
    <w:p w14:paraId="4595E324" w14:textId="660FFA24" w:rsidR="000E0CD7" w:rsidRPr="005B2866" w:rsidRDefault="000E0CD7" w:rsidP="005B2866">
      <w:pPr>
        <w:pStyle w:val="Odstavekseznama"/>
        <w:numPr>
          <w:ilvl w:val="0"/>
          <w:numId w:val="56"/>
        </w:numPr>
        <w:jc w:val="both"/>
        <w:rPr>
          <w:rFonts w:ascii="Arial" w:hAnsi="Arial" w:cs="Arial"/>
          <w:sz w:val="20"/>
          <w:szCs w:val="20"/>
        </w:rPr>
      </w:pPr>
      <w:r w:rsidRPr="005B2866">
        <w:rPr>
          <w:rFonts w:ascii="Arial" w:hAnsi="Arial" w:cs="Arial"/>
          <w:sz w:val="20"/>
          <w:szCs w:val="20"/>
        </w:rPr>
        <w:t>Spremlja razvoj stroke na področju demenc na mednarodni in nacionalni ravni.</w:t>
      </w:r>
    </w:p>
    <w:p w14:paraId="2237B40C" w14:textId="4CB10E3A" w:rsidR="000E0CD7" w:rsidRPr="005B2866" w:rsidRDefault="000E0CD7" w:rsidP="005B2866">
      <w:pPr>
        <w:pStyle w:val="Odstavekseznama"/>
        <w:numPr>
          <w:ilvl w:val="0"/>
          <w:numId w:val="56"/>
        </w:numPr>
        <w:jc w:val="both"/>
        <w:rPr>
          <w:rFonts w:ascii="Arial" w:hAnsi="Arial" w:cs="Arial"/>
          <w:sz w:val="20"/>
          <w:szCs w:val="20"/>
        </w:rPr>
      </w:pPr>
      <w:r w:rsidRPr="005B2866">
        <w:rPr>
          <w:rFonts w:ascii="Arial" w:hAnsi="Arial" w:cs="Arial"/>
          <w:sz w:val="20"/>
          <w:szCs w:val="20"/>
        </w:rPr>
        <w:t>Zagotov</w:t>
      </w:r>
      <w:r w:rsidR="009835E6">
        <w:rPr>
          <w:rFonts w:ascii="Arial" w:hAnsi="Arial" w:cs="Arial"/>
          <w:sz w:val="20"/>
          <w:szCs w:val="20"/>
        </w:rPr>
        <w:t>lja</w:t>
      </w:r>
      <w:r w:rsidRPr="005B2866">
        <w:rPr>
          <w:rFonts w:ascii="Arial" w:hAnsi="Arial" w:cs="Arial"/>
          <w:sz w:val="20"/>
          <w:szCs w:val="20"/>
        </w:rPr>
        <w:t xml:space="preserve"> učinkovito, kakovostno in gospodarno implementacijo Strategije.</w:t>
      </w:r>
    </w:p>
    <w:p w14:paraId="58E68D91" w14:textId="2A478322" w:rsidR="0008243B" w:rsidRPr="005B2866" w:rsidRDefault="000E0CD7" w:rsidP="005B2866">
      <w:pPr>
        <w:pStyle w:val="Odstavekseznama"/>
        <w:numPr>
          <w:ilvl w:val="0"/>
          <w:numId w:val="56"/>
        </w:numPr>
        <w:jc w:val="both"/>
        <w:rPr>
          <w:rFonts w:ascii="Arial" w:hAnsi="Arial" w:cs="Arial"/>
          <w:sz w:val="20"/>
          <w:szCs w:val="20"/>
        </w:rPr>
      </w:pPr>
      <w:r w:rsidRPr="005B2866">
        <w:rPr>
          <w:rFonts w:ascii="Arial" w:hAnsi="Arial" w:cs="Arial"/>
          <w:sz w:val="20"/>
          <w:szCs w:val="20"/>
        </w:rPr>
        <w:t>Zagotov</w:t>
      </w:r>
      <w:r w:rsidR="009835E6">
        <w:rPr>
          <w:rFonts w:ascii="Arial" w:hAnsi="Arial" w:cs="Arial"/>
          <w:sz w:val="20"/>
          <w:szCs w:val="20"/>
        </w:rPr>
        <w:t>lja</w:t>
      </w:r>
      <w:r w:rsidRPr="005B2866">
        <w:rPr>
          <w:rFonts w:ascii="Arial" w:hAnsi="Arial" w:cs="Arial"/>
          <w:sz w:val="20"/>
          <w:szCs w:val="20"/>
        </w:rPr>
        <w:t xml:space="preserve"> ustrezno podporo strokovnim delavcem za obravnavo uporabnikov z demenco.</w:t>
      </w:r>
    </w:p>
    <w:p w14:paraId="29A08C1F" w14:textId="145DD24B" w:rsidR="000E0CD7" w:rsidRPr="005B2866" w:rsidRDefault="000E0CD7" w:rsidP="005B2866">
      <w:pPr>
        <w:pStyle w:val="Odstavekseznama"/>
        <w:numPr>
          <w:ilvl w:val="0"/>
          <w:numId w:val="56"/>
        </w:numPr>
        <w:jc w:val="both"/>
        <w:rPr>
          <w:rFonts w:ascii="Arial" w:hAnsi="Arial" w:cs="Arial"/>
          <w:sz w:val="20"/>
          <w:szCs w:val="20"/>
        </w:rPr>
      </w:pPr>
      <w:r w:rsidRPr="005B2866">
        <w:rPr>
          <w:rFonts w:ascii="Arial" w:hAnsi="Arial" w:cs="Arial"/>
          <w:sz w:val="20"/>
          <w:szCs w:val="20"/>
        </w:rPr>
        <w:t xml:space="preserve">Spremlja in zagotavlja izobraževanje in raziskovanje na mednarodni in nacionalni ravni. </w:t>
      </w:r>
    </w:p>
    <w:p w14:paraId="6E593660" w14:textId="20DB3180" w:rsidR="005B2866" w:rsidRDefault="005B2866" w:rsidP="005B2866">
      <w:pPr>
        <w:pStyle w:val="Odstavekseznama"/>
        <w:numPr>
          <w:ilvl w:val="0"/>
          <w:numId w:val="56"/>
        </w:numPr>
        <w:jc w:val="both"/>
        <w:rPr>
          <w:rFonts w:ascii="Arial" w:hAnsi="Arial" w:cs="Arial"/>
          <w:sz w:val="20"/>
          <w:szCs w:val="20"/>
        </w:rPr>
      </w:pPr>
      <w:r>
        <w:rPr>
          <w:rFonts w:ascii="Arial" w:hAnsi="Arial" w:cs="Arial"/>
          <w:sz w:val="20"/>
          <w:szCs w:val="20"/>
        </w:rPr>
        <w:t>Načrtov</w:t>
      </w:r>
      <w:r w:rsidR="009835E6">
        <w:rPr>
          <w:rFonts w:ascii="Arial" w:hAnsi="Arial" w:cs="Arial"/>
          <w:sz w:val="20"/>
          <w:szCs w:val="20"/>
        </w:rPr>
        <w:t>anje</w:t>
      </w:r>
      <w:r>
        <w:rPr>
          <w:rFonts w:ascii="Arial" w:hAnsi="Arial" w:cs="Arial"/>
          <w:sz w:val="20"/>
          <w:szCs w:val="20"/>
        </w:rPr>
        <w:t xml:space="preserve"> in vzpostavljanje </w:t>
      </w:r>
      <w:r w:rsidRPr="005B2866">
        <w:rPr>
          <w:rFonts w:ascii="Arial" w:hAnsi="Arial" w:cs="Arial"/>
          <w:sz w:val="20"/>
          <w:szCs w:val="20"/>
        </w:rPr>
        <w:t>mreže spominskih centrov.</w:t>
      </w:r>
    </w:p>
    <w:tbl>
      <w:tblPr>
        <w:tblStyle w:val="Tabelamrea"/>
        <w:tblW w:w="0" w:type="auto"/>
        <w:tblLook w:val="04A0" w:firstRow="1" w:lastRow="0" w:firstColumn="1" w:lastColumn="0" w:noHBand="0" w:noVBand="1"/>
      </w:tblPr>
      <w:tblGrid>
        <w:gridCol w:w="2829"/>
        <w:gridCol w:w="2829"/>
        <w:gridCol w:w="2830"/>
      </w:tblGrid>
      <w:tr w:rsidR="0090307A" w14:paraId="2329FE4A" w14:textId="77777777" w:rsidTr="0090307A">
        <w:tc>
          <w:tcPr>
            <w:tcW w:w="2829" w:type="dxa"/>
          </w:tcPr>
          <w:p w14:paraId="6A12C42D" w14:textId="6C7DD43A" w:rsidR="0090307A" w:rsidRDefault="0090307A" w:rsidP="0090307A">
            <w:pPr>
              <w:jc w:val="both"/>
              <w:rPr>
                <w:rFonts w:cs="Arial"/>
                <w:szCs w:val="20"/>
              </w:rPr>
            </w:pPr>
            <w:r>
              <w:rPr>
                <w:rFonts w:cs="Arial"/>
                <w:szCs w:val="20"/>
              </w:rPr>
              <w:t>Kazalnik</w:t>
            </w:r>
          </w:p>
        </w:tc>
        <w:tc>
          <w:tcPr>
            <w:tcW w:w="2829" w:type="dxa"/>
          </w:tcPr>
          <w:p w14:paraId="6CFCDE3E" w14:textId="3F2DB7A9" w:rsidR="0090307A" w:rsidRDefault="0090307A" w:rsidP="0090307A">
            <w:pPr>
              <w:jc w:val="both"/>
              <w:rPr>
                <w:rFonts w:cs="Arial"/>
                <w:szCs w:val="20"/>
              </w:rPr>
            </w:pPr>
            <w:r>
              <w:rPr>
                <w:rFonts w:cs="Arial"/>
                <w:szCs w:val="20"/>
              </w:rPr>
              <w:t>Izhodiščna vrednost/ocena</w:t>
            </w:r>
          </w:p>
        </w:tc>
        <w:tc>
          <w:tcPr>
            <w:tcW w:w="2830" w:type="dxa"/>
          </w:tcPr>
          <w:p w14:paraId="3BE6DFF1" w14:textId="574FFCC4" w:rsidR="0090307A" w:rsidRDefault="0090307A" w:rsidP="0090307A">
            <w:pPr>
              <w:jc w:val="both"/>
              <w:rPr>
                <w:rFonts w:cs="Arial"/>
                <w:szCs w:val="20"/>
              </w:rPr>
            </w:pPr>
            <w:r>
              <w:rPr>
                <w:rFonts w:cs="Arial"/>
                <w:szCs w:val="20"/>
              </w:rPr>
              <w:t>Ciljna vrednost/ocena</w:t>
            </w:r>
          </w:p>
        </w:tc>
      </w:tr>
      <w:tr w:rsidR="0090307A" w14:paraId="7083B586" w14:textId="77777777" w:rsidTr="0090307A">
        <w:tc>
          <w:tcPr>
            <w:tcW w:w="2829" w:type="dxa"/>
          </w:tcPr>
          <w:p w14:paraId="1D0D1947" w14:textId="75BD138E" w:rsidR="0090307A" w:rsidRDefault="0090307A" w:rsidP="0090307A">
            <w:pPr>
              <w:jc w:val="both"/>
              <w:rPr>
                <w:rFonts w:cs="Arial"/>
                <w:szCs w:val="20"/>
              </w:rPr>
            </w:pPr>
            <w:r>
              <w:rPr>
                <w:rFonts w:cs="Arial"/>
                <w:szCs w:val="20"/>
              </w:rPr>
              <w:t xml:space="preserve">Nacionalni </w:t>
            </w:r>
            <w:r w:rsidR="000662DA">
              <w:rPr>
                <w:rFonts w:cs="Arial"/>
                <w:szCs w:val="20"/>
              </w:rPr>
              <w:t>organ</w:t>
            </w:r>
            <w:r>
              <w:rPr>
                <w:rFonts w:cs="Arial"/>
                <w:szCs w:val="20"/>
              </w:rPr>
              <w:t xml:space="preserve"> za demenco</w:t>
            </w:r>
          </w:p>
        </w:tc>
        <w:tc>
          <w:tcPr>
            <w:tcW w:w="2829" w:type="dxa"/>
          </w:tcPr>
          <w:p w14:paraId="2C0D5A7F" w14:textId="77777777" w:rsidR="0090307A" w:rsidRDefault="0090307A" w:rsidP="0090307A">
            <w:pPr>
              <w:jc w:val="both"/>
              <w:rPr>
                <w:rFonts w:cs="Arial"/>
                <w:szCs w:val="20"/>
              </w:rPr>
            </w:pPr>
          </w:p>
          <w:p w14:paraId="1A8F7BB5" w14:textId="459F9795" w:rsidR="0090307A" w:rsidRDefault="0090307A" w:rsidP="0090307A">
            <w:pPr>
              <w:jc w:val="both"/>
              <w:rPr>
                <w:rFonts w:cs="Arial"/>
                <w:szCs w:val="20"/>
              </w:rPr>
            </w:pPr>
            <w:r>
              <w:rPr>
                <w:rFonts w:cs="Arial"/>
                <w:szCs w:val="20"/>
              </w:rPr>
              <w:t>0%</w:t>
            </w:r>
          </w:p>
        </w:tc>
        <w:tc>
          <w:tcPr>
            <w:tcW w:w="2830" w:type="dxa"/>
          </w:tcPr>
          <w:p w14:paraId="571950A0" w14:textId="77777777" w:rsidR="0090307A" w:rsidRDefault="0090307A" w:rsidP="0090307A">
            <w:pPr>
              <w:jc w:val="both"/>
              <w:rPr>
                <w:rFonts w:cs="Arial"/>
                <w:szCs w:val="20"/>
              </w:rPr>
            </w:pPr>
          </w:p>
          <w:p w14:paraId="0D898A1A" w14:textId="4EA41C41" w:rsidR="0090307A" w:rsidRDefault="0090307A" w:rsidP="0090307A">
            <w:pPr>
              <w:jc w:val="both"/>
              <w:rPr>
                <w:rFonts w:cs="Arial"/>
                <w:szCs w:val="20"/>
              </w:rPr>
            </w:pPr>
            <w:r>
              <w:rPr>
                <w:rFonts w:cs="Arial"/>
                <w:szCs w:val="20"/>
              </w:rPr>
              <w:t>100%</w:t>
            </w:r>
          </w:p>
        </w:tc>
      </w:tr>
      <w:tr w:rsidR="0090307A" w14:paraId="53858F94" w14:textId="77777777" w:rsidTr="0090307A">
        <w:tc>
          <w:tcPr>
            <w:tcW w:w="2829" w:type="dxa"/>
          </w:tcPr>
          <w:p w14:paraId="1BAF8438" w14:textId="70D214E1" w:rsidR="0090307A" w:rsidRDefault="0090307A" w:rsidP="0090307A">
            <w:pPr>
              <w:jc w:val="both"/>
              <w:rPr>
                <w:rFonts w:cs="Arial"/>
                <w:szCs w:val="20"/>
              </w:rPr>
            </w:pPr>
            <w:r>
              <w:rPr>
                <w:rFonts w:cs="Arial"/>
                <w:szCs w:val="20"/>
              </w:rPr>
              <w:t>Vzpostavitev mreže</w:t>
            </w:r>
            <w:r w:rsidR="000C6B0F">
              <w:rPr>
                <w:rFonts w:cs="Arial"/>
                <w:szCs w:val="20"/>
              </w:rPr>
              <w:t xml:space="preserve"> “regijskih</w:t>
            </w:r>
            <w:r>
              <w:rPr>
                <w:rFonts w:cs="Arial"/>
                <w:szCs w:val="20"/>
              </w:rPr>
              <w:t xml:space="preserve">  spominskih centrov”</w:t>
            </w:r>
            <w:r w:rsidR="000C6B0F">
              <w:rPr>
                <w:rFonts w:cs="Arial"/>
                <w:szCs w:val="20"/>
              </w:rPr>
              <w:t xml:space="preserve"> v zdravstvenih regijah</w:t>
            </w:r>
          </w:p>
        </w:tc>
        <w:tc>
          <w:tcPr>
            <w:tcW w:w="2829" w:type="dxa"/>
          </w:tcPr>
          <w:p w14:paraId="6B958588" w14:textId="77777777" w:rsidR="0090307A" w:rsidRDefault="0090307A" w:rsidP="0090307A">
            <w:pPr>
              <w:jc w:val="both"/>
              <w:rPr>
                <w:rFonts w:cs="Arial"/>
                <w:szCs w:val="20"/>
              </w:rPr>
            </w:pPr>
          </w:p>
          <w:p w14:paraId="37701BB5" w14:textId="3A31C100" w:rsidR="0090307A" w:rsidRDefault="0090307A" w:rsidP="0090307A">
            <w:pPr>
              <w:jc w:val="both"/>
              <w:rPr>
                <w:rFonts w:cs="Arial"/>
                <w:szCs w:val="20"/>
              </w:rPr>
            </w:pPr>
            <w:r>
              <w:rPr>
                <w:rFonts w:cs="Arial"/>
                <w:szCs w:val="20"/>
              </w:rPr>
              <w:t>0 %</w:t>
            </w:r>
          </w:p>
        </w:tc>
        <w:tc>
          <w:tcPr>
            <w:tcW w:w="2830" w:type="dxa"/>
          </w:tcPr>
          <w:p w14:paraId="400650FD" w14:textId="77777777" w:rsidR="0090307A" w:rsidRDefault="0090307A" w:rsidP="0090307A">
            <w:pPr>
              <w:jc w:val="both"/>
              <w:rPr>
                <w:rFonts w:cs="Arial"/>
                <w:szCs w:val="20"/>
              </w:rPr>
            </w:pPr>
          </w:p>
          <w:p w14:paraId="62E3AD8B" w14:textId="219E6F94" w:rsidR="0090307A" w:rsidRDefault="000C6B0F" w:rsidP="0090307A">
            <w:pPr>
              <w:jc w:val="both"/>
              <w:rPr>
                <w:rFonts w:cs="Arial"/>
                <w:szCs w:val="20"/>
              </w:rPr>
            </w:pPr>
            <w:r>
              <w:rPr>
                <w:rFonts w:cs="Arial"/>
                <w:szCs w:val="20"/>
              </w:rPr>
              <w:t>7</w:t>
            </w:r>
            <w:r w:rsidR="0090307A">
              <w:rPr>
                <w:rFonts w:cs="Arial"/>
                <w:szCs w:val="20"/>
              </w:rPr>
              <w:t>0%</w:t>
            </w:r>
          </w:p>
        </w:tc>
      </w:tr>
    </w:tbl>
    <w:p w14:paraId="1406CA8D" w14:textId="77777777" w:rsidR="0090307A" w:rsidRPr="0090307A" w:rsidRDefault="0090307A" w:rsidP="00F07E05">
      <w:pPr>
        <w:jc w:val="both"/>
        <w:rPr>
          <w:rFonts w:cs="Arial"/>
          <w:szCs w:val="20"/>
        </w:rPr>
      </w:pPr>
    </w:p>
    <w:p w14:paraId="1FD1D742" w14:textId="77777777" w:rsidR="0008243B" w:rsidRPr="0008243B" w:rsidRDefault="0008243B" w:rsidP="00D631B6">
      <w:pPr>
        <w:jc w:val="both"/>
        <w:rPr>
          <w:lang w:val="sl-SI"/>
        </w:rPr>
      </w:pPr>
    </w:p>
    <w:p w14:paraId="503BC1D0" w14:textId="77777777" w:rsidR="0008243B" w:rsidRPr="0008243B" w:rsidRDefault="0008243B" w:rsidP="00D631B6">
      <w:pPr>
        <w:numPr>
          <w:ilvl w:val="0"/>
          <w:numId w:val="28"/>
        </w:numPr>
        <w:jc w:val="both"/>
        <w:rPr>
          <w:b/>
          <w:bCs/>
          <w:lang w:val="sl-SI"/>
        </w:rPr>
      </w:pPr>
      <w:r w:rsidRPr="0008243B">
        <w:rPr>
          <w:b/>
          <w:bCs/>
          <w:lang w:val="sl-SI"/>
        </w:rPr>
        <w:lastRenderedPageBreak/>
        <w:t>Ustrezna obravnava oseb z demenco v času epidemij in v drugih izrednih razmerah.</w:t>
      </w:r>
    </w:p>
    <w:p w14:paraId="1F87234E" w14:textId="77777777" w:rsidR="0008243B" w:rsidRPr="0008243B" w:rsidRDefault="0008243B" w:rsidP="00D631B6">
      <w:pPr>
        <w:numPr>
          <w:ilvl w:val="0"/>
          <w:numId w:val="36"/>
        </w:numPr>
        <w:jc w:val="both"/>
        <w:rPr>
          <w:lang w:val="sl-SI"/>
        </w:rPr>
      </w:pPr>
      <w:r w:rsidRPr="0008243B">
        <w:rPr>
          <w:lang w:val="sl-SI"/>
        </w:rPr>
        <w:t xml:space="preserve">Pripraviti usmeritve za varstvo in obravnavo oseb z demenco v času epidemij in drugih izrednih razmer. </w:t>
      </w:r>
    </w:p>
    <w:p w14:paraId="1E62198A" w14:textId="29AC421D" w:rsidR="0008243B" w:rsidRDefault="0008243B" w:rsidP="00D631B6">
      <w:pPr>
        <w:numPr>
          <w:ilvl w:val="0"/>
          <w:numId w:val="36"/>
        </w:numPr>
        <w:jc w:val="both"/>
        <w:rPr>
          <w:lang w:val="sl-SI"/>
        </w:rPr>
      </w:pPr>
      <w:r w:rsidRPr="0008243B">
        <w:rPr>
          <w:lang w:val="sl-SI"/>
        </w:rPr>
        <w:t xml:space="preserve">Vzpodbujati in organizirati digitalno in drugo tehnološko ustrezno in prilagojeno podporo za </w:t>
      </w:r>
      <w:r w:rsidR="000C6B0F">
        <w:rPr>
          <w:lang w:val="sl-SI"/>
        </w:rPr>
        <w:t>osebe z demenco</w:t>
      </w:r>
      <w:r w:rsidRPr="0008243B">
        <w:rPr>
          <w:lang w:val="sl-SI"/>
        </w:rPr>
        <w:t xml:space="preserve"> in skrbnike v času izrednih razmer</w:t>
      </w:r>
      <w:r w:rsidR="005B2866">
        <w:rPr>
          <w:lang w:val="sl-SI"/>
        </w:rPr>
        <w:t>.</w:t>
      </w:r>
      <w:r w:rsidRPr="0008243B">
        <w:rPr>
          <w:lang w:val="sl-SI"/>
        </w:rPr>
        <w:t xml:space="preserve"> </w:t>
      </w:r>
    </w:p>
    <w:tbl>
      <w:tblPr>
        <w:tblStyle w:val="Tabelamrea"/>
        <w:tblW w:w="0" w:type="auto"/>
        <w:tblLook w:val="04A0" w:firstRow="1" w:lastRow="0" w:firstColumn="1" w:lastColumn="0" w:noHBand="0" w:noVBand="1"/>
      </w:tblPr>
      <w:tblGrid>
        <w:gridCol w:w="2829"/>
        <w:gridCol w:w="2829"/>
        <w:gridCol w:w="2830"/>
      </w:tblGrid>
      <w:tr w:rsidR="0090307A" w14:paraId="7DB63B56" w14:textId="77777777" w:rsidTr="0090307A">
        <w:tc>
          <w:tcPr>
            <w:tcW w:w="2829" w:type="dxa"/>
          </w:tcPr>
          <w:p w14:paraId="27FC8C1A" w14:textId="45DD2E57" w:rsidR="0090307A" w:rsidRDefault="004E1395" w:rsidP="0090307A">
            <w:pPr>
              <w:jc w:val="both"/>
              <w:rPr>
                <w:lang w:val="sl-SI"/>
              </w:rPr>
            </w:pPr>
            <w:r>
              <w:rPr>
                <w:lang w:val="sl-SI"/>
              </w:rPr>
              <w:t>Kazalnik</w:t>
            </w:r>
          </w:p>
        </w:tc>
        <w:tc>
          <w:tcPr>
            <w:tcW w:w="2829" w:type="dxa"/>
          </w:tcPr>
          <w:p w14:paraId="1E978A0E" w14:textId="468D0459" w:rsidR="0090307A" w:rsidRDefault="004E1395" w:rsidP="0090307A">
            <w:pPr>
              <w:jc w:val="both"/>
              <w:rPr>
                <w:lang w:val="sl-SI"/>
              </w:rPr>
            </w:pPr>
            <w:r>
              <w:rPr>
                <w:lang w:val="sl-SI"/>
              </w:rPr>
              <w:t>Izhodiščna vrednost/ocena</w:t>
            </w:r>
          </w:p>
        </w:tc>
        <w:tc>
          <w:tcPr>
            <w:tcW w:w="2830" w:type="dxa"/>
          </w:tcPr>
          <w:p w14:paraId="3697EEF0" w14:textId="5BDB9E4F" w:rsidR="0090307A" w:rsidRDefault="004E1395" w:rsidP="0090307A">
            <w:pPr>
              <w:jc w:val="both"/>
              <w:rPr>
                <w:lang w:val="sl-SI"/>
              </w:rPr>
            </w:pPr>
            <w:r>
              <w:rPr>
                <w:lang w:val="sl-SI"/>
              </w:rPr>
              <w:t>Ciljna vrednost/ocena</w:t>
            </w:r>
          </w:p>
        </w:tc>
      </w:tr>
      <w:tr w:rsidR="0090307A" w14:paraId="77A1B2A1" w14:textId="77777777" w:rsidTr="0090307A">
        <w:tc>
          <w:tcPr>
            <w:tcW w:w="2829" w:type="dxa"/>
          </w:tcPr>
          <w:p w14:paraId="530F3D64" w14:textId="7D8B2B69" w:rsidR="0090307A" w:rsidRDefault="004E1395" w:rsidP="0090307A">
            <w:pPr>
              <w:jc w:val="both"/>
              <w:rPr>
                <w:lang w:val="sl-SI"/>
              </w:rPr>
            </w:pPr>
            <w:r>
              <w:rPr>
                <w:lang w:val="sl-SI"/>
              </w:rPr>
              <w:t>Smernice za varstvo in obravnavo oseb z demenco v času epidemij in drugih izrednih razmer</w:t>
            </w:r>
          </w:p>
        </w:tc>
        <w:tc>
          <w:tcPr>
            <w:tcW w:w="2829" w:type="dxa"/>
          </w:tcPr>
          <w:p w14:paraId="1B543B17" w14:textId="77777777" w:rsidR="0090307A" w:rsidRDefault="0090307A" w:rsidP="0090307A">
            <w:pPr>
              <w:jc w:val="both"/>
              <w:rPr>
                <w:lang w:val="sl-SI"/>
              </w:rPr>
            </w:pPr>
          </w:p>
          <w:p w14:paraId="0AB2F594" w14:textId="7EFD23C3" w:rsidR="004E1395" w:rsidRDefault="004E1395" w:rsidP="0090307A">
            <w:pPr>
              <w:jc w:val="both"/>
              <w:rPr>
                <w:lang w:val="sl-SI"/>
              </w:rPr>
            </w:pPr>
            <w:r>
              <w:rPr>
                <w:lang w:val="sl-SI"/>
              </w:rPr>
              <w:t>0%</w:t>
            </w:r>
          </w:p>
        </w:tc>
        <w:tc>
          <w:tcPr>
            <w:tcW w:w="2830" w:type="dxa"/>
          </w:tcPr>
          <w:p w14:paraId="73D9F780" w14:textId="77777777" w:rsidR="0090307A" w:rsidRDefault="0090307A" w:rsidP="0090307A">
            <w:pPr>
              <w:jc w:val="both"/>
              <w:rPr>
                <w:lang w:val="sl-SI"/>
              </w:rPr>
            </w:pPr>
          </w:p>
          <w:p w14:paraId="0E83F6DA" w14:textId="0E74C247" w:rsidR="004E1395" w:rsidRDefault="004E1395" w:rsidP="0090307A">
            <w:pPr>
              <w:jc w:val="both"/>
              <w:rPr>
                <w:lang w:val="sl-SI"/>
              </w:rPr>
            </w:pPr>
            <w:r>
              <w:rPr>
                <w:lang w:val="sl-SI"/>
              </w:rPr>
              <w:t>100%</w:t>
            </w:r>
          </w:p>
        </w:tc>
      </w:tr>
    </w:tbl>
    <w:p w14:paraId="0D75DF9B" w14:textId="77777777" w:rsidR="0090307A" w:rsidRPr="0008243B" w:rsidRDefault="0090307A" w:rsidP="00F07E05">
      <w:pPr>
        <w:jc w:val="both"/>
        <w:rPr>
          <w:lang w:val="sl-SI"/>
        </w:rPr>
      </w:pPr>
    </w:p>
    <w:p w14:paraId="60475253" w14:textId="0B4D7CE4" w:rsidR="00A11EEF" w:rsidRPr="00885BD1" w:rsidRDefault="00A11EEF" w:rsidP="00D631B6">
      <w:pPr>
        <w:jc w:val="both"/>
        <w:rPr>
          <w:lang w:val="sl-SI" w:eastAsia="sl-SI"/>
        </w:rPr>
      </w:pPr>
    </w:p>
    <w:p w14:paraId="325F643D" w14:textId="516DD07F" w:rsidR="004655F8" w:rsidRPr="00885BD1" w:rsidRDefault="004655F8" w:rsidP="00D631B6">
      <w:pPr>
        <w:jc w:val="both"/>
        <w:rPr>
          <w:b/>
          <w:bCs/>
          <w:lang w:val="sl-SI" w:eastAsia="sl-SI"/>
        </w:rPr>
      </w:pPr>
      <w:r w:rsidRPr="00885BD1">
        <w:rPr>
          <w:b/>
          <w:bCs/>
          <w:lang w:val="sl-SI" w:eastAsia="sl-SI"/>
        </w:rPr>
        <w:t>Pri ukrepih za izpolnitev zgornjih ciljev Strategija upošteva načela:</w:t>
      </w:r>
    </w:p>
    <w:p w14:paraId="1B614D06" w14:textId="0640207D" w:rsidR="004655F8" w:rsidRPr="00885BD1" w:rsidRDefault="004655F8" w:rsidP="00D631B6">
      <w:pPr>
        <w:pStyle w:val="Odstavekseznama"/>
        <w:numPr>
          <w:ilvl w:val="0"/>
          <w:numId w:val="14"/>
        </w:numPr>
        <w:jc w:val="both"/>
        <w:rPr>
          <w:rFonts w:ascii="Arial" w:hAnsi="Arial" w:cs="Arial"/>
          <w:sz w:val="20"/>
          <w:szCs w:val="20"/>
          <w:lang w:eastAsia="sl-SI"/>
        </w:rPr>
      </w:pPr>
      <w:r w:rsidRPr="00885BD1">
        <w:rPr>
          <w:rFonts w:ascii="Arial" w:hAnsi="Arial" w:cs="Arial"/>
          <w:sz w:val="20"/>
          <w:szCs w:val="20"/>
          <w:lang w:eastAsia="sl-SI"/>
        </w:rPr>
        <w:t>multidisciplinarni pristop</w:t>
      </w:r>
      <w:r w:rsidR="002B3EC5" w:rsidRPr="00885BD1">
        <w:rPr>
          <w:rFonts w:ascii="Arial" w:hAnsi="Arial" w:cs="Arial"/>
          <w:sz w:val="20"/>
          <w:szCs w:val="20"/>
          <w:lang w:eastAsia="sl-SI"/>
        </w:rPr>
        <w:t xml:space="preserve"> in integrirana obravnava</w:t>
      </w:r>
      <w:r w:rsidRPr="00885BD1">
        <w:rPr>
          <w:rFonts w:ascii="Arial" w:hAnsi="Arial" w:cs="Arial"/>
          <w:sz w:val="20"/>
          <w:szCs w:val="20"/>
          <w:lang w:eastAsia="sl-SI"/>
        </w:rPr>
        <w:t>,</w:t>
      </w:r>
    </w:p>
    <w:p w14:paraId="7ED4A4EF" w14:textId="4A89F2A2" w:rsidR="004655F8" w:rsidRPr="00885BD1" w:rsidRDefault="004655F8" w:rsidP="00D631B6">
      <w:pPr>
        <w:pStyle w:val="Odstavekseznama"/>
        <w:numPr>
          <w:ilvl w:val="0"/>
          <w:numId w:val="14"/>
        </w:numPr>
        <w:jc w:val="both"/>
        <w:rPr>
          <w:rFonts w:ascii="Arial" w:hAnsi="Arial" w:cs="Arial"/>
          <w:sz w:val="20"/>
          <w:szCs w:val="20"/>
          <w:lang w:eastAsia="sl-SI"/>
        </w:rPr>
      </w:pPr>
      <w:r w:rsidRPr="00885BD1">
        <w:rPr>
          <w:rFonts w:ascii="Arial" w:hAnsi="Arial" w:cs="Arial"/>
          <w:sz w:val="20"/>
          <w:szCs w:val="20"/>
          <w:lang w:eastAsia="sl-SI"/>
        </w:rPr>
        <w:t>destigmatizacije v strokovni in laični javnosti,</w:t>
      </w:r>
    </w:p>
    <w:p w14:paraId="3EC86926" w14:textId="6B3AE4E0" w:rsidR="004655F8" w:rsidRPr="00885BD1" w:rsidRDefault="004655F8" w:rsidP="00D631B6">
      <w:pPr>
        <w:pStyle w:val="Odstavekseznama"/>
        <w:numPr>
          <w:ilvl w:val="0"/>
          <w:numId w:val="14"/>
        </w:numPr>
        <w:jc w:val="both"/>
        <w:rPr>
          <w:rFonts w:ascii="Arial" w:hAnsi="Arial" w:cs="Arial"/>
          <w:sz w:val="20"/>
          <w:szCs w:val="20"/>
          <w:lang w:eastAsia="sl-SI"/>
        </w:rPr>
      </w:pPr>
      <w:r w:rsidRPr="00885BD1">
        <w:rPr>
          <w:rFonts w:ascii="Arial" w:hAnsi="Arial" w:cs="Arial"/>
          <w:sz w:val="20"/>
          <w:szCs w:val="20"/>
          <w:lang w:eastAsia="sl-SI"/>
        </w:rPr>
        <w:t>objektivnosti pri načrtovanju ukrepov na podlagi realnih možnosti,</w:t>
      </w:r>
    </w:p>
    <w:p w14:paraId="2976A841" w14:textId="1606AD57" w:rsidR="004655F8" w:rsidRPr="00885BD1" w:rsidRDefault="004655F8" w:rsidP="00D631B6">
      <w:pPr>
        <w:pStyle w:val="Odstavekseznama"/>
        <w:numPr>
          <w:ilvl w:val="0"/>
          <w:numId w:val="14"/>
        </w:numPr>
        <w:jc w:val="both"/>
        <w:rPr>
          <w:rFonts w:ascii="Arial" w:hAnsi="Arial" w:cs="Arial"/>
          <w:sz w:val="20"/>
          <w:szCs w:val="20"/>
          <w:lang w:eastAsia="sl-SI"/>
        </w:rPr>
      </w:pPr>
      <w:r w:rsidRPr="00885BD1">
        <w:rPr>
          <w:rFonts w:ascii="Arial" w:hAnsi="Arial" w:cs="Arial"/>
          <w:sz w:val="20"/>
          <w:szCs w:val="20"/>
          <w:lang w:eastAsia="sl-SI"/>
        </w:rPr>
        <w:t>individualnega pristopa obravnave,</w:t>
      </w:r>
    </w:p>
    <w:p w14:paraId="48218A19" w14:textId="30D0945A" w:rsidR="004655F8" w:rsidRPr="00D631B6" w:rsidRDefault="004655F8" w:rsidP="00D631B6">
      <w:pPr>
        <w:pStyle w:val="Odstavekseznama"/>
        <w:numPr>
          <w:ilvl w:val="0"/>
          <w:numId w:val="14"/>
        </w:numPr>
        <w:jc w:val="both"/>
        <w:rPr>
          <w:rFonts w:ascii="Arial" w:hAnsi="Arial" w:cs="Arial"/>
          <w:sz w:val="20"/>
          <w:szCs w:val="20"/>
          <w:lang w:eastAsia="sl-SI"/>
        </w:rPr>
      </w:pPr>
      <w:r w:rsidRPr="00D631B6">
        <w:rPr>
          <w:rFonts w:ascii="Arial" w:hAnsi="Arial" w:cs="Arial"/>
          <w:sz w:val="20"/>
          <w:szCs w:val="20"/>
          <w:lang w:eastAsia="sl-SI"/>
        </w:rPr>
        <w:t>enake dostopnosti storitev,</w:t>
      </w:r>
    </w:p>
    <w:p w14:paraId="49BBBBAC" w14:textId="7DC617D9" w:rsidR="004655F8" w:rsidRPr="00885BD1" w:rsidRDefault="004655F8" w:rsidP="00D631B6">
      <w:pPr>
        <w:pStyle w:val="Odstavekseznama"/>
        <w:numPr>
          <w:ilvl w:val="0"/>
          <w:numId w:val="14"/>
        </w:numPr>
        <w:jc w:val="both"/>
        <w:rPr>
          <w:rFonts w:ascii="Arial" w:hAnsi="Arial" w:cs="Arial"/>
          <w:sz w:val="20"/>
          <w:szCs w:val="20"/>
          <w:lang w:eastAsia="sl-SI"/>
        </w:rPr>
      </w:pPr>
      <w:r w:rsidRPr="00885BD1">
        <w:rPr>
          <w:rFonts w:ascii="Arial" w:hAnsi="Arial" w:cs="Arial"/>
          <w:sz w:val="20"/>
          <w:szCs w:val="20"/>
          <w:lang w:eastAsia="sl-SI"/>
        </w:rPr>
        <w:t>spoštovanja človekovih pravic,</w:t>
      </w:r>
    </w:p>
    <w:p w14:paraId="55C4723B" w14:textId="6ADD7B9D" w:rsidR="00724B80" w:rsidRPr="00885BD1" w:rsidRDefault="004655F8" w:rsidP="00D631B6">
      <w:pPr>
        <w:pStyle w:val="Odstavekseznama"/>
        <w:numPr>
          <w:ilvl w:val="0"/>
          <w:numId w:val="14"/>
        </w:numPr>
        <w:jc w:val="both"/>
        <w:rPr>
          <w:rFonts w:cs="Arial"/>
          <w:szCs w:val="20"/>
          <w:lang w:eastAsia="sl-SI"/>
        </w:rPr>
      </w:pPr>
      <w:r w:rsidRPr="00885BD1">
        <w:rPr>
          <w:rFonts w:ascii="Arial" w:hAnsi="Arial" w:cs="Arial"/>
          <w:sz w:val="20"/>
          <w:szCs w:val="20"/>
          <w:lang w:eastAsia="sl-SI"/>
        </w:rPr>
        <w:t>finančne vzdržnosti.</w:t>
      </w:r>
    </w:p>
    <w:p w14:paraId="4DDC1D5C" w14:textId="37FDF118" w:rsidR="00153310" w:rsidRPr="00885BD1" w:rsidRDefault="00153310" w:rsidP="00D631B6">
      <w:pPr>
        <w:jc w:val="both"/>
        <w:rPr>
          <w:rFonts w:cs="Arial"/>
          <w:szCs w:val="20"/>
          <w:lang w:val="sl-SI" w:eastAsia="sl-SI"/>
        </w:rPr>
      </w:pPr>
      <w:r w:rsidRPr="00885BD1">
        <w:rPr>
          <w:rFonts w:cs="Arial"/>
          <w:szCs w:val="20"/>
          <w:lang w:val="sl-SI" w:eastAsia="sl-SI"/>
        </w:rPr>
        <w:br w:type="page"/>
      </w:r>
    </w:p>
    <w:p w14:paraId="57DB67BC" w14:textId="4A91CD47" w:rsidR="00F74A2A" w:rsidRPr="009F7B6C" w:rsidRDefault="00A31350" w:rsidP="00E546B0">
      <w:pPr>
        <w:pStyle w:val="Naslov1"/>
        <w:rPr>
          <w:b/>
          <w:bCs/>
        </w:rPr>
      </w:pPr>
      <w:bookmarkStart w:id="9" w:name="_Toc62108597"/>
      <w:bookmarkStart w:id="10" w:name="_Toc117692276"/>
      <w:r w:rsidRPr="009F7B6C">
        <w:rPr>
          <w:rStyle w:val="NaslovZnak"/>
          <w:rFonts w:ascii="Arial" w:eastAsiaTheme="majorEastAsia" w:hAnsi="Arial" w:cs="Arial"/>
          <w:b w:val="0"/>
          <w:bCs w:val="0"/>
          <w:sz w:val="24"/>
          <w:szCs w:val="24"/>
          <w:lang w:val="sl-SI"/>
        </w:rPr>
        <w:lastRenderedPageBreak/>
        <w:t xml:space="preserve">2 </w:t>
      </w:r>
      <w:r w:rsidR="00153310" w:rsidRPr="009F7B6C">
        <w:rPr>
          <w:rStyle w:val="NaslovZnak"/>
          <w:rFonts w:ascii="Arial" w:eastAsiaTheme="majorEastAsia" w:hAnsi="Arial" w:cs="Arial"/>
          <w:b w:val="0"/>
          <w:bCs w:val="0"/>
          <w:sz w:val="24"/>
          <w:szCs w:val="24"/>
          <w:lang w:val="sl-SI"/>
        </w:rPr>
        <w:t>OSNOVNA IZHODIŠČA ZA PRIPRAVO STRATEGIJE</w:t>
      </w:r>
      <w:bookmarkEnd w:id="9"/>
      <w:bookmarkEnd w:id="10"/>
      <w:r w:rsidR="00A11EEF" w:rsidRPr="009F7B6C">
        <w:rPr>
          <w:b/>
          <w:bCs/>
        </w:rPr>
        <w:t xml:space="preserve"> </w:t>
      </w:r>
    </w:p>
    <w:p w14:paraId="110C4FEC" w14:textId="77777777" w:rsidR="00C46D33" w:rsidRPr="00885BD1" w:rsidRDefault="00C46D33" w:rsidP="00C46D33">
      <w:pPr>
        <w:rPr>
          <w:lang w:val="sl-SI" w:eastAsia="sl-SI"/>
        </w:rPr>
      </w:pPr>
    </w:p>
    <w:p w14:paraId="6EC68210" w14:textId="32D22C3C" w:rsidR="00834DA1" w:rsidRPr="00885BD1" w:rsidRDefault="00E20F95" w:rsidP="00834DA1">
      <w:pPr>
        <w:jc w:val="both"/>
        <w:rPr>
          <w:rFonts w:cs="Arial"/>
          <w:szCs w:val="20"/>
          <w:lang w:val="sl-SI"/>
        </w:rPr>
      </w:pPr>
      <w:r w:rsidRPr="00885BD1">
        <w:rPr>
          <w:rFonts w:cs="Arial"/>
          <w:szCs w:val="20"/>
          <w:lang w:val="sl-SI"/>
        </w:rPr>
        <w:t xml:space="preserve">Demenca sodi med prednostne naloge javnega zdravstva tako v svetu kot pri nas. </w:t>
      </w:r>
      <w:r w:rsidR="00731243" w:rsidRPr="00885BD1">
        <w:rPr>
          <w:rFonts w:cs="Arial"/>
          <w:szCs w:val="20"/>
          <w:lang w:val="sl-SI"/>
        </w:rPr>
        <w:t>Za demenco zbolijo tudi osebe</w:t>
      </w:r>
      <w:r w:rsidR="009C041D" w:rsidRPr="00885BD1">
        <w:rPr>
          <w:rFonts w:cs="Arial"/>
          <w:szCs w:val="20"/>
          <w:lang w:val="sl-SI"/>
        </w:rPr>
        <w:t xml:space="preserve"> pred 65. letom, kar predstavlja 9 % primerov demenc</w:t>
      </w:r>
      <w:r w:rsidR="009C041D" w:rsidRPr="00885BD1">
        <w:rPr>
          <w:rFonts w:cs="Arial"/>
          <w:szCs w:val="20"/>
          <w:vertAlign w:val="superscript"/>
          <w:lang w:val="sl-SI"/>
        </w:rPr>
        <w:footnoteReference w:id="6"/>
      </w:r>
      <w:r w:rsidR="00D12D8A" w:rsidRPr="00885BD1">
        <w:rPr>
          <w:rFonts w:cs="Arial"/>
          <w:szCs w:val="20"/>
          <w:lang w:val="sl-SI"/>
        </w:rPr>
        <w:t xml:space="preserve">, zlasti </w:t>
      </w:r>
      <w:r w:rsidR="00731243" w:rsidRPr="00885BD1">
        <w:rPr>
          <w:rFonts w:cs="Arial"/>
          <w:szCs w:val="20"/>
          <w:lang w:val="sl-SI"/>
        </w:rPr>
        <w:t>hitro narašča število oseb z demenc</w:t>
      </w:r>
      <w:r w:rsidR="00D12D8A" w:rsidRPr="00885BD1">
        <w:rPr>
          <w:rFonts w:cs="Arial"/>
          <w:szCs w:val="20"/>
          <w:lang w:val="sl-SI"/>
        </w:rPr>
        <w:t xml:space="preserve"> zaradi staranja prebivalstva (izrazito hitro povečevanje starostne skupine nad 80 let)</w:t>
      </w:r>
      <w:r w:rsidRPr="00885BD1">
        <w:rPr>
          <w:rStyle w:val="Sprotnaopomba-sklic"/>
          <w:rFonts w:cs="Arial"/>
          <w:szCs w:val="20"/>
          <w:lang w:val="sl-SI"/>
        </w:rPr>
        <w:footnoteReference w:id="7"/>
      </w:r>
      <w:r w:rsidR="00D12D8A" w:rsidRPr="00885BD1">
        <w:rPr>
          <w:rFonts w:cs="Arial"/>
          <w:szCs w:val="20"/>
          <w:lang w:val="sl-SI"/>
        </w:rPr>
        <w:t xml:space="preserve">. </w:t>
      </w:r>
      <w:r w:rsidR="00834DA1" w:rsidRPr="00885BD1">
        <w:rPr>
          <w:rFonts w:cs="Arial"/>
          <w:szCs w:val="20"/>
          <w:lang w:val="sl-SI"/>
        </w:rPr>
        <w:t>Demografske spremembe so odraz razvoja v moderni družbi in dejstvo kateremu je potrebno prilagoditi obstoječe sisteme in ureditve ter tako ustvariti možnosti za kakovostno življenje vseh generacij in dostojno staranje. S staranjem se veča tudi breme bolezni in krepijo potrebe za dolgotrajno oskrbo.</w:t>
      </w:r>
      <w:r w:rsidR="00F74A2A" w:rsidRPr="00885BD1">
        <w:rPr>
          <w:rFonts w:cs="Arial"/>
          <w:szCs w:val="20"/>
          <w:lang w:val="sl-SI"/>
        </w:rPr>
        <w:t xml:space="preserve"> </w:t>
      </w:r>
      <w:r w:rsidR="005304A9" w:rsidRPr="00885BD1">
        <w:rPr>
          <w:rFonts w:cs="Arial"/>
          <w:szCs w:val="20"/>
          <w:lang w:val="sl-SI"/>
        </w:rPr>
        <w:t>P</w:t>
      </w:r>
      <w:r w:rsidR="00F74A2A" w:rsidRPr="00885BD1">
        <w:rPr>
          <w:rFonts w:cs="Arial"/>
          <w:szCs w:val="20"/>
          <w:lang w:val="sl-SI"/>
        </w:rPr>
        <w:t xml:space="preserve">omembno je, da je Slovenija sprejela </w:t>
      </w:r>
      <w:r w:rsidR="005D0CBF" w:rsidRPr="00885BD1">
        <w:rPr>
          <w:rFonts w:cs="Arial"/>
          <w:szCs w:val="20"/>
          <w:lang w:val="sl-SI"/>
        </w:rPr>
        <w:t>ZDOsk</w:t>
      </w:r>
      <w:r w:rsidR="00F74A2A" w:rsidRPr="00885BD1">
        <w:rPr>
          <w:rFonts w:cs="Arial"/>
          <w:szCs w:val="20"/>
          <w:lang w:val="sl-SI"/>
        </w:rPr>
        <w:t xml:space="preserve">, ki sistemsko </w:t>
      </w:r>
      <w:r w:rsidR="00A259DC" w:rsidRPr="00885BD1">
        <w:rPr>
          <w:rFonts w:cs="Arial"/>
          <w:szCs w:val="20"/>
          <w:lang w:val="sl-SI"/>
        </w:rPr>
        <w:t>ure</w:t>
      </w:r>
      <w:r w:rsidR="00A259DC">
        <w:rPr>
          <w:rFonts w:cs="Arial"/>
          <w:szCs w:val="20"/>
          <w:lang w:val="sl-SI"/>
        </w:rPr>
        <w:t>ja</w:t>
      </w:r>
      <w:r w:rsidR="00A259DC" w:rsidRPr="00885BD1">
        <w:rPr>
          <w:rFonts w:cs="Arial"/>
          <w:szCs w:val="20"/>
          <w:lang w:val="sl-SI"/>
        </w:rPr>
        <w:t xml:space="preserve"> </w:t>
      </w:r>
      <w:r w:rsidR="00F74A2A" w:rsidRPr="00885BD1">
        <w:rPr>
          <w:rFonts w:cs="Arial"/>
          <w:szCs w:val="20"/>
          <w:lang w:val="sl-SI"/>
        </w:rPr>
        <w:t>področje.</w:t>
      </w:r>
      <w:r w:rsidR="00C41763" w:rsidRPr="00885BD1">
        <w:rPr>
          <w:rFonts w:cs="Arial"/>
          <w:szCs w:val="20"/>
          <w:lang w:val="sl-SI"/>
        </w:rPr>
        <w:t xml:space="preserve"> </w:t>
      </w:r>
    </w:p>
    <w:p w14:paraId="09B02682" w14:textId="36C280AB" w:rsidR="00FB3AC2" w:rsidRPr="00885BD1" w:rsidRDefault="00FB3AC2" w:rsidP="00834DA1">
      <w:pPr>
        <w:jc w:val="both"/>
        <w:rPr>
          <w:rFonts w:cs="Arial"/>
          <w:szCs w:val="20"/>
          <w:lang w:val="sl-SI"/>
        </w:rPr>
      </w:pPr>
      <w:r w:rsidRPr="00885BD1">
        <w:rPr>
          <w:rFonts w:cs="Arial"/>
          <w:noProof/>
          <w:szCs w:val="20"/>
          <w:lang w:val="sl-SI" w:eastAsia="sl-SI"/>
        </w:rPr>
        <w:drawing>
          <wp:inline distT="0" distB="0" distL="0" distR="0" wp14:anchorId="4943CA00" wp14:editId="77085C6A">
            <wp:extent cx="2095500" cy="1898759"/>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079" cy="1902002"/>
                    </a:xfrm>
                    <a:prstGeom prst="rect">
                      <a:avLst/>
                    </a:prstGeom>
                    <a:noFill/>
                  </pic:spPr>
                </pic:pic>
              </a:graphicData>
            </a:graphic>
          </wp:inline>
        </w:drawing>
      </w:r>
      <w:r w:rsidRPr="00885BD1">
        <w:rPr>
          <w:rFonts w:cs="Arial"/>
          <w:noProof/>
          <w:szCs w:val="20"/>
          <w:lang w:val="sl-SI" w:eastAsia="sl-SI"/>
        </w:rPr>
        <w:drawing>
          <wp:inline distT="0" distB="0" distL="0" distR="0" wp14:anchorId="5ECEF709" wp14:editId="4C245F16">
            <wp:extent cx="1881817" cy="1798320"/>
            <wp:effectExtent l="0" t="0" r="444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4905" cy="1820383"/>
                    </a:xfrm>
                    <a:prstGeom prst="rect">
                      <a:avLst/>
                    </a:prstGeom>
                    <a:noFill/>
                  </pic:spPr>
                </pic:pic>
              </a:graphicData>
            </a:graphic>
          </wp:inline>
        </w:drawing>
      </w:r>
    </w:p>
    <w:p w14:paraId="77BA5586" w14:textId="77777777" w:rsidR="00FB3AC2" w:rsidRPr="00885BD1" w:rsidRDefault="00FB3AC2" w:rsidP="00FB3AC2">
      <w:pPr>
        <w:jc w:val="both"/>
        <w:rPr>
          <w:rFonts w:cs="Arial"/>
          <w:sz w:val="16"/>
          <w:szCs w:val="16"/>
          <w:lang w:val="sl-SI"/>
        </w:rPr>
      </w:pPr>
      <w:r w:rsidRPr="00885BD1">
        <w:rPr>
          <w:rFonts w:cs="Arial"/>
          <w:sz w:val="16"/>
          <w:szCs w:val="16"/>
          <w:lang w:val="sl-SI"/>
        </w:rPr>
        <w:t xml:space="preserve">Slika 1. Piramida prebivalstva Slovenije, 1.julij 2021    Slika 2. Projekcija piramide prebivalstva Slovenije 2o51 </w:t>
      </w:r>
    </w:p>
    <w:p w14:paraId="6DC1EDD9" w14:textId="1011D0FB" w:rsidR="00FB3AC2" w:rsidRPr="00885BD1" w:rsidRDefault="00FB3AC2" w:rsidP="00FB3AC2">
      <w:pPr>
        <w:jc w:val="both"/>
        <w:rPr>
          <w:rFonts w:cs="Arial"/>
          <w:sz w:val="16"/>
          <w:szCs w:val="16"/>
          <w:lang w:val="sl-SI"/>
        </w:rPr>
      </w:pPr>
      <w:r w:rsidRPr="00885BD1">
        <w:rPr>
          <w:rFonts w:cs="Arial"/>
          <w:sz w:val="16"/>
          <w:szCs w:val="16"/>
          <w:lang w:val="sl-SI"/>
        </w:rPr>
        <w:t xml:space="preserve">             Vir:  Statistični urad RS </w:t>
      </w:r>
      <w:r w:rsidRPr="00885BD1">
        <w:rPr>
          <w:rFonts w:cs="Arial"/>
          <w:sz w:val="16"/>
          <w:szCs w:val="16"/>
          <w:lang w:val="sl-SI"/>
        </w:rPr>
        <w:tab/>
      </w:r>
      <w:r w:rsidRPr="00885BD1">
        <w:rPr>
          <w:rFonts w:cs="Arial"/>
          <w:sz w:val="16"/>
          <w:szCs w:val="16"/>
          <w:lang w:val="sl-SI"/>
        </w:rPr>
        <w:tab/>
      </w:r>
      <w:r w:rsidRPr="00885BD1">
        <w:rPr>
          <w:rFonts w:cs="Arial"/>
          <w:sz w:val="16"/>
          <w:szCs w:val="16"/>
          <w:lang w:val="sl-SI"/>
        </w:rPr>
        <w:tab/>
        <w:t xml:space="preserve"> Vir: Statistični urad RS </w:t>
      </w:r>
      <w:r w:rsidRPr="00885BD1">
        <w:rPr>
          <w:rFonts w:cs="Arial"/>
          <w:sz w:val="16"/>
          <w:szCs w:val="16"/>
          <w:lang w:val="sl-SI"/>
        </w:rPr>
        <w:tab/>
      </w:r>
    </w:p>
    <w:p w14:paraId="168ADBB8" w14:textId="77777777" w:rsidR="00FB3AC2" w:rsidRPr="00885BD1" w:rsidRDefault="00FB3AC2" w:rsidP="00FB3AC2">
      <w:pPr>
        <w:jc w:val="both"/>
        <w:rPr>
          <w:rFonts w:cs="Arial"/>
          <w:sz w:val="16"/>
          <w:szCs w:val="16"/>
          <w:lang w:val="sl-SI"/>
        </w:rPr>
      </w:pPr>
    </w:p>
    <w:p w14:paraId="6DD587ED" w14:textId="77777777" w:rsidR="009200C4" w:rsidRDefault="00731243" w:rsidP="00731243">
      <w:pPr>
        <w:jc w:val="both"/>
        <w:rPr>
          <w:rFonts w:cs="Arial"/>
          <w:szCs w:val="20"/>
          <w:lang w:val="sl-SI"/>
        </w:rPr>
      </w:pPr>
      <w:r w:rsidRPr="00885BD1">
        <w:rPr>
          <w:rFonts w:cs="Arial"/>
          <w:szCs w:val="20"/>
          <w:lang w:val="sl-SI"/>
        </w:rPr>
        <w:t>Poleg demografskih trendov so pomembni podatki o enočlanskem gospodinjstvu v katerem je 2021 živel vsak sedmi prebivalec Slovenije</w:t>
      </w:r>
      <w:r w:rsidRPr="00885BD1">
        <w:rPr>
          <w:rStyle w:val="Sprotnaopomba-sklic"/>
          <w:rFonts w:cs="Arial"/>
          <w:szCs w:val="20"/>
          <w:lang w:val="sl-SI"/>
        </w:rPr>
        <w:footnoteReference w:id="8"/>
      </w:r>
      <w:r w:rsidRPr="00885BD1">
        <w:rPr>
          <w:rFonts w:cs="Arial"/>
          <w:szCs w:val="20"/>
          <w:lang w:val="sl-SI"/>
        </w:rPr>
        <w:t>. Podatek o povečevanju enočlanskih družin v starosti skupini prebivalstva nad 65 let</w:t>
      </w:r>
      <w:r w:rsidR="009200C4">
        <w:rPr>
          <w:rFonts w:cs="Arial"/>
          <w:szCs w:val="20"/>
          <w:lang w:val="sl-SI"/>
        </w:rPr>
        <w:t>,</w:t>
      </w:r>
      <w:r w:rsidRPr="00885BD1">
        <w:rPr>
          <w:rFonts w:cs="Arial"/>
          <w:szCs w:val="20"/>
          <w:lang w:val="sl-SI"/>
        </w:rPr>
        <w:t xml:space="preserve"> </w:t>
      </w:r>
      <w:r w:rsidR="009200C4">
        <w:rPr>
          <w:rFonts w:cs="Arial"/>
          <w:szCs w:val="20"/>
          <w:lang w:val="sl-SI"/>
        </w:rPr>
        <w:t xml:space="preserve">posebej pri ženskah, </w:t>
      </w:r>
      <w:r w:rsidRPr="00885BD1">
        <w:rPr>
          <w:rFonts w:cs="Arial"/>
          <w:szCs w:val="20"/>
          <w:lang w:val="sl-SI"/>
        </w:rPr>
        <w:t>pomembno vpliva na pripravo potrebnih ukrepov in ciljev za zagotavljanje zadostne podpore prebivalcem tako pri preventivnih aktivnostih kot tudi postdiagnostičnih obravnavah za osebe z demenco, ki živijo same</w:t>
      </w:r>
      <w:r w:rsidR="009200C4">
        <w:rPr>
          <w:rFonts w:cs="Arial"/>
          <w:szCs w:val="20"/>
          <w:lang w:val="sl-SI"/>
        </w:rPr>
        <w:t>.</w:t>
      </w:r>
    </w:p>
    <w:p w14:paraId="4843652D" w14:textId="0FEC0DAE" w:rsidR="00FB3AC2" w:rsidRPr="00885BD1" w:rsidRDefault="00FB3AC2" w:rsidP="00731243">
      <w:pPr>
        <w:jc w:val="both"/>
        <w:rPr>
          <w:rFonts w:cs="Arial"/>
          <w:szCs w:val="20"/>
          <w:lang w:val="sl-SI"/>
        </w:rPr>
      </w:pPr>
      <w:r w:rsidRPr="00885BD1">
        <w:rPr>
          <w:rFonts w:cs="Arial"/>
          <w:noProof/>
          <w:szCs w:val="20"/>
          <w:lang w:val="sl-SI" w:eastAsia="sl-SI"/>
        </w:rPr>
        <w:drawing>
          <wp:inline distT="0" distB="0" distL="0" distR="0" wp14:anchorId="021A1365" wp14:editId="3CE3AD22">
            <wp:extent cx="4442460" cy="16002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2944" cy="1603976"/>
                    </a:xfrm>
                    <a:prstGeom prst="rect">
                      <a:avLst/>
                    </a:prstGeom>
                    <a:noFill/>
                  </pic:spPr>
                </pic:pic>
              </a:graphicData>
            </a:graphic>
          </wp:inline>
        </w:drawing>
      </w:r>
    </w:p>
    <w:p w14:paraId="6A5F3A68" w14:textId="7F476BBD" w:rsidR="0008243B" w:rsidRDefault="0008243B" w:rsidP="00834DA1">
      <w:pPr>
        <w:jc w:val="both"/>
        <w:rPr>
          <w:rFonts w:cs="Arial"/>
          <w:sz w:val="16"/>
          <w:szCs w:val="16"/>
          <w:lang w:val="sl-SI"/>
        </w:rPr>
      </w:pPr>
      <w:r>
        <w:rPr>
          <w:rFonts w:cs="Arial"/>
          <w:sz w:val="16"/>
          <w:szCs w:val="16"/>
          <w:lang w:val="sl-SI"/>
        </w:rPr>
        <w:t>Slika</w:t>
      </w:r>
      <w:r w:rsidR="004B5999">
        <w:rPr>
          <w:rFonts w:cs="Arial"/>
          <w:sz w:val="16"/>
          <w:szCs w:val="16"/>
          <w:lang w:val="sl-SI"/>
        </w:rPr>
        <w:t xml:space="preserve"> </w:t>
      </w:r>
      <w:r>
        <w:rPr>
          <w:rFonts w:cs="Arial"/>
          <w:sz w:val="16"/>
          <w:szCs w:val="16"/>
          <w:lang w:val="sl-SI"/>
        </w:rPr>
        <w:t>3. enočlanske družine v Sloveniji</w:t>
      </w:r>
    </w:p>
    <w:p w14:paraId="50787FDF" w14:textId="0296B30A" w:rsidR="00834DA1" w:rsidRPr="00885BD1" w:rsidRDefault="00FB3AC2" w:rsidP="00834DA1">
      <w:pPr>
        <w:jc w:val="both"/>
        <w:rPr>
          <w:rFonts w:cs="Arial"/>
          <w:sz w:val="16"/>
          <w:szCs w:val="16"/>
          <w:lang w:val="sl-SI"/>
        </w:rPr>
      </w:pPr>
      <w:r w:rsidRPr="00885BD1">
        <w:rPr>
          <w:rFonts w:cs="Arial"/>
          <w:sz w:val="16"/>
          <w:szCs w:val="16"/>
          <w:lang w:val="sl-SI"/>
        </w:rPr>
        <w:t>Vir: Statistični urad Republike Slovenije</w:t>
      </w:r>
      <w:r w:rsidRPr="00885BD1">
        <w:rPr>
          <w:rStyle w:val="Sprotnaopomba-sklic"/>
          <w:rFonts w:cs="Arial"/>
          <w:sz w:val="16"/>
          <w:szCs w:val="16"/>
          <w:lang w:val="sl-SI"/>
        </w:rPr>
        <w:footnoteReference w:id="9"/>
      </w:r>
    </w:p>
    <w:p w14:paraId="2E532A26" w14:textId="404FA9F7" w:rsidR="00C46D33" w:rsidRPr="00885BD1" w:rsidRDefault="00C46D33" w:rsidP="00C46D33">
      <w:pPr>
        <w:jc w:val="both"/>
        <w:rPr>
          <w:rFonts w:cs="Arial"/>
          <w:szCs w:val="20"/>
          <w:lang w:val="sl-SI"/>
        </w:rPr>
      </w:pPr>
      <w:r w:rsidRPr="00885BD1">
        <w:rPr>
          <w:rFonts w:cs="Arial"/>
          <w:szCs w:val="20"/>
          <w:lang w:val="sl-SI"/>
        </w:rPr>
        <w:lastRenderedPageBreak/>
        <w:t xml:space="preserve">Podatki za incidenco in prevalenco demence so </w:t>
      </w:r>
      <w:r w:rsidRPr="004C2406">
        <w:rPr>
          <w:rFonts w:cs="Arial"/>
          <w:szCs w:val="20"/>
          <w:lang w:val="sl-SI"/>
        </w:rPr>
        <w:t xml:space="preserve">pomanjkljivi. </w:t>
      </w:r>
      <w:r w:rsidR="00FA7BD1" w:rsidRPr="004C2406">
        <w:rPr>
          <w:rFonts w:cs="Arial"/>
          <w:szCs w:val="20"/>
          <w:lang w:val="sl-SI"/>
        </w:rPr>
        <w:t>Statistični podatki kažejo, da</w:t>
      </w:r>
      <w:r w:rsidR="00FA7BD1" w:rsidRPr="00885BD1">
        <w:rPr>
          <w:rFonts w:cs="Arial"/>
          <w:szCs w:val="20"/>
          <w:lang w:val="sl-SI"/>
        </w:rPr>
        <w:t xml:space="preserve"> je v skupini ljudi, ki imajo diagnosticirano demenco, starih od 30 let in vse do 95 let, 22.711 žensk in 9.324 moških</w:t>
      </w:r>
      <w:r w:rsidR="00FA7BD1" w:rsidRPr="00885BD1">
        <w:rPr>
          <w:rStyle w:val="Sprotnaopomba-sklic"/>
          <w:rFonts w:cs="Arial"/>
          <w:szCs w:val="20"/>
          <w:lang w:val="sl-SI"/>
        </w:rPr>
        <w:footnoteReference w:id="10"/>
      </w:r>
      <w:r w:rsidR="00FA7BD1" w:rsidRPr="00885BD1">
        <w:rPr>
          <w:rFonts w:cs="Arial"/>
          <w:szCs w:val="20"/>
          <w:lang w:val="sl-SI"/>
        </w:rPr>
        <w:t xml:space="preserve">. </w:t>
      </w:r>
      <w:r w:rsidRPr="00885BD1">
        <w:rPr>
          <w:rFonts w:cs="Arial"/>
          <w:szCs w:val="20"/>
          <w:lang w:val="sl-SI"/>
        </w:rPr>
        <w:t xml:space="preserve">Ocenjuje se, da je bilo </w:t>
      </w:r>
      <w:r w:rsidRPr="00885BD1">
        <w:rPr>
          <w:lang w:val="sl-SI"/>
        </w:rPr>
        <w:t xml:space="preserve">v letu 2019 </w:t>
      </w:r>
      <w:r w:rsidRPr="00885BD1">
        <w:rPr>
          <w:rFonts w:cs="Arial"/>
          <w:szCs w:val="20"/>
          <w:lang w:val="sl-SI"/>
        </w:rPr>
        <w:t>v Sloveniji okoli 43.038 oseb z demenco</w:t>
      </w:r>
      <w:r w:rsidRPr="00885BD1">
        <w:rPr>
          <w:rStyle w:val="Sprotnaopomba-sklic"/>
          <w:rFonts w:cs="Arial"/>
          <w:szCs w:val="20"/>
          <w:lang w:val="sl-SI"/>
        </w:rPr>
        <w:footnoteReference w:id="11"/>
      </w:r>
      <w:r w:rsidRPr="00885BD1">
        <w:rPr>
          <w:rFonts w:cs="Arial"/>
          <w:szCs w:val="20"/>
          <w:lang w:val="sl-SI"/>
        </w:rPr>
        <w:t>, število pa naj bi se zaradi demografskih trendov podvojilo do leta 2035. Za vsakega obolelega skrbijo tri osebe</w:t>
      </w:r>
      <w:r w:rsidR="00D12D8A" w:rsidRPr="00885BD1">
        <w:rPr>
          <w:rFonts w:cs="Arial"/>
          <w:szCs w:val="20"/>
          <w:lang w:val="sl-SI"/>
        </w:rPr>
        <w:t>, zato je posredno prizadetih še približno 150.000 svojcev, prijateljev in ostalih, ki skrbijo za osebe z demenco</w:t>
      </w:r>
      <w:r w:rsidRPr="00885BD1">
        <w:rPr>
          <w:rStyle w:val="Sprotnaopomba-sklic"/>
          <w:rFonts w:cs="Arial"/>
          <w:szCs w:val="20"/>
          <w:lang w:val="sl-SI"/>
        </w:rPr>
        <w:footnoteReference w:id="12"/>
      </w:r>
      <w:r w:rsidRPr="00885BD1">
        <w:rPr>
          <w:rFonts w:cs="Arial"/>
          <w:szCs w:val="20"/>
          <w:lang w:val="sl-SI"/>
        </w:rPr>
        <w:t xml:space="preserve">. </w:t>
      </w:r>
    </w:p>
    <w:p w14:paraId="07F71E54" w14:textId="77777777" w:rsidR="00C46D33" w:rsidRPr="00885BD1" w:rsidRDefault="00C46D33" w:rsidP="00834DA1">
      <w:pPr>
        <w:jc w:val="both"/>
        <w:rPr>
          <w:rFonts w:cs="Arial"/>
          <w:szCs w:val="20"/>
          <w:lang w:val="sl-SI"/>
        </w:rPr>
      </w:pPr>
    </w:p>
    <w:p w14:paraId="4591D6A7" w14:textId="0868827A" w:rsidR="00FA7BD1" w:rsidRPr="00885BD1" w:rsidRDefault="00C82654" w:rsidP="00C7736E">
      <w:pPr>
        <w:jc w:val="both"/>
        <w:rPr>
          <w:rFonts w:cs="Arial"/>
          <w:szCs w:val="20"/>
          <w:lang w:val="sl-SI"/>
        </w:rPr>
      </w:pPr>
      <w:r w:rsidRPr="004E577C">
        <w:rPr>
          <w:rFonts w:cs="Arial"/>
          <w:szCs w:val="20"/>
          <w:lang w:val="sl-SI"/>
        </w:rPr>
        <w:t xml:space="preserve">Učinkovito zdravljenje pridruženih bolezni preprečujejo razvij demence, znani pa so tudi dejavniki tveganja, ki so odvisni od posameznikovega okolja in življenjskega stila. </w:t>
      </w:r>
      <w:r w:rsidR="00FA7BD1" w:rsidRPr="004E577C">
        <w:rPr>
          <w:rFonts w:cs="Arial"/>
          <w:szCs w:val="20"/>
          <w:lang w:val="sl-SI"/>
        </w:rPr>
        <w:t>Med zaščitne dejavnike za demenco sodi skrb za telesno zdravje in kondicijo s fizičnimi in mentalnimi dejavnostmi,</w:t>
      </w:r>
      <w:r w:rsidR="00FA7BD1" w:rsidRPr="00885BD1">
        <w:rPr>
          <w:rFonts w:cs="Arial"/>
          <w:szCs w:val="20"/>
          <w:lang w:val="sl-SI"/>
        </w:rPr>
        <w:t xml:space="preserve"> uspešno prilagajanje na spremembe in stresne situacije, dejavno družabno življenje in vpetost v dejavnosti, ki se starejšim zdijo pomembne in jih veselijo (</w:t>
      </w:r>
      <w:r w:rsidR="0067024C">
        <w:rPr>
          <w:rFonts w:cs="Arial"/>
          <w:szCs w:val="20"/>
          <w:lang w:val="sl-SI"/>
        </w:rPr>
        <w:t>prostočasne aktivnosti</w:t>
      </w:r>
      <w:r w:rsidR="00FA7BD1" w:rsidRPr="00885BD1">
        <w:rPr>
          <w:rFonts w:cs="Arial"/>
          <w:szCs w:val="20"/>
          <w:lang w:val="sl-SI"/>
        </w:rPr>
        <w:t>, prostovoljno delo, izobraževanje, varovanje vnukov ipd.).</w:t>
      </w:r>
    </w:p>
    <w:p w14:paraId="0A2127E2" w14:textId="77777777" w:rsidR="00C46D33" w:rsidRPr="00885BD1" w:rsidRDefault="00C46D33" w:rsidP="00C46D33">
      <w:pPr>
        <w:jc w:val="both"/>
        <w:rPr>
          <w:rFonts w:cs="Arial"/>
          <w:szCs w:val="20"/>
          <w:lang w:val="sl-SI"/>
        </w:rPr>
      </w:pPr>
    </w:p>
    <w:p w14:paraId="17842CF0" w14:textId="6B592AA6" w:rsidR="006E27BE" w:rsidRPr="00885BD1" w:rsidRDefault="006E27BE" w:rsidP="00C46D33">
      <w:pPr>
        <w:jc w:val="both"/>
        <w:rPr>
          <w:lang w:val="sl-SI" w:eastAsia="sl-SI"/>
        </w:rPr>
      </w:pPr>
      <w:r w:rsidRPr="00885BD1">
        <w:rPr>
          <w:rFonts w:cs="Arial"/>
          <w:szCs w:val="20"/>
          <w:lang w:val="sl-SI"/>
        </w:rPr>
        <w:t>V Sloveniji obstajajo velike regijske razlike v dostopnosti do zdravstvenih storitev za osebe z demenco, primarna zdravstvena raven je podhranjena, število družinskih zdravnikov, kliničnih psihologov, psihiatrov in nevrologov ne zadošča za potrebe prebivalstva, gerontologija se šele vzpostavlja</w:t>
      </w:r>
      <w:r w:rsidR="00FA7BD1" w:rsidRPr="00885BD1">
        <w:rPr>
          <w:rFonts w:cs="Arial"/>
          <w:szCs w:val="20"/>
          <w:lang w:val="sl-SI"/>
        </w:rPr>
        <w:t>,</w:t>
      </w:r>
      <w:r w:rsidR="00A964C4" w:rsidRPr="00885BD1">
        <w:rPr>
          <w:rFonts w:cs="Arial"/>
          <w:szCs w:val="20"/>
          <w:lang w:val="sl-SI"/>
        </w:rPr>
        <w:t xml:space="preserve"> tudi</w:t>
      </w:r>
      <w:r w:rsidR="00FA7BD1" w:rsidRPr="00885BD1">
        <w:rPr>
          <w:rFonts w:cs="Arial"/>
          <w:szCs w:val="20"/>
          <w:lang w:val="sl-SI"/>
        </w:rPr>
        <w:t xml:space="preserve"> </w:t>
      </w:r>
      <w:r w:rsidR="00CE1F51" w:rsidRPr="00885BD1">
        <w:rPr>
          <w:rFonts w:cs="Arial"/>
          <w:szCs w:val="20"/>
          <w:lang w:val="sl-SI"/>
        </w:rPr>
        <w:t xml:space="preserve">ustrezno razvite integrirane obravnave v skupnosti </w:t>
      </w:r>
      <w:r w:rsidR="00CE1F51">
        <w:rPr>
          <w:rFonts w:cs="Arial"/>
          <w:szCs w:val="20"/>
          <w:lang w:val="sl-SI"/>
        </w:rPr>
        <w:t xml:space="preserve">še </w:t>
      </w:r>
      <w:r w:rsidR="00FA7BD1" w:rsidRPr="00885BD1">
        <w:rPr>
          <w:rFonts w:cs="Arial"/>
          <w:szCs w:val="20"/>
          <w:lang w:val="sl-SI"/>
        </w:rPr>
        <w:t>nimamo</w:t>
      </w:r>
      <w:r w:rsidR="00A964C4" w:rsidRPr="00885BD1">
        <w:rPr>
          <w:rFonts w:cs="Arial"/>
          <w:szCs w:val="20"/>
          <w:lang w:val="sl-SI"/>
        </w:rPr>
        <w:t>.</w:t>
      </w:r>
      <w:r w:rsidRPr="00885BD1">
        <w:rPr>
          <w:rFonts w:cs="Arial"/>
          <w:szCs w:val="20"/>
          <w:lang w:val="sl-SI"/>
        </w:rPr>
        <w:t xml:space="preserve"> </w:t>
      </w:r>
      <w:r w:rsidR="00150261" w:rsidRPr="00885BD1">
        <w:rPr>
          <w:lang w:val="sl-SI" w:eastAsia="sl-SI"/>
        </w:rPr>
        <w:t>Zgodnja diagnoza zagotavlja osebi z demenco in njegovim svojcem ustrezen pristop in pravilno ravnanje ob soočanju z boleznijo, zlasti pa omogoči načrtovanje prihodnosti.</w:t>
      </w:r>
    </w:p>
    <w:p w14:paraId="658601E1" w14:textId="77777777" w:rsidR="00F74A2A" w:rsidRPr="00885BD1" w:rsidRDefault="00F74A2A" w:rsidP="00F74A2A">
      <w:pPr>
        <w:jc w:val="both"/>
        <w:rPr>
          <w:rFonts w:cs="Arial"/>
          <w:szCs w:val="20"/>
          <w:lang w:val="sl-SI"/>
        </w:rPr>
      </w:pPr>
    </w:p>
    <w:p w14:paraId="761740C1" w14:textId="2697EC33" w:rsidR="00A93024" w:rsidRPr="00885BD1" w:rsidRDefault="00C46D33" w:rsidP="004F15D0">
      <w:pPr>
        <w:jc w:val="both"/>
        <w:rPr>
          <w:rFonts w:cs="Arial"/>
          <w:szCs w:val="20"/>
          <w:lang w:val="sl-SI"/>
        </w:rPr>
      </w:pPr>
      <w:r w:rsidRPr="00885BD1">
        <w:rPr>
          <w:rFonts w:cs="Arial"/>
          <w:szCs w:val="20"/>
          <w:lang w:val="sl-SI"/>
        </w:rPr>
        <w:t xml:space="preserve">Stigma je dejavnik, ki ovira obvladovanje demence in vpliva na slabšo kakovost življenja oseb z demenco. </w:t>
      </w:r>
      <w:r w:rsidR="0065540A" w:rsidRPr="00885BD1">
        <w:rPr>
          <w:rFonts w:cs="Arial"/>
          <w:szCs w:val="20"/>
          <w:lang w:val="sl-SI"/>
        </w:rPr>
        <w:t xml:space="preserve">V družbi je še vedno močno prisotna stigma demence, kar vpliva na čas diagnoze, življenje obolelega in bližnjih ter tudi na finančni strošek družbe. Več mednarodnih dokumentov nas zavezuje k zagotavljanju pravic, dostojanstva in avtonomije posameznikov z demenco. </w:t>
      </w:r>
    </w:p>
    <w:p w14:paraId="52E307EF" w14:textId="77777777" w:rsidR="00A93024" w:rsidRPr="00885BD1" w:rsidRDefault="00A93024" w:rsidP="004F15D0">
      <w:pPr>
        <w:jc w:val="both"/>
        <w:rPr>
          <w:rFonts w:cs="Arial"/>
          <w:szCs w:val="20"/>
          <w:lang w:val="sl-SI"/>
        </w:rPr>
      </w:pPr>
    </w:p>
    <w:p w14:paraId="5439A3A4" w14:textId="2D4D1700" w:rsidR="00A964C4" w:rsidRPr="00885BD1" w:rsidRDefault="00A93024" w:rsidP="004F15D0">
      <w:pPr>
        <w:jc w:val="both"/>
        <w:rPr>
          <w:rFonts w:cs="Arial"/>
          <w:szCs w:val="20"/>
          <w:lang w:val="sl-SI"/>
        </w:rPr>
      </w:pPr>
      <w:r w:rsidRPr="00885BD1">
        <w:rPr>
          <w:rFonts w:cs="Arial"/>
          <w:szCs w:val="20"/>
          <w:lang w:val="sl-SI"/>
        </w:rPr>
        <w:t>Za razvoj demenci prijaznega okolja moramo izboljšati medsektorsko sodelovanje ter vključiti v načrtovanje in izvajanje ukrepov tudi osebe z demenco, njihove svojce, nevladne organizacije in druge deležnike v lokalnem okolju.</w:t>
      </w:r>
    </w:p>
    <w:p w14:paraId="017836DE" w14:textId="77777777" w:rsidR="00A93024" w:rsidRPr="00885BD1" w:rsidRDefault="00A93024" w:rsidP="004F15D0">
      <w:pPr>
        <w:jc w:val="both"/>
        <w:rPr>
          <w:rFonts w:cs="Arial"/>
          <w:szCs w:val="20"/>
          <w:lang w:val="sl-SI"/>
        </w:rPr>
      </w:pPr>
    </w:p>
    <w:p w14:paraId="53F0F238" w14:textId="55C914B1" w:rsidR="00A964C4" w:rsidRPr="00885BD1" w:rsidRDefault="00A964C4" w:rsidP="004F15D0">
      <w:pPr>
        <w:jc w:val="both"/>
        <w:rPr>
          <w:rFonts w:cs="Arial"/>
          <w:szCs w:val="20"/>
          <w:lang w:val="sl-SI"/>
        </w:rPr>
      </w:pPr>
      <w:r w:rsidRPr="00885BD1">
        <w:rPr>
          <w:rFonts w:cs="Arial"/>
          <w:szCs w:val="20"/>
          <w:lang w:val="sl-SI"/>
        </w:rPr>
        <w:t xml:space="preserve">V skladu s priporočili </w:t>
      </w:r>
      <w:r w:rsidR="00CA3C17" w:rsidRPr="00885BD1">
        <w:rPr>
          <w:rFonts w:cs="Arial"/>
          <w:szCs w:val="20"/>
          <w:lang w:val="sl-SI"/>
        </w:rPr>
        <w:t>SZO</w:t>
      </w:r>
      <w:r w:rsidRPr="00885BD1">
        <w:rPr>
          <w:rFonts w:cs="Arial"/>
          <w:szCs w:val="20"/>
          <w:lang w:val="sl-SI"/>
        </w:rPr>
        <w:t xml:space="preserve"> Strategija določa ukrepe na naslednjih področjih: </w:t>
      </w:r>
    </w:p>
    <w:p w14:paraId="428D571E" w14:textId="4BCF2D4D" w:rsidR="00A964C4" w:rsidRPr="00885BD1" w:rsidRDefault="00A964C4" w:rsidP="004C2406">
      <w:pPr>
        <w:pStyle w:val="Odstavekseznama"/>
        <w:numPr>
          <w:ilvl w:val="0"/>
          <w:numId w:val="12"/>
        </w:numPr>
        <w:jc w:val="both"/>
        <w:rPr>
          <w:rFonts w:ascii="Arial" w:hAnsi="Arial" w:cs="Arial"/>
          <w:sz w:val="20"/>
          <w:szCs w:val="20"/>
        </w:rPr>
      </w:pPr>
      <w:r w:rsidRPr="00885BD1">
        <w:rPr>
          <w:rFonts w:ascii="Arial" w:hAnsi="Arial" w:cs="Arial"/>
          <w:sz w:val="20"/>
          <w:szCs w:val="20"/>
        </w:rPr>
        <w:t>Demenca kot prednostno področje javnega zdravstva</w:t>
      </w:r>
    </w:p>
    <w:p w14:paraId="6609C5BA" w14:textId="39CCBB67" w:rsidR="00A964C4" w:rsidRPr="00885BD1" w:rsidRDefault="00F22F09" w:rsidP="004C2406">
      <w:pPr>
        <w:pStyle w:val="Odstavekseznama"/>
        <w:numPr>
          <w:ilvl w:val="0"/>
          <w:numId w:val="12"/>
        </w:numPr>
        <w:jc w:val="both"/>
        <w:rPr>
          <w:rFonts w:ascii="Arial" w:hAnsi="Arial" w:cs="Arial"/>
          <w:sz w:val="20"/>
          <w:szCs w:val="20"/>
        </w:rPr>
      </w:pPr>
      <w:r>
        <w:rPr>
          <w:rFonts w:ascii="Arial" w:hAnsi="Arial" w:cs="Arial"/>
          <w:sz w:val="20"/>
          <w:szCs w:val="20"/>
        </w:rPr>
        <w:t>O</w:t>
      </w:r>
      <w:r w:rsidR="002B3EC5" w:rsidRPr="00885BD1">
        <w:rPr>
          <w:rFonts w:ascii="Arial" w:hAnsi="Arial" w:cs="Arial"/>
          <w:sz w:val="20"/>
          <w:szCs w:val="20"/>
        </w:rPr>
        <w:t>sve</w:t>
      </w:r>
      <w:r w:rsidR="00A964C4" w:rsidRPr="00885BD1">
        <w:rPr>
          <w:rFonts w:ascii="Arial" w:hAnsi="Arial" w:cs="Arial"/>
          <w:sz w:val="20"/>
          <w:szCs w:val="20"/>
        </w:rPr>
        <w:t>ščanje javnosti o demenci in vzpostavljanje demenci prijaznih okolij</w:t>
      </w:r>
    </w:p>
    <w:p w14:paraId="5164D810" w14:textId="742DA798" w:rsidR="00A964C4" w:rsidRPr="00885BD1" w:rsidRDefault="00A964C4" w:rsidP="004C2406">
      <w:pPr>
        <w:pStyle w:val="Odstavekseznama"/>
        <w:numPr>
          <w:ilvl w:val="0"/>
          <w:numId w:val="12"/>
        </w:numPr>
        <w:jc w:val="both"/>
        <w:rPr>
          <w:rFonts w:ascii="Arial" w:hAnsi="Arial" w:cs="Arial"/>
          <w:sz w:val="20"/>
          <w:szCs w:val="20"/>
        </w:rPr>
      </w:pPr>
      <w:r w:rsidRPr="00885BD1">
        <w:rPr>
          <w:rFonts w:ascii="Arial" w:hAnsi="Arial" w:cs="Arial"/>
          <w:sz w:val="20"/>
          <w:szCs w:val="20"/>
        </w:rPr>
        <w:t>Zmanjševanje dejavnikov tveganja za demenco</w:t>
      </w:r>
    </w:p>
    <w:p w14:paraId="1683763F" w14:textId="15E0D610" w:rsidR="00A964C4" w:rsidRPr="00885BD1" w:rsidRDefault="00A964C4" w:rsidP="004C2406">
      <w:pPr>
        <w:pStyle w:val="Odstavekseznama"/>
        <w:numPr>
          <w:ilvl w:val="0"/>
          <w:numId w:val="12"/>
        </w:numPr>
        <w:jc w:val="both"/>
        <w:rPr>
          <w:rFonts w:ascii="Arial" w:hAnsi="Arial" w:cs="Arial"/>
          <w:sz w:val="20"/>
          <w:szCs w:val="20"/>
        </w:rPr>
      </w:pPr>
      <w:r w:rsidRPr="00885BD1">
        <w:rPr>
          <w:rFonts w:ascii="Arial" w:hAnsi="Arial" w:cs="Arial"/>
          <w:sz w:val="20"/>
          <w:szCs w:val="20"/>
        </w:rPr>
        <w:t>Dostop do zgodnje diagnoze in postdiagnostične obravnave</w:t>
      </w:r>
    </w:p>
    <w:p w14:paraId="6D80D15E" w14:textId="7CA26813" w:rsidR="00A964C4" w:rsidRPr="00885BD1" w:rsidRDefault="00A964C4" w:rsidP="004C2406">
      <w:pPr>
        <w:pStyle w:val="Odstavekseznama"/>
        <w:numPr>
          <w:ilvl w:val="0"/>
          <w:numId w:val="12"/>
        </w:numPr>
        <w:jc w:val="both"/>
        <w:rPr>
          <w:rFonts w:ascii="Arial" w:hAnsi="Arial" w:cs="Arial"/>
          <w:sz w:val="20"/>
          <w:szCs w:val="20"/>
        </w:rPr>
      </w:pPr>
      <w:r w:rsidRPr="00885BD1">
        <w:rPr>
          <w:rFonts w:ascii="Arial" w:hAnsi="Arial" w:cs="Arial"/>
          <w:sz w:val="20"/>
          <w:szCs w:val="20"/>
        </w:rPr>
        <w:t xml:space="preserve">Podpora </w:t>
      </w:r>
      <w:r w:rsidR="001E00E2" w:rsidRPr="00885BD1">
        <w:rPr>
          <w:rFonts w:ascii="Arial" w:hAnsi="Arial" w:cs="Arial"/>
          <w:sz w:val="20"/>
          <w:szCs w:val="20"/>
        </w:rPr>
        <w:t xml:space="preserve">in izobraževanje </w:t>
      </w:r>
      <w:r w:rsidRPr="00885BD1">
        <w:rPr>
          <w:rFonts w:ascii="Arial" w:hAnsi="Arial" w:cs="Arial"/>
          <w:sz w:val="20"/>
          <w:szCs w:val="20"/>
        </w:rPr>
        <w:t>svojce</w:t>
      </w:r>
      <w:r w:rsidR="001E00E2" w:rsidRPr="00885BD1">
        <w:rPr>
          <w:rFonts w:ascii="Arial" w:hAnsi="Arial" w:cs="Arial"/>
          <w:sz w:val="20"/>
          <w:szCs w:val="20"/>
        </w:rPr>
        <w:t>v in drugih neformalnih skrbnikov oseb z demenco</w:t>
      </w:r>
    </w:p>
    <w:p w14:paraId="6CCAC561" w14:textId="7BDD8A48" w:rsidR="001E00E2" w:rsidRPr="00885BD1" w:rsidRDefault="001E00E2" w:rsidP="004C2406">
      <w:pPr>
        <w:pStyle w:val="Odstavekseznama"/>
        <w:numPr>
          <w:ilvl w:val="0"/>
          <w:numId w:val="12"/>
        </w:numPr>
        <w:jc w:val="both"/>
        <w:rPr>
          <w:rFonts w:ascii="Arial" w:hAnsi="Arial" w:cs="Arial"/>
          <w:sz w:val="20"/>
          <w:szCs w:val="20"/>
        </w:rPr>
      </w:pPr>
      <w:r w:rsidRPr="00885BD1">
        <w:rPr>
          <w:rFonts w:ascii="Arial" w:hAnsi="Arial" w:cs="Arial"/>
          <w:sz w:val="20"/>
          <w:szCs w:val="20"/>
        </w:rPr>
        <w:t>Informacijski sistem za področje demence</w:t>
      </w:r>
    </w:p>
    <w:p w14:paraId="7D0EEFBA" w14:textId="5D97BBAD" w:rsidR="00A93024" w:rsidRPr="00885BD1" w:rsidRDefault="00A93024" w:rsidP="004C2406">
      <w:pPr>
        <w:pStyle w:val="Odstavekseznama"/>
        <w:numPr>
          <w:ilvl w:val="0"/>
          <w:numId w:val="12"/>
        </w:numPr>
        <w:jc w:val="both"/>
        <w:rPr>
          <w:rFonts w:ascii="Arial" w:hAnsi="Arial" w:cs="Arial"/>
          <w:sz w:val="20"/>
          <w:szCs w:val="20"/>
        </w:rPr>
      </w:pPr>
      <w:r w:rsidRPr="00885BD1">
        <w:rPr>
          <w:rFonts w:ascii="Arial" w:hAnsi="Arial" w:cs="Arial"/>
          <w:sz w:val="20"/>
          <w:szCs w:val="20"/>
        </w:rPr>
        <w:t>Raziskave in inovativni pristopi</w:t>
      </w:r>
    </w:p>
    <w:p w14:paraId="54E09796" w14:textId="77777777" w:rsidR="000C3F29" w:rsidRPr="00885BD1" w:rsidRDefault="000C3F29" w:rsidP="00C62E69">
      <w:pPr>
        <w:ind w:left="360"/>
        <w:jc w:val="both"/>
        <w:rPr>
          <w:rFonts w:cs="Arial"/>
          <w:szCs w:val="20"/>
          <w:lang w:val="sl-SI"/>
        </w:rPr>
      </w:pPr>
    </w:p>
    <w:p w14:paraId="4FD15263" w14:textId="719BCC64" w:rsidR="001E00E2" w:rsidRPr="00885BD1" w:rsidRDefault="00A93024" w:rsidP="00A93024">
      <w:pPr>
        <w:jc w:val="both"/>
        <w:rPr>
          <w:rFonts w:cs="Arial"/>
          <w:szCs w:val="20"/>
          <w:lang w:val="sl-SI"/>
        </w:rPr>
      </w:pPr>
      <w:r w:rsidRPr="00885BD1">
        <w:rPr>
          <w:rFonts w:cs="Arial"/>
          <w:szCs w:val="20"/>
          <w:lang w:val="sl-SI"/>
        </w:rPr>
        <w:t xml:space="preserve">Za doseganje ciljev </w:t>
      </w:r>
      <w:r w:rsidR="000C3F29" w:rsidRPr="00885BD1">
        <w:rPr>
          <w:rFonts w:cs="Arial"/>
          <w:szCs w:val="20"/>
          <w:lang w:val="sl-SI"/>
        </w:rPr>
        <w:t>Strategija določa vrsto ukrepov na zgoraj navedenih področjih, s katerimi dopolnjuje druge nacionalne strategije (zlasti na področju zdravstva</w:t>
      </w:r>
      <w:r w:rsidR="00F31FA3">
        <w:rPr>
          <w:rFonts w:cs="Arial"/>
          <w:szCs w:val="20"/>
          <w:lang w:val="sl-SI"/>
        </w:rPr>
        <w:t>, dolgotrajne oskrbe</w:t>
      </w:r>
      <w:r w:rsidR="000C3F29" w:rsidRPr="00885BD1">
        <w:rPr>
          <w:rFonts w:cs="Arial"/>
          <w:szCs w:val="20"/>
          <w:lang w:val="sl-SI"/>
        </w:rPr>
        <w:t xml:space="preserve"> in socialnega varstva)</w:t>
      </w:r>
      <w:r w:rsidR="00AA303A" w:rsidRPr="00885BD1">
        <w:rPr>
          <w:rFonts w:cs="Arial"/>
          <w:szCs w:val="20"/>
          <w:lang w:val="sl-SI"/>
        </w:rPr>
        <w:t>,</w:t>
      </w:r>
      <w:r w:rsidR="000C3F29" w:rsidRPr="00885BD1">
        <w:rPr>
          <w:rFonts w:cs="Arial"/>
          <w:szCs w:val="20"/>
          <w:lang w:val="sl-SI"/>
        </w:rPr>
        <w:t xml:space="preserve"> opredeljuje nosilce, kazalnike, finančne vire in roke</w:t>
      </w:r>
      <w:r w:rsidRPr="00885BD1">
        <w:rPr>
          <w:rFonts w:cs="Arial"/>
          <w:szCs w:val="20"/>
          <w:lang w:val="sl-SI"/>
        </w:rPr>
        <w:t xml:space="preserve">. Strategija določa </w:t>
      </w:r>
      <w:r w:rsidR="00AA303A" w:rsidRPr="00885BD1">
        <w:rPr>
          <w:rFonts w:cs="Arial"/>
          <w:szCs w:val="20"/>
          <w:lang w:val="sl-SI"/>
        </w:rPr>
        <w:t>v</w:t>
      </w:r>
      <w:r w:rsidR="001949D7" w:rsidRPr="00885BD1">
        <w:rPr>
          <w:rFonts w:cs="Arial"/>
          <w:szCs w:val="20"/>
          <w:lang w:val="sl-SI"/>
        </w:rPr>
        <w:t>zpostav</w:t>
      </w:r>
      <w:r w:rsidR="00AA303A" w:rsidRPr="00885BD1">
        <w:rPr>
          <w:rFonts w:cs="Arial"/>
          <w:szCs w:val="20"/>
          <w:lang w:val="sl-SI"/>
        </w:rPr>
        <w:t>itev</w:t>
      </w:r>
      <w:r w:rsidR="001949D7" w:rsidRPr="00885BD1">
        <w:rPr>
          <w:rFonts w:cs="Arial"/>
          <w:szCs w:val="20"/>
          <w:lang w:val="sl-SI"/>
        </w:rPr>
        <w:t xml:space="preserve"> nosilce</w:t>
      </w:r>
      <w:r w:rsidR="00AA303A" w:rsidRPr="00885BD1">
        <w:rPr>
          <w:rFonts w:cs="Arial"/>
          <w:szCs w:val="20"/>
          <w:lang w:val="sl-SI"/>
        </w:rPr>
        <w:t>v</w:t>
      </w:r>
      <w:r w:rsidR="001949D7" w:rsidRPr="00885BD1">
        <w:rPr>
          <w:rFonts w:cs="Arial"/>
          <w:szCs w:val="20"/>
          <w:lang w:val="sl-SI"/>
        </w:rPr>
        <w:t xml:space="preserve"> za vodenje, koordinacijo in evalvacijo </w:t>
      </w:r>
      <w:r w:rsidR="00AA303A" w:rsidRPr="00885BD1">
        <w:rPr>
          <w:rFonts w:cs="Arial"/>
          <w:szCs w:val="20"/>
          <w:lang w:val="sl-SI"/>
        </w:rPr>
        <w:t>realizacije ciljev</w:t>
      </w:r>
      <w:r w:rsidR="001949D7" w:rsidRPr="00885BD1">
        <w:rPr>
          <w:rFonts w:cs="Arial"/>
          <w:szCs w:val="20"/>
          <w:lang w:val="sl-SI"/>
        </w:rPr>
        <w:t>, ki bodo vplivali na razvoj področja obvladovanja demence v Sloveniji.</w:t>
      </w:r>
    </w:p>
    <w:p w14:paraId="05C0C6D8" w14:textId="77777777" w:rsidR="00C62E69" w:rsidRPr="00885BD1" w:rsidRDefault="00C62E69" w:rsidP="00C62E69">
      <w:pPr>
        <w:jc w:val="both"/>
        <w:rPr>
          <w:rFonts w:cs="Arial"/>
          <w:szCs w:val="20"/>
          <w:lang w:val="sl-SI"/>
        </w:rPr>
      </w:pPr>
    </w:p>
    <w:p w14:paraId="2E867981" w14:textId="28181337" w:rsidR="007E511C" w:rsidRPr="00885BD1" w:rsidRDefault="00B86F84" w:rsidP="00E546B0">
      <w:pPr>
        <w:pStyle w:val="Naslov1"/>
        <w:rPr>
          <w:rStyle w:val="Intenzivenpoudarek"/>
          <w:i w:val="0"/>
          <w:iCs w:val="0"/>
          <w:color w:val="2F5496" w:themeColor="accent1" w:themeShade="BF"/>
        </w:rPr>
      </w:pPr>
      <w:bookmarkStart w:id="11" w:name="_Toc117692277"/>
      <w:r w:rsidRPr="00885BD1">
        <w:rPr>
          <w:rStyle w:val="Intenzivenpoudarek"/>
          <w:i w:val="0"/>
          <w:iCs w:val="0"/>
          <w:color w:val="2F5496" w:themeColor="accent1" w:themeShade="BF"/>
        </w:rPr>
        <w:lastRenderedPageBreak/>
        <w:t>2.1</w:t>
      </w:r>
      <w:r w:rsidR="007E511C" w:rsidRPr="00885BD1">
        <w:rPr>
          <w:rStyle w:val="Intenzivenpoudarek"/>
          <w:i w:val="0"/>
          <w:iCs w:val="0"/>
          <w:color w:val="2F5496" w:themeColor="accent1" w:themeShade="BF"/>
        </w:rPr>
        <w:t xml:space="preserve"> O</w:t>
      </w:r>
      <w:r w:rsidR="002B3EC5" w:rsidRPr="00885BD1">
        <w:rPr>
          <w:rStyle w:val="Intenzivenpoudarek"/>
          <w:i w:val="0"/>
          <w:iCs w:val="0"/>
          <w:color w:val="2F5496" w:themeColor="accent1" w:themeShade="BF"/>
        </w:rPr>
        <w:t>sv</w:t>
      </w:r>
      <w:r w:rsidR="007E511C" w:rsidRPr="00885BD1">
        <w:rPr>
          <w:rStyle w:val="Intenzivenpoudarek"/>
          <w:i w:val="0"/>
          <w:iCs w:val="0"/>
          <w:color w:val="2F5496" w:themeColor="accent1" w:themeShade="BF"/>
        </w:rPr>
        <w:t>eščanje in destigmatizacija bolezni</w:t>
      </w:r>
      <w:bookmarkEnd w:id="11"/>
      <w:r w:rsidRPr="00885BD1">
        <w:rPr>
          <w:rStyle w:val="Intenzivenpoudarek"/>
          <w:i w:val="0"/>
          <w:iCs w:val="0"/>
          <w:color w:val="2F5496" w:themeColor="accent1" w:themeShade="BF"/>
        </w:rPr>
        <w:t xml:space="preserve"> </w:t>
      </w:r>
    </w:p>
    <w:p w14:paraId="301C5C34" w14:textId="1708D621" w:rsidR="00C409DD" w:rsidRPr="00885BD1" w:rsidRDefault="00C409DD" w:rsidP="00C409DD">
      <w:pPr>
        <w:rPr>
          <w:lang w:val="sl-SI" w:eastAsia="sl-SI"/>
        </w:rPr>
      </w:pPr>
    </w:p>
    <w:p w14:paraId="54087F17" w14:textId="0D4548E8" w:rsidR="00A10920" w:rsidRPr="009200C4" w:rsidRDefault="00246D59" w:rsidP="00FB0E32">
      <w:pPr>
        <w:jc w:val="both"/>
        <w:rPr>
          <w:lang w:val="sl-SI" w:eastAsia="sl-SI"/>
        </w:rPr>
      </w:pPr>
      <w:r w:rsidRPr="009200C4">
        <w:rPr>
          <w:rFonts w:cs="Arial"/>
          <w:szCs w:val="20"/>
          <w:lang w:val="sl-SI"/>
        </w:rPr>
        <w:t>S pristopi k zmanjšanju dejavnikov tveganja, na katere lahko vplivamo, bomo prispevali, da se pričetek bolezni pri posameznikih zamakne in omogočili manjše družbeno finančno breme.</w:t>
      </w:r>
      <w:r w:rsidR="001949D7" w:rsidRPr="009200C4">
        <w:rPr>
          <w:rStyle w:val="Sprotnaopomba-sklic"/>
          <w:rFonts w:cs="Arial"/>
          <w:szCs w:val="20"/>
          <w:lang w:val="sl-SI"/>
        </w:rPr>
        <w:footnoteReference w:id="13"/>
      </w:r>
      <w:r w:rsidRPr="009200C4">
        <w:rPr>
          <w:rFonts w:cs="Arial"/>
          <w:szCs w:val="20"/>
          <w:lang w:val="sl-SI"/>
        </w:rPr>
        <w:t xml:space="preserve"> </w:t>
      </w:r>
      <w:r w:rsidR="00400502" w:rsidRPr="009200C4">
        <w:rPr>
          <w:rFonts w:cs="Arial"/>
          <w:szCs w:val="20"/>
          <w:lang w:val="sl-SI"/>
        </w:rPr>
        <w:t>O</w:t>
      </w:r>
      <w:r w:rsidR="002B3EC5" w:rsidRPr="009200C4">
        <w:rPr>
          <w:rFonts w:cs="Arial"/>
          <w:szCs w:val="20"/>
          <w:lang w:val="sl-SI"/>
        </w:rPr>
        <w:t>sv</w:t>
      </w:r>
      <w:r w:rsidR="00400502" w:rsidRPr="009200C4">
        <w:rPr>
          <w:rFonts w:cs="Arial"/>
          <w:szCs w:val="20"/>
          <w:lang w:val="sl-SI"/>
        </w:rPr>
        <w:t>eščanje</w:t>
      </w:r>
      <w:r w:rsidR="004A003B" w:rsidRPr="009200C4">
        <w:rPr>
          <w:lang w:val="sl-SI" w:eastAsia="sl-SI"/>
        </w:rPr>
        <w:t xml:space="preserve"> prebivalstva oziroma družbe </w:t>
      </w:r>
      <w:r w:rsidR="00FB0E32" w:rsidRPr="009200C4">
        <w:rPr>
          <w:lang w:val="sl-SI" w:eastAsia="sl-SI"/>
        </w:rPr>
        <w:t>o dejavnikih tveganja,</w:t>
      </w:r>
      <w:r w:rsidR="00157DD8" w:rsidRPr="009200C4">
        <w:rPr>
          <w:lang w:val="sl-SI" w:eastAsia="sl-SI"/>
        </w:rPr>
        <w:t xml:space="preserve"> prvih znakih demenc,</w:t>
      </w:r>
      <w:r w:rsidR="00FB0E32" w:rsidRPr="009200C4">
        <w:rPr>
          <w:lang w:val="sl-SI" w:eastAsia="sl-SI"/>
        </w:rPr>
        <w:t xml:space="preserve"> pomenu </w:t>
      </w:r>
      <w:r w:rsidR="00DB0F86" w:rsidRPr="009200C4">
        <w:rPr>
          <w:lang w:val="sl-SI" w:eastAsia="sl-SI"/>
        </w:rPr>
        <w:t xml:space="preserve">pravočasne </w:t>
      </w:r>
      <w:r w:rsidR="00FB0E32" w:rsidRPr="009200C4">
        <w:rPr>
          <w:lang w:val="sl-SI" w:eastAsia="sl-SI"/>
        </w:rPr>
        <w:t xml:space="preserve">diagnoze in </w:t>
      </w:r>
      <w:r w:rsidR="00157DD8" w:rsidRPr="009200C4">
        <w:rPr>
          <w:lang w:val="sl-SI" w:eastAsia="sl-SI"/>
        </w:rPr>
        <w:t xml:space="preserve">ustreznem pristopu do </w:t>
      </w:r>
      <w:r w:rsidR="00FB0E32" w:rsidRPr="009200C4">
        <w:rPr>
          <w:lang w:val="sl-SI" w:eastAsia="sl-SI"/>
        </w:rPr>
        <w:t>oseb z demenc</w:t>
      </w:r>
      <w:r w:rsidR="0022547F" w:rsidRPr="009200C4">
        <w:rPr>
          <w:lang w:val="sl-SI" w:eastAsia="sl-SI"/>
        </w:rPr>
        <w:t>o</w:t>
      </w:r>
      <w:r w:rsidR="00FB0E32" w:rsidRPr="009200C4">
        <w:rPr>
          <w:lang w:val="sl-SI" w:eastAsia="sl-SI"/>
        </w:rPr>
        <w:t xml:space="preserve"> in njihovih svojcev </w:t>
      </w:r>
      <w:r w:rsidR="00834DA1" w:rsidRPr="009200C4">
        <w:rPr>
          <w:lang w:val="sl-SI" w:eastAsia="sl-SI"/>
        </w:rPr>
        <w:t>sodi med</w:t>
      </w:r>
      <w:r w:rsidR="004A003B" w:rsidRPr="009200C4">
        <w:rPr>
          <w:lang w:val="sl-SI" w:eastAsia="sl-SI"/>
        </w:rPr>
        <w:t xml:space="preserve"> prednostn</w:t>
      </w:r>
      <w:r w:rsidR="00834DA1" w:rsidRPr="009200C4">
        <w:rPr>
          <w:lang w:val="sl-SI" w:eastAsia="sl-SI"/>
        </w:rPr>
        <w:t>e</w:t>
      </w:r>
      <w:r w:rsidR="004A003B" w:rsidRPr="009200C4">
        <w:rPr>
          <w:lang w:val="sl-SI" w:eastAsia="sl-SI"/>
        </w:rPr>
        <w:t xml:space="preserve"> nalog</w:t>
      </w:r>
      <w:r w:rsidR="00834DA1" w:rsidRPr="009200C4">
        <w:rPr>
          <w:lang w:val="sl-SI" w:eastAsia="sl-SI"/>
        </w:rPr>
        <w:t>e</w:t>
      </w:r>
      <w:r w:rsidR="004A003B" w:rsidRPr="009200C4">
        <w:rPr>
          <w:lang w:val="sl-SI" w:eastAsia="sl-SI"/>
        </w:rPr>
        <w:t xml:space="preserve"> javnega zdravja. Čeprav je največji dejavnik tveganja starost, lahko</w:t>
      </w:r>
      <w:r w:rsidR="004A003B" w:rsidRPr="009200C4">
        <w:rPr>
          <w:b/>
          <w:bCs/>
          <w:lang w:val="sl-SI" w:eastAsia="sl-SI"/>
        </w:rPr>
        <w:t xml:space="preserve"> </w:t>
      </w:r>
      <w:r w:rsidR="004A003B" w:rsidRPr="009200C4">
        <w:rPr>
          <w:lang w:val="sl-SI" w:eastAsia="sl-SI"/>
        </w:rPr>
        <w:t>z o</w:t>
      </w:r>
      <w:r w:rsidR="002B3EC5" w:rsidRPr="009200C4">
        <w:rPr>
          <w:lang w:val="sl-SI" w:eastAsia="sl-SI"/>
        </w:rPr>
        <w:t>sve</w:t>
      </w:r>
      <w:r w:rsidR="004A003B" w:rsidRPr="009200C4">
        <w:rPr>
          <w:lang w:val="sl-SI" w:eastAsia="sl-SI"/>
        </w:rPr>
        <w:t>ščanjem zmanjšamo druge znane dejavnike tveganja za demenco</w:t>
      </w:r>
      <w:r w:rsidR="00FB0E32" w:rsidRPr="009200C4">
        <w:rPr>
          <w:lang w:val="sl-SI" w:eastAsia="sl-SI"/>
        </w:rPr>
        <w:t xml:space="preserve">, ki so v večini odvisni od posameznikovega okolja, življenjskega </w:t>
      </w:r>
      <w:r w:rsidR="00CB7422" w:rsidRPr="009200C4">
        <w:rPr>
          <w:lang w:val="sl-SI" w:eastAsia="sl-SI"/>
        </w:rPr>
        <w:t xml:space="preserve">sloga </w:t>
      </w:r>
      <w:r w:rsidR="00FB0E32" w:rsidRPr="009200C4">
        <w:rPr>
          <w:lang w:val="sl-SI" w:eastAsia="sl-SI"/>
        </w:rPr>
        <w:t xml:space="preserve">in nekaterih pridruženih bolezni, </w:t>
      </w:r>
      <w:r w:rsidR="00CB7422" w:rsidRPr="009200C4">
        <w:rPr>
          <w:lang w:val="sl-SI" w:eastAsia="sl-SI"/>
        </w:rPr>
        <w:t>katerih ustrezna obravnava zmanjša tveganje za</w:t>
      </w:r>
      <w:r w:rsidR="00FB0E32" w:rsidRPr="009200C4">
        <w:rPr>
          <w:lang w:val="sl-SI" w:eastAsia="sl-SI"/>
        </w:rPr>
        <w:t xml:space="preserve"> razvoj demence</w:t>
      </w:r>
      <w:r w:rsidR="004A003B" w:rsidRPr="009200C4">
        <w:rPr>
          <w:lang w:val="sl-SI" w:eastAsia="sl-SI"/>
        </w:rPr>
        <w:t xml:space="preserve">. </w:t>
      </w:r>
    </w:p>
    <w:p w14:paraId="1EAF2D1B" w14:textId="41622266" w:rsidR="00E777B4" w:rsidRPr="009200C4" w:rsidRDefault="00E777B4" w:rsidP="00FB0E32">
      <w:pPr>
        <w:jc w:val="both"/>
        <w:rPr>
          <w:lang w:val="sl-SI" w:eastAsia="sl-SI"/>
        </w:rPr>
      </w:pPr>
    </w:p>
    <w:p w14:paraId="6CCE88BB" w14:textId="2BF95F3C" w:rsidR="00E777B4" w:rsidRPr="00885BD1" w:rsidRDefault="00E777B4" w:rsidP="00FB0E32">
      <w:pPr>
        <w:jc w:val="both"/>
        <w:rPr>
          <w:lang w:val="sl-SI" w:eastAsia="sl-SI"/>
        </w:rPr>
      </w:pPr>
      <w:r w:rsidRPr="009200C4">
        <w:rPr>
          <w:lang w:val="sl-SI" w:eastAsia="sl-SI"/>
        </w:rPr>
        <w:t xml:space="preserve">Strukturna stigmatizacija se kaže v zanikanju problema, pomanjkljivi oskrbi, celo zanemarjanju ter nespoštovanju oseb z demenco. </w:t>
      </w:r>
      <w:r w:rsidR="00CB7422" w:rsidRPr="009200C4">
        <w:rPr>
          <w:lang w:val="sl-SI" w:eastAsia="sl-SI"/>
        </w:rPr>
        <w:t xml:space="preserve">Na prvem mestu mora biti posameznik s svojimi sposobnostmi in dostojanstvom in ne bolezen. </w:t>
      </w:r>
      <w:r w:rsidRPr="009200C4">
        <w:rPr>
          <w:lang w:val="sl-SI" w:eastAsia="sl-SI"/>
        </w:rPr>
        <w:t>Stigma vodi v pozno iskanje pomoči, prevladujoč občutek manjvrednosti, ki pomembno prispeva tudi k slab</w:t>
      </w:r>
      <w:r w:rsidR="007F5ADC" w:rsidRPr="009200C4">
        <w:rPr>
          <w:lang w:val="sl-SI" w:eastAsia="sl-SI"/>
        </w:rPr>
        <w:t>š</w:t>
      </w:r>
      <w:r w:rsidRPr="009200C4">
        <w:rPr>
          <w:lang w:val="sl-SI" w:eastAsia="sl-SI"/>
        </w:rPr>
        <w:t xml:space="preserve">im izidom zdravljenja ter izgubi upanja. Stigma je po mnenju </w:t>
      </w:r>
      <w:r w:rsidR="00CA3C17" w:rsidRPr="009200C4">
        <w:rPr>
          <w:lang w:val="sl-SI" w:eastAsia="sl-SI"/>
        </w:rPr>
        <w:t xml:space="preserve">SZO </w:t>
      </w:r>
      <w:r w:rsidRPr="009200C4">
        <w:rPr>
          <w:lang w:val="sl-SI" w:eastAsia="sl-SI"/>
        </w:rPr>
        <w:t>poglavitna ovira</w:t>
      </w:r>
      <w:r w:rsidR="005D0CBF" w:rsidRPr="009200C4">
        <w:rPr>
          <w:lang w:val="sl-SI" w:eastAsia="sl-SI"/>
        </w:rPr>
        <w:t xml:space="preserve"> za </w:t>
      </w:r>
      <w:r w:rsidRPr="009200C4">
        <w:rPr>
          <w:lang w:val="sl-SI" w:eastAsia="sl-SI"/>
        </w:rPr>
        <w:t>vzpostavljanj</w:t>
      </w:r>
      <w:r w:rsidR="005D0CBF" w:rsidRPr="009200C4">
        <w:rPr>
          <w:lang w:val="sl-SI" w:eastAsia="sl-SI"/>
        </w:rPr>
        <w:t>e</w:t>
      </w:r>
      <w:r w:rsidRPr="009200C4">
        <w:rPr>
          <w:lang w:val="sl-SI" w:eastAsia="sl-SI"/>
        </w:rPr>
        <w:t xml:space="preserve"> ustreznih, kakovostnih in dostopnih služb na področju duševnega zdravja.</w:t>
      </w:r>
      <w:r w:rsidR="007F5ADC" w:rsidRPr="009200C4">
        <w:rPr>
          <w:lang w:val="sl-SI" w:eastAsia="sl-SI"/>
        </w:rPr>
        <w:t xml:space="preserve"> Zato </w:t>
      </w:r>
      <w:r w:rsidR="00DB0F86" w:rsidRPr="009200C4">
        <w:rPr>
          <w:lang w:val="sl-SI" w:eastAsia="sl-SI"/>
        </w:rPr>
        <w:t>so zmanjševanju stigme namenjeni posebni ukrepi</w:t>
      </w:r>
      <w:r w:rsidR="007F5ADC" w:rsidRPr="009200C4">
        <w:rPr>
          <w:lang w:val="sl-SI" w:eastAsia="sl-SI"/>
        </w:rPr>
        <w:t>.</w:t>
      </w:r>
    </w:p>
    <w:p w14:paraId="2CB78227" w14:textId="77777777" w:rsidR="004A003B" w:rsidRPr="00885BD1" w:rsidRDefault="004A003B" w:rsidP="004A003B">
      <w:pPr>
        <w:rPr>
          <w:lang w:val="sl-SI" w:eastAsia="sl-SI"/>
        </w:rPr>
      </w:pPr>
    </w:p>
    <w:p w14:paraId="6A61ED4B" w14:textId="0AC04662" w:rsidR="00B86F84" w:rsidRPr="00885BD1" w:rsidRDefault="007E511C" w:rsidP="00E546B0">
      <w:pPr>
        <w:pStyle w:val="Naslov1"/>
        <w:rPr>
          <w:rStyle w:val="Intenzivenpoudarek"/>
          <w:i w:val="0"/>
          <w:iCs w:val="0"/>
          <w:color w:val="2F5496" w:themeColor="accent1" w:themeShade="BF"/>
        </w:rPr>
      </w:pPr>
      <w:bookmarkStart w:id="12" w:name="_Toc117692278"/>
      <w:r w:rsidRPr="00885BD1">
        <w:rPr>
          <w:rStyle w:val="Intenzivenpoudarek"/>
          <w:i w:val="0"/>
          <w:iCs w:val="0"/>
          <w:color w:val="2F5496" w:themeColor="accent1" w:themeShade="BF"/>
        </w:rPr>
        <w:t>2.</w:t>
      </w:r>
      <w:r w:rsidR="003669FA" w:rsidRPr="00885BD1">
        <w:rPr>
          <w:rStyle w:val="Intenzivenpoudarek"/>
          <w:i w:val="0"/>
          <w:iCs w:val="0"/>
          <w:color w:val="2F5496" w:themeColor="accent1" w:themeShade="BF"/>
        </w:rPr>
        <w:t xml:space="preserve"> </w:t>
      </w:r>
      <w:r w:rsidRPr="00885BD1">
        <w:rPr>
          <w:rStyle w:val="Intenzivenpoudarek"/>
          <w:i w:val="0"/>
          <w:iCs w:val="0"/>
          <w:color w:val="2F5496" w:themeColor="accent1" w:themeShade="BF"/>
        </w:rPr>
        <w:t xml:space="preserve">2 </w:t>
      </w:r>
      <w:r w:rsidR="00B86F84" w:rsidRPr="00885BD1">
        <w:rPr>
          <w:rStyle w:val="Intenzivenpoudarek"/>
          <w:i w:val="0"/>
          <w:iCs w:val="0"/>
          <w:color w:val="2F5496" w:themeColor="accent1" w:themeShade="BF"/>
        </w:rPr>
        <w:t xml:space="preserve">Pravne podlage </w:t>
      </w:r>
      <w:r w:rsidR="0005106C" w:rsidRPr="00885BD1">
        <w:rPr>
          <w:rStyle w:val="Intenzivenpoudarek"/>
          <w:i w:val="0"/>
          <w:iCs w:val="0"/>
          <w:color w:val="2F5496" w:themeColor="accent1" w:themeShade="BF"/>
        </w:rPr>
        <w:t>in pomembni dokumenti</w:t>
      </w:r>
      <w:bookmarkEnd w:id="12"/>
    </w:p>
    <w:p w14:paraId="4A23124A" w14:textId="2C984260" w:rsidR="00B86F84" w:rsidRPr="00885BD1" w:rsidRDefault="0022547F" w:rsidP="0022547F">
      <w:pPr>
        <w:tabs>
          <w:tab w:val="left" w:pos="2412"/>
        </w:tabs>
        <w:jc w:val="both"/>
        <w:rPr>
          <w:rFonts w:cs="Arial"/>
          <w:szCs w:val="20"/>
          <w:lang w:val="sl-SI"/>
        </w:rPr>
      </w:pPr>
      <w:r w:rsidRPr="00885BD1">
        <w:rPr>
          <w:rFonts w:cs="Arial"/>
          <w:szCs w:val="20"/>
          <w:lang w:val="sl-SI"/>
        </w:rPr>
        <w:tab/>
      </w:r>
    </w:p>
    <w:p w14:paraId="4025CC91" w14:textId="41366305" w:rsidR="005107E8" w:rsidRPr="00885BD1" w:rsidRDefault="00B86F84" w:rsidP="00562C9D">
      <w:pPr>
        <w:jc w:val="both"/>
        <w:rPr>
          <w:rFonts w:cs="Arial"/>
          <w:szCs w:val="20"/>
          <w:lang w:val="sl-SI"/>
        </w:rPr>
      </w:pPr>
      <w:r w:rsidRPr="00885BD1">
        <w:rPr>
          <w:rFonts w:cs="Arial"/>
          <w:szCs w:val="20"/>
          <w:lang w:val="sl-SI"/>
        </w:rPr>
        <w:t xml:space="preserve">Republika Slovenija v skladu z </w:t>
      </w:r>
      <w:bookmarkStart w:id="13" w:name="_Hlk93564395"/>
      <w:r w:rsidRPr="00885BD1">
        <w:rPr>
          <w:rFonts w:cs="Arial"/>
          <w:szCs w:val="20"/>
          <w:lang w:val="sl-SI"/>
        </w:rPr>
        <w:t>Zakonom o zdravstvenem varstvu in zdravstvenem</w:t>
      </w:r>
      <w:r w:rsidR="006C293D" w:rsidRPr="00885BD1">
        <w:rPr>
          <w:rFonts w:cs="Arial"/>
          <w:szCs w:val="20"/>
          <w:lang w:val="sl-SI"/>
        </w:rPr>
        <w:t xml:space="preserve"> </w:t>
      </w:r>
      <w:r w:rsidRPr="00885BD1">
        <w:rPr>
          <w:rFonts w:cs="Arial"/>
          <w:szCs w:val="20"/>
          <w:lang w:val="sl-SI"/>
        </w:rPr>
        <w:t>zavarovanju</w:t>
      </w:r>
      <w:r w:rsidR="004D1566" w:rsidRPr="00885BD1">
        <w:rPr>
          <w:rFonts w:cs="Arial"/>
          <w:szCs w:val="20"/>
          <w:lang w:val="sl-SI"/>
        </w:rPr>
        <w:t xml:space="preserve"> </w:t>
      </w:r>
      <w:bookmarkStart w:id="14" w:name="_Hlk93564555"/>
      <w:r w:rsidR="004D1566" w:rsidRPr="00885BD1">
        <w:rPr>
          <w:rFonts w:cs="Arial"/>
          <w:szCs w:val="20"/>
          <w:lang w:val="sl-SI"/>
        </w:rPr>
        <w:t>(</w:t>
      </w:r>
      <w:bookmarkStart w:id="15" w:name="_Hlk93564978"/>
      <w:r w:rsidRPr="00885BD1">
        <w:rPr>
          <w:rFonts w:cs="Arial"/>
          <w:szCs w:val="20"/>
          <w:lang w:val="sl-SI"/>
        </w:rPr>
        <w:t>v nadalj</w:t>
      </w:r>
      <w:r w:rsidR="006C293D" w:rsidRPr="00885BD1">
        <w:rPr>
          <w:rFonts w:cs="Arial"/>
          <w:szCs w:val="20"/>
          <w:lang w:val="sl-SI"/>
        </w:rPr>
        <w:t>njem besedilu</w:t>
      </w:r>
      <w:r w:rsidRPr="00885BD1">
        <w:rPr>
          <w:rFonts w:cs="Arial"/>
          <w:szCs w:val="20"/>
          <w:lang w:val="sl-SI"/>
        </w:rPr>
        <w:t xml:space="preserve">: </w:t>
      </w:r>
      <w:bookmarkEnd w:id="14"/>
      <w:bookmarkEnd w:id="15"/>
      <w:r w:rsidRPr="00885BD1">
        <w:rPr>
          <w:rFonts w:cs="Arial"/>
          <w:szCs w:val="20"/>
          <w:lang w:val="sl-SI"/>
        </w:rPr>
        <w:t>ZZVZZ)</w:t>
      </w:r>
      <w:bookmarkEnd w:id="13"/>
      <w:r w:rsidR="00562C9D" w:rsidRPr="00885BD1">
        <w:rPr>
          <w:rStyle w:val="Sprotnaopomba-sklic"/>
          <w:rFonts w:cs="Arial"/>
          <w:szCs w:val="20"/>
          <w:lang w:val="sl-SI"/>
        </w:rPr>
        <w:footnoteReference w:id="14"/>
      </w:r>
      <w:r w:rsidRPr="00885BD1">
        <w:rPr>
          <w:rFonts w:cs="Arial"/>
          <w:szCs w:val="20"/>
          <w:lang w:val="sl-SI"/>
        </w:rPr>
        <w:t xml:space="preserve"> zagotavlja skrb</w:t>
      </w:r>
      <w:r w:rsidR="006C293D" w:rsidRPr="00885BD1">
        <w:rPr>
          <w:rFonts w:cs="Arial"/>
          <w:szCs w:val="20"/>
          <w:lang w:val="sl-SI"/>
        </w:rPr>
        <w:t xml:space="preserve"> za </w:t>
      </w:r>
      <w:r w:rsidRPr="00885BD1">
        <w:rPr>
          <w:rFonts w:cs="Arial"/>
          <w:szCs w:val="20"/>
          <w:lang w:val="sl-SI"/>
        </w:rPr>
        <w:t>oseb</w:t>
      </w:r>
      <w:r w:rsidR="006C293D" w:rsidRPr="00885BD1">
        <w:rPr>
          <w:rFonts w:cs="Arial"/>
          <w:szCs w:val="20"/>
          <w:lang w:val="sl-SI"/>
        </w:rPr>
        <w:t>e</w:t>
      </w:r>
      <w:r w:rsidRPr="00885BD1">
        <w:rPr>
          <w:rFonts w:cs="Arial"/>
          <w:szCs w:val="20"/>
          <w:lang w:val="sl-SI"/>
        </w:rPr>
        <w:t xml:space="preserve"> z demenco, financiranje zdravstvenih storitev, zdravstveni kader</w:t>
      </w:r>
      <w:r w:rsidR="0022547F" w:rsidRPr="00885BD1">
        <w:rPr>
          <w:rFonts w:cs="Arial"/>
          <w:szCs w:val="20"/>
          <w:lang w:val="sl-SI"/>
        </w:rPr>
        <w:t>,</w:t>
      </w:r>
      <w:r w:rsidR="006C293D" w:rsidRPr="00885BD1">
        <w:rPr>
          <w:rFonts w:cs="Arial"/>
          <w:szCs w:val="20"/>
          <w:lang w:val="sl-SI"/>
        </w:rPr>
        <w:t xml:space="preserve"> </w:t>
      </w:r>
      <w:r w:rsidRPr="00885BD1">
        <w:rPr>
          <w:rFonts w:cs="Arial"/>
          <w:szCs w:val="20"/>
          <w:lang w:val="sl-SI"/>
        </w:rPr>
        <w:t>vključno z iz</w:t>
      </w:r>
      <w:r w:rsidR="00FD6A2C" w:rsidRPr="00885BD1">
        <w:rPr>
          <w:rFonts w:cs="Arial"/>
          <w:szCs w:val="20"/>
          <w:lang w:val="sl-SI"/>
        </w:rPr>
        <w:t xml:space="preserve">popolnjevanjem </w:t>
      </w:r>
      <w:r w:rsidRPr="00885BD1">
        <w:rPr>
          <w:rFonts w:cs="Arial"/>
          <w:szCs w:val="20"/>
          <w:lang w:val="sl-SI"/>
        </w:rPr>
        <w:t>in usposabljanjem</w:t>
      </w:r>
      <w:r w:rsidR="006C293D" w:rsidRPr="00885BD1">
        <w:rPr>
          <w:rFonts w:cs="Arial"/>
          <w:szCs w:val="20"/>
          <w:lang w:val="sl-SI"/>
        </w:rPr>
        <w:t xml:space="preserve"> ter zdravstveno neg</w:t>
      </w:r>
      <w:r w:rsidR="00FD6A2C" w:rsidRPr="00885BD1">
        <w:rPr>
          <w:rFonts w:cs="Arial"/>
          <w:szCs w:val="20"/>
          <w:lang w:val="sl-SI"/>
        </w:rPr>
        <w:t>o</w:t>
      </w:r>
      <w:r w:rsidR="006C293D" w:rsidRPr="00885BD1">
        <w:rPr>
          <w:rFonts w:cs="Arial"/>
          <w:szCs w:val="20"/>
          <w:lang w:val="sl-SI"/>
        </w:rPr>
        <w:t xml:space="preserve"> in rehabilitacijo v</w:t>
      </w:r>
      <w:r w:rsidRPr="00885BD1">
        <w:rPr>
          <w:rFonts w:cs="Arial"/>
          <w:szCs w:val="20"/>
          <w:lang w:val="sl-SI"/>
        </w:rPr>
        <w:t xml:space="preserve"> institucionaln</w:t>
      </w:r>
      <w:r w:rsidR="006C293D" w:rsidRPr="00885BD1">
        <w:rPr>
          <w:rFonts w:cs="Arial"/>
          <w:szCs w:val="20"/>
          <w:lang w:val="sl-SI"/>
        </w:rPr>
        <w:t>em</w:t>
      </w:r>
      <w:r w:rsidRPr="00885BD1">
        <w:rPr>
          <w:rFonts w:cs="Arial"/>
          <w:szCs w:val="20"/>
          <w:lang w:val="sl-SI"/>
        </w:rPr>
        <w:t xml:space="preserve"> varstv</w:t>
      </w:r>
      <w:r w:rsidR="006C293D" w:rsidRPr="00885BD1">
        <w:rPr>
          <w:rFonts w:cs="Arial"/>
          <w:szCs w:val="20"/>
          <w:lang w:val="sl-SI"/>
        </w:rPr>
        <w:t>u</w:t>
      </w:r>
      <w:r w:rsidRPr="00885BD1">
        <w:rPr>
          <w:rFonts w:cs="Arial"/>
          <w:szCs w:val="20"/>
          <w:lang w:val="sl-SI"/>
        </w:rPr>
        <w:t xml:space="preserve"> </w:t>
      </w:r>
      <w:r w:rsidR="001C5177" w:rsidRPr="00885BD1">
        <w:rPr>
          <w:rFonts w:cs="Arial"/>
          <w:szCs w:val="20"/>
          <w:lang w:val="sl-SI"/>
        </w:rPr>
        <w:t>in</w:t>
      </w:r>
      <w:r w:rsidRPr="00885BD1">
        <w:rPr>
          <w:rFonts w:cs="Arial"/>
          <w:szCs w:val="20"/>
          <w:lang w:val="sl-SI"/>
        </w:rPr>
        <w:t xml:space="preserve"> nego na domu. Sistem</w:t>
      </w:r>
      <w:r w:rsidR="00DF4D6B" w:rsidRPr="00885BD1">
        <w:rPr>
          <w:rFonts w:cs="Arial"/>
          <w:szCs w:val="20"/>
          <w:lang w:val="sl-SI"/>
        </w:rPr>
        <w:t xml:space="preserve"> </w:t>
      </w:r>
      <w:r w:rsidRPr="00885BD1">
        <w:rPr>
          <w:rFonts w:cs="Arial"/>
          <w:szCs w:val="20"/>
          <w:lang w:val="sl-SI"/>
        </w:rPr>
        <w:t>zagotavlja storitve zdravstvenega varstva.</w:t>
      </w:r>
      <w:r w:rsidR="004D1566" w:rsidRPr="00885BD1">
        <w:rPr>
          <w:rFonts w:cs="Arial"/>
          <w:szCs w:val="20"/>
          <w:lang w:val="sl-SI"/>
        </w:rPr>
        <w:t xml:space="preserve"> </w:t>
      </w:r>
      <w:bookmarkStart w:id="16" w:name="_Hlk93564589"/>
      <w:r w:rsidRPr="00885BD1">
        <w:rPr>
          <w:rFonts w:cs="Arial"/>
          <w:szCs w:val="20"/>
          <w:lang w:val="sl-SI"/>
        </w:rPr>
        <w:t>Z</w:t>
      </w:r>
      <w:r w:rsidR="00F22F09">
        <w:rPr>
          <w:rFonts w:cs="Arial"/>
          <w:szCs w:val="20"/>
          <w:lang w:val="sl-SI"/>
        </w:rPr>
        <w:t>DOsk</w:t>
      </w:r>
      <w:r w:rsidRPr="00885BD1">
        <w:rPr>
          <w:rFonts w:cs="Arial"/>
          <w:szCs w:val="20"/>
          <w:lang w:val="sl-SI"/>
        </w:rPr>
        <w:t xml:space="preserve"> </w:t>
      </w:r>
      <w:bookmarkEnd w:id="16"/>
      <w:r w:rsidR="00FA6699" w:rsidRPr="00885BD1">
        <w:rPr>
          <w:rFonts w:cs="Arial"/>
          <w:szCs w:val="20"/>
          <w:lang w:val="sl-SI"/>
        </w:rPr>
        <w:t xml:space="preserve">vzpostavlja </w:t>
      </w:r>
      <w:r w:rsidR="005835B7" w:rsidRPr="00885BD1">
        <w:rPr>
          <w:rFonts w:cs="Arial"/>
          <w:szCs w:val="20"/>
          <w:lang w:val="sl-SI"/>
        </w:rPr>
        <w:t xml:space="preserve">sistem </w:t>
      </w:r>
      <w:r w:rsidR="00FA6699" w:rsidRPr="00885BD1">
        <w:rPr>
          <w:rFonts w:cs="Arial"/>
          <w:szCs w:val="20"/>
          <w:lang w:val="sl-SI"/>
        </w:rPr>
        <w:t>pravic do storitev</w:t>
      </w:r>
      <w:r w:rsidR="005835B7" w:rsidRPr="00885BD1">
        <w:rPr>
          <w:rFonts w:cs="Arial"/>
          <w:szCs w:val="20"/>
          <w:lang w:val="sl-SI"/>
        </w:rPr>
        <w:t xml:space="preserve"> v DO</w:t>
      </w:r>
      <w:r w:rsidR="004D1566" w:rsidRPr="00885BD1">
        <w:rPr>
          <w:rFonts w:cs="Arial"/>
          <w:szCs w:val="20"/>
          <w:lang w:val="sl-SI"/>
        </w:rPr>
        <w:t>. U</w:t>
      </w:r>
      <w:r w:rsidR="00562C9D" w:rsidRPr="00885BD1">
        <w:rPr>
          <w:rFonts w:cs="Arial"/>
          <w:szCs w:val="20"/>
          <w:lang w:val="sl-SI"/>
        </w:rPr>
        <w:t>sklajuje z drugimi področji zdravstvenega</w:t>
      </w:r>
      <w:r w:rsidR="00F31FA3">
        <w:rPr>
          <w:rFonts w:cs="Arial"/>
          <w:szCs w:val="20"/>
          <w:lang w:val="sl-SI"/>
        </w:rPr>
        <w:t xml:space="preserve"> varstva, dolgotrajne oskrbe</w:t>
      </w:r>
      <w:r w:rsidR="00562C9D" w:rsidRPr="00885BD1">
        <w:rPr>
          <w:rFonts w:cs="Arial"/>
          <w:szCs w:val="20"/>
          <w:lang w:val="sl-SI"/>
        </w:rPr>
        <w:t xml:space="preserve"> in socialnega varstva</w:t>
      </w:r>
      <w:r w:rsidR="004D1566" w:rsidRPr="00885BD1">
        <w:rPr>
          <w:rFonts w:cs="Arial"/>
          <w:szCs w:val="20"/>
          <w:lang w:val="sl-SI"/>
        </w:rPr>
        <w:t>,</w:t>
      </w:r>
      <w:r w:rsidR="00562C9D" w:rsidRPr="00885BD1">
        <w:rPr>
          <w:rFonts w:cs="Arial"/>
          <w:szCs w:val="20"/>
          <w:lang w:val="sl-SI"/>
        </w:rPr>
        <w:t xml:space="preserve"> načrtuje in razvija preventivne programe za zmanjševanje potreb po DO, vključno s storitvami za krepitev in ohranjanje samostojnosti</w:t>
      </w:r>
      <w:r w:rsidR="004D1566" w:rsidRPr="00885BD1">
        <w:rPr>
          <w:rFonts w:cs="Arial"/>
          <w:szCs w:val="20"/>
          <w:lang w:val="sl-SI"/>
        </w:rPr>
        <w:t xml:space="preserve"> ter </w:t>
      </w:r>
      <w:r w:rsidR="00562C9D" w:rsidRPr="00885BD1">
        <w:rPr>
          <w:rFonts w:cs="Arial"/>
          <w:szCs w:val="20"/>
          <w:lang w:val="sl-SI"/>
        </w:rPr>
        <w:t>zagotavlja pogoje in možnosti za enakomerno dostopnost storitev DO na območju Republike Slovenije ter za njeno učinkovito in racionalno organizacijo</w:t>
      </w:r>
      <w:r w:rsidR="004D1566" w:rsidRPr="00885BD1">
        <w:rPr>
          <w:rFonts w:cs="Arial"/>
          <w:szCs w:val="20"/>
          <w:lang w:val="sl-SI"/>
        </w:rPr>
        <w:t>.</w:t>
      </w:r>
      <w:r w:rsidR="005107E8" w:rsidRPr="00885BD1">
        <w:rPr>
          <w:lang w:val="sl-SI"/>
        </w:rPr>
        <w:t xml:space="preserve"> </w:t>
      </w:r>
      <w:r w:rsidR="005107E8" w:rsidRPr="00885BD1">
        <w:rPr>
          <w:rFonts w:cs="Arial"/>
          <w:szCs w:val="20"/>
          <w:lang w:val="sl-SI"/>
        </w:rPr>
        <w:t>Pomembno vlogo pri izboljšanju mreže izvajalcev</w:t>
      </w:r>
      <w:r w:rsidR="004757B7" w:rsidRPr="00885BD1">
        <w:rPr>
          <w:rFonts w:cs="Arial"/>
          <w:szCs w:val="20"/>
          <w:lang w:val="sl-SI"/>
        </w:rPr>
        <w:t>, razvoju področja in sledenju strokovnemu napredku</w:t>
      </w:r>
      <w:r w:rsidR="005107E8" w:rsidRPr="00885BD1">
        <w:rPr>
          <w:rFonts w:cs="Arial"/>
          <w:szCs w:val="20"/>
          <w:lang w:val="sl-SI"/>
        </w:rPr>
        <w:t xml:space="preserve"> imajo nacionalni programi, zlasti </w:t>
      </w:r>
      <w:bookmarkStart w:id="17" w:name="_Hlk94007649"/>
      <w:r w:rsidR="005107E8" w:rsidRPr="00885BD1">
        <w:rPr>
          <w:rFonts w:cs="Arial"/>
          <w:szCs w:val="20"/>
          <w:lang w:val="sl-SI"/>
        </w:rPr>
        <w:t>Resolucija o nacionalnem programu duševnega zdravja 2018-2028 (ReNPDZ18</w:t>
      </w:r>
      <w:r w:rsidR="005835B7" w:rsidRPr="00885BD1">
        <w:rPr>
          <w:rFonts w:cs="Arial"/>
          <w:szCs w:val="20"/>
          <w:lang w:val="sl-SI"/>
        </w:rPr>
        <w:t>-</w:t>
      </w:r>
      <w:r w:rsidR="005107E8" w:rsidRPr="00885BD1">
        <w:rPr>
          <w:rFonts w:cs="Arial"/>
          <w:szCs w:val="20"/>
          <w:lang w:val="sl-SI"/>
        </w:rPr>
        <w:t>28)</w:t>
      </w:r>
      <w:r w:rsidR="005107E8" w:rsidRPr="00885BD1">
        <w:rPr>
          <w:rStyle w:val="Sprotnaopomba-sklic"/>
          <w:rFonts w:cs="Arial"/>
          <w:szCs w:val="20"/>
          <w:lang w:val="sl-SI"/>
        </w:rPr>
        <w:footnoteReference w:id="15"/>
      </w:r>
      <w:r w:rsidR="005107E8" w:rsidRPr="00885BD1">
        <w:rPr>
          <w:rFonts w:cs="Arial"/>
          <w:szCs w:val="20"/>
          <w:lang w:val="sl-SI"/>
        </w:rPr>
        <w:t>, Resolucija o nacionalnem planu zdravstvenega varstva 2016–2025 (ReNPZV16–25)</w:t>
      </w:r>
      <w:r w:rsidR="005107E8" w:rsidRPr="00885BD1">
        <w:rPr>
          <w:rStyle w:val="Sprotnaopomba-sklic"/>
          <w:rFonts w:cs="Arial"/>
          <w:szCs w:val="20"/>
          <w:lang w:val="sl-SI"/>
        </w:rPr>
        <w:footnoteReference w:id="16"/>
      </w:r>
      <w:r w:rsidR="005107E8" w:rsidRPr="00885BD1">
        <w:rPr>
          <w:rFonts w:cs="Arial"/>
          <w:szCs w:val="20"/>
          <w:lang w:val="sl-SI"/>
        </w:rPr>
        <w:t xml:space="preserve"> in </w:t>
      </w:r>
      <w:bookmarkStart w:id="18" w:name="_Hlk93567439"/>
      <w:r w:rsidR="005107E8" w:rsidRPr="006B03EA">
        <w:rPr>
          <w:rFonts w:cs="Arial"/>
          <w:szCs w:val="20"/>
          <w:lang w:val="sl-SI"/>
        </w:rPr>
        <w:t>Resolucija o nacionalnem programu socialnega varstva 202</w:t>
      </w:r>
      <w:r w:rsidR="00D8269D" w:rsidRPr="006B03EA">
        <w:rPr>
          <w:rFonts w:cs="Arial"/>
          <w:szCs w:val="20"/>
          <w:lang w:val="sl-SI"/>
        </w:rPr>
        <w:t>2</w:t>
      </w:r>
      <w:r w:rsidR="005107E8" w:rsidRPr="006B03EA">
        <w:rPr>
          <w:rFonts w:cs="Arial"/>
          <w:szCs w:val="20"/>
          <w:lang w:val="sl-SI"/>
        </w:rPr>
        <w:t>–2030 (ReNPSV</w:t>
      </w:r>
      <w:r w:rsidR="00CA3C17" w:rsidRPr="006B03EA">
        <w:rPr>
          <w:rFonts w:cs="Arial"/>
          <w:szCs w:val="20"/>
          <w:lang w:val="sl-SI"/>
        </w:rPr>
        <w:t xml:space="preserve"> </w:t>
      </w:r>
      <w:r w:rsidR="005107E8" w:rsidRPr="006B03EA">
        <w:rPr>
          <w:rFonts w:cs="Arial"/>
          <w:szCs w:val="20"/>
          <w:lang w:val="sl-SI"/>
        </w:rPr>
        <w:t>2</w:t>
      </w:r>
      <w:r w:rsidR="00CA3C17" w:rsidRPr="006B03EA">
        <w:rPr>
          <w:rFonts w:cs="Arial"/>
          <w:szCs w:val="20"/>
          <w:lang w:val="sl-SI"/>
        </w:rPr>
        <w:t>2</w:t>
      </w:r>
      <w:r w:rsidR="005107E8" w:rsidRPr="006B03EA">
        <w:rPr>
          <w:rFonts w:cs="Arial"/>
          <w:szCs w:val="20"/>
          <w:lang w:val="sl-SI"/>
        </w:rPr>
        <w:t>-30</w:t>
      </w:r>
      <w:r w:rsidR="00FA6402" w:rsidRPr="00FA6402">
        <w:rPr>
          <w:rFonts w:cs="Arial"/>
          <w:szCs w:val="20"/>
          <w:lang w:val="sl-SI"/>
        </w:rPr>
        <w:t>)</w:t>
      </w:r>
      <w:bookmarkEnd w:id="18"/>
      <w:r w:rsidR="005107E8" w:rsidRPr="006B03EA">
        <w:rPr>
          <w:rStyle w:val="Sprotnaopomba-sklic"/>
          <w:rFonts w:cs="Arial"/>
          <w:szCs w:val="20"/>
          <w:lang w:val="sl-SI"/>
        </w:rPr>
        <w:footnoteReference w:id="17"/>
      </w:r>
      <w:bookmarkEnd w:id="17"/>
      <w:r w:rsidR="005107E8" w:rsidRPr="006B03EA">
        <w:rPr>
          <w:rFonts w:cs="Arial"/>
          <w:szCs w:val="20"/>
          <w:lang w:val="sl-SI"/>
        </w:rPr>
        <w:t>.</w:t>
      </w:r>
      <w:r w:rsidR="005107E8" w:rsidRPr="00885BD1">
        <w:rPr>
          <w:rFonts w:cs="Arial"/>
          <w:szCs w:val="20"/>
          <w:lang w:val="sl-SI"/>
        </w:rPr>
        <w:t xml:space="preserve">  </w:t>
      </w:r>
    </w:p>
    <w:p w14:paraId="74DA909C" w14:textId="12E85C0B" w:rsidR="00492C68" w:rsidRPr="00885BD1" w:rsidRDefault="00492C68" w:rsidP="00562C9D">
      <w:pPr>
        <w:jc w:val="both"/>
        <w:rPr>
          <w:rFonts w:cs="Arial"/>
          <w:szCs w:val="20"/>
          <w:lang w:val="sl-SI"/>
        </w:rPr>
      </w:pPr>
    </w:p>
    <w:p w14:paraId="771FD055" w14:textId="4F22B132" w:rsidR="00FB7131" w:rsidRPr="00885BD1" w:rsidRDefault="000530CD" w:rsidP="00562C9D">
      <w:pPr>
        <w:jc w:val="both"/>
        <w:rPr>
          <w:rFonts w:cs="Arial"/>
          <w:szCs w:val="20"/>
          <w:lang w:val="sl-SI"/>
        </w:rPr>
      </w:pPr>
      <w:r w:rsidRPr="00885BD1">
        <w:rPr>
          <w:rFonts w:cs="Arial"/>
          <w:szCs w:val="20"/>
          <w:lang w:val="sl-SI"/>
        </w:rPr>
        <w:t>Pomanjkljivost v pravni ureditvi z</w:t>
      </w:r>
      <w:r w:rsidR="00844BAB" w:rsidRPr="00885BD1">
        <w:rPr>
          <w:rFonts w:cs="Arial"/>
          <w:szCs w:val="20"/>
          <w:lang w:val="sl-SI"/>
        </w:rPr>
        <w:t xml:space="preserve">a vzpostavitev </w:t>
      </w:r>
      <w:r w:rsidRPr="00885BD1">
        <w:rPr>
          <w:rFonts w:cs="Arial"/>
          <w:szCs w:val="20"/>
          <w:lang w:val="sl-SI"/>
        </w:rPr>
        <w:t xml:space="preserve">nacionalnega </w:t>
      </w:r>
      <w:r w:rsidR="00844BAB" w:rsidRPr="00885BD1">
        <w:rPr>
          <w:rFonts w:cs="Arial"/>
          <w:szCs w:val="20"/>
          <w:lang w:val="sl-SI"/>
        </w:rPr>
        <w:t xml:space="preserve">registra za demenco </w:t>
      </w:r>
      <w:r w:rsidRPr="00885BD1">
        <w:rPr>
          <w:rFonts w:cs="Arial"/>
          <w:szCs w:val="20"/>
          <w:lang w:val="sl-SI"/>
        </w:rPr>
        <w:t xml:space="preserve">je </w:t>
      </w:r>
      <w:bookmarkStart w:id="19" w:name="_Hlk95464474"/>
      <w:r w:rsidR="00844BAB" w:rsidRPr="00885BD1">
        <w:rPr>
          <w:rFonts w:cs="Arial"/>
          <w:szCs w:val="20"/>
          <w:lang w:val="sl-SI"/>
        </w:rPr>
        <w:t>Zakon o zbirkah podatkov s področja zdravstvenega varstva</w:t>
      </w:r>
      <w:bookmarkEnd w:id="19"/>
      <w:r w:rsidRPr="00885BD1">
        <w:rPr>
          <w:rFonts w:cs="Arial"/>
          <w:szCs w:val="20"/>
          <w:lang w:val="sl-SI"/>
        </w:rPr>
        <w:t xml:space="preserve">, ki sistemsko ne ureja nacionalnih registrov, zato je treba to pomanjkljivost odpraviti. Treba je </w:t>
      </w:r>
      <w:r w:rsidR="00844BAB" w:rsidRPr="00885BD1">
        <w:rPr>
          <w:rFonts w:cs="Arial"/>
          <w:szCs w:val="20"/>
          <w:lang w:val="sl-SI"/>
        </w:rPr>
        <w:t xml:space="preserve">ponovno preučiti in po potrebi spremeniti pravno podlago za omejevanje pravic oseb z demenco in možnostmi oziroma pogoji za njihovo opolnomočenje, pri čemer pa ne smeta biti ogroženi njihova fizična in ekonomska varnost. </w:t>
      </w:r>
      <w:r w:rsidR="00E6375F" w:rsidRPr="00885BD1">
        <w:rPr>
          <w:rFonts w:cs="Arial"/>
          <w:szCs w:val="20"/>
          <w:lang w:val="sl-SI"/>
        </w:rPr>
        <w:t xml:space="preserve">Glede </w:t>
      </w:r>
      <w:r w:rsidR="00E6375F" w:rsidRPr="00885BD1">
        <w:rPr>
          <w:rFonts w:cs="Arial"/>
          <w:szCs w:val="20"/>
          <w:lang w:val="sl-SI"/>
        </w:rPr>
        <w:lastRenderedPageBreak/>
        <w:t xml:space="preserve">na navedeno </w:t>
      </w:r>
      <w:r w:rsidR="00844BAB" w:rsidRPr="00885BD1">
        <w:rPr>
          <w:rFonts w:cs="Arial"/>
          <w:szCs w:val="20"/>
          <w:lang w:val="sl-SI"/>
        </w:rPr>
        <w:t>Strategija posebno pozornost namen</w:t>
      </w:r>
      <w:r w:rsidR="00E6375F" w:rsidRPr="00885BD1">
        <w:rPr>
          <w:rFonts w:cs="Arial"/>
          <w:szCs w:val="20"/>
          <w:lang w:val="sl-SI"/>
        </w:rPr>
        <w:t>ja</w:t>
      </w:r>
      <w:r w:rsidR="00844BAB" w:rsidRPr="00885BD1">
        <w:rPr>
          <w:rFonts w:cs="Arial"/>
          <w:szCs w:val="20"/>
          <w:lang w:val="sl-SI"/>
        </w:rPr>
        <w:t xml:space="preserve"> preprečevanju zanemarjanj</w:t>
      </w:r>
      <w:r w:rsidR="00E6375F" w:rsidRPr="00885BD1">
        <w:rPr>
          <w:rFonts w:cs="Arial"/>
          <w:szCs w:val="20"/>
          <w:lang w:val="sl-SI"/>
        </w:rPr>
        <w:t>u</w:t>
      </w:r>
      <w:r w:rsidR="00844BAB" w:rsidRPr="00885BD1">
        <w:rPr>
          <w:rFonts w:cs="Arial"/>
          <w:szCs w:val="20"/>
          <w:lang w:val="sl-SI"/>
        </w:rPr>
        <w:t xml:space="preserve"> in zlorab</w:t>
      </w:r>
      <w:r w:rsidR="00E6375F" w:rsidRPr="00885BD1">
        <w:rPr>
          <w:rFonts w:cs="Arial"/>
          <w:szCs w:val="20"/>
          <w:lang w:val="sl-SI"/>
        </w:rPr>
        <w:t>i</w:t>
      </w:r>
      <w:r w:rsidR="00844BAB" w:rsidRPr="00885BD1">
        <w:rPr>
          <w:rFonts w:cs="Arial"/>
          <w:szCs w:val="20"/>
          <w:lang w:val="sl-SI"/>
        </w:rPr>
        <w:t xml:space="preserve"> osebe z demenco.</w:t>
      </w:r>
    </w:p>
    <w:p w14:paraId="00F49AD1" w14:textId="77777777" w:rsidR="00420D0F" w:rsidRPr="00885BD1" w:rsidRDefault="00420D0F" w:rsidP="00562C9D">
      <w:pPr>
        <w:jc w:val="both"/>
        <w:rPr>
          <w:rFonts w:cs="Arial"/>
          <w:szCs w:val="20"/>
          <w:lang w:val="sl-SI"/>
        </w:rPr>
      </w:pPr>
    </w:p>
    <w:p w14:paraId="0F76D445" w14:textId="0D58D2F4" w:rsidR="0005106C" w:rsidRPr="00885BD1" w:rsidRDefault="0005106C" w:rsidP="00E546B0">
      <w:pPr>
        <w:pStyle w:val="Naslov1"/>
      </w:pPr>
      <w:bookmarkStart w:id="20" w:name="_Toc117692279"/>
      <w:r w:rsidRPr="00885BD1">
        <w:t>2.</w:t>
      </w:r>
      <w:r w:rsidR="003669FA" w:rsidRPr="00885BD1">
        <w:t xml:space="preserve"> </w:t>
      </w:r>
      <w:r w:rsidRPr="00885BD1">
        <w:t>3 Druge pomembne listine in dokumenti</w:t>
      </w:r>
      <w:bookmarkEnd w:id="20"/>
    </w:p>
    <w:p w14:paraId="6FF7990E" w14:textId="77777777" w:rsidR="0005106C" w:rsidRPr="00885BD1" w:rsidRDefault="0005106C" w:rsidP="00CD4BC8">
      <w:pPr>
        <w:jc w:val="both"/>
        <w:rPr>
          <w:rFonts w:cs="Arial"/>
          <w:b/>
          <w:bCs/>
          <w:szCs w:val="20"/>
          <w:lang w:val="sl-SI"/>
        </w:rPr>
      </w:pPr>
    </w:p>
    <w:p w14:paraId="5B5FA95C" w14:textId="6DA8882A" w:rsidR="005D0CBF" w:rsidRPr="00885BD1" w:rsidRDefault="005D0CBF" w:rsidP="00CD4BC8">
      <w:pPr>
        <w:jc w:val="both"/>
        <w:rPr>
          <w:rFonts w:cs="Arial"/>
          <w:szCs w:val="20"/>
          <w:lang w:val="sl-SI"/>
        </w:rPr>
      </w:pPr>
      <w:r w:rsidRPr="00885BD1">
        <w:rPr>
          <w:rFonts w:cs="Arial"/>
          <w:szCs w:val="20"/>
          <w:lang w:val="sl-SI"/>
        </w:rPr>
        <w:t>Konvencija o pravicah invalidov</w:t>
      </w:r>
      <w:r w:rsidR="002A7A07" w:rsidRPr="00885BD1">
        <w:rPr>
          <w:rStyle w:val="Sprotnaopomba-sklic"/>
          <w:rFonts w:cs="Arial"/>
          <w:szCs w:val="20"/>
          <w:lang w:val="sl-SI"/>
        </w:rPr>
        <w:footnoteReference w:id="18"/>
      </w:r>
      <w:r w:rsidRPr="00885BD1">
        <w:rPr>
          <w:rFonts w:cs="Arial"/>
          <w:szCs w:val="20"/>
          <w:lang w:val="sl-SI"/>
        </w:rPr>
        <w:t xml:space="preserve"> med drugim zahteva od držav podpisnic, da podpirajo deinstitucionalizacijo in čim dlje omogočijo osebam z invalidnostmi bivanje v domačem okolju.</w:t>
      </w:r>
    </w:p>
    <w:p w14:paraId="17FE1447" w14:textId="77777777" w:rsidR="00E6375F" w:rsidRPr="00885BD1" w:rsidRDefault="00E6375F" w:rsidP="00CD4BC8">
      <w:pPr>
        <w:jc w:val="both"/>
        <w:rPr>
          <w:rFonts w:cs="Arial"/>
          <w:szCs w:val="20"/>
          <w:lang w:val="sl-SI"/>
        </w:rPr>
      </w:pPr>
    </w:p>
    <w:p w14:paraId="57E69A6B" w14:textId="642E774A" w:rsidR="005107E8" w:rsidRPr="00885BD1" w:rsidRDefault="009200C4" w:rsidP="00CD4BC8">
      <w:pPr>
        <w:jc w:val="both"/>
        <w:rPr>
          <w:rFonts w:cs="Arial"/>
          <w:szCs w:val="20"/>
          <w:lang w:val="sl-SI"/>
        </w:rPr>
      </w:pPr>
      <w:r>
        <w:rPr>
          <w:rFonts w:cs="Arial"/>
          <w:szCs w:val="20"/>
          <w:lang w:val="sl-SI"/>
        </w:rPr>
        <w:t>Svetovni o</w:t>
      </w:r>
      <w:r w:rsidR="00FB7131" w:rsidRPr="00885BD1">
        <w:rPr>
          <w:rFonts w:cs="Arial"/>
          <w:szCs w:val="20"/>
          <w:lang w:val="sl-SI"/>
        </w:rPr>
        <w:t>bservatorij za demenco</w:t>
      </w:r>
      <w:r w:rsidR="00EE3C46" w:rsidRPr="00885BD1">
        <w:rPr>
          <w:rStyle w:val="Sprotnaopomba-sklic"/>
          <w:rFonts w:cs="Arial"/>
          <w:szCs w:val="20"/>
          <w:lang w:val="sl-SI"/>
        </w:rPr>
        <w:footnoteReference w:id="19"/>
      </w:r>
      <w:r w:rsidR="00FB7131" w:rsidRPr="00885BD1">
        <w:rPr>
          <w:rFonts w:cs="Arial"/>
          <w:szCs w:val="20"/>
          <w:lang w:val="sl-SI"/>
        </w:rPr>
        <w:t xml:space="preserve"> </w:t>
      </w:r>
      <w:r w:rsidR="00DB0F86">
        <w:rPr>
          <w:rFonts w:cs="Arial"/>
          <w:szCs w:val="20"/>
          <w:lang w:val="sl-SI"/>
        </w:rPr>
        <w:t xml:space="preserve">pri </w:t>
      </w:r>
      <w:r w:rsidR="00FB7131" w:rsidRPr="00885BD1">
        <w:rPr>
          <w:rFonts w:cs="Arial"/>
          <w:szCs w:val="20"/>
          <w:lang w:val="sl-SI"/>
        </w:rPr>
        <w:t>SZO je nadzorni mehanizem za spremljanje sedmih prednostnih področij Svetovnega načrta za odgovor javnega zdravja na demenco 2017</w:t>
      </w:r>
      <w:r w:rsidR="00EE3C46" w:rsidRPr="00885BD1">
        <w:rPr>
          <w:rFonts w:cs="Arial"/>
          <w:szCs w:val="20"/>
          <w:lang w:val="sl-SI"/>
        </w:rPr>
        <w:t xml:space="preserve"> </w:t>
      </w:r>
      <w:r w:rsidR="00FB7131" w:rsidRPr="00885BD1">
        <w:rPr>
          <w:rFonts w:cs="Arial"/>
          <w:szCs w:val="20"/>
          <w:lang w:val="sl-SI"/>
        </w:rPr>
        <w:t>-</w:t>
      </w:r>
      <w:r w:rsidR="00EE3C46" w:rsidRPr="00885BD1">
        <w:rPr>
          <w:rFonts w:cs="Arial"/>
          <w:szCs w:val="20"/>
          <w:lang w:val="sl-SI"/>
        </w:rPr>
        <w:t xml:space="preserve"> </w:t>
      </w:r>
      <w:r w:rsidR="00FB7131" w:rsidRPr="00885BD1">
        <w:rPr>
          <w:rFonts w:cs="Arial"/>
          <w:szCs w:val="20"/>
          <w:lang w:val="sl-SI"/>
        </w:rPr>
        <w:t xml:space="preserve">2025 </w:t>
      </w:r>
      <w:r w:rsidR="00F11A80" w:rsidRPr="00885BD1">
        <w:rPr>
          <w:rFonts w:cs="Arial"/>
          <w:szCs w:val="20"/>
          <w:lang w:val="sl-SI"/>
        </w:rPr>
        <w:t>SZO</w:t>
      </w:r>
      <w:r w:rsidR="00EE3C46" w:rsidRPr="00885BD1">
        <w:rPr>
          <w:rStyle w:val="Sprotnaopomba-sklic"/>
          <w:rFonts w:cs="Arial"/>
          <w:szCs w:val="20"/>
          <w:lang w:val="sl-SI"/>
        </w:rPr>
        <w:footnoteReference w:id="20"/>
      </w:r>
      <w:r w:rsidR="0005106C" w:rsidRPr="00885BD1">
        <w:rPr>
          <w:rFonts w:cs="Arial"/>
          <w:szCs w:val="20"/>
          <w:lang w:val="sl-SI"/>
        </w:rPr>
        <w:t>, ki</w:t>
      </w:r>
      <w:r w:rsidR="00844BAB" w:rsidRPr="00885BD1">
        <w:rPr>
          <w:rFonts w:cs="Arial"/>
          <w:szCs w:val="20"/>
          <w:lang w:val="sl-SI"/>
        </w:rPr>
        <w:t xml:space="preserve"> omogoča </w:t>
      </w:r>
      <w:r w:rsidR="0005106C" w:rsidRPr="00885BD1">
        <w:rPr>
          <w:rFonts w:cs="Arial"/>
          <w:szCs w:val="20"/>
          <w:lang w:val="sl-SI"/>
        </w:rPr>
        <w:t>izmenjavo podatkov držav članic</w:t>
      </w:r>
      <w:r w:rsidR="00FB7131" w:rsidRPr="00885BD1">
        <w:rPr>
          <w:rFonts w:cs="Arial"/>
          <w:szCs w:val="20"/>
          <w:lang w:val="sl-SI"/>
        </w:rPr>
        <w:t>.</w:t>
      </w:r>
    </w:p>
    <w:p w14:paraId="1658605A" w14:textId="77777777" w:rsidR="00FB7131" w:rsidRPr="00885BD1" w:rsidRDefault="00FB7131" w:rsidP="00CD4BC8">
      <w:pPr>
        <w:jc w:val="both"/>
        <w:rPr>
          <w:rFonts w:cs="Arial"/>
          <w:szCs w:val="20"/>
          <w:lang w:val="sl-SI"/>
        </w:rPr>
      </w:pPr>
    </w:p>
    <w:p w14:paraId="6759508B" w14:textId="5AB74641" w:rsidR="00B86F84" w:rsidRPr="00885BD1" w:rsidRDefault="00C1155B" w:rsidP="00CD4BC8">
      <w:pPr>
        <w:jc w:val="both"/>
        <w:rPr>
          <w:rFonts w:cs="Arial"/>
          <w:szCs w:val="20"/>
          <w:lang w:val="sl-SI"/>
        </w:rPr>
      </w:pPr>
      <w:r w:rsidRPr="00885BD1">
        <w:rPr>
          <w:rFonts w:cs="Arial"/>
          <w:szCs w:val="20"/>
          <w:lang w:val="sl-SI"/>
        </w:rPr>
        <w:t>Izhodišče za oblikovane Evropske strategije za demenco in oblikovanj</w:t>
      </w:r>
      <w:r w:rsidR="006945BD" w:rsidRPr="00885BD1">
        <w:rPr>
          <w:rFonts w:cs="Arial"/>
          <w:szCs w:val="20"/>
          <w:lang w:val="sl-SI"/>
        </w:rPr>
        <w:t>e</w:t>
      </w:r>
      <w:r w:rsidRPr="00885BD1">
        <w:rPr>
          <w:rFonts w:cs="Arial"/>
          <w:szCs w:val="20"/>
          <w:lang w:val="sl-SI"/>
        </w:rPr>
        <w:t xml:space="preserve"> strategij za demenco v vseh evropskih državah opredeljuje </w:t>
      </w:r>
      <w:r w:rsidR="00F11A80" w:rsidRPr="00885BD1">
        <w:rPr>
          <w:rFonts w:cs="Arial"/>
          <w:szCs w:val="20"/>
          <w:lang w:val="sl-SI"/>
        </w:rPr>
        <w:t>Glasgowsk</w:t>
      </w:r>
      <w:r w:rsidRPr="00885BD1">
        <w:rPr>
          <w:rFonts w:cs="Arial"/>
          <w:szCs w:val="20"/>
          <w:lang w:val="sl-SI"/>
        </w:rPr>
        <w:t>a</w:t>
      </w:r>
      <w:r w:rsidR="00F11A80" w:rsidRPr="00885BD1">
        <w:rPr>
          <w:rFonts w:cs="Arial"/>
          <w:szCs w:val="20"/>
          <w:lang w:val="sl-SI"/>
        </w:rPr>
        <w:t xml:space="preserve"> deklaracij</w:t>
      </w:r>
      <w:r w:rsidRPr="00885BD1">
        <w:rPr>
          <w:rFonts w:cs="Arial"/>
          <w:szCs w:val="20"/>
          <w:lang w:val="sl-SI"/>
        </w:rPr>
        <w:t>a</w:t>
      </w:r>
      <w:r w:rsidR="00F11A80" w:rsidRPr="00885BD1">
        <w:rPr>
          <w:rFonts w:cs="Arial"/>
          <w:szCs w:val="20"/>
          <w:lang w:val="sl-SI"/>
        </w:rPr>
        <w:t>, ki</w:t>
      </w:r>
      <w:r w:rsidRPr="00885BD1">
        <w:rPr>
          <w:rFonts w:cs="Arial"/>
          <w:szCs w:val="20"/>
          <w:lang w:val="sl-SI"/>
        </w:rPr>
        <w:t xml:space="preserve"> p</w:t>
      </w:r>
      <w:r w:rsidR="0065540A" w:rsidRPr="00885BD1">
        <w:rPr>
          <w:rFonts w:cs="Arial"/>
          <w:szCs w:val="20"/>
          <w:lang w:val="sl-SI"/>
        </w:rPr>
        <w:t>oz</w:t>
      </w:r>
      <w:r w:rsidRPr="00885BD1">
        <w:rPr>
          <w:rFonts w:cs="Arial"/>
          <w:szCs w:val="20"/>
          <w:lang w:val="sl-SI"/>
        </w:rPr>
        <w:t xml:space="preserve">iva </w:t>
      </w:r>
      <w:r w:rsidR="0065540A" w:rsidRPr="00885BD1">
        <w:rPr>
          <w:rFonts w:cs="Arial"/>
          <w:szCs w:val="20"/>
          <w:lang w:val="sl-SI"/>
        </w:rPr>
        <w:t xml:space="preserve">k zagotavljanju pravic, dostojanstva in avtonomije posameznikov z demenco, blaženju negativnih posledic v družbi. </w:t>
      </w:r>
    </w:p>
    <w:p w14:paraId="24549578" w14:textId="5A273623" w:rsidR="009575CD" w:rsidRPr="00A31350" w:rsidRDefault="00B86F84" w:rsidP="00E546B0">
      <w:pPr>
        <w:pStyle w:val="Naslov1"/>
      </w:pPr>
      <w:bookmarkStart w:id="21" w:name="_Toc117692280"/>
      <w:r w:rsidRPr="00A31350">
        <w:t xml:space="preserve">2.4 </w:t>
      </w:r>
      <w:r w:rsidR="0005106C" w:rsidRPr="00A31350">
        <w:t>Programi in storitve za osebe z demenco in njihove svojce</w:t>
      </w:r>
      <w:bookmarkEnd w:id="21"/>
    </w:p>
    <w:p w14:paraId="68881DAF" w14:textId="21EBB854" w:rsidR="002C4C61" w:rsidRPr="00885BD1" w:rsidRDefault="002C4C61" w:rsidP="002C4C61">
      <w:pPr>
        <w:jc w:val="both"/>
        <w:rPr>
          <w:rFonts w:cs="Arial"/>
          <w:szCs w:val="20"/>
          <w:lang w:val="sl-SI"/>
        </w:rPr>
      </w:pPr>
    </w:p>
    <w:p w14:paraId="1FA2FB8A" w14:textId="0ABB104F" w:rsidR="00EE7271" w:rsidRPr="00885BD1" w:rsidRDefault="00967A28" w:rsidP="002C4C61">
      <w:pPr>
        <w:jc w:val="both"/>
        <w:rPr>
          <w:rFonts w:cs="Arial"/>
          <w:szCs w:val="20"/>
          <w:lang w:val="sl-SI"/>
        </w:rPr>
      </w:pPr>
      <w:r w:rsidRPr="00885BD1">
        <w:rPr>
          <w:rFonts w:cs="Arial"/>
          <w:szCs w:val="20"/>
          <w:lang w:val="sl-SI"/>
        </w:rPr>
        <w:t xml:space="preserve">Na področju zdravstvenih storitev za obvladovanje demence pomeni največji izziv pomanjkanje ustrezno usposobljenega kadra in slabša povezanost med službami in resorji. </w:t>
      </w:r>
      <w:r w:rsidR="00EE7271" w:rsidRPr="00885BD1">
        <w:rPr>
          <w:rFonts w:cs="Arial"/>
          <w:szCs w:val="20"/>
          <w:lang w:val="sl-SI"/>
        </w:rPr>
        <w:t>V Sloveniji se soočamo s pomanjkanjem kadra na področju zdravstva, zlasti podhranjena je primarna zdravstvena mreža. Število zdravnikov družinske medicine, kliničnih psihologov, delovnih terapevtov, fizioterapevtov, psihiatrov, nevrologov</w:t>
      </w:r>
      <w:r w:rsidR="000C6B0F">
        <w:rPr>
          <w:rFonts w:cs="Arial"/>
          <w:szCs w:val="20"/>
          <w:lang w:val="sl-SI"/>
        </w:rPr>
        <w:t>, medicinskih sester</w:t>
      </w:r>
      <w:r w:rsidR="00EE7271" w:rsidRPr="00885BD1">
        <w:rPr>
          <w:rFonts w:cs="Arial"/>
          <w:szCs w:val="20"/>
          <w:lang w:val="sl-SI"/>
        </w:rPr>
        <w:t xml:space="preserve"> in drugih zdravstvenih delavcev ne zadošča za potrebe prebivalstva, </w:t>
      </w:r>
      <w:r w:rsidR="006945BD" w:rsidRPr="00885BD1">
        <w:rPr>
          <w:rFonts w:cs="Arial"/>
          <w:szCs w:val="20"/>
          <w:lang w:val="sl-SI"/>
        </w:rPr>
        <w:t xml:space="preserve">pomanjkljivost je v odsotnosti geriatrov in pomanjkanje znanj s področja </w:t>
      </w:r>
      <w:r w:rsidR="00EE7271" w:rsidRPr="00885BD1">
        <w:rPr>
          <w:rFonts w:cs="Arial"/>
          <w:szCs w:val="20"/>
          <w:lang w:val="sl-SI"/>
        </w:rPr>
        <w:t>gerontologij</w:t>
      </w:r>
      <w:r w:rsidR="006945BD" w:rsidRPr="00885BD1">
        <w:rPr>
          <w:rFonts w:cs="Arial"/>
          <w:szCs w:val="20"/>
          <w:lang w:val="sl-SI"/>
        </w:rPr>
        <w:t>e</w:t>
      </w:r>
      <w:r w:rsidR="00EE7271" w:rsidRPr="00885BD1">
        <w:rPr>
          <w:rFonts w:cs="Arial"/>
          <w:szCs w:val="20"/>
          <w:lang w:val="sl-SI"/>
        </w:rPr>
        <w:t>.</w:t>
      </w:r>
      <w:r w:rsidRPr="00885BD1">
        <w:rPr>
          <w:rFonts w:cs="Arial"/>
          <w:szCs w:val="20"/>
          <w:lang w:val="sl-SI"/>
        </w:rPr>
        <w:t xml:space="preserve"> Podrobneje je zdravstvena dejavnost predstavljena v </w:t>
      </w:r>
      <w:r w:rsidR="006945BD" w:rsidRPr="00885BD1">
        <w:rPr>
          <w:rFonts w:cs="Arial"/>
          <w:szCs w:val="20"/>
          <w:lang w:val="sl-SI"/>
        </w:rPr>
        <w:t>tretjem poglavju.</w:t>
      </w:r>
    </w:p>
    <w:p w14:paraId="67607376" w14:textId="77777777" w:rsidR="00EE7271" w:rsidRPr="00885BD1" w:rsidRDefault="00EE7271" w:rsidP="002C4C61">
      <w:pPr>
        <w:jc w:val="both"/>
        <w:rPr>
          <w:rFonts w:cs="Arial"/>
          <w:szCs w:val="20"/>
          <w:lang w:val="sl-SI"/>
        </w:rPr>
      </w:pPr>
    </w:p>
    <w:p w14:paraId="5EC3782D" w14:textId="782CBD34" w:rsidR="002C2EEC" w:rsidRPr="00885BD1" w:rsidRDefault="002C2EEC" w:rsidP="002C2EEC">
      <w:pPr>
        <w:jc w:val="both"/>
        <w:rPr>
          <w:rFonts w:cs="Arial"/>
          <w:szCs w:val="20"/>
          <w:lang w:val="sl-SI"/>
        </w:rPr>
      </w:pPr>
      <w:r w:rsidRPr="00885BD1">
        <w:rPr>
          <w:rFonts w:cs="Arial"/>
          <w:szCs w:val="20"/>
          <w:lang w:val="sl-SI"/>
        </w:rPr>
        <w:t>Mrežo storitev in programov socialnega varstva je v obdobju realizacije prve Strategije za obvladovanje demence določala Resolucija o nacionalnem programu socialnega varstva za obdobje 2013-2016</w:t>
      </w:r>
      <w:r w:rsidR="00481F49" w:rsidRPr="00885BD1">
        <w:rPr>
          <w:rStyle w:val="Sprotnaopomba-sklic"/>
          <w:rFonts w:cs="Arial"/>
          <w:szCs w:val="20"/>
          <w:lang w:val="sl-SI"/>
        </w:rPr>
        <w:footnoteReference w:id="21"/>
      </w:r>
      <w:r w:rsidR="006945BD" w:rsidRPr="00885BD1">
        <w:rPr>
          <w:rFonts w:cs="Arial"/>
          <w:szCs w:val="20"/>
          <w:lang w:val="sl-SI"/>
        </w:rPr>
        <w:t xml:space="preserve">, ki je </w:t>
      </w:r>
      <w:r w:rsidRPr="00885BD1">
        <w:rPr>
          <w:rFonts w:cs="Arial"/>
          <w:szCs w:val="20"/>
          <w:lang w:val="sl-SI"/>
        </w:rPr>
        <w:t>sledila temeljnim ciljem: zagotoviti dostopnosti in dosegljivosti storitev in programov ter izboljšanje razmerja med institucionalnimi in skupnostnimi oblikami varstva, v prid slednjim.</w:t>
      </w:r>
      <w:r w:rsidR="001F4DBD" w:rsidRPr="00885BD1">
        <w:rPr>
          <w:rFonts w:cs="Arial"/>
          <w:szCs w:val="20"/>
          <w:lang w:val="sl-SI"/>
        </w:rPr>
        <w:t xml:space="preserve"> </w:t>
      </w:r>
      <w:r w:rsidRPr="00885BD1">
        <w:rPr>
          <w:rFonts w:cs="Arial"/>
          <w:szCs w:val="20"/>
          <w:lang w:val="sl-SI"/>
        </w:rPr>
        <w:t>Razmerje med omenjenimi storitvami se je sicer izboljšalo od začetnega razmerja 1:2 na 1:1,08, vendar ostaja institucionalno varstvo še vedno prevladujoča oblika storitev. Tako razmerje zmanjšuje možnost izbire storitve, pomanjkanje ponudbe storitev v skupnosti pa tudi ne zagotavlja možnosti, da uporabnik prejme storitev v obsegu, ki jo potrebuje.</w:t>
      </w:r>
      <w:r w:rsidR="00F11A80" w:rsidRPr="00885BD1">
        <w:rPr>
          <w:rFonts w:cs="Arial"/>
          <w:szCs w:val="20"/>
          <w:lang w:val="sl-SI"/>
        </w:rPr>
        <w:t xml:space="preserve"> </w:t>
      </w:r>
      <w:r w:rsidRPr="00885BD1">
        <w:rPr>
          <w:rFonts w:cs="Arial"/>
          <w:szCs w:val="20"/>
          <w:lang w:val="sl-SI"/>
        </w:rPr>
        <w:t xml:space="preserve">Med pomembnejšimi cilji je </w:t>
      </w:r>
      <w:r w:rsidR="00C94E0B" w:rsidRPr="00885BD1">
        <w:rPr>
          <w:rFonts w:cs="Arial"/>
          <w:szCs w:val="20"/>
          <w:lang w:val="sl-SI"/>
        </w:rPr>
        <w:t>bila</w:t>
      </w:r>
      <w:r w:rsidRPr="00885BD1">
        <w:rPr>
          <w:rFonts w:cs="Arial"/>
          <w:szCs w:val="20"/>
          <w:lang w:val="sl-SI"/>
        </w:rPr>
        <w:t xml:space="preserve"> prilagoditev storitev osebam z demenco. </w:t>
      </w:r>
      <w:r w:rsidR="006945BD" w:rsidRPr="00885BD1">
        <w:rPr>
          <w:rFonts w:cs="Arial"/>
          <w:szCs w:val="20"/>
          <w:lang w:val="sl-SI"/>
        </w:rPr>
        <w:t>V</w:t>
      </w:r>
      <w:r w:rsidR="00C94E0B" w:rsidRPr="00885BD1">
        <w:rPr>
          <w:rFonts w:cs="Arial"/>
          <w:szCs w:val="20"/>
          <w:lang w:val="sl-SI"/>
        </w:rPr>
        <w:t xml:space="preserve"> </w:t>
      </w:r>
      <w:r w:rsidRPr="00885BD1">
        <w:rPr>
          <w:rFonts w:cs="Arial"/>
          <w:szCs w:val="20"/>
          <w:lang w:val="sl-SI"/>
        </w:rPr>
        <w:t xml:space="preserve">okviru institucionalnega varstva starejših </w:t>
      </w:r>
      <w:r w:rsidR="006945BD" w:rsidRPr="00885BD1">
        <w:rPr>
          <w:rFonts w:cs="Arial"/>
          <w:szCs w:val="20"/>
          <w:lang w:val="sl-SI"/>
        </w:rPr>
        <w:t xml:space="preserve">je bil </w:t>
      </w:r>
      <w:r w:rsidRPr="00885BD1">
        <w:rPr>
          <w:rFonts w:cs="Arial"/>
          <w:szCs w:val="20"/>
          <w:lang w:val="sl-SI"/>
        </w:rPr>
        <w:t>nare</w:t>
      </w:r>
      <w:r w:rsidR="00C94E0B" w:rsidRPr="00885BD1">
        <w:rPr>
          <w:rFonts w:cs="Arial"/>
          <w:szCs w:val="20"/>
          <w:lang w:val="sl-SI"/>
        </w:rPr>
        <w:t>jen</w:t>
      </w:r>
      <w:r w:rsidRPr="00885BD1">
        <w:rPr>
          <w:rFonts w:cs="Arial"/>
          <w:szCs w:val="20"/>
          <w:lang w:val="sl-SI"/>
        </w:rPr>
        <w:t xml:space="preserve"> pomemben premik pri uvajanju sodobnih konceptov del</w:t>
      </w:r>
      <w:r w:rsidR="008E2C62" w:rsidRPr="00885BD1">
        <w:rPr>
          <w:rFonts w:cs="Arial"/>
          <w:szCs w:val="20"/>
          <w:lang w:val="sl-SI"/>
        </w:rPr>
        <w:t>a</w:t>
      </w:r>
      <w:r w:rsidRPr="00885BD1">
        <w:rPr>
          <w:rFonts w:cs="Arial"/>
          <w:szCs w:val="20"/>
          <w:lang w:val="sl-SI"/>
        </w:rPr>
        <w:t xml:space="preserve"> z osebami z demenco in ustvarjanju prijaznejšega bivalnega okolja, prilagoditve </w:t>
      </w:r>
      <w:r w:rsidR="00101D4E" w:rsidRPr="00885BD1">
        <w:rPr>
          <w:rFonts w:cs="Arial"/>
          <w:szCs w:val="20"/>
          <w:lang w:val="sl-SI"/>
        </w:rPr>
        <w:t xml:space="preserve">v skupnosti </w:t>
      </w:r>
      <w:r w:rsidRPr="00885BD1">
        <w:rPr>
          <w:rFonts w:cs="Arial"/>
          <w:szCs w:val="20"/>
          <w:lang w:val="sl-SI"/>
        </w:rPr>
        <w:t xml:space="preserve">v večji meri </w:t>
      </w:r>
      <w:r w:rsidR="00101D4E" w:rsidRPr="00885BD1">
        <w:rPr>
          <w:rFonts w:cs="Arial"/>
          <w:szCs w:val="20"/>
          <w:lang w:val="sl-SI"/>
        </w:rPr>
        <w:t>niso bile izvedene</w:t>
      </w:r>
      <w:r w:rsidRPr="00885BD1">
        <w:rPr>
          <w:rFonts w:cs="Arial"/>
          <w:szCs w:val="20"/>
          <w:lang w:val="sl-SI"/>
        </w:rPr>
        <w:t xml:space="preserve">. Prav tako se niso v skladu s potrebami širile in prilagajale storitve dnevnega varstva in začasnih namestitev. </w:t>
      </w:r>
    </w:p>
    <w:p w14:paraId="6C82489E" w14:textId="77777777" w:rsidR="00F11A80" w:rsidRPr="00885BD1" w:rsidRDefault="00F11A80" w:rsidP="002C2EEC">
      <w:pPr>
        <w:jc w:val="both"/>
        <w:rPr>
          <w:rFonts w:cs="Arial"/>
          <w:szCs w:val="20"/>
          <w:lang w:val="sl-SI"/>
        </w:rPr>
      </w:pPr>
    </w:p>
    <w:p w14:paraId="0BE64C97" w14:textId="7D9F2546" w:rsidR="002C2EEC" w:rsidRPr="00885BD1" w:rsidRDefault="002C2EEC" w:rsidP="002C2EEC">
      <w:pPr>
        <w:jc w:val="both"/>
        <w:rPr>
          <w:rFonts w:cs="Arial"/>
          <w:szCs w:val="20"/>
          <w:lang w:val="sl-SI"/>
        </w:rPr>
      </w:pPr>
      <w:r w:rsidRPr="00885BD1">
        <w:rPr>
          <w:rFonts w:cs="Arial"/>
          <w:szCs w:val="20"/>
          <w:lang w:val="sl-SI"/>
        </w:rPr>
        <w:t xml:space="preserve">Zaposleni pri izvajalcih storitev se </w:t>
      </w:r>
      <w:bookmarkStart w:id="23" w:name="_Hlk95464210"/>
      <w:r w:rsidR="00101D4E" w:rsidRPr="00885BD1">
        <w:rPr>
          <w:rFonts w:cs="Arial"/>
          <w:szCs w:val="20"/>
          <w:lang w:val="sl-SI"/>
        </w:rPr>
        <w:t>i</w:t>
      </w:r>
      <w:r w:rsidRPr="00885BD1">
        <w:rPr>
          <w:rFonts w:cs="Arial"/>
          <w:szCs w:val="20"/>
          <w:lang w:val="sl-SI"/>
        </w:rPr>
        <w:t>z</w:t>
      </w:r>
      <w:r w:rsidR="00101D4E" w:rsidRPr="00885BD1">
        <w:rPr>
          <w:rFonts w:cs="Arial"/>
          <w:szCs w:val="20"/>
          <w:lang w:val="sl-SI"/>
        </w:rPr>
        <w:t xml:space="preserve">popolnjujejo </w:t>
      </w:r>
      <w:r w:rsidRPr="00885BD1">
        <w:rPr>
          <w:rFonts w:cs="Arial"/>
          <w:szCs w:val="20"/>
          <w:lang w:val="sl-SI"/>
        </w:rPr>
        <w:t>in usposablja</w:t>
      </w:r>
      <w:r w:rsidR="00101D4E" w:rsidRPr="00885BD1">
        <w:rPr>
          <w:rFonts w:cs="Arial"/>
          <w:szCs w:val="20"/>
          <w:lang w:val="sl-SI"/>
        </w:rPr>
        <w:t>jo</w:t>
      </w:r>
      <w:r w:rsidRPr="00885BD1">
        <w:rPr>
          <w:rFonts w:cs="Arial"/>
          <w:szCs w:val="20"/>
          <w:lang w:val="sl-SI"/>
        </w:rPr>
        <w:t xml:space="preserve"> </w:t>
      </w:r>
      <w:bookmarkEnd w:id="23"/>
      <w:r w:rsidRPr="00885BD1">
        <w:rPr>
          <w:rFonts w:cs="Arial"/>
          <w:szCs w:val="20"/>
          <w:lang w:val="sl-SI"/>
        </w:rPr>
        <w:t xml:space="preserve">za delo z osebami z demenco. Za nadaljnji razvoj in prilagajanje storitev je </w:t>
      </w:r>
      <w:r w:rsidR="00101D4E" w:rsidRPr="00885BD1">
        <w:rPr>
          <w:rFonts w:cs="Arial"/>
          <w:szCs w:val="20"/>
          <w:lang w:val="sl-SI"/>
        </w:rPr>
        <w:t>izpopolnjevanje in usposabljanje</w:t>
      </w:r>
      <w:r w:rsidRPr="00885BD1">
        <w:rPr>
          <w:rFonts w:cs="Arial"/>
          <w:szCs w:val="20"/>
          <w:lang w:val="sl-SI"/>
        </w:rPr>
        <w:t xml:space="preserve"> ključnega pomena, zato mora biti načrtovano in ciljno usmerjeno.</w:t>
      </w:r>
    </w:p>
    <w:p w14:paraId="00D6DADF" w14:textId="77777777" w:rsidR="00F11A80" w:rsidRPr="00885BD1" w:rsidRDefault="00F11A80" w:rsidP="002C2EEC">
      <w:pPr>
        <w:jc w:val="both"/>
        <w:rPr>
          <w:rFonts w:cs="Arial"/>
          <w:szCs w:val="20"/>
          <w:lang w:val="sl-SI"/>
        </w:rPr>
      </w:pPr>
    </w:p>
    <w:p w14:paraId="1D14E219" w14:textId="456D5AB3" w:rsidR="002C2EEC" w:rsidRPr="00885BD1" w:rsidRDefault="002C2EEC" w:rsidP="002C2EEC">
      <w:pPr>
        <w:jc w:val="both"/>
        <w:rPr>
          <w:rFonts w:cs="Arial"/>
          <w:szCs w:val="20"/>
          <w:lang w:val="sl-SI"/>
        </w:rPr>
      </w:pPr>
      <w:r w:rsidRPr="00885BD1">
        <w:rPr>
          <w:rFonts w:cs="Arial"/>
          <w:szCs w:val="20"/>
          <w:lang w:val="sl-SI"/>
        </w:rPr>
        <w:lastRenderedPageBreak/>
        <w:t xml:space="preserve">V </w:t>
      </w:r>
      <w:r w:rsidR="00101D4E" w:rsidRPr="00885BD1">
        <w:rPr>
          <w:rFonts w:cs="Arial"/>
          <w:szCs w:val="20"/>
          <w:lang w:val="sl-SI"/>
        </w:rPr>
        <w:t>zadnjih letih</w:t>
      </w:r>
      <w:r w:rsidRPr="00885BD1">
        <w:rPr>
          <w:rFonts w:cs="Arial"/>
          <w:szCs w:val="20"/>
          <w:lang w:val="sl-SI"/>
        </w:rPr>
        <w:t xml:space="preserve"> je zaznati premik pri zmanjševanju stereotipov o demenci tudi zaradi okrepljenih aktivnosti socialnovarstvenih programov pri o</w:t>
      </w:r>
      <w:r w:rsidR="002B3EC5" w:rsidRPr="00885BD1">
        <w:rPr>
          <w:rFonts w:cs="Arial"/>
          <w:szCs w:val="20"/>
          <w:lang w:val="sl-SI"/>
        </w:rPr>
        <w:t>s</w:t>
      </w:r>
      <w:r w:rsidRPr="00885BD1">
        <w:rPr>
          <w:rFonts w:cs="Arial"/>
          <w:szCs w:val="20"/>
          <w:lang w:val="sl-SI"/>
        </w:rPr>
        <w:t>veščanju in izobraževanju oseb z demenco, svojcev ter okolja. Socialnovarstveni programi, ki so prilagojeni za delo z osebami z demenco, zagotavlja</w:t>
      </w:r>
      <w:r w:rsidR="00101D4E" w:rsidRPr="00885BD1">
        <w:rPr>
          <w:rFonts w:cs="Arial"/>
          <w:szCs w:val="20"/>
          <w:lang w:val="sl-SI"/>
        </w:rPr>
        <w:t>jo</w:t>
      </w:r>
      <w:r w:rsidRPr="00885BD1">
        <w:rPr>
          <w:rFonts w:cs="Arial"/>
          <w:szCs w:val="20"/>
          <w:lang w:val="sl-SI"/>
        </w:rPr>
        <w:t xml:space="preserve"> različne oblike pomoči</w:t>
      </w:r>
      <w:r w:rsidR="001F4DBD" w:rsidRPr="00885BD1">
        <w:rPr>
          <w:rFonts w:cs="Arial"/>
          <w:szCs w:val="20"/>
          <w:lang w:val="sl-SI"/>
        </w:rPr>
        <w:t>, n</w:t>
      </w:r>
      <w:r w:rsidRPr="00885BD1">
        <w:rPr>
          <w:rFonts w:cs="Arial"/>
          <w:szCs w:val="20"/>
          <w:lang w:val="sl-SI"/>
        </w:rPr>
        <w:t>jihovo delo je zato potrebno krepiti tudi v prihodnje.</w:t>
      </w:r>
    </w:p>
    <w:p w14:paraId="408D41DE" w14:textId="77777777" w:rsidR="00F11A80" w:rsidRPr="00885BD1" w:rsidRDefault="00F11A80" w:rsidP="002C2EEC">
      <w:pPr>
        <w:jc w:val="both"/>
        <w:rPr>
          <w:rFonts w:cs="Arial"/>
          <w:szCs w:val="20"/>
          <w:lang w:val="sl-SI"/>
        </w:rPr>
      </w:pPr>
    </w:p>
    <w:p w14:paraId="6AEFD64A" w14:textId="40C37871" w:rsidR="002C4C61" w:rsidRPr="00885BD1" w:rsidRDefault="002C2EEC" w:rsidP="002C2EEC">
      <w:pPr>
        <w:jc w:val="both"/>
        <w:rPr>
          <w:rFonts w:cs="Arial"/>
          <w:szCs w:val="20"/>
          <w:lang w:val="sl-SI"/>
        </w:rPr>
      </w:pPr>
      <w:r w:rsidRPr="00885BD1">
        <w:rPr>
          <w:rFonts w:cs="Arial"/>
          <w:szCs w:val="20"/>
          <w:lang w:val="sl-SI"/>
        </w:rPr>
        <w:t>Kljub številnim aktivnostim izvajalcev socialnovarstvenih storitev in programov ugotavljamo, da so osebe z demenco in njihovi svojci oz. neformalni oskrbovalci še vedno premalo informiran</w:t>
      </w:r>
      <w:r w:rsidR="000C6B0F">
        <w:rPr>
          <w:rFonts w:cs="Arial"/>
          <w:szCs w:val="20"/>
          <w:lang w:val="sl-SI"/>
        </w:rPr>
        <w:t>i</w:t>
      </w:r>
      <w:r w:rsidRPr="00885BD1">
        <w:rPr>
          <w:rFonts w:cs="Arial"/>
          <w:szCs w:val="20"/>
          <w:lang w:val="sl-SI"/>
        </w:rPr>
        <w:t xml:space="preserve"> o ponudbi storitev in programov ter možnostih vključitve, kar bo v naslednjem obdobju potrebno izboljšati.</w:t>
      </w:r>
    </w:p>
    <w:p w14:paraId="25AA1A3C" w14:textId="083D2125" w:rsidR="0005106C" w:rsidRPr="00885BD1" w:rsidRDefault="0005106C" w:rsidP="002C2EEC">
      <w:pPr>
        <w:jc w:val="both"/>
        <w:rPr>
          <w:rFonts w:cs="Arial"/>
          <w:szCs w:val="20"/>
          <w:lang w:val="sl-SI"/>
        </w:rPr>
      </w:pPr>
    </w:p>
    <w:p w14:paraId="79D003A8" w14:textId="25556F40" w:rsidR="00720E7C" w:rsidRPr="00885BD1" w:rsidRDefault="0005106C" w:rsidP="002C2EEC">
      <w:pPr>
        <w:jc w:val="both"/>
        <w:rPr>
          <w:rFonts w:cs="Arial"/>
          <w:szCs w:val="20"/>
          <w:lang w:val="sl-SI"/>
        </w:rPr>
      </w:pPr>
      <w:r w:rsidRPr="00885BD1">
        <w:rPr>
          <w:rFonts w:cs="Arial"/>
          <w:szCs w:val="20"/>
          <w:lang w:val="sl-SI"/>
        </w:rPr>
        <w:t xml:space="preserve">V Sloveniji </w:t>
      </w:r>
      <w:r w:rsidR="00273413" w:rsidRPr="00885BD1">
        <w:rPr>
          <w:rFonts w:cs="Arial"/>
          <w:szCs w:val="20"/>
          <w:lang w:val="sl-SI"/>
        </w:rPr>
        <w:t xml:space="preserve">imamo veliko programov in storitev za osebe z demenco in njihove svojce, ki se izvajajo na lokalni in nacionalni ravni v okvirju javnih služb, nevladnih organizacij in drugih izvajalcev. </w:t>
      </w:r>
      <w:r w:rsidR="000F26FD">
        <w:rPr>
          <w:rFonts w:cs="Arial"/>
          <w:szCs w:val="20"/>
          <w:lang w:val="sl-SI"/>
        </w:rPr>
        <w:t>U</w:t>
      </w:r>
      <w:r w:rsidR="00720E7C" w:rsidRPr="00885BD1">
        <w:rPr>
          <w:rFonts w:cs="Arial"/>
          <w:szCs w:val="20"/>
          <w:lang w:val="sl-SI"/>
        </w:rPr>
        <w:t xml:space="preserve">gotavljamo, da obstajajo med regijami velike razlike v dostopnosti do storitev v okviru javne zdravstvene mreže, glede številnih programov in storitev, ki jih izvajajo nevladne organizacije in drugi izvajalci pa nimamo pravega pregleda. Zato lahko upravičeno domnevamo, da storitve in programi za osebe z demenco in njihove svojce niso tako učinkoviti, kot </w:t>
      </w:r>
      <w:r w:rsidR="003764AC" w:rsidRPr="00885BD1">
        <w:rPr>
          <w:rFonts w:cs="Arial"/>
          <w:szCs w:val="20"/>
          <w:lang w:val="sl-SI"/>
        </w:rPr>
        <w:t>bi lahko bili z ustreznim načrtovanjem na nacionalni ravni in v sodelovanju z lokalnimi skupnostmi.</w:t>
      </w:r>
      <w:r w:rsidR="00967A28" w:rsidRPr="00885BD1">
        <w:rPr>
          <w:rFonts w:cs="Arial"/>
          <w:szCs w:val="20"/>
          <w:lang w:val="sl-SI"/>
        </w:rPr>
        <w:t xml:space="preserve"> Navedene pomanjkljivosti bodo </w:t>
      </w:r>
      <w:r w:rsidR="000F26FD">
        <w:rPr>
          <w:rFonts w:cs="Arial"/>
          <w:szCs w:val="20"/>
          <w:lang w:val="sl-SI"/>
        </w:rPr>
        <w:t>odpravljene</w:t>
      </w:r>
      <w:r w:rsidR="00967A28" w:rsidRPr="00885BD1">
        <w:rPr>
          <w:rFonts w:cs="Arial"/>
          <w:szCs w:val="20"/>
          <w:lang w:val="sl-SI"/>
        </w:rPr>
        <w:t>, ko bo</w:t>
      </w:r>
      <w:r w:rsidR="00126162">
        <w:rPr>
          <w:rFonts w:cs="Arial"/>
          <w:szCs w:val="20"/>
          <w:lang w:val="sl-SI"/>
        </w:rPr>
        <w:t xml:space="preserve"> vzpostavljen</w:t>
      </w:r>
      <w:r w:rsidR="00967A28" w:rsidRPr="00885BD1">
        <w:rPr>
          <w:rFonts w:cs="Arial"/>
          <w:szCs w:val="20"/>
          <w:lang w:val="sl-SI"/>
        </w:rPr>
        <w:t xml:space="preserve"> nacionalni center za obvladovanje demence na terciarni zdravstveni ravni</w:t>
      </w:r>
      <w:r w:rsidR="001B6D93" w:rsidRPr="00885BD1">
        <w:rPr>
          <w:rFonts w:cs="Arial"/>
          <w:szCs w:val="20"/>
          <w:lang w:val="sl-SI"/>
        </w:rPr>
        <w:t xml:space="preserve">. </w:t>
      </w:r>
    </w:p>
    <w:p w14:paraId="75801D17" w14:textId="77777777" w:rsidR="00967A28" w:rsidRPr="00885BD1" w:rsidRDefault="00967A28" w:rsidP="002C2EEC">
      <w:pPr>
        <w:jc w:val="both"/>
        <w:rPr>
          <w:rFonts w:cs="Arial"/>
          <w:b/>
          <w:bCs/>
          <w:szCs w:val="20"/>
          <w:lang w:val="sl-SI"/>
        </w:rPr>
      </w:pPr>
    </w:p>
    <w:p w14:paraId="2CE1F78F" w14:textId="687DF5C5" w:rsidR="00C841D5" w:rsidRPr="00885BD1" w:rsidRDefault="007C1E1C" w:rsidP="007C1E1C">
      <w:pPr>
        <w:keepNext/>
        <w:spacing w:before="240" w:after="60"/>
        <w:jc w:val="both"/>
        <w:outlineLvl w:val="0"/>
        <w:rPr>
          <w:rFonts w:eastAsiaTheme="majorEastAsia" w:cs="Arial"/>
          <w:color w:val="2F5496" w:themeColor="accent1" w:themeShade="BF"/>
          <w:kern w:val="32"/>
          <w:szCs w:val="20"/>
          <w:lang w:val="sl-SI" w:eastAsia="sl-SI"/>
        </w:rPr>
      </w:pPr>
      <w:bookmarkStart w:id="24" w:name="_Toc117692281"/>
      <w:r w:rsidRPr="00885BD1">
        <w:rPr>
          <w:rFonts w:eastAsiaTheme="majorEastAsia" w:cs="Arial"/>
          <w:color w:val="2F5496" w:themeColor="accent1" w:themeShade="BF"/>
          <w:kern w:val="32"/>
          <w:sz w:val="24"/>
          <w:lang w:val="sl-SI" w:eastAsia="sl-SI"/>
        </w:rPr>
        <w:t xml:space="preserve">2. 5 Varstvo pravic oseb z demenco in </w:t>
      </w:r>
      <w:r w:rsidR="00C841D5" w:rsidRPr="00885BD1">
        <w:rPr>
          <w:rFonts w:eastAsiaTheme="majorEastAsia" w:cs="Arial"/>
          <w:color w:val="2F5496" w:themeColor="accent1" w:themeShade="BF"/>
          <w:kern w:val="32"/>
          <w:sz w:val="24"/>
          <w:lang w:val="sl-SI" w:eastAsia="sl-SI"/>
        </w:rPr>
        <w:t>njihovih svojcev</w:t>
      </w:r>
      <w:bookmarkEnd w:id="24"/>
    </w:p>
    <w:p w14:paraId="36BED500" w14:textId="3FE41AB9" w:rsidR="007C1E1C" w:rsidRPr="00A31350" w:rsidRDefault="007C1E1C" w:rsidP="00E546B0">
      <w:pPr>
        <w:pStyle w:val="Naslov1"/>
        <w:rPr>
          <w:rStyle w:val="Intenzivenpoudarek"/>
          <w:i w:val="0"/>
          <w:iCs w:val="0"/>
        </w:rPr>
      </w:pPr>
      <w:bookmarkStart w:id="25" w:name="_Toc117692282"/>
      <w:r w:rsidRPr="00885BD1">
        <w:t>2</w:t>
      </w:r>
      <w:r w:rsidRPr="00A31350">
        <w:rPr>
          <w:rStyle w:val="Intenzivenpoudarek"/>
          <w:i w:val="0"/>
          <w:iCs w:val="0"/>
        </w:rPr>
        <w:t xml:space="preserve">. 5. 1 </w:t>
      </w:r>
      <w:r w:rsidR="00C841D5" w:rsidRPr="00A31350">
        <w:rPr>
          <w:rStyle w:val="Intenzivenpoudarek"/>
          <w:i w:val="0"/>
          <w:iCs w:val="0"/>
        </w:rPr>
        <w:t>Glasgowska deklaracija (</w:t>
      </w:r>
      <w:r w:rsidRPr="00A31350">
        <w:rPr>
          <w:rStyle w:val="Intenzivenpoudarek"/>
          <w:i w:val="0"/>
          <w:iCs w:val="0"/>
        </w:rPr>
        <w:t>Pravice oseb z demenco in njihovih svojcev</w:t>
      </w:r>
      <w:r w:rsidR="00C841D5" w:rsidRPr="00A31350">
        <w:rPr>
          <w:rStyle w:val="Intenzivenpoudarek"/>
          <w:i w:val="0"/>
          <w:iCs w:val="0"/>
        </w:rPr>
        <w:t>)</w:t>
      </w:r>
      <w:bookmarkEnd w:id="25"/>
      <w:r w:rsidRPr="00A31350">
        <w:rPr>
          <w:rStyle w:val="Intenzivenpoudarek"/>
          <w:i w:val="0"/>
          <w:iCs w:val="0"/>
        </w:rPr>
        <w:t xml:space="preserve"> </w:t>
      </w:r>
    </w:p>
    <w:p w14:paraId="51FE2CC0" w14:textId="77777777" w:rsidR="007C1E1C" w:rsidRPr="00BC7C26" w:rsidRDefault="007C1E1C" w:rsidP="00A31350">
      <w:pPr>
        <w:rPr>
          <w:rFonts w:eastAsiaTheme="majorEastAsia"/>
          <w:lang w:val="sl-SI"/>
        </w:rPr>
      </w:pPr>
    </w:p>
    <w:p w14:paraId="1F07B418" w14:textId="412FDA1A" w:rsidR="007C1E1C" w:rsidRPr="00885BD1" w:rsidRDefault="007C1E1C" w:rsidP="007C1E1C">
      <w:pPr>
        <w:jc w:val="both"/>
        <w:rPr>
          <w:lang w:val="sl-SI"/>
        </w:rPr>
      </w:pPr>
      <w:r w:rsidRPr="00885BD1">
        <w:rPr>
          <w:lang w:val="sl-SI"/>
        </w:rPr>
        <w:t xml:space="preserve">Demenca je bolezen, ki je v družbi še vedno močno stigmatizirana. Glavno priporočilo organizacij AE in ADI vsem </w:t>
      </w:r>
      <w:r w:rsidR="00E04BCB" w:rsidRPr="00885BD1">
        <w:rPr>
          <w:lang w:val="sl-SI"/>
        </w:rPr>
        <w:t xml:space="preserve">državam </w:t>
      </w:r>
      <w:r w:rsidRPr="00885BD1">
        <w:rPr>
          <w:lang w:val="sl-SI"/>
        </w:rPr>
        <w:t>članicam je povečati o</w:t>
      </w:r>
      <w:r w:rsidR="002B3EC5" w:rsidRPr="00885BD1">
        <w:rPr>
          <w:lang w:val="sl-SI"/>
        </w:rPr>
        <w:t>s</w:t>
      </w:r>
      <w:r w:rsidRPr="00885BD1">
        <w:rPr>
          <w:lang w:val="sl-SI"/>
        </w:rPr>
        <w:t>veščanje</w:t>
      </w:r>
      <w:r w:rsidR="00E04BCB" w:rsidRPr="00885BD1">
        <w:rPr>
          <w:lang w:val="sl-SI"/>
        </w:rPr>
        <w:t xml:space="preserve"> splošne in strokovne javnosti glede demence</w:t>
      </w:r>
      <w:r w:rsidRPr="00885BD1">
        <w:rPr>
          <w:lang w:val="sl-SI"/>
        </w:rPr>
        <w:t xml:space="preserve">, </w:t>
      </w:r>
      <w:r w:rsidR="00E04BCB" w:rsidRPr="00885BD1">
        <w:rPr>
          <w:lang w:val="sl-SI"/>
        </w:rPr>
        <w:t>izboljšati</w:t>
      </w:r>
      <w:r w:rsidRPr="00885BD1">
        <w:rPr>
          <w:lang w:val="sl-SI"/>
        </w:rPr>
        <w:t xml:space="preserve"> prepoznavanje prvih znakov</w:t>
      </w:r>
      <w:r w:rsidR="00E04BCB" w:rsidRPr="00885BD1">
        <w:rPr>
          <w:lang w:val="sl-SI"/>
        </w:rPr>
        <w:t xml:space="preserve"> bolezni</w:t>
      </w:r>
      <w:r w:rsidRPr="00885BD1">
        <w:rPr>
          <w:lang w:val="sl-SI"/>
        </w:rPr>
        <w:t xml:space="preserve"> in zmanjševati stigmo</w:t>
      </w:r>
      <w:r w:rsidR="0004453A" w:rsidRPr="00885BD1">
        <w:rPr>
          <w:lang w:val="sl-SI"/>
        </w:rPr>
        <w:t>.</w:t>
      </w:r>
      <w:r w:rsidRPr="00885BD1">
        <w:rPr>
          <w:lang w:val="sl-SI"/>
        </w:rPr>
        <w:t xml:space="preserve"> </w:t>
      </w:r>
      <w:r w:rsidR="0004453A" w:rsidRPr="00885BD1">
        <w:rPr>
          <w:lang w:val="sl-SI"/>
        </w:rPr>
        <w:t>P</w:t>
      </w:r>
      <w:r w:rsidRPr="00885BD1">
        <w:rPr>
          <w:lang w:val="sl-SI"/>
        </w:rPr>
        <w:t xml:space="preserve">osebno </w:t>
      </w:r>
      <w:r w:rsidR="0004453A" w:rsidRPr="00885BD1">
        <w:rPr>
          <w:lang w:val="sl-SI"/>
        </w:rPr>
        <w:t>skrb moramo</w:t>
      </w:r>
      <w:r w:rsidRPr="00885BD1">
        <w:rPr>
          <w:lang w:val="sl-SI"/>
        </w:rPr>
        <w:t xml:space="preserve"> nameniti zaščiti človekovih pravic oseb z demenco in urediti status svojcev, </w:t>
      </w:r>
      <w:r w:rsidR="0004453A" w:rsidRPr="00885BD1">
        <w:rPr>
          <w:lang w:val="sl-SI"/>
        </w:rPr>
        <w:t>ki so</w:t>
      </w:r>
      <w:r w:rsidRPr="00885BD1">
        <w:rPr>
          <w:lang w:val="sl-SI"/>
        </w:rPr>
        <w:t xml:space="preserve"> ob bolniku z demenco izpostavljeni </w:t>
      </w:r>
      <w:r w:rsidR="00CE1F51">
        <w:rPr>
          <w:lang w:val="sl-SI"/>
        </w:rPr>
        <w:t xml:space="preserve">tveganju </w:t>
      </w:r>
      <w:r w:rsidRPr="00885BD1">
        <w:rPr>
          <w:lang w:val="sl-SI"/>
        </w:rPr>
        <w:t>izgore</w:t>
      </w:r>
      <w:r w:rsidR="00CE1F51">
        <w:rPr>
          <w:lang w:val="sl-SI"/>
        </w:rPr>
        <w:t>losti</w:t>
      </w:r>
      <w:r w:rsidRPr="00885BD1">
        <w:rPr>
          <w:lang w:val="sl-SI"/>
        </w:rPr>
        <w:t xml:space="preserve"> in pogosto tudi sami zbolijo. Posebno pozornost je treb</w:t>
      </w:r>
      <w:r w:rsidR="00205663" w:rsidRPr="00885BD1">
        <w:rPr>
          <w:lang w:val="sl-SI"/>
        </w:rPr>
        <w:t>a</w:t>
      </w:r>
      <w:r w:rsidRPr="00885BD1">
        <w:rPr>
          <w:lang w:val="sl-SI"/>
        </w:rPr>
        <w:t xml:space="preserve"> posvetiti </w:t>
      </w:r>
      <w:r w:rsidR="0004453A" w:rsidRPr="00885BD1">
        <w:rPr>
          <w:lang w:val="sl-SI"/>
        </w:rPr>
        <w:t xml:space="preserve">tudi </w:t>
      </w:r>
      <w:r w:rsidRPr="00885BD1">
        <w:rPr>
          <w:lang w:val="sl-SI"/>
        </w:rPr>
        <w:t>preprečeva</w:t>
      </w:r>
      <w:r w:rsidR="00205663" w:rsidRPr="00885BD1">
        <w:rPr>
          <w:lang w:val="sl-SI"/>
        </w:rPr>
        <w:t>nju</w:t>
      </w:r>
      <w:r w:rsidRPr="00885BD1">
        <w:rPr>
          <w:lang w:val="sl-SI"/>
        </w:rPr>
        <w:t xml:space="preserve"> nasilj</w:t>
      </w:r>
      <w:r w:rsidR="00205663" w:rsidRPr="00885BD1">
        <w:rPr>
          <w:lang w:val="sl-SI"/>
        </w:rPr>
        <w:t>a</w:t>
      </w:r>
      <w:r w:rsidRPr="00885BD1">
        <w:rPr>
          <w:lang w:val="sl-SI"/>
        </w:rPr>
        <w:t xml:space="preserve"> nad osebo z demenco</w:t>
      </w:r>
      <w:r w:rsidR="00205663" w:rsidRPr="00885BD1">
        <w:rPr>
          <w:lang w:val="sl-SI"/>
        </w:rPr>
        <w:t xml:space="preserve"> ter </w:t>
      </w:r>
      <w:r w:rsidRPr="00885BD1">
        <w:rPr>
          <w:lang w:val="sl-SI"/>
        </w:rPr>
        <w:t xml:space="preserve">opolnomočenju oseb z demenco in svojcev (oskrbovalcev) v družbi. </w:t>
      </w:r>
    </w:p>
    <w:p w14:paraId="0594B73E" w14:textId="77777777" w:rsidR="007C1E1C" w:rsidRPr="00885BD1" w:rsidRDefault="007C1E1C" w:rsidP="007C1E1C">
      <w:pPr>
        <w:jc w:val="both"/>
        <w:rPr>
          <w:lang w:val="sl-SI"/>
        </w:rPr>
      </w:pPr>
    </w:p>
    <w:p w14:paraId="354673AE" w14:textId="405D34FC" w:rsidR="007C1E1C" w:rsidRPr="00885BD1" w:rsidRDefault="007C1E1C" w:rsidP="007C1E1C">
      <w:pPr>
        <w:jc w:val="both"/>
        <w:rPr>
          <w:rFonts w:cs="Arial"/>
          <w:szCs w:val="20"/>
          <w:lang w:val="sl-SI"/>
        </w:rPr>
      </w:pPr>
      <w:r w:rsidRPr="00885BD1">
        <w:rPr>
          <w:lang w:val="sl-SI"/>
        </w:rPr>
        <w:t xml:space="preserve">Glasgowska deklaracija opredeljuje človekove pravice oseb z demenco, ki članice zavezuje k izpolnjevanju v njej </w:t>
      </w:r>
      <w:r w:rsidRPr="00885BD1">
        <w:rPr>
          <w:rFonts w:cs="Arial"/>
          <w:szCs w:val="20"/>
          <w:lang w:val="sl-SI"/>
        </w:rPr>
        <w:t>zapisanih pravic, da ima vsaka oseba z demenco:</w:t>
      </w:r>
    </w:p>
    <w:p w14:paraId="6AD0AFDA" w14:textId="178EDB0B" w:rsidR="007C1E1C" w:rsidRPr="00885BD1" w:rsidRDefault="007C1E1C" w:rsidP="009200C4">
      <w:pPr>
        <w:numPr>
          <w:ilvl w:val="0"/>
          <w:numId w:val="8"/>
        </w:numPr>
        <w:spacing w:after="160" w:line="259" w:lineRule="auto"/>
        <w:contextualSpacing/>
        <w:jc w:val="both"/>
        <w:rPr>
          <w:rFonts w:eastAsiaTheme="minorHAnsi" w:cs="Arial"/>
          <w:szCs w:val="20"/>
          <w:lang w:val="sl-SI"/>
        </w:rPr>
      </w:pPr>
      <w:r w:rsidRPr="00885BD1">
        <w:rPr>
          <w:rFonts w:eastAsiaTheme="minorHAnsi" w:cs="Arial"/>
          <w:szCs w:val="20"/>
          <w:lang w:val="sl-SI"/>
        </w:rPr>
        <w:t>do pravočasne diagnoze;</w:t>
      </w:r>
    </w:p>
    <w:p w14:paraId="62F72FA3" w14:textId="58926948" w:rsidR="007C1E1C" w:rsidRPr="00885BD1" w:rsidRDefault="007C1E1C" w:rsidP="009200C4">
      <w:pPr>
        <w:numPr>
          <w:ilvl w:val="0"/>
          <w:numId w:val="8"/>
        </w:numPr>
        <w:spacing w:after="160" w:line="259" w:lineRule="auto"/>
        <w:contextualSpacing/>
        <w:jc w:val="both"/>
        <w:rPr>
          <w:rFonts w:eastAsiaTheme="minorHAnsi" w:cs="Arial"/>
          <w:szCs w:val="20"/>
          <w:lang w:val="sl-SI"/>
        </w:rPr>
      </w:pPr>
      <w:r w:rsidRPr="00885BD1">
        <w:rPr>
          <w:rFonts w:eastAsiaTheme="minorHAnsi" w:cs="Arial"/>
          <w:szCs w:val="20"/>
          <w:lang w:val="sl-SI"/>
        </w:rPr>
        <w:t>do dostopa do kakovostne post diagnostične podpore;</w:t>
      </w:r>
    </w:p>
    <w:p w14:paraId="3FEB5A5B" w14:textId="1498BF11" w:rsidR="007C1E1C" w:rsidRPr="00885BD1" w:rsidRDefault="007C1E1C" w:rsidP="009200C4">
      <w:pPr>
        <w:numPr>
          <w:ilvl w:val="0"/>
          <w:numId w:val="8"/>
        </w:numPr>
        <w:spacing w:after="160" w:line="259" w:lineRule="auto"/>
        <w:contextualSpacing/>
        <w:jc w:val="both"/>
        <w:rPr>
          <w:rFonts w:eastAsiaTheme="minorHAnsi" w:cs="Arial"/>
          <w:szCs w:val="20"/>
          <w:lang w:val="sl-SI"/>
        </w:rPr>
      </w:pPr>
      <w:r w:rsidRPr="00885BD1">
        <w:rPr>
          <w:rFonts w:eastAsiaTheme="minorHAnsi" w:cs="Arial"/>
          <w:szCs w:val="20"/>
          <w:lang w:val="sl-SI"/>
        </w:rPr>
        <w:t>do osredotočene, usklajene in kakovostne oskrbe tekom bolezni;</w:t>
      </w:r>
    </w:p>
    <w:p w14:paraId="42F61C3E" w14:textId="2D88ED48" w:rsidR="007C1E1C" w:rsidRPr="00885BD1" w:rsidRDefault="007C1E1C" w:rsidP="009200C4">
      <w:pPr>
        <w:numPr>
          <w:ilvl w:val="0"/>
          <w:numId w:val="8"/>
        </w:numPr>
        <w:spacing w:after="160" w:line="259" w:lineRule="auto"/>
        <w:contextualSpacing/>
        <w:jc w:val="both"/>
        <w:rPr>
          <w:rFonts w:eastAsiaTheme="minorHAnsi" w:cs="Arial"/>
          <w:szCs w:val="20"/>
          <w:lang w:val="sl-SI"/>
        </w:rPr>
      </w:pPr>
      <w:r w:rsidRPr="00885BD1">
        <w:rPr>
          <w:rFonts w:eastAsiaTheme="minorHAnsi" w:cs="Arial"/>
          <w:szCs w:val="20"/>
          <w:lang w:val="sl-SI"/>
        </w:rPr>
        <w:t>do pravičnega dostopa do zdravljenja in terapevtskih posegov;</w:t>
      </w:r>
    </w:p>
    <w:p w14:paraId="6306D61E" w14:textId="0AC62E35" w:rsidR="00741950" w:rsidRPr="00741950" w:rsidRDefault="00741950" w:rsidP="002B16CE">
      <w:pPr>
        <w:numPr>
          <w:ilvl w:val="0"/>
          <w:numId w:val="8"/>
        </w:numPr>
        <w:spacing w:after="160" w:line="259" w:lineRule="auto"/>
        <w:contextualSpacing/>
        <w:jc w:val="both"/>
        <w:rPr>
          <w:rFonts w:eastAsiaTheme="minorHAnsi" w:cs="Arial"/>
          <w:szCs w:val="20"/>
          <w:lang w:val="sl-SI"/>
        </w:rPr>
      </w:pPr>
      <w:r w:rsidRPr="00741950">
        <w:rPr>
          <w:rFonts w:eastAsiaTheme="minorHAnsi" w:cs="Arial"/>
          <w:szCs w:val="20"/>
          <w:lang w:val="sl-SI"/>
        </w:rPr>
        <w:t>do ohranjanja dostojanstva oseb z demenco</w:t>
      </w:r>
      <w:r>
        <w:rPr>
          <w:rFonts w:eastAsiaTheme="minorHAnsi" w:cs="Arial"/>
          <w:szCs w:val="20"/>
          <w:lang w:val="sl-SI"/>
        </w:rPr>
        <w:t>;</w:t>
      </w:r>
    </w:p>
    <w:p w14:paraId="76A63F6D" w14:textId="72F60410" w:rsidR="007C1E1C" w:rsidRPr="00885BD1" w:rsidRDefault="007C1E1C" w:rsidP="009200C4">
      <w:pPr>
        <w:numPr>
          <w:ilvl w:val="0"/>
          <w:numId w:val="8"/>
        </w:numPr>
        <w:spacing w:after="160" w:line="259" w:lineRule="auto"/>
        <w:contextualSpacing/>
        <w:jc w:val="both"/>
        <w:rPr>
          <w:rFonts w:eastAsiaTheme="minorHAnsi" w:cs="Arial"/>
          <w:szCs w:val="20"/>
          <w:lang w:val="sl-SI"/>
        </w:rPr>
      </w:pPr>
      <w:r w:rsidRPr="00885BD1">
        <w:rPr>
          <w:rFonts w:eastAsiaTheme="minorHAnsi" w:cs="Arial"/>
          <w:szCs w:val="20"/>
          <w:lang w:val="sl-SI"/>
        </w:rPr>
        <w:t>do spoštovanja kot posameznika v svoji skupnosti.</w:t>
      </w:r>
    </w:p>
    <w:p w14:paraId="33F7D39B" w14:textId="61222988" w:rsidR="007C1E1C" w:rsidRPr="00885BD1" w:rsidRDefault="007C1E1C" w:rsidP="00E546B0">
      <w:pPr>
        <w:pStyle w:val="Naslov1"/>
      </w:pPr>
      <w:bookmarkStart w:id="26" w:name="_Toc117692283"/>
      <w:r w:rsidRPr="00885BD1">
        <w:t>2. 5. 2 Konvencija o pravicah invalidov</w:t>
      </w:r>
      <w:bookmarkEnd w:id="26"/>
      <w:r w:rsidR="004652FA" w:rsidRPr="00885BD1">
        <w:t xml:space="preserve"> </w:t>
      </w:r>
    </w:p>
    <w:p w14:paraId="457DA797" w14:textId="77777777" w:rsidR="007C1E1C" w:rsidRPr="00885BD1" w:rsidRDefault="007C1E1C" w:rsidP="007C1E1C">
      <w:pPr>
        <w:jc w:val="both"/>
        <w:rPr>
          <w:rFonts w:cs="Arial"/>
          <w:szCs w:val="20"/>
          <w:lang w:val="sl-SI"/>
        </w:rPr>
      </w:pPr>
    </w:p>
    <w:p w14:paraId="4D3BDFB9" w14:textId="7A743893" w:rsidR="00C51555" w:rsidRDefault="007C1E1C" w:rsidP="007C1E1C">
      <w:pPr>
        <w:jc w:val="both"/>
        <w:rPr>
          <w:lang w:val="sl-SI"/>
        </w:rPr>
      </w:pPr>
      <w:r w:rsidRPr="00885BD1">
        <w:rPr>
          <w:lang w:val="sl-SI"/>
        </w:rPr>
        <w:t xml:space="preserve">Svetovna zdravstvena organizacija obravnava demenco kot enega glavnih razlogov za invalidnost pri odraslih osebah. Iz tega sledi, da demenca pri osebah predstavlja veliko oviranost. </w:t>
      </w:r>
      <w:r w:rsidRPr="004C2406">
        <w:rPr>
          <w:lang w:val="sl-SI"/>
        </w:rPr>
        <w:t>Zato je potrebno pri oblikovanju pravnega okvirja, ki opredeljuje pravice oseb z oviranostmi in zajema vprašanja oskrbe, zdravljenja in terapij ter raziskav, osebe z demenco obravnavati kot osebo z oviranostjo.</w:t>
      </w:r>
    </w:p>
    <w:p w14:paraId="57AB4BF9" w14:textId="77777777" w:rsidR="000F26FD" w:rsidRPr="004C2406" w:rsidRDefault="000F26FD" w:rsidP="007C1E1C">
      <w:pPr>
        <w:jc w:val="both"/>
        <w:rPr>
          <w:lang w:val="sl-SI"/>
        </w:rPr>
      </w:pPr>
    </w:p>
    <w:p w14:paraId="107DDBFC" w14:textId="56449BBA" w:rsidR="00C51555" w:rsidRPr="004C2406" w:rsidRDefault="00C51555" w:rsidP="00C51555">
      <w:pPr>
        <w:jc w:val="both"/>
        <w:rPr>
          <w:rFonts w:cs="Arial"/>
          <w:lang w:val="sl-SI"/>
        </w:rPr>
      </w:pPr>
      <w:r w:rsidRPr="004C2406">
        <w:rPr>
          <w:rFonts w:cs="Arial"/>
          <w:lang w:val="sl-SI"/>
        </w:rPr>
        <w:t xml:space="preserve">Podobno so tudi druge države članice EU, podale jasno ugotovitev, da je potrebno demenco prepoznavati kot invalidnost. Zato je potrebno pri oblikovanju pravnega okvirja, ki opredeljuje </w:t>
      </w:r>
      <w:r w:rsidRPr="004C2406">
        <w:rPr>
          <w:rFonts w:cs="Arial"/>
          <w:lang w:val="sl-SI"/>
        </w:rPr>
        <w:lastRenderedPageBreak/>
        <w:t>pravice oseb z oviranostmi in zajema vprašanja oskrbe, zdravljenja in terapij ter raziskav, osebe z demenco obravnavati kot osebo z invalidnostjo.</w:t>
      </w:r>
    </w:p>
    <w:p w14:paraId="1D874587" w14:textId="1DD96B43" w:rsidR="008B5B1B" w:rsidRPr="004C2406" w:rsidRDefault="008B5B1B" w:rsidP="007C1E1C">
      <w:pPr>
        <w:jc w:val="both"/>
        <w:rPr>
          <w:lang w:val="sl-SI"/>
        </w:rPr>
      </w:pPr>
    </w:p>
    <w:p w14:paraId="0093343C" w14:textId="36900D12" w:rsidR="007C1E1C" w:rsidRPr="004C2406" w:rsidRDefault="00F22F09" w:rsidP="007C1E1C">
      <w:pPr>
        <w:jc w:val="both"/>
        <w:rPr>
          <w:lang w:val="sl-SI"/>
        </w:rPr>
      </w:pPr>
      <w:r>
        <w:rPr>
          <w:lang w:val="sl-SI"/>
        </w:rPr>
        <w:t>Potrebno je u</w:t>
      </w:r>
      <w:r w:rsidR="008B5B1B" w:rsidRPr="004C2406">
        <w:rPr>
          <w:lang w:val="sl-SI"/>
        </w:rPr>
        <w:t>veljavili razumevanj</w:t>
      </w:r>
      <w:r w:rsidR="00C51555" w:rsidRPr="004C2406">
        <w:rPr>
          <w:lang w:val="sl-SI"/>
        </w:rPr>
        <w:t>e</w:t>
      </w:r>
      <w:r w:rsidR="008B5B1B" w:rsidRPr="004C2406">
        <w:rPr>
          <w:lang w:val="sl-SI"/>
        </w:rPr>
        <w:t xml:space="preserve"> invalidnosti, ki se </w:t>
      </w:r>
      <w:r w:rsidR="00C51555" w:rsidRPr="004C2406">
        <w:rPr>
          <w:lang w:val="sl-SI"/>
        </w:rPr>
        <w:t>nanaša na</w:t>
      </w:r>
      <w:r w:rsidR="008B5B1B" w:rsidRPr="004C2406">
        <w:rPr>
          <w:lang w:val="sl-SI"/>
        </w:rPr>
        <w:t xml:space="preserve"> osebo</w:t>
      </w:r>
      <w:r w:rsidR="00C51555" w:rsidRPr="004C2406">
        <w:rPr>
          <w:lang w:val="sl-SI"/>
        </w:rPr>
        <w:t xml:space="preserve"> in</w:t>
      </w:r>
      <w:r w:rsidR="008B5B1B" w:rsidRPr="004C2406">
        <w:rPr>
          <w:lang w:val="sl-SI"/>
        </w:rPr>
        <w:t xml:space="preserve"> na okolje</w:t>
      </w:r>
      <w:r w:rsidR="00FF7082" w:rsidRPr="004C2406">
        <w:rPr>
          <w:lang w:val="sl-SI"/>
        </w:rPr>
        <w:t xml:space="preserve"> v katerem živi</w:t>
      </w:r>
      <w:r w:rsidR="008B5B1B" w:rsidRPr="004C2406">
        <w:rPr>
          <w:lang w:val="sl-SI"/>
        </w:rPr>
        <w:t>. Osebe z demenco so osebe z oviranostjo, ki je posledica tako njihovega psihofizičnega stanja kot neprilagojenega okolja. Vse pravice, ki jih zagotavlja Konvencija o pravicah invalidov, se v celoti nanašajo na vse osebe z demenco, ne glede na (ne)pridobljen status invalida v skladu s slovensko zakonodajo.</w:t>
      </w:r>
    </w:p>
    <w:p w14:paraId="1DDC614A" w14:textId="0E948F82" w:rsidR="00CA3C17" w:rsidRPr="004C2406" w:rsidRDefault="00CA3C17" w:rsidP="007C1E1C">
      <w:pPr>
        <w:jc w:val="both"/>
        <w:rPr>
          <w:lang w:val="sl-SI"/>
        </w:rPr>
      </w:pPr>
    </w:p>
    <w:p w14:paraId="745233FB" w14:textId="632818C4" w:rsidR="00DB0F86" w:rsidRPr="00DB0F86" w:rsidRDefault="00DB0F86" w:rsidP="00DB0F86">
      <w:pPr>
        <w:jc w:val="both"/>
        <w:rPr>
          <w:lang w:val="sl-SI"/>
        </w:rPr>
      </w:pPr>
      <w:r w:rsidRPr="004C2406">
        <w:rPr>
          <w:rFonts w:cs="Arial"/>
          <w:lang w:val="sl-SI"/>
        </w:rPr>
        <w:t>Zaradi narave bolezni, je pomembno zavedanje kulturnih razlik, razumevanje in ugotavljanje duhovnih in eksistencialnih potreb ter vzpostaviti znanja za delo z ljudmi z demenco in njihovimi svojci, ki prihajajo iz drugih etničnih skupin in narodnostnih manjšin. ADI in AE priporočata</w:t>
      </w:r>
      <w:r w:rsidR="009200C4" w:rsidRPr="004C2406">
        <w:rPr>
          <w:rStyle w:val="Sprotnaopomba-sklic"/>
          <w:rFonts w:cs="Arial"/>
          <w:lang w:val="sl-SI"/>
        </w:rPr>
        <w:footnoteReference w:id="22"/>
      </w:r>
      <w:r w:rsidRPr="004C2406">
        <w:rPr>
          <w:rFonts w:cs="Arial"/>
          <w:lang w:val="sl-SI"/>
        </w:rPr>
        <w:t xml:space="preserve"> oblikovanje podpornega okolja medkulturne oskrbe, ki je pomemben sestavni del pravične družbe, v kateri lahko ljudje z demenco in njihovi oskrbovalci, ne glede na njihovo kulturno ozadje, dobro in kakovostno živijo.</w:t>
      </w:r>
    </w:p>
    <w:p w14:paraId="4A6BB400" w14:textId="77777777" w:rsidR="00CA3C17" w:rsidRPr="00885BD1" w:rsidRDefault="00CA3C17" w:rsidP="00CA3C17">
      <w:pPr>
        <w:jc w:val="both"/>
        <w:rPr>
          <w:lang w:val="sl-SI"/>
        </w:rPr>
      </w:pPr>
    </w:p>
    <w:p w14:paraId="62740EFB" w14:textId="196F97D1" w:rsidR="003A58FE" w:rsidRPr="00885BD1" w:rsidRDefault="003A58FE" w:rsidP="003A58FE">
      <w:pPr>
        <w:jc w:val="both"/>
        <w:rPr>
          <w:lang w:val="sl-SI"/>
        </w:rPr>
      </w:pPr>
    </w:p>
    <w:p w14:paraId="332CB717" w14:textId="77777777" w:rsidR="007C1E1C" w:rsidRPr="00885BD1" w:rsidRDefault="007C1E1C" w:rsidP="002C4C61">
      <w:pPr>
        <w:jc w:val="both"/>
        <w:rPr>
          <w:rFonts w:cs="Arial"/>
          <w:szCs w:val="20"/>
          <w:lang w:val="sl-SI"/>
        </w:rPr>
      </w:pPr>
    </w:p>
    <w:p w14:paraId="0026B7DB" w14:textId="77777777" w:rsidR="008B5B1B" w:rsidRPr="00885BD1" w:rsidRDefault="00EE0E20" w:rsidP="00874E9F">
      <w:pPr>
        <w:spacing w:line="240" w:lineRule="auto"/>
        <w:rPr>
          <w:rStyle w:val="NaslovZnak"/>
          <w:rFonts w:ascii="Arial" w:eastAsiaTheme="majorEastAsia" w:hAnsi="Arial" w:cs="Arial"/>
          <w:sz w:val="24"/>
          <w:szCs w:val="24"/>
          <w:lang w:val="sl-SI"/>
        </w:rPr>
      </w:pPr>
      <w:bookmarkStart w:id="27" w:name="_Toc62108598"/>
      <w:r w:rsidRPr="00885BD1">
        <w:rPr>
          <w:rStyle w:val="NaslovZnak"/>
          <w:rFonts w:ascii="Arial" w:eastAsiaTheme="majorEastAsia" w:hAnsi="Arial" w:cs="Arial"/>
          <w:sz w:val="24"/>
          <w:szCs w:val="24"/>
          <w:lang w:val="sl-SI"/>
        </w:rPr>
        <w:br w:type="page"/>
      </w:r>
    </w:p>
    <w:p w14:paraId="478B9C4E" w14:textId="15C38EC2" w:rsidR="008B5B1B" w:rsidRPr="009F7B6C" w:rsidRDefault="00A31350" w:rsidP="00E546B0">
      <w:pPr>
        <w:pStyle w:val="Naslov1"/>
        <w:rPr>
          <w:b/>
          <w:bCs/>
        </w:rPr>
      </w:pPr>
      <w:bookmarkStart w:id="28" w:name="_Toc117692284"/>
      <w:r w:rsidRPr="009F7B6C">
        <w:rPr>
          <w:rStyle w:val="NaslovZnak"/>
          <w:rFonts w:ascii="Arial" w:eastAsiaTheme="majorEastAsia" w:hAnsi="Arial" w:cs="Arial"/>
          <w:b w:val="0"/>
          <w:bCs w:val="0"/>
          <w:sz w:val="24"/>
          <w:szCs w:val="24"/>
          <w:lang w:val="sl-SI"/>
        </w:rPr>
        <w:lastRenderedPageBreak/>
        <w:t xml:space="preserve">3 </w:t>
      </w:r>
      <w:r w:rsidR="00EF0D92" w:rsidRPr="009F7B6C">
        <w:rPr>
          <w:rStyle w:val="NaslovZnak"/>
          <w:rFonts w:ascii="Arial" w:eastAsiaTheme="majorEastAsia" w:hAnsi="Arial" w:cs="Arial"/>
          <w:b w:val="0"/>
          <w:bCs w:val="0"/>
          <w:sz w:val="24"/>
          <w:szCs w:val="24"/>
          <w:lang w:val="sl-SI"/>
        </w:rPr>
        <w:t>TEMELJNA PREDNOSTNA PODROČJA</w:t>
      </w:r>
      <w:bookmarkEnd w:id="28"/>
      <w:r w:rsidR="008B5B1B" w:rsidRPr="009F7B6C">
        <w:rPr>
          <w:rStyle w:val="NaslovZnak"/>
          <w:rFonts w:ascii="Arial" w:eastAsiaTheme="majorEastAsia" w:hAnsi="Arial" w:cs="Arial"/>
          <w:b w:val="0"/>
          <w:bCs w:val="0"/>
          <w:sz w:val="24"/>
          <w:szCs w:val="24"/>
          <w:lang w:val="sl-SI"/>
        </w:rPr>
        <w:t xml:space="preserve"> </w:t>
      </w:r>
    </w:p>
    <w:p w14:paraId="774C5CA8" w14:textId="77777777" w:rsidR="008B5B1B" w:rsidRPr="00885BD1" w:rsidRDefault="008B5B1B" w:rsidP="00EF0D92">
      <w:pPr>
        <w:spacing w:line="240" w:lineRule="auto"/>
        <w:rPr>
          <w:rStyle w:val="NaslovZnak"/>
          <w:rFonts w:ascii="Arial" w:eastAsiaTheme="majorEastAsia" w:hAnsi="Arial" w:cs="Arial"/>
          <w:sz w:val="24"/>
          <w:szCs w:val="24"/>
          <w:lang w:val="sl-SI"/>
        </w:rPr>
      </w:pPr>
    </w:p>
    <w:p w14:paraId="70A705B1" w14:textId="3862581A" w:rsidR="00A11EEF" w:rsidRPr="00A31350" w:rsidRDefault="00AF1A0E" w:rsidP="00E546B0">
      <w:pPr>
        <w:pStyle w:val="Naslov1"/>
      </w:pPr>
      <w:bookmarkStart w:id="29" w:name="_Toc62108577"/>
      <w:bookmarkStart w:id="30" w:name="_Toc62108599"/>
      <w:bookmarkStart w:id="31" w:name="_Toc117692285"/>
      <w:bookmarkEnd w:id="27"/>
      <w:r w:rsidRPr="00A31350">
        <w:rPr>
          <w:rStyle w:val="PodnaslovZnak"/>
          <w:rFonts w:ascii="Arial" w:eastAsiaTheme="majorEastAsia" w:hAnsi="Arial" w:cs="Arial"/>
          <w:sz w:val="28"/>
          <w:szCs w:val="28"/>
          <w:lang w:val="sl-SI" w:eastAsia="sl-SI"/>
        </w:rPr>
        <w:t xml:space="preserve">3.1 </w:t>
      </w:r>
      <w:r w:rsidR="00A11EEF" w:rsidRPr="00A31350">
        <w:rPr>
          <w:rStyle w:val="PodnaslovZnak"/>
          <w:rFonts w:ascii="Arial" w:eastAsiaTheme="majorEastAsia" w:hAnsi="Arial" w:cs="Arial"/>
          <w:sz w:val="28"/>
          <w:szCs w:val="28"/>
          <w:lang w:val="sl-SI" w:eastAsia="sl-SI"/>
        </w:rPr>
        <w:t>Vzpostavitev in vzdrževanje nabora epidemioloških podatkov o demenci v Sloveniji</w:t>
      </w:r>
      <w:bookmarkEnd w:id="29"/>
      <w:bookmarkEnd w:id="30"/>
      <w:bookmarkEnd w:id="31"/>
    </w:p>
    <w:p w14:paraId="1ECDD175" w14:textId="77777777" w:rsidR="002C4C61" w:rsidRPr="00885BD1" w:rsidRDefault="002C4C61" w:rsidP="002C4C61">
      <w:pPr>
        <w:rPr>
          <w:lang w:val="sl-SI" w:eastAsia="sl-SI"/>
        </w:rPr>
      </w:pPr>
    </w:p>
    <w:p w14:paraId="496C8707" w14:textId="58C72C35" w:rsidR="00C41DF2" w:rsidRPr="004C2406" w:rsidRDefault="00C41DF2" w:rsidP="00CD4BC8">
      <w:pPr>
        <w:tabs>
          <w:tab w:val="left" w:pos="6345"/>
        </w:tabs>
        <w:spacing w:after="160" w:line="259" w:lineRule="auto"/>
        <w:jc w:val="both"/>
        <w:rPr>
          <w:rFonts w:eastAsiaTheme="minorHAnsi" w:cs="Arial"/>
          <w:szCs w:val="20"/>
          <w:lang w:val="sl-SI"/>
        </w:rPr>
      </w:pPr>
      <w:r w:rsidRPr="00885BD1">
        <w:rPr>
          <w:rFonts w:eastAsiaTheme="minorHAnsi" w:cs="Arial"/>
          <w:szCs w:val="20"/>
          <w:lang w:val="sl-SI"/>
        </w:rPr>
        <w:t>Javno zdravstveno epidemiološko spremljanje je trajno in sistematično zbiranje podatkov o dogodkih v zvezi z zdravjem, njihovo analiziranje in posredovanje, da se uporabijo pri javno zdravstvenem ukrepanju z namenom, da se omeji obolevnost in umrljivost ter izboljša zdravje</w:t>
      </w:r>
      <w:r w:rsidR="0058600C" w:rsidRPr="00885BD1">
        <w:rPr>
          <w:rFonts w:eastAsiaTheme="minorHAnsi" w:cs="Arial"/>
          <w:szCs w:val="20"/>
          <w:lang w:val="sl-SI"/>
        </w:rPr>
        <w:t>.</w:t>
      </w:r>
      <w:r w:rsidR="0058600C" w:rsidRPr="00885BD1">
        <w:rPr>
          <w:rStyle w:val="Sprotnaopomba-sklic"/>
          <w:rFonts w:eastAsiaTheme="minorHAnsi" w:cs="Arial"/>
          <w:szCs w:val="20"/>
          <w:lang w:val="sl-SI"/>
        </w:rPr>
        <w:footnoteReference w:id="23"/>
      </w:r>
      <w:r w:rsidRPr="00885BD1">
        <w:rPr>
          <w:rFonts w:eastAsiaTheme="minorHAnsi" w:cs="Arial"/>
          <w:szCs w:val="20"/>
          <w:lang w:val="sl-SI"/>
        </w:rPr>
        <w:t xml:space="preserve">  Evalvacija sistemov epidemiološkega spremljanja nam omogoča vpogled v uporabnost in </w:t>
      </w:r>
      <w:r w:rsidRPr="004C2406">
        <w:rPr>
          <w:rFonts w:eastAsiaTheme="minorHAnsi" w:cs="Arial"/>
          <w:szCs w:val="20"/>
          <w:lang w:val="sl-SI"/>
        </w:rPr>
        <w:t>značilnosti sistema (kakovost podatkov, reprezentativnost, občutljivost, enostavnost, sprejemljivost, pravočasnost, stabilnost, fleksibilnost, pozitivna napovedna vrednost</w:t>
      </w:r>
      <w:r w:rsidR="0058600C" w:rsidRPr="004C2406">
        <w:rPr>
          <w:rFonts w:eastAsiaTheme="minorHAnsi" w:cs="Arial"/>
          <w:szCs w:val="20"/>
          <w:vertAlign w:val="superscript"/>
          <w:lang w:val="sl-SI"/>
        </w:rPr>
        <w:t>7</w:t>
      </w:r>
      <w:r w:rsidR="0058600C" w:rsidRPr="004C2406">
        <w:rPr>
          <w:rFonts w:eastAsiaTheme="minorHAnsi" w:cs="Arial"/>
          <w:szCs w:val="20"/>
          <w:lang w:val="sl-SI"/>
        </w:rPr>
        <w:t>)</w:t>
      </w:r>
      <w:r w:rsidRPr="004C2406">
        <w:rPr>
          <w:rFonts w:eastAsiaTheme="minorHAnsi" w:cs="Arial"/>
          <w:szCs w:val="20"/>
          <w:lang w:val="sl-SI"/>
        </w:rPr>
        <w:t>. Epidemiološko spremljanje demence v Sloveniji še ni vzpostavljeno na način, da bi omogočalo zanesljivo oceno na osnovi rutinskih zdravstvenih podatkovnih zbirk, prav tako še ni bila opravljena evalvacija sistema epidemiološkega spremljanja.</w:t>
      </w:r>
    </w:p>
    <w:p w14:paraId="0FCCC78F" w14:textId="6D1FED79" w:rsidR="00273413" w:rsidRPr="004C2406" w:rsidRDefault="00E376C7" w:rsidP="00273413">
      <w:pPr>
        <w:jc w:val="both"/>
        <w:rPr>
          <w:rFonts w:cs="Arial"/>
          <w:szCs w:val="20"/>
          <w:lang w:val="sl-SI"/>
        </w:rPr>
      </w:pPr>
      <w:r>
        <w:rPr>
          <w:rFonts w:cs="Arial"/>
          <w:szCs w:val="20"/>
          <w:lang w:val="sl-SI"/>
        </w:rPr>
        <w:t>Nacionalni r</w:t>
      </w:r>
      <w:r w:rsidR="00273413" w:rsidRPr="004C2406">
        <w:rPr>
          <w:rFonts w:cs="Arial"/>
          <w:szCs w:val="20"/>
          <w:lang w:val="sl-SI"/>
        </w:rPr>
        <w:t>egister oseb z demenco je namenjen vodenju evidence števila in značilnosti bolnikov z demenco. Velik nabor zbranih podatkov bo nudil celovit pregled stanja na ravni mest, regij in na ravni cele države. Z letnim beleženjem sprememb bo</w:t>
      </w:r>
      <w:r w:rsidR="002A7A07" w:rsidRPr="004C2406">
        <w:rPr>
          <w:rFonts w:cs="Arial"/>
          <w:szCs w:val="20"/>
          <w:lang w:val="sl-SI"/>
        </w:rPr>
        <w:t>mo</w:t>
      </w:r>
      <w:r w:rsidR="00273413" w:rsidRPr="004C2406">
        <w:rPr>
          <w:rFonts w:cs="Arial"/>
          <w:szCs w:val="20"/>
          <w:lang w:val="sl-SI"/>
        </w:rPr>
        <w:t xml:space="preserve"> sledili trendom obravnave bolezni tako pri posameznem bolniku kot pri večjih podskupinah. Dobili bomo natančne podatke o številu bolnikov</w:t>
      </w:r>
      <w:r w:rsidR="00DB0F86" w:rsidRPr="004C2406">
        <w:rPr>
          <w:rFonts w:cs="Arial"/>
          <w:szCs w:val="20"/>
          <w:lang w:val="sl-SI"/>
        </w:rPr>
        <w:t xml:space="preserve"> z demenco</w:t>
      </w:r>
      <w:r w:rsidR="00273413" w:rsidRPr="004C2406">
        <w:rPr>
          <w:rFonts w:cs="Arial"/>
          <w:szCs w:val="20"/>
          <w:lang w:val="sl-SI"/>
        </w:rPr>
        <w:t xml:space="preserve">, odstotku določenih tipov demenc, demografskih in diagnostičnih značilnostih bolnikov glede na regije, kar bo nudilo dober splošni pregled in omogočilo izboljšano </w:t>
      </w:r>
      <w:r w:rsidR="00F22F09">
        <w:rPr>
          <w:rFonts w:cs="Arial"/>
          <w:szCs w:val="20"/>
          <w:lang w:val="sl-SI"/>
        </w:rPr>
        <w:t>kakovost</w:t>
      </w:r>
      <w:r w:rsidR="00F22F09" w:rsidRPr="004C2406">
        <w:rPr>
          <w:rFonts w:cs="Arial"/>
          <w:szCs w:val="20"/>
          <w:lang w:val="sl-SI"/>
        </w:rPr>
        <w:t xml:space="preserve"> </w:t>
      </w:r>
      <w:r w:rsidR="00273413" w:rsidRPr="004C2406">
        <w:rPr>
          <w:rFonts w:cs="Arial"/>
          <w:szCs w:val="20"/>
          <w:lang w:val="sl-SI"/>
        </w:rPr>
        <w:t xml:space="preserve">obravnave bolnikov z demenco, saj so na osnovi podatkov možne prilagoditve v obravnavi. </w:t>
      </w:r>
      <w:r>
        <w:rPr>
          <w:rFonts w:cs="Arial"/>
          <w:szCs w:val="20"/>
          <w:lang w:val="sl-SI"/>
        </w:rPr>
        <w:t>Nacionalni r</w:t>
      </w:r>
      <w:r w:rsidR="00273413" w:rsidRPr="004C2406">
        <w:rPr>
          <w:rFonts w:cs="Arial"/>
          <w:szCs w:val="20"/>
          <w:lang w:val="sl-SI"/>
        </w:rPr>
        <w:t xml:space="preserve">egister omogoča tudi posredni izračun </w:t>
      </w:r>
      <w:r w:rsidR="00242A44">
        <w:rPr>
          <w:rFonts w:cs="Arial"/>
          <w:szCs w:val="20"/>
          <w:lang w:val="sl-SI"/>
        </w:rPr>
        <w:t xml:space="preserve">ocene </w:t>
      </w:r>
      <w:r w:rsidR="00273413" w:rsidRPr="004C2406">
        <w:rPr>
          <w:rFonts w:cs="Arial"/>
          <w:szCs w:val="20"/>
          <w:lang w:val="sl-SI"/>
        </w:rPr>
        <w:t>stroškov in prilagajanje nacionalnih zdravstveno ekonomskih usmeritev za  področje demence.</w:t>
      </w:r>
    </w:p>
    <w:p w14:paraId="0700CB85" w14:textId="77777777" w:rsidR="00273413" w:rsidRPr="004C2406" w:rsidRDefault="00273413" w:rsidP="00273413">
      <w:pPr>
        <w:jc w:val="both"/>
        <w:rPr>
          <w:rFonts w:cs="Arial"/>
          <w:szCs w:val="20"/>
          <w:lang w:val="sl-SI"/>
        </w:rPr>
      </w:pPr>
    </w:p>
    <w:p w14:paraId="63850430" w14:textId="4BA19597" w:rsidR="00C41DF2" w:rsidRPr="00885BD1" w:rsidRDefault="004652FA" w:rsidP="00CD4BC8">
      <w:pPr>
        <w:tabs>
          <w:tab w:val="left" w:pos="6345"/>
        </w:tabs>
        <w:spacing w:after="160" w:line="259" w:lineRule="auto"/>
        <w:jc w:val="both"/>
        <w:rPr>
          <w:rFonts w:eastAsiaTheme="minorHAnsi" w:cs="Arial"/>
          <w:szCs w:val="20"/>
          <w:lang w:val="sl-SI"/>
        </w:rPr>
      </w:pPr>
      <w:r w:rsidRPr="004C2406">
        <w:rPr>
          <w:rFonts w:eastAsiaTheme="minorHAnsi" w:cs="Arial"/>
          <w:szCs w:val="20"/>
          <w:lang w:val="sl-SI"/>
        </w:rPr>
        <w:t xml:space="preserve">Akcijski načrt SZO 2017-2025 </w:t>
      </w:r>
      <w:r w:rsidR="00273413" w:rsidRPr="004C2406">
        <w:rPr>
          <w:rFonts w:eastAsiaTheme="minorHAnsi" w:cs="Arial"/>
          <w:szCs w:val="20"/>
          <w:lang w:val="sl-SI"/>
        </w:rPr>
        <w:t>določa</w:t>
      </w:r>
      <w:r w:rsidRPr="004C2406">
        <w:rPr>
          <w:rFonts w:eastAsiaTheme="minorHAnsi" w:cs="Arial"/>
          <w:szCs w:val="20"/>
          <w:lang w:val="sl-SI"/>
        </w:rPr>
        <w:t xml:space="preserve">, da naj bi do leta 2025 polovica držav v sklopu nacionalnega informacijskega sistema zdravstvenega </w:t>
      </w:r>
      <w:r w:rsidR="00F31FA3">
        <w:rPr>
          <w:rFonts w:eastAsiaTheme="minorHAnsi" w:cs="Arial"/>
          <w:szCs w:val="20"/>
          <w:lang w:val="sl-SI"/>
        </w:rPr>
        <w:t xml:space="preserve">varstva, dolgotrajne oskrbe </w:t>
      </w:r>
      <w:r w:rsidRPr="004C2406">
        <w:rPr>
          <w:rFonts w:eastAsiaTheme="minorHAnsi" w:cs="Arial"/>
          <w:szCs w:val="20"/>
          <w:lang w:val="sl-SI"/>
        </w:rPr>
        <w:t>in socialnega varstva redno zbirala podatke na osnovi temeljnega nabora kazalnikov za epidemiološko spremljanje demence</w:t>
      </w:r>
      <w:r w:rsidR="00273413" w:rsidRPr="004C2406">
        <w:rPr>
          <w:rFonts w:eastAsiaTheme="minorHAnsi" w:cs="Arial"/>
          <w:szCs w:val="20"/>
          <w:lang w:val="sl-SI"/>
        </w:rPr>
        <w:t>.</w:t>
      </w:r>
      <w:r w:rsidRPr="004C2406">
        <w:rPr>
          <w:rFonts w:eastAsiaTheme="minorHAnsi" w:cs="Arial"/>
          <w:szCs w:val="20"/>
          <w:lang w:val="sl-SI"/>
        </w:rPr>
        <w:t xml:space="preserve"> </w:t>
      </w:r>
      <w:r w:rsidR="00C41DF2" w:rsidRPr="004C2406">
        <w:rPr>
          <w:rFonts w:eastAsiaTheme="minorHAnsi" w:cs="Arial"/>
          <w:szCs w:val="20"/>
          <w:lang w:val="sl-SI"/>
        </w:rPr>
        <w:t>Podlaga za vzpostavitev elektronskega</w:t>
      </w:r>
      <w:r w:rsidR="00E376C7">
        <w:rPr>
          <w:rFonts w:eastAsiaTheme="minorHAnsi" w:cs="Arial"/>
          <w:szCs w:val="20"/>
          <w:lang w:val="sl-SI"/>
        </w:rPr>
        <w:t xml:space="preserve"> nacionalnega</w:t>
      </w:r>
      <w:r w:rsidR="00C41DF2" w:rsidRPr="004C2406">
        <w:rPr>
          <w:rFonts w:eastAsiaTheme="minorHAnsi" w:cs="Arial"/>
          <w:szCs w:val="20"/>
          <w:lang w:val="sl-SI"/>
        </w:rPr>
        <w:t xml:space="preserve"> registra </w:t>
      </w:r>
      <w:r w:rsidR="00273413" w:rsidRPr="004C2406">
        <w:rPr>
          <w:rFonts w:eastAsiaTheme="minorHAnsi" w:cs="Arial"/>
          <w:szCs w:val="20"/>
          <w:lang w:val="sl-SI"/>
        </w:rPr>
        <w:t>za spremljanje demence</w:t>
      </w:r>
      <w:r w:rsidR="00273413" w:rsidRPr="00885BD1">
        <w:rPr>
          <w:rFonts w:eastAsiaTheme="minorHAnsi" w:cs="Arial"/>
          <w:szCs w:val="20"/>
          <w:lang w:val="sl-SI"/>
        </w:rPr>
        <w:t xml:space="preserve"> </w:t>
      </w:r>
      <w:r w:rsidR="00C41DF2" w:rsidRPr="00885BD1">
        <w:rPr>
          <w:rFonts w:eastAsiaTheme="minorHAnsi" w:cs="Arial"/>
          <w:szCs w:val="20"/>
          <w:lang w:val="sl-SI"/>
        </w:rPr>
        <w:t>je sprememba Zakona o zbirkah podatkov s področja zdravstvenega varstva (ZZPPZ)</w:t>
      </w:r>
      <w:r w:rsidR="0058600C" w:rsidRPr="00885BD1">
        <w:rPr>
          <w:rStyle w:val="Sprotnaopomba-sklic"/>
          <w:rFonts w:eastAsiaTheme="minorHAnsi" w:cs="Arial"/>
          <w:szCs w:val="20"/>
          <w:lang w:val="sl-SI"/>
        </w:rPr>
        <w:footnoteReference w:id="24"/>
      </w:r>
      <w:r w:rsidR="00C41DF2" w:rsidRPr="00885BD1">
        <w:rPr>
          <w:rFonts w:eastAsiaTheme="minorHAnsi" w:cs="Arial"/>
          <w:szCs w:val="20"/>
          <w:lang w:val="sl-SI"/>
        </w:rPr>
        <w:t>.</w:t>
      </w:r>
    </w:p>
    <w:p w14:paraId="555A9184" w14:textId="0E8D504B" w:rsidR="00E92B8F" w:rsidRPr="00885BD1" w:rsidRDefault="00E92B8F" w:rsidP="00FE6591">
      <w:pPr>
        <w:tabs>
          <w:tab w:val="left" w:pos="6345"/>
        </w:tabs>
        <w:spacing w:after="160" w:line="259" w:lineRule="auto"/>
        <w:jc w:val="both"/>
        <w:rPr>
          <w:rFonts w:eastAsiaTheme="minorHAnsi" w:cs="Arial"/>
          <w:szCs w:val="20"/>
          <w:lang w:val="sl-SI"/>
        </w:rPr>
      </w:pPr>
      <w:r w:rsidRPr="00E92B8F">
        <w:rPr>
          <w:rFonts w:eastAsiaTheme="minorHAnsi" w:cs="Arial"/>
          <w:szCs w:val="20"/>
          <w:lang w:val="sl-SI"/>
        </w:rPr>
        <w:t>Glede na opredeljena izhodišča Strategije bo v okviru akcijskega načrta  opredeljena tudi vsebina, implementacija in organizacija nacionalnega registra demence</w:t>
      </w:r>
      <w:r>
        <w:rPr>
          <w:rFonts w:eastAsiaTheme="minorHAnsi" w:cs="Arial"/>
          <w:szCs w:val="20"/>
          <w:lang w:val="sl-SI"/>
        </w:rPr>
        <w:t>.</w:t>
      </w:r>
      <w:r w:rsidRPr="00E92B8F">
        <w:rPr>
          <w:rFonts w:eastAsiaTheme="minorHAnsi" w:cs="Arial"/>
          <w:szCs w:val="20"/>
          <w:lang w:val="sl-SI"/>
        </w:rPr>
        <w:t xml:space="preserve"> </w:t>
      </w:r>
    </w:p>
    <w:p w14:paraId="7107B4C7" w14:textId="5B87CDB9" w:rsidR="00AF1A0E" w:rsidRPr="00885BD1" w:rsidRDefault="001E778A" w:rsidP="00E546B0">
      <w:pPr>
        <w:pStyle w:val="Naslov1"/>
      </w:pPr>
      <w:bookmarkStart w:id="33" w:name="_Toc117692286"/>
      <w:r w:rsidRPr="00885BD1">
        <w:t>3. 2 Mreža izvajalcev programov in storitev za osebe z demenco in njihove svojce</w:t>
      </w:r>
      <w:bookmarkEnd w:id="33"/>
    </w:p>
    <w:p w14:paraId="369EF3DD" w14:textId="77777777" w:rsidR="001E778A" w:rsidRPr="00885BD1" w:rsidRDefault="001E778A" w:rsidP="00CD4BC8">
      <w:pPr>
        <w:pStyle w:val="Kazalovsebine1"/>
        <w:tabs>
          <w:tab w:val="right" w:leader="dot" w:pos="8488"/>
        </w:tabs>
        <w:jc w:val="both"/>
        <w:rPr>
          <w:rFonts w:cs="Arial"/>
          <w:szCs w:val="20"/>
          <w:lang w:val="sl-SI"/>
        </w:rPr>
      </w:pPr>
    </w:p>
    <w:p w14:paraId="5390E7AD" w14:textId="3444420F" w:rsidR="004D5FCC" w:rsidRPr="00885BD1" w:rsidRDefault="004D5FCC" w:rsidP="00CD4BC8">
      <w:pPr>
        <w:pStyle w:val="Kazalovsebine1"/>
        <w:tabs>
          <w:tab w:val="right" w:leader="dot" w:pos="8488"/>
        </w:tabs>
        <w:jc w:val="both"/>
        <w:rPr>
          <w:rFonts w:cs="Arial"/>
          <w:szCs w:val="20"/>
          <w:lang w:val="sl-SI"/>
        </w:rPr>
      </w:pPr>
      <w:r w:rsidRPr="00885BD1">
        <w:rPr>
          <w:rFonts w:cs="Arial"/>
          <w:szCs w:val="20"/>
          <w:lang w:val="sl-SI"/>
        </w:rPr>
        <w:t xml:space="preserve">Strategija za obvladovanje demence </w:t>
      </w:r>
      <w:r w:rsidR="00535EB9" w:rsidRPr="00885BD1">
        <w:rPr>
          <w:rFonts w:cs="Arial"/>
          <w:szCs w:val="20"/>
          <w:lang w:val="sl-SI"/>
        </w:rPr>
        <w:t xml:space="preserve">načrtuje aktivnosti za </w:t>
      </w:r>
      <w:r w:rsidRPr="00885BD1">
        <w:rPr>
          <w:rFonts w:cs="Arial"/>
          <w:szCs w:val="20"/>
          <w:lang w:val="sl-SI"/>
        </w:rPr>
        <w:t>izboljša</w:t>
      </w:r>
      <w:r w:rsidR="00535EB9" w:rsidRPr="00885BD1">
        <w:rPr>
          <w:rFonts w:cs="Arial"/>
          <w:szCs w:val="20"/>
          <w:lang w:val="sl-SI"/>
        </w:rPr>
        <w:t xml:space="preserve">nje </w:t>
      </w:r>
      <w:r w:rsidR="00342C1B" w:rsidRPr="00885BD1">
        <w:rPr>
          <w:rFonts w:cs="Arial"/>
          <w:szCs w:val="20"/>
          <w:lang w:val="sl-SI"/>
        </w:rPr>
        <w:t xml:space="preserve">pismenosti in </w:t>
      </w:r>
      <w:r w:rsidR="00535EB9" w:rsidRPr="00885BD1">
        <w:rPr>
          <w:rFonts w:cs="Arial"/>
          <w:szCs w:val="20"/>
          <w:lang w:val="sl-SI"/>
        </w:rPr>
        <w:t>o</w:t>
      </w:r>
      <w:r w:rsidR="002B3EC5" w:rsidRPr="00885BD1">
        <w:rPr>
          <w:rFonts w:cs="Arial"/>
          <w:szCs w:val="20"/>
          <w:lang w:val="sl-SI"/>
        </w:rPr>
        <w:t>s</w:t>
      </w:r>
      <w:r w:rsidR="00535EB9" w:rsidRPr="00885BD1">
        <w:rPr>
          <w:rFonts w:cs="Arial"/>
          <w:szCs w:val="20"/>
          <w:lang w:val="sl-SI"/>
        </w:rPr>
        <w:t>veščanja prebivalstva</w:t>
      </w:r>
      <w:r w:rsidR="00342C1B" w:rsidRPr="00885BD1">
        <w:rPr>
          <w:rFonts w:cs="Arial"/>
          <w:szCs w:val="20"/>
          <w:lang w:val="sl-SI"/>
        </w:rPr>
        <w:t xml:space="preserve"> o demenci</w:t>
      </w:r>
      <w:r w:rsidR="00535EB9" w:rsidRPr="00885BD1">
        <w:rPr>
          <w:rFonts w:cs="Arial"/>
          <w:szCs w:val="20"/>
          <w:lang w:val="sl-SI"/>
        </w:rPr>
        <w:t>,</w:t>
      </w:r>
      <w:r w:rsidRPr="00885BD1">
        <w:rPr>
          <w:rFonts w:cs="Arial"/>
          <w:szCs w:val="20"/>
          <w:lang w:val="sl-SI"/>
        </w:rPr>
        <w:t xml:space="preserve"> </w:t>
      </w:r>
      <w:r w:rsidR="00535EB9" w:rsidRPr="00885BD1">
        <w:rPr>
          <w:rFonts w:cs="Arial"/>
          <w:szCs w:val="20"/>
          <w:lang w:val="sl-SI"/>
        </w:rPr>
        <w:t xml:space="preserve">preventivnih aktivnostih, </w:t>
      </w:r>
      <w:r w:rsidRPr="00885BD1">
        <w:rPr>
          <w:rFonts w:cs="Arial"/>
          <w:szCs w:val="20"/>
          <w:lang w:val="sl-SI"/>
        </w:rPr>
        <w:t xml:space="preserve">dostopnost do zgodnje diagnoze in ustrezne postdiagnostične obravnave oseb z demenco s krepitvijo in boljšo organizacijo </w:t>
      </w:r>
      <w:r w:rsidR="004B33F4" w:rsidRPr="00885BD1">
        <w:rPr>
          <w:rFonts w:cs="Arial"/>
          <w:szCs w:val="20"/>
          <w:lang w:val="sl-SI"/>
        </w:rPr>
        <w:t xml:space="preserve">integrirane </w:t>
      </w:r>
      <w:r w:rsidRPr="00885BD1">
        <w:rPr>
          <w:rFonts w:cs="Arial"/>
          <w:szCs w:val="20"/>
          <w:lang w:val="sl-SI"/>
        </w:rPr>
        <w:t>mreže izvajalcev</w:t>
      </w:r>
      <w:r w:rsidR="004B33F4" w:rsidRPr="00885BD1">
        <w:rPr>
          <w:rFonts w:cs="Arial"/>
          <w:szCs w:val="20"/>
          <w:lang w:val="sl-SI"/>
        </w:rPr>
        <w:t>,</w:t>
      </w:r>
      <w:r w:rsidRPr="00885BD1">
        <w:rPr>
          <w:rFonts w:cs="Arial"/>
          <w:szCs w:val="20"/>
          <w:lang w:val="sl-SI"/>
        </w:rPr>
        <w:t xml:space="preserve"> programov in storitev. </w:t>
      </w:r>
      <w:r w:rsidR="00D93D68" w:rsidRPr="00885BD1">
        <w:rPr>
          <w:rFonts w:cs="Arial"/>
          <w:szCs w:val="20"/>
          <w:lang w:val="sl-SI"/>
        </w:rPr>
        <w:t xml:space="preserve">Potrebno je zagotoviti </w:t>
      </w:r>
      <w:r w:rsidR="00420D0F" w:rsidRPr="00885BD1">
        <w:rPr>
          <w:rFonts w:cs="Arial"/>
          <w:szCs w:val="20"/>
          <w:lang w:val="sl-SI"/>
        </w:rPr>
        <w:t>kontinuirano</w:t>
      </w:r>
      <w:r w:rsidR="00D93D68" w:rsidRPr="00885BD1">
        <w:rPr>
          <w:rFonts w:cs="Arial"/>
          <w:szCs w:val="20"/>
          <w:lang w:val="sl-SI"/>
        </w:rPr>
        <w:t xml:space="preserve"> izobraževanje za vse, ki delajo na področju demence, vključno s svojci ter special</w:t>
      </w:r>
      <w:r w:rsidR="00947ADB">
        <w:rPr>
          <w:rFonts w:cs="Arial"/>
          <w:szCs w:val="20"/>
          <w:lang w:val="sl-SI"/>
        </w:rPr>
        <w:t xml:space="preserve">nimi znanji </w:t>
      </w:r>
      <w:r w:rsidR="00D93D68" w:rsidRPr="00885BD1">
        <w:rPr>
          <w:rFonts w:cs="Arial"/>
          <w:szCs w:val="20"/>
          <w:lang w:val="sl-SI"/>
        </w:rPr>
        <w:t>za določene poklicne skupin</w:t>
      </w:r>
      <w:r w:rsidR="00342C1B" w:rsidRPr="00885BD1">
        <w:rPr>
          <w:rFonts w:cs="Arial"/>
          <w:szCs w:val="20"/>
          <w:lang w:val="sl-SI"/>
        </w:rPr>
        <w:t>e</w:t>
      </w:r>
      <w:r w:rsidR="00D93D68" w:rsidRPr="00885BD1">
        <w:rPr>
          <w:rFonts w:cs="Arial"/>
          <w:szCs w:val="20"/>
          <w:lang w:val="sl-SI"/>
        </w:rPr>
        <w:t xml:space="preserve">. </w:t>
      </w:r>
      <w:r w:rsidRPr="00885BD1">
        <w:rPr>
          <w:rFonts w:cs="Arial"/>
          <w:szCs w:val="20"/>
          <w:lang w:val="sl-SI"/>
        </w:rPr>
        <w:t xml:space="preserve">V mrežo spadajo </w:t>
      </w:r>
      <w:r w:rsidR="00342C1B" w:rsidRPr="00885BD1">
        <w:rPr>
          <w:rFonts w:cs="Arial"/>
          <w:szCs w:val="20"/>
          <w:lang w:val="sl-SI"/>
        </w:rPr>
        <w:t xml:space="preserve">javne </w:t>
      </w:r>
      <w:r w:rsidRPr="00885BD1">
        <w:rPr>
          <w:rFonts w:cs="Arial"/>
          <w:szCs w:val="20"/>
          <w:lang w:val="sl-SI"/>
        </w:rPr>
        <w:t xml:space="preserve">službe na vseh ravneh zdravstvenega </w:t>
      </w:r>
      <w:r w:rsidR="00F31FA3">
        <w:rPr>
          <w:rFonts w:cs="Arial"/>
          <w:szCs w:val="20"/>
          <w:lang w:val="sl-SI"/>
        </w:rPr>
        <w:t xml:space="preserve">varstva, dolgotrajne oskrbe </w:t>
      </w:r>
      <w:r w:rsidRPr="00885BD1">
        <w:rPr>
          <w:rFonts w:cs="Arial"/>
          <w:szCs w:val="20"/>
          <w:lang w:val="sl-SI"/>
        </w:rPr>
        <w:t xml:space="preserve">in socialnega varstva, </w:t>
      </w:r>
      <w:r w:rsidR="00342C1B" w:rsidRPr="00885BD1">
        <w:rPr>
          <w:rFonts w:cs="Arial"/>
          <w:szCs w:val="20"/>
          <w:lang w:val="sl-SI"/>
        </w:rPr>
        <w:t xml:space="preserve">dopolnjujejo jo pa </w:t>
      </w:r>
      <w:r w:rsidRPr="00885BD1">
        <w:rPr>
          <w:rFonts w:cs="Arial"/>
          <w:szCs w:val="20"/>
          <w:lang w:val="sl-SI"/>
        </w:rPr>
        <w:t xml:space="preserve">neformalne in uporabniške organizacije ter društva, ki delujejo na področju (duševnega) zdravja, in druga društva, organizacije in posamezniki, ki podpirajo socialno vključenost in </w:t>
      </w:r>
      <w:r w:rsidR="004B33F4" w:rsidRPr="00885BD1">
        <w:rPr>
          <w:rFonts w:cs="Arial"/>
          <w:szCs w:val="20"/>
          <w:lang w:val="sl-SI"/>
        </w:rPr>
        <w:t xml:space="preserve">krepitev </w:t>
      </w:r>
      <w:r w:rsidRPr="00885BD1">
        <w:rPr>
          <w:rFonts w:cs="Arial"/>
          <w:szCs w:val="20"/>
          <w:lang w:val="sl-SI"/>
        </w:rPr>
        <w:t>zdravj</w:t>
      </w:r>
      <w:r w:rsidR="004B33F4" w:rsidRPr="00885BD1">
        <w:rPr>
          <w:rFonts w:cs="Arial"/>
          <w:szCs w:val="20"/>
          <w:lang w:val="sl-SI"/>
        </w:rPr>
        <w:t>a</w:t>
      </w:r>
      <w:r w:rsidRPr="00885BD1">
        <w:rPr>
          <w:rFonts w:cs="Arial"/>
          <w:szCs w:val="20"/>
          <w:lang w:val="sl-SI"/>
        </w:rPr>
        <w:t xml:space="preserve"> v lokalni skupnosti. </w:t>
      </w:r>
    </w:p>
    <w:p w14:paraId="42457581" w14:textId="77777777" w:rsidR="004D5FCC" w:rsidRPr="00885BD1" w:rsidRDefault="004D5FCC" w:rsidP="00CD4BC8">
      <w:pPr>
        <w:jc w:val="both"/>
        <w:rPr>
          <w:rFonts w:cs="Arial"/>
          <w:szCs w:val="20"/>
          <w:lang w:val="sl-SI"/>
        </w:rPr>
      </w:pPr>
    </w:p>
    <w:p w14:paraId="7DB9BA1D" w14:textId="77777777" w:rsidR="004D5FCC" w:rsidRPr="00885BD1" w:rsidRDefault="004D5FCC" w:rsidP="00CD4BC8">
      <w:pPr>
        <w:jc w:val="both"/>
        <w:rPr>
          <w:rFonts w:cs="Arial"/>
          <w:szCs w:val="20"/>
          <w:lang w:val="sl-SI"/>
        </w:rPr>
      </w:pPr>
      <w:r w:rsidRPr="00885BD1">
        <w:rPr>
          <w:rFonts w:cs="Arial"/>
          <w:szCs w:val="20"/>
          <w:lang w:val="sl-SI"/>
        </w:rPr>
        <w:t>Storitve in programe za osebe z demenco in njihove svojce lahko delimo na podlagi izvajalca na:</w:t>
      </w:r>
    </w:p>
    <w:p w14:paraId="5925EC16" w14:textId="36855D45" w:rsidR="004D5FCC" w:rsidRPr="00885BD1" w:rsidRDefault="004D5FCC" w:rsidP="005304A9">
      <w:pPr>
        <w:pStyle w:val="Odstavekseznama"/>
        <w:numPr>
          <w:ilvl w:val="0"/>
          <w:numId w:val="3"/>
        </w:numPr>
        <w:jc w:val="both"/>
        <w:rPr>
          <w:rFonts w:ascii="Arial" w:hAnsi="Arial" w:cs="Arial"/>
          <w:sz w:val="20"/>
          <w:szCs w:val="20"/>
        </w:rPr>
      </w:pPr>
      <w:r w:rsidRPr="00885BD1">
        <w:rPr>
          <w:rFonts w:ascii="Arial" w:hAnsi="Arial" w:cs="Arial"/>
          <w:sz w:val="20"/>
          <w:szCs w:val="20"/>
        </w:rPr>
        <w:lastRenderedPageBreak/>
        <w:t>Storitve in programi zdravstvenega varstva</w:t>
      </w:r>
    </w:p>
    <w:p w14:paraId="1EDEE415" w14:textId="2590B281" w:rsidR="004D5FCC" w:rsidRPr="00885BD1" w:rsidRDefault="004D5FCC" w:rsidP="005304A9">
      <w:pPr>
        <w:pStyle w:val="Odstavekseznama"/>
        <w:numPr>
          <w:ilvl w:val="0"/>
          <w:numId w:val="3"/>
        </w:numPr>
        <w:jc w:val="both"/>
        <w:rPr>
          <w:rFonts w:ascii="Arial" w:hAnsi="Arial" w:cs="Arial"/>
          <w:sz w:val="20"/>
          <w:szCs w:val="20"/>
        </w:rPr>
      </w:pPr>
      <w:r w:rsidRPr="00885BD1">
        <w:rPr>
          <w:rFonts w:ascii="Arial" w:hAnsi="Arial" w:cs="Arial"/>
          <w:sz w:val="20"/>
          <w:szCs w:val="20"/>
        </w:rPr>
        <w:t>Storitve in programi socialnega varstva</w:t>
      </w:r>
    </w:p>
    <w:p w14:paraId="67E0B62B" w14:textId="411B4809" w:rsidR="004D5FCC" w:rsidRPr="00885BD1" w:rsidRDefault="004D5FCC" w:rsidP="005304A9">
      <w:pPr>
        <w:pStyle w:val="Odstavekseznama"/>
        <w:numPr>
          <w:ilvl w:val="0"/>
          <w:numId w:val="3"/>
        </w:numPr>
        <w:jc w:val="both"/>
        <w:rPr>
          <w:rFonts w:ascii="Arial" w:hAnsi="Arial" w:cs="Arial"/>
          <w:sz w:val="20"/>
          <w:szCs w:val="20"/>
        </w:rPr>
      </w:pPr>
      <w:r w:rsidRPr="00885BD1">
        <w:rPr>
          <w:rFonts w:ascii="Arial" w:hAnsi="Arial" w:cs="Arial"/>
          <w:sz w:val="20"/>
          <w:szCs w:val="20"/>
        </w:rPr>
        <w:t xml:space="preserve">Storitve in programi v skupnosti (integrirane storitve </w:t>
      </w:r>
      <w:r w:rsidR="00F31FA3">
        <w:rPr>
          <w:rFonts w:ascii="Arial" w:hAnsi="Arial" w:cs="Arial"/>
          <w:sz w:val="20"/>
          <w:szCs w:val="20"/>
        </w:rPr>
        <w:t xml:space="preserve">dolgotrajne oskrbe, </w:t>
      </w:r>
      <w:r w:rsidRPr="00885BD1">
        <w:rPr>
          <w:rFonts w:ascii="Arial" w:hAnsi="Arial" w:cs="Arial"/>
          <w:sz w:val="20"/>
          <w:szCs w:val="20"/>
        </w:rPr>
        <w:t>socialnega in zdravstvenega varstva)</w:t>
      </w:r>
    </w:p>
    <w:p w14:paraId="32B986D5" w14:textId="58E3CEE7" w:rsidR="004D5FCC" w:rsidRPr="00885BD1" w:rsidRDefault="004D5FCC" w:rsidP="005304A9">
      <w:pPr>
        <w:pStyle w:val="Odstavekseznama"/>
        <w:numPr>
          <w:ilvl w:val="0"/>
          <w:numId w:val="3"/>
        </w:numPr>
        <w:jc w:val="both"/>
        <w:rPr>
          <w:rFonts w:ascii="Arial" w:hAnsi="Arial" w:cs="Arial"/>
          <w:sz w:val="20"/>
          <w:szCs w:val="20"/>
        </w:rPr>
      </w:pPr>
      <w:r w:rsidRPr="00885BD1">
        <w:rPr>
          <w:rFonts w:ascii="Arial" w:hAnsi="Arial" w:cs="Arial"/>
          <w:sz w:val="20"/>
          <w:szCs w:val="20"/>
        </w:rPr>
        <w:t>Dejavnosti nevladnih organizacij in neformalnih oskrbovalcev</w:t>
      </w:r>
    </w:p>
    <w:p w14:paraId="127672D9" w14:textId="11EFD448" w:rsidR="004D5FCC" w:rsidRDefault="009E50C1" w:rsidP="00CD4BC8">
      <w:pPr>
        <w:jc w:val="both"/>
        <w:rPr>
          <w:rFonts w:cs="Arial"/>
          <w:szCs w:val="20"/>
          <w:lang w:val="sl-SI"/>
        </w:rPr>
      </w:pPr>
      <w:r>
        <w:rPr>
          <w:rFonts w:cs="Arial"/>
          <w:szCs w:val="20"/>
          <w:lang w:val="sl-SI"/>
        </w:rPr>
        <w:t xml:space="preserve">Navedene </w:t>
      </w:r>
      <w:r w:rsidR="0069194C">
        <w:rPr>
          <w:rFonts w:cs="Arial"/>
          <w:szCs w:val="20"/>
          <w:lang w:val="sl-SI"/>
        </w:rPr>
        <w:t>storitve in dejavnosti se</w:t>
      </w:r>
      <w:r w:rsidR="004D5FCC" w:rsidRPr="00885BD1">
        <w:rPr>
          <w:rFonts w:cs="Arial"/>
          <w:szCs w:val="20"/>
          <w:lang w:val="sl-SI"/>
        </w:rPr>
        <w:t xml:space="preserve"> večkrat prepletajo.</w:t>
      </w:r>
    </w:p>
    <w:p w14:paraId="7645B911" w14:textId="13CDC63A" w:rsidR="00CB7422" w:rsidRDefault="00CB7422" w:rsidP="00CD4BC8">
      <w:pPr>
        <w:jc w:val="both"/>
        <w:rPr>
          <w:rFonts w:cs="Arial"/>
          <w:szCs w:val="20"/>
          <w:lang w:val="sl-SI"/>
        </w:rPr>
      </w:pPr>
    </w:p>
    <w:p w14:paraId="3789C969" w14:textId="4276F9B8" w:rsidR="00CB7422" w:rsidRPr="002A2A84" w:rsidRDefault="00CB7422" w:rsidP="00CB7422">
      <w:pPr>
        <w:jc w:val="both"/>
        <w:rPr>
          <w:rFonts w:cs="Arial"/>
          <w:szCs w:val="20"/>
          <w:lang w:val="sl-SI"/>
        </w:rPr>
      </w:pPr>
      <w:r w:rsidRPr="004C2406">
        <w:rPr>
          <w:rFonts w:cs="Arial"/>
          <w:lang w:val="sl-SI"/>
        </w:rPr>
        <w:t>Medsektorsko sodelovanje za zagotovitev celovitega in usklajenega odziva s sodelovanjem javnih institucij, izobraževalnih sistemov, zaposlovanja, infrastrukture ter povezave med civilno družbo in zasebni</w:t>
      </w:r>
      <w:r w:rsidR="0069194C">
        <w:rPr>
          <w:rFonts w:cs="Arial"/>
          <w:lang w:val="sl-SI"/>
        </w:rPr>
        <w:t>ki</w:t>
      </w:r>
      <w:r w:rsidRPr="004C2406">
        <w:rPr>
          <w:rFonts w:cs="Arial"/>
          <w:lang w:val="sl-SI"/>
        </w:rPr>
        <w:t>. Nadaljujemo z okrepitvijo sodelovanja in povezovanju različnih sektorjev v družbi.</w:t>
      </w:r>
    </w:p>
    <w:p w14:paraId="2F4D4A64" w14:textId="0AD0DD87" w:rsidR="004D5FCC" w:rsidRPr="00885BD1" w:rsidRDefault="00C8002F" w:rsidP="00E546B0">
      <w:pPr>
        <w:pStyle w:val="Naslov1"/>
      </w:pPr>
      <w:bookmarkStart w:id="34" w:name="_Toc117692287"/>
      <w:r w:rsidRPr="00885BD1">
        <w:t xml:space="preserve">3.2.1 </w:t>
      </w:r>
      <w:r w:rsidR="004D5FCC" w:rsidRPr="00885BD1">
        <w:t>Storitve in programi zdravstvenega varstva</w:t>
      </w:r>
      <w:bookmarkEnd w:id="34"/>
    </w:p>
    <w:p w14:paraId="09CF3E91" w14:textId="77777777" w:rsidR="00AF6747" w:rsidRPr="00885BD1" w:rsidRDefault="00AF6747" w:rsidP="00CD4BC8">
      <w:pPr>
        <w:jc w:val="both"/>
        <w:rPr>
          <w:rFonts w:cs="Arial"/>
          <w:szCs w:val="20"/>
          <w:lang w:val="sl-SI"/>
        </w:rPr>
      </w:pPr>
    </w:p>
    <w:p w14:paraId="53CB9067" w14:textId="31163354" w:rsidR="00382573" w:rsidRPr="00885BD1" w:rsidRDefault="00382573" w:rsidP="00CD4BC8">
      <w:pPr>
        <w:jc w:val="both"/>
        <w:rPr>
          <w:rFonts w:cs="Arial"/>
          <w:szCs w:val="20"/>
          <w:lang w:val="sl-SI"/>
        </w:rPr>
      </w:pPr>
      <w:r w:rsidRPr="00885BD1">
        <w:rPr>
          <w:rFonts w:cs="Arial"/>
          <w:szCs w:val="20"/>
          <w:lang w:val="sl-SI"/>
        </w:rPr>
        <w:t xml:space="preserve">Demenca je posledica bolezni možganov </w:t>
      </w:r>
      <w:r w:rsidRPr="004C2406">
        <w:rPr>
          <w:rFonts w:cs="Arial"/>
          <w:szCs w:val="20"/>
          <w:lang w:val="sl-SI"/>
        </w:rPr>
        <w:t xml:space="preserve">in ni del </w:t>
      </w:r>
      <w:r w:rsidR="00CB7422" w:rsidRPr="004C2406">
        <w:rPr>
          <w:rFonts w:cs="Arial"/>
          <w:szCs w:val="20"/>
          <w:lang w:val="sl-SI"/>
        </w:rPr>
        <w:t xml:space="preserve">običajnega </w:t>
      </w:r>
      <w:r w:rsidRPr="004C2406">
        <w:rPr>
          <w:rFonts w:cs="Arial"/>
          <w:szCs w:val="20"/>
          <w:lang w:val="sl-SI"/>
        </w:rPr>
        <w:t xml:space="preserve">staranja, zato je potrebno bolezen odkrivati in </w:t>
      </w:r>
      <w:r w:rsidR="00BD3CD1" w:rsidRPr="004C2406">
        <w:rPr>
          <w:rFonts w:cs="Arial"/>
          <w:szCs w:val="20"/>
          <w:lang w:val="sl-SI"/>
        </w:rPr>
        <w:t>bolnike</w:t>
      </w:r>
      <w:r w:rsidRPr="004C2406">
        <w:rPr>
          <w:rFonts w:cs="Arial"/>
          <w:szCs w:val="20"/>
          <w:lang w:val="sl-SI"/>
        </w:rPr>
        <w:t xml:space="preserve"> </w:t>
      </w:r>
      <w:r w:rsidR="00CB7422" w:rsidRPr="004C2406">
        <w:rPr>
          <w:rFonts w:cs="Arial"/>
          <w:szCs w:val="20"/>
          <w:lang w:val="sl-SI"/>
        </w:rPr>
        <w:t>obravnavati</w:t>
      </w:r>
      <w:r w:rsidRPr="004C2406">
        <w:rPr>
          <w:rFonts w:cs="Arial"/>
          <w:szCs w:val="20"/>
          <w:lang w:val="sl-SI"/>
        </w:rPr>
        <w:t xml:space="preserve">. </w:t>
      </w:r>
      <w:r w:rsidR="004D5FCC" w:rsidRPr="004C2406">
        <w:rPr>
          <w:rFonts w:cs="Arial"/>
          <w:szCs w:val="20"/>
          <w:lang w:val="sl-SI"/>
        </w:rPr>
        <w:t xml:space="preserve">S pravočasno prepoznavo in obravnavo lahko upočasnimo razvoj bolezni ali obvladamo ter preprečimo negativne vplive na </w:t>
      </w:r>
      <w:r w:rsidR="006B4A17" w:rsidRPr="004C2406">
        <w:rPr>
          <w:rFonts w:cs="Arial"/>
          <w:szCs w:val="20"/>
          <w:lang w:val="sl-SI"/>
        </w:rPr>
        <w:t>osebe z demenco</w:t>
      </w:r>
      <w:r w:rsidR="004D5FCC" w:rsidRPr="004C2406">
        <w:rPr>
          <w:rFonts w:cs="Arial"/>
          <w:szCs w:val="20"/>
          <w:lang w:val="sl-SI"/>
        </w:rPr>
        <w:t>, ožjo in širšo okolico. Zato je pomembno dobro sodelovanje v okviru</w:t>
      </w:r>
      <w:r w:rsidR="004D5FCC" w:rsidRPr="00885BD1">
        <w:rPr>
          <w:rFonts w:cs="Arial"/>
          <w:szCs w:val="20"/>
          <w:lang w:val="sl-SI"/>
        </w:rPr>
        <w:t xml:space="preserve"> zdravstvenega varstva in povezovanje z drugimi službami in deležniki v lokalnem okolju. </w:t>
      </w:r>
    </w:p>
    <w:p w14:paraId="6DDA6175" w14:textId="6DD9BB70" w:rsidR="00246EAD" w:rsidRPr="00885BD1" w:rsidRDefault="00246EAD" w:rsidP="00CD4BC8">
      <w:pPr>
        <w:jc w:val="both"/>
        <w:rPr>
          <w:rFonts w:cs="Arial"/>
          <w:szCs w:val="20"/>
          <w:lang w:val="sl-SI"/>
        </w:rPr>
      </w:pPr>
    </w:p>
    <w:p w14:paraId="2C5B802B" w14:textId="37C92B08" w:rsidR="00E178C5" w:rsidRPr="00885BD1" w:rsidRDefault="00246EAD" w:rsidP="00CB7832">
      <w:pPr>
        <w:jc w:val="both"/>
        <w:rPr>
          <w:rFonts w:cs="Arial"/>
          <w:szCs w:val="20"/>
          <w:lang w:val="sl-SI"/>
        </w:rPr>
      </w:pPr>
      <w:r w:rsidRPr="00885BD1">
        <w:rPr>
          <w:rFonts w:cs="Arial"/>
          <w:szCs w:val="20"/>
          <w:lang w:val="sl-SI"/>
        </w:rPr>
        <w:t xml:space="preserve">V Sloveniji v letu 2022 deluje </w:t>
      </w:r>
      <w:r w:rsidR="00420D0F" w:rsidRPr="00885BD1">
        <w:rPr>
          <w:rFonts w:cs="Arial"/>
          <w:szCs w:val="20"/>
          <w:lang w:val="sl-SI"/>
        </w:rPr>
        <w:t>65</w:t>
      </w:r>
      <w:r w:rsidRPr="00885BD1">
        <w:rPr>
          <w:rFonts w:cs="Arial"/>
          <w:szCs w:val="20"/>
          <w:lang w:val="sl-SI"/>
        </w:rPr>
        <w:t xml:space="preserve"> zdravstvenih domov, 26 bolnišnic</w:t>
      </w:r>
      <w:r w:rsidR="00ED0A78">
        <w:rPr>
          <w:rFonts w:cs="Arial"/>
          <w:szCs w:val="20"/>
          <w:lang w:val="sl-SI"/>
        </w:rPr>
        <w:t xml:space="preserve"> (od tega </w:t>
      </w:r>
      <w:r w:rsidR="00BC58B4">
        <w:rPr>
          <w:rFonts w:cs="Arial"/>
          <w:szCs w:val="20"/>
          <w:lang w:val="sl-SI"/>
        </w:rPr>
        <w:t>4</w:t>
      </w:r>
      <w:r w:rsidR="00ED0A78">
        <w:rPr>
          <w:rFonts w:cs="Arial"/>
          <w:szCs w:val="20"/>
          <w:lang w:val="sl-SI"/>
        </w:rPr>
        <w:t xml:space="preserve"> psihiatričn</w:t>
      </w:r>
      <w:r w:rsidR="00BC58B4">
        <w:rPr>
          <w:rFonts w:cs="Arial"/>
          <w:szCs w:val="20"/>
          <w:lang w:val="sl-SI"/>
        </w:rPr>
        <w:t>e</w:t>
      </w:r>
      <w:r w:rsidR="00ED0A78">
        <w:rPr>
          <w:rFonts w:cs="Arial"/>
          <w:szCs w:val="20"/>
          <w:lang w:val="sl-SI"/>
        </w:rPr>
        <w:t>)</w:t>
      </w:r>
      <w:r w:rsidRPr="00885BD1">
        <w:rPr>
          <w:rFonts w:cs="Arial"/>
          <w:szCs w:val="20"/>
          <w:lang w:val="sl-SI"/>
        </w:rPr>
        <w:t xml:space="preserve"> in 2 klinična centra. </w:t>
      </w:r>
      <w:r w:rsidR="00FE6591" w:rsidRPr="00885BD1">
        <w:rPr>
          <w:rFonts w:cs="Arial"/>
          <w:szCs w:val="20"/>
          <w:lang w:val="sl-SI"/>
        </w:rPr>
        <w:t xml:space="preserve">Na </w:t>
      </w:r>
      <w:r w:rsidR="003A1BA9">
        <w:rPr>
          <w:rFonts w:cs="Arial"/>
          <w:szCs w:val="20"/>
          <w:lang w:val="sl-SI"/>
        </w:rPr>
        <w:t xml:space="preserve">terciarni in </w:t>
      </w:r>
      <w:r w:rsidR="00FE6591" w:rsidRPr="00885BD1">
        <w:rPr>
          <w:rFonts w:cs="Arial"/>
          <w:szCs w:val="20"/>
          <w:lang w:val="sl-SI"/>
        </w:rPr>
        <w:t>sekundarni ravni deluje Center za kognitivne motnje v</w:t>
      </w:r>
      <w:r w:rsidR="00382573" w:rsidRPr="00885BD1">
        <w:rPr>
          <w:rFonts w:cs="Arial"/>
          <w:szCs w:val="20"/>
          <w:lang w:val="sl-SI"/>
        </w:rPr>
        <w:t xml:space="preserve"> okviru Nevrološke klinike UKC Ljubljana</w:t>
      </w:r>
      <w:r w:rsidR="003A1BA9">
        <w:rPr>
          <w:rFonts w:cs="Arial"/>
          <w:szCs w:val="20"/>
          <w:lang w:val="sl-SI"/>
        </w:rPr>
        <w:t xml:space="preserve">. Na </w:t>
      </w:r>
      <w:r w:rsidR="00A95315">
        <w:rPr>
          <w:rFonts w:cs="Arial"/>
          <w:szCs w:val="20"/>
          <w:lang w:val="sl-SI"/>
        </w:rPr>
        <w:t>UPK</w:t>
      </w:r>
      <w:r w:rsidR="0011493F" w:rsidRPr="00885BD1">
        <w:rPr>
          <w:rFonts w:cs="Arial"/>
          <w:szCs w:val="20"/>
          <w:lang w:val="sl-SI"/>
        </w:rPr>
        <w:t xml:space="preserve"> Ljubljana je Enota za gerontopsihiatrijo</w:t>
      </w:r>
      <w:r w:rsidR="00382573" w:rsidRPr="00885BD1">
        <w:rPr>
          <w:rFonts w:cs="Arial"/>
          <w:szCs w:val="20"/>
          <w:lang w:val="sl-SI"/>
        </w:rPr>
        <w:t xml:space="preserve"> in </w:t>
      </w:r>
      <w:r w:rsidR="0011493F" w:rsidRPr="00885BD1">
        <w:rPr>
          <w:rFonts w:cs="Arial"/>
          <w:szCs w:val="20"/>
          <w:lang w:val="sl-SI"/>
        </w:rPr>
        <w:t xml:space="preserve">v </w:t>
      </w:r>
      <w:r w:rsidR="00382573" w:rsidRPr="00885BD1">
        <w:rPr>
          <w:rFonts w:cs="Arial"/>
          <w:szCs w:val="20"/>
          <w:lang w:val="sl-SI"/>
        </w:rPr>
        <w:t xml:space="preserve">UKC Maribor </w:t>
      </w:r>
      <w:r w:rsidR="002144BD" w:rsidRPr="00885BD1">
        <w:rPr>
          <w:rFonts w:cs="Arial"/>
          <w:szCs w:val="20"/>
          <w:lang w:val="sl-SI"/>
        </w:rPr>
        <w:t>deluje Oddelek za nevrološke bolezni</w:t>
      </w:r>
      <w:r w:rsidR="00FE6591" w:rsidRPr="00885BD1">
        <w:rPr>
          <w:rFonts w:cs="Arial"/>
          <w:szCs w:val="20"/>
          <w:lang w:val="sl-SI"/>
        </w:rPr>
        <w:t>. V</w:t>
      </w:r>
      <w:r w:rsidR="0011493F" w:rsidRPr="00885BD1">
        <w:rPr>
          <w:rFonts w:cs="Arial"/>
          <w:szCs w:val="20"/>
          <w:lang w:val="sl-SI"/>
        </w:rPr>
        <w:t xml:space="preserve"> okviru </w:t>
      </w:r>
      <w:r w:rsidR="00FE6591" w:rsidRPr="00885BD1">
        <w:rPr>
          <w:rFonts w:cs="Arial"/>
          <w:szCs w:val="20"/>
          <w:lang w:val="sl-SI"/>
        </w:rPr>
        <w:t>psihiatričnih bolnišnic so organizirane enote z</w:t>
      </w:r>
      <w:r w:rsidR="00382573" w:rsidRPr="00885BD1">
        <w:rPr>
          <w:rFonts w:cs="Arial"/>
          <w:szCs w:val="20"/>
          <w:lang w:val="sl-SI"/>
        </w:rPr>
        <w:t>a gerontopsihiatrijo</w:t>
      </w:r>
      <w:r w:rsidR="00FE6591" w:rsidRPr="00885BD1">
        <w:rPr>
          <w:rFonts w:cs="Arial"/>
          <w:szCs w:val="20"/>
          <w:lang w:val="sl-SI"/>
        </w:rPr>
        <w:t xml:space="preserve">. </w:t>
      </w:r>
    </w:p>
    <w:p w14:paraId="7FF1DC36" w14:textId="77777777" w:rsidR="00CB7832" w:rsidRPr="00885BD1" w:rsidRDefault="00CB7832" w:rsidP="00CB7832">
      <w:pPr>
        <w:jc w:val="both"/>
        <w:rPr>
          <w:rFonts w:cs="Arial"/>
          <w:szCs w:val="20"/>
          <w:lang w:val="sl-SI"/>
        </w:rPr>
      </w:pPr>
    </w:p>
    <w:p w14:paraId="1B8D2EA5" w14:textId="470820DE" w:rsidR="00EC70B0" w:rsidRPr="00885BD1" w:rsidRDefault="00CB7832" w:rsidP="00CB7832">
      <w:pPr>
        <w:jc w:val="both"/>
        <w:rPr>
          <w:rFonts w:cs="Arial"/>
          <w:szCs w:val="20"/>
          <w:lang w:val="sl-SI"/>
        </w:rPr>
      </w:pPr>
      <w:r w:rsidRPr="00885BD1">
        <w:rPr>
          <w:rFonts w:cs="Arial"/>
          <w:szCs w:val="20"/>
          <w:lang w:val="sl-SI"/>
        </w:rPr>
        <w:t>Domovi za starejše</w:t>
      </w:r>
      <w:r w:rsidR="00770F4E" w:rsidRPr="00885BD1">
        <w:rPr>
          <w:rFonts w:cs="Arial"/>
          <w:szCs w:val="20"/>
          <w:lang w:val="sl-SI"/>
        </w:rPr>
        <w:t xml:space="preserve"> (v nadaljnjem besedilu: DSO) </w:t>
      </w:r>
      <w:r w:rsidRPr="00885BD1">
        <w:rPr>
          <w:rFonts w:cs="Arial"/>
          <w:szCs w:val="20"/>
          <w:lang w:val="sl-SI"/>
        </w:rPr>
        <w:t>spadaj</w:t>
      </w:r>
      <w:r w:rsidR="00EC27F0" w:rsidRPr="00885BD1">
        <w:rPr>
          <w:rFonts w:cs="Arial"/>
          <w:szCs w:val="20"/>
          <w:lang w:val="sl-SI"/>
        </w:rPr>
        <w:t>o</w:t>
      </w:r>
      <w:r w:rsidRPr="00885BD1">
        <w:rPr>
          <w:rFonts w:cs="Arial"/>
          <w:szCs w:val="20"/>
          <w:lang w:val="sl-SI"/>
        </w:rPr>
        <w:t xml:space="preserve"> med socialnovarstvene institucije</w:t>
      </w:r>
      <w:r w:rsidR="00545746" w:rsidRPr="00885BD1">
        <w:rPr>
          <w:rFonts w:cs="Arial"/>
          <w:szCs w:val="20"/>
          <w:lang w:val="sl-SI"/>
        </w:rPr>
        <w:t>, ki organizirajo ambulanto družinske medicine za svoje</w:t>
      </w:r>
      <w:r w:rsidRPr="00885BD1">
        <w:rPr>
          <w:rFonts w:cs="Arial"/>
          <w:szCs w:val="20"/>
          <w:lang w:val="sl-SI"/>
        </w:rPr>
        <w:t xml:space="preserve"> stanovalcev. </w:t>
      </w:r>
      <w:r w:rsidR="00701517" w:rsidRPr="00885BD1">
        <w:rPr>
          <w:rFonts w:cs="Arial"/>
          <w:szCs w:val="20"/>
          <w:lang w:val="sl-SI"/>
        </w:rPr>
        <w:t>V standardu zdravstvene oskrbe j</w:t>
      </w:r>
      <w:r w:rsidR="00545746" w:rsidRPr="00885BD1">
        <w:rPr>
          <w:rFonts w:cs="Arial"/>
          <w:szCs w:val="20"/>
          <w:lang w:val="sl-SI"/>
        </w:rPr>
        <w:t xml:space="preserve">e za stanovalce </w:t>
      </w:r>
      <w:r w:rsidR="00701517" w:rsidRPr="00885BD1">
        <w:rPr>
          <w:rFonts w:cs="Arial"/>
          <w:szCs w:val="20"/>
          <w:lang w:val="sl-SI"/>
        </w:rPr>
        <w:t xml:space="preserve">priznan </w:t>
      </w:r>
      <w:r w:rsidR="00ED0A78">
        <w:rPr>
          <w:rFonts w:cs="Arial"/>
          <w:szCs w:val="20"/>
          <w:lang w:val="sl-SI"/>
        </w:rPr>
        <w:t xml:space="preserve">tim </w:t>
      </w:r>
      <w:r w:rsidR="00BE029C">
        <w:rPr>
          <w:rFonts w:cs="Arial"/>
          <w:szCs w:val="20"/>
          <w:lang w:val="sl-SI"/>
        </w:rPr>
        <w:t>ambulante družinske medicine</w:t>
      </w:r>
      <w:r w:rsidR="00545746" w:rsidRPr="00885BD1">
        <w:rPr>
          <w:rFonts w:cs="Arial"/>
          <w:szCs w:val="20"/>
          <w:lang w:val="sl-SI"/>
        </w:rPr>
        <w:t xml:space="preserve">. </w:t>
      </w:r>
    </w:p>
    <w:p w14:paraId="36AF5AA7" w14:textId="77777777" w:rsidR="00EC70B0" w:rsidRPr="00885BD1" w:rsidRDefault="00EC70B0" w:rsidP="00CB7832">
      <w:pPr>
        <w:jc w:val="both"/>
        <w:rPr>
          <w:rFonts w:cs="Arial"/>
          <w:szCs w:val="20"/>
          <w:lang w:val="sl-SI"/>
        </w:rPr>
      </w:pPr>
    </w:p>
    <w:p w14:paraId="5CC6EB05" w14:textId="3E2540E9" w:rsidR="00CB7832" w:rsidRPr="00885BD1" w:rsidRDefault="007D4C9E" w:rsidP="00CB7832">
      <w:pPr>
        <w:jc w:val="both"/>
        <w:rPr>
          <w:rFonts w:cs="Arial"/>
          <w:szCs w:val="20"/>
          <w:lang w:val="sl-SI"/>
        </w:rPr>
      </w:pPr>
      <w:r w:rsidRPr="004E577C">
        <w:rPr>
          <w:rFonts w:cs="Arial"/>
          <w:szCs w:val="20"/>
          <w:lang w:val="sl-SI"/>
        </w:rPr>
        <w:t xml:space="preserve">V </w:t>
      </w:r>
      <w:r w:rsidR="00CB7832" w:rsidRPr="004E577C">
        <w:rPr>
          <w:rFonts w:cs="Arial"/>
          <w:szCs w:val="20"/>
          <w:lang w:val="sl-SI"/>
        </w:rPr>
        <w:t>Sloveniji v nasprotju z večino razvitih držav nimamo zdravnikov specialistov s področja geriatrije</w:t>
      </w:r>
      <w:r w:rsidRPr="004E577C">
        <w:rPr>
          <w:rFonts w:cs="Arial"/>
          <w:szCs w:val="20"/>
          <w:lang w:val="sl-SI"/>
        </w:rPr>
        <w:t xml:space="preserve"> in specialističnih znanj izvajalcev zdravstvene dejavnosti z gerontološkimi znanji</w:t>
      </w:r>
      <w:r w:rsidR="00CB7832" w:rsidRPr="004E577C">
        <w:rPr>
          <w:rFonts w:cs="Arial"/>
          <w:szCs w:val="20"/>
          <w:lang w:val="sl-SI"/>
        </w:rPr>
        <w:t>. Center za geriatrično medicino je danes organiziran zgolj v okviru Interne klinike Univerzitetnega kliničnega centra Ljubljana.</w:t>
      </w:r>
      <w:r w:rsidR="00CB7832" w:rsidRPr="00885BD1">
        <w:rPr>
          <w:rFonts w:cs="Arial"/>
          <w:szCs w:val="20"/>
          <w:lang w:val="sl-SI"/>
        </w:rPr>
        <w:t xml:space="preserve"> </w:t>
      </w:r>
    </w:p>
    <w:p w14:paraId="11F4DFD2" w14:textId="584FBD95" w:rsidR="00A94469" w:rsidRPr="00885BD1" w:rsidRDefault="00A94469" w:rsidP="00E546B0">
      <w:pPr>
        <w:pStyle w:val="Naslov1"/>
        <w:rPr>
          <w:rStyle w:val="Intenzivenpoudarek"/>
          <w:i w:val="0"/>
          <w:iCs w:val="0"/>
        </w:rPr>
      </w:pPr>
      <w:bookmarkStart w:id="35" w:name="_Toc117692288"/>
      <w:r w:rsidRPr="00885BD1">
        <w:rPr>
          <w:rStyle w:val="Intenzivenpoudarek"/>
          <w:i w:val="0"/>
          <w:iCs w:val="0"/>
        </w:rPr>
        <w:t xml:space="preserve">3.2.1.1 </w:t>
      </w:r>
      <w:r w:rsidR="002C4C61" w:rsidRPr="00885BD1">
        <w:rPr>
          <w:rStyle w:val="Intenzivenpoudarek"/>
          <w:i w:val="0"/>
          <w:iCs w:val="0"/>
        </w:rPr>
        <w:t>P</w:t>
      </w:r>
      <w:r w:rsidRPr="00885BD1">
        <w:rPr>
          <w:rStyle w:val="Intenzivenpoudarek"/>
          <w:i w:val="0"/>
          <w:iCs w:val="0"/>
        </w:rPr>
        <w:t>rimarno zdravstveno varstvo</w:t>
      </w:r>
      <w:bookmarkEnd w:id="35"/>
    </w:p>
    <w:p w14:paraId="438F4164" w14:textId="69CC6ED2" w:rsidR="00732CEB" w:rsidRPr="00885BD1" w:rsidRDefault="00732CEB" w:rsidP="00CD4BC8">
      <w:pPr>
        <w:jc w:val="both"/>
        <w:rPr>
          <w:rFonts w:cs="Arial"/>
          <w:szCs w:val="20"/>
          <w:lang w:val="sl-SI"/>
        </w:rPr>
      </w:pPr>
    </w:p>
    <w:p w14:paraId="2082BAFB" w14:textId="1EB12BE6" w:rsidR="00732CEB" w:rsidRPr="00885BD1" w:rsidRDefault="00732CEB" w:rsidP="00732CEB">
      <w:pPr>
        <w:jc w:val="both"/>
        <w:rPr>
          <w:rFonts w:cs="Arial"/>
          <w:szCs w:val="20"/>
          <w:lang w:val="sl-SI"/>
        </w:rPr>
      </w:pPr>
      <w:r w:rsidRPr="00885BD1">
        <w:rPr>
          <w:rFonts w:cs="Arial"/>
          <w:szCs w:val="20"/>
          <w:lang w:val="sl-SI"/>
        </w:rPr>
        <w:t xml:space="preserve">Zdravstveno varstvo na primarni ravni predstavlja hrbtenico zdravstvenega varstva tudi na področju obvladovanja demence, saj največ oseb z demenco obravnavajo njihovi </w:t>
      </w:r>
      <w:r w:rsidR="00F958F6" w:rsidRPr="00885BD1">
        <w:rPr>
          <w:rFonts w:cs="Arial"/>
          <w:szCs w:val="20"/>
          <w:lang w:val="sl-SI"/>
        </w:rPr>
        <w:t xml:space="preserve">izbrani </w:t>
      </w:r>
      <w:r w:rsidRPr="00885BD1">
        <w:rPr>
          <w:rFonts w:cs="Arial"/>
          <w:szCs w:val="20"/>
          <w:lang w:val="sl-SI"/>
        </w:rPr>
        <w:t>osebni zdravniki. Zdravniki družinske medicine so pri sumu na demenco mesto prvega stika z bolnikom. V okviru ambulante družinske medicine delujejo tudi referenčne ambulante</w:t>
      </w:r>
      <w:r w:rsidR="00F958F6" w:rsidRPr="00885BD1">
        <w:rPr>
          <w:rFonts w:cs="Arial"/>
          <w:szCs w:val="20"/>
          <w:lang w:val="sl-SI"/>
        </w:rPr>
        <w:t xml:space="preserve"> za vodenje stabilnih kroničnih bolnikov</w:t>
      </w:r>
      <w:r w:rsidRPr="00885BD1">
        <w:rPr>
          <w:rFonts w:cs="Arial"/>
          <w:szCs w:val="20"/>
          <w:lang w:val="sl-SI"/>
        </w:rPr>
        <w:t xml:space="preserve">. </w:t>
      </w:r>
    </w:p>
    <w:p w14:paraId="524BE7AE" w14:textId="77777777" w:rsidR="00732CEB" w:rsidRPr="00885BD1" w:rsidRDefault="00732CEB" w:rsidP="00732CEB">
      <w:pPr>
        <w:jc w:val="both"/>
        <w:rPr>
          <w:rFonts w:cs="Arial"/>
          <w:szCs w:val="20"/>
          <w:lang w:val="sl-SI"/>
        </w:rPr>
      </w:pPr>
    </w:p>
    <w:p w14:paraId="4503D667" w14:textId="4A0ECAC4" w:rsidR="00732CEB" w:rsidRPr="00885BD1" w:rsidRDefault="00732CEB" w:rsidP="00732CEB">
      <w:pPr>
        <w:jc w:val="both"/>
        <w:rPr>
          <w:rFonts w:cs="Arial"/>
          <w:szCs w:val="20"/>
          <w:lang w:val="sl-SI"/>
        </w:rPr>
      </w:pPr>
      <w:r w:rsidRPr="00885BD1">
        <w:rPr>
          <w:rFonts w:cs="Arial"/>
          <w:szCs w:val="20"/>
          <w:lang w:val="sl-SI"/>
        </w:rPr>
        <w:t xml:space="preserve">ReNPDZ18-28 prinaša reformo na področju duševnega zdravja in prenaša težišče obravnav na primarno zdravstveno raven. Pri zdravstvenih domovih se vzpostavlja mreža 25 centrov za duševno zdravje odraslih z mobilnimi timi. </w:t>
      </w:r>
    </w:p>
    <w:p w14:paraId="3F44FF3D" w14:textId="77777777" w:rsidR="00732CEB" w:rsidRPr="00885BD1" w:rsidRDefault="00732CEB" w:rsidP="00732CEB">
      <w:pPr>
        <w:jc w:val="both"/>
        <w:rPr>
          <w:rFonts w:cs="Arial"/>
          <w:szCs w:val="20"/>
          <w:lang w:val="sl-SI"/>
        </w:rPr>
      </w:pPr>
    </w:p>
    <w:p w14:paraId="5500AE7C" w14:textId="56E31074" w:rsidR="00732CEB" w:rsidRPr="00885BD1" w:rsidRDefault="00732CEB" w:rsidP="00732CEB">
      <w:pPr>
        <w:jc w:val="both"/>
        <w:rPr>
          <w:rFonts w:cs="Arial"/>
          <w:szCs w:val="20"/>
          <w:lang w:val="sl-SI"/>
        </w:rPr>
      </w:pPr>
      <w:r w:rsidRPr="00885BD1">
        <w:rPr>
          <w:rFonts w:cs="Arial"/>
          <w:szCs w:val="20"/>
          <w:lang w:val="sl-SI"/>
        </w:rPr>
        <w:t>V vsakem zdravstvenem domu je organiziran ZVC - zdravstveno vzgojni center</w:t>
      </w:r>
      <w:r w:rsidR="00A95315">
        <w:rPr>
          <w:rFonts w:cs="Arial"/>
          <w:szCs w:val="20"/>
          <w:lang w:val="sl-SI"/>
        </w:rPr>
        <w:t xml:space="preserve">. </w:t>
      </w:r>
      <w:r w:rsidRPr="00885BD1">
        <w:rPr>
          <w:rFonts w:cs="Arial"/>
          <w:szCs w:val="20"/>
          <w:lang w:val="sl-SI"/>
        </w:rPr>
        <w:t>V zadnjih letih je 25 ZVC-jev razširilo svoj program delovanja in se preoblikovalo v CKZ - Centre za krepitev zdravja.</w:t>
      </w:r>
    </w:p>
    <w:p w14:paraId="1632B765" w14:textId="77777777" w:rsidR="00732CEB" w:rsidRPr="00885BD1" w:rsidRDefault="00732CEB" w:rsidP="00732CEB">
      <w:pPr>
        <w:jc w:val="both"/>
        <w:rPr>
          <w:rFonts w:cs="Arial"/>
          <w:szCs w:val="20"/>
          <w:lang w:val="sl-SI"/>
        </w:rPr>
      </w:pPr>
    </w:p>
    <w:p w14:paraId="32B26A32" w14:textId="3DA44428" w:rsidR="00732CEB" w:rsidRDefault="00732CEB" w:rsidP="00732CEB">
      <w:pPr>
        <w:jc w:val="both"/>
        <w:rPr>
          <w:rFonts w:cs="Arial"/>
          <w:szCs w:val="20"/>
          <w:lang w:val="sl-SI"/>
        </w:rPr>
      </w:pPr>
      <w:r w:rsidRPr="004E577C">
        <w:rPr>
          <w:rFonts w:cs="Arial"/>
          <w:szCs w:val="20"/>
          <w:lang w:val="sl-SI"/>
        </w:rPr>
        <w:lastRenderedPageBreak/>
        <w:t>Na primarni zdravstveni ravni deluje tudi patronažna služba, k</w:t>
      </w:r>
      <w:r w:rsidR="007D4C9E" w:rsidRPr="004E577C">
        <w:rPr>
          <w:rFonts w:cs="Arial"/>
          <w:szCs w:val="20"/>
          <w:lang w:val="sl-SI"/>
        </w:rPr>
        <w:t>atere vloga obravnav s starejšimi</w:t>
      </w:r>
      <w:r w:rsidRPr="004E577C">
        <w:rPr>
          <w:rFonts w:cs="Arial"/>
          <w:szCs w:val="20"/>
          <w:lang w:val="sl-SI"/>
        </w:rPr>
        <w:t xml:space="preserve"> </w:t>
      </w:r>
      <w:r w:rsidR="005D328F" w:rsidRPr="004E577C">
        <w:rPr>
          <w:rFonts w:cs="Arial"/>
          <w:szCs w:val="20"/>
          <w:lang w:val="sl-SI"/>
        </w:rPr>
        <w:t xml:space="preserve">osebami </w:t>
      </w:r>
      <w:r w:rsidRPr="004E577C">
        <w:rPr>
          <w:rFonts w:cs="Arial"/>
          <w:szCs w:val="20"/>
          <w:lang w:val="sl-SI"/>
        </w:rPr>
        <w:t>je pogosto spregledana</w:t>
      </w:r>
      <w:r w:rsidR="007D4C9E" w:rsidRPr="004E577C">
        <w:rPr>
          <w:rFonts w:cs="Arial"/>
          <w:szCs w:val="20"/>
          <w:lang w:val="sl-SI"/>
        </w:rPr>
        <w:t>. Patronažne služba</w:t>
      </w:r>
      <w:r w:rsidRPr="004E577C">
        <w:rPr>
          <w:rFonts w:cs="Arial"/>
          <w:szCs w:val="20"/>
          <w:lang w:val="sl-SI"/>
        </w:rPr>
        <w:t xml:space="preserve"> lahko odigra pomembno vlogo na področju preventivne dejavnosti. Patronažne </w:t>
      </w:r>
      <w:r w:rsidR="00580833" w:rsidRPr="004E577C">
        <w:rPr>
          <w:rFonts w:cs="Arial"/>
          <w:szCs w:val="20"/>
          <w:lang w:val="sl-SI"/>
        </w:rPr>
        <w:t xml:space="preserve">medicinske </w:t>
      </w:r>
      <w:r w:rsidRPr="004E577C">
        <w:rPr>
          <w:rFonts w:cs="Arial"/>
          <w:szCs w:val="20"/>
          <w:lang w:val="sl-SI"/>
        </w:rPr>
        <w:t>sestre na terenu opravljajo preventivno in kurativno patronažno službo. Na terenu deluje 756 patronažnih sester, ki s</w:t>
      </w:r>
      <w:r w:rsidR="00ED0A78" w:rsidRPr="004E577C">
        <w:rPr>
          <w:rFonts w:cs="Arial"/>
          <w:szCs w:val="20"/>
          <w:lang w:val="sl-SI"/>
        </w:rPr>
        <w:t>o</w:t>
      </w:r>
      <w:r w:rsidRPr="004E577C">
        <w:rPr>
          <w:rFonts w:cs="Arial"/>
          <w:szCs w:val="20"/>
          <w:lang w:val="sl-SI"/>
        </w:rPr>
        <w:t xml:space="preserve"> organizira</w:t>
      </w:r>
      <w:r w:rsidR="00ED0A78" w:rsidRPr="004E577C">
        <w:rPr>
          <w:rFonts w:cs="Arial"/>
          <w:szCs w:val="20"/>
          <w:lang w:val="sl-SI"/>
        </w:rPr>
        <w:t xml:space="preserve">ne </w:t>
      </w:r>
      <w:r w:rsidRPr="004E577C">
        <w:rPr>
          <w:rFonts w:cs="Arial"/>
          <w:szCs w:val="20"/>
          <w:lang w:val="sl-SI"/>
        </w:rPr>
        <w:t>po teritorialnem principu.</w:t>
      </w:r>
      <w:r w:rsidRPr="00885BD1">
        <w:rPr>
          <w:rFonts w:cs="Arial"/>
          <w:szCs w:val="20"/>
          <w:lang w:val="sl-SI"/>
        </w:rPr>
        <w:t xml:space="preserve"> </w:t>
      </w:r>
    </w:p>
    <w:p w14:paraId="50B194CC" w14:textId="77777777" w:rsidR="00C55468" w:rsidRPr="00C55468" w:rsidRDefault="00C55468" w:rsidP="00E546B0">
      <w:pPr>
        <w:pStyle w:val="Naslov1"/>
      </w:pPr>
      <w:bookmarkStart w:id="36" w:name="_Toc117692289"/>
      <w:r w:rsidRPr="00C55468">
        <w:t>3.2.1.1.1 Ambulante družinske medicine</w:t>
      </w:r>
      <w:bookmarkEnd w:id="36"/>
      <w:r w:rsidRPr="00C55468">
        <w:t xml:space="preserve"> </w:t>
      </w:r>
    </w:p>
    <w:p w14:paraId="47A6362B" w14:textId="77777777" w:rsidR="00C55468" w:rsidRPr="00C55468" w:rsidRDefault="00C55468" w:rsidP="00C55468">
      <w:pPr>
        <w:jc w:val="both"/>
        <w:rPr>
          <w:rFonts w:cs="Arial"/>
          <w:szCs w:val="20"/>
          <w:lang w:val="sl-SI"/>
        </w:rPr>
      </w:pPr>
    </w:p>
    <w:p w14:paraId="17C5EA74" w14:textId="599F6E1A" w:rsidR="0067024C" w:rsidRDefault="0067024C" w:rsidP="00C55468">
      <w:pPr>
        <w:jc w:val="both"/>
        <w:rPr>
          <w:rFonts w:cs="Arial"/>
          <w:szCs w:val="20"/>
          <w:lang w:val="sl-SI"/>
        </w:rPr>
      </w:pPr>
      <w:r w:rsidRPr="0067024C">
        <w:rPr>
          <w:rFonts w:cs="Arial"/>
          <w:szCs w:val="20"/>
          <w:lang w:val="sl-SI"/>
        </w:rPr>
        <w:t>V javni zdravstveni mreži je v letu 2021 izvajalo zdravstveno dejavnost 967,89 timov zdravnikov družinske medicine (v nadaljnjem besedili: DM), ki delujejo v okviru 65 zdravstvenih domov ali delujejo kot zasebne ambulante družinske medicine s koncesijo.</w:t>
      </w:r>
    </w:p>
    <w:p w14:paraId="0ED7EE98" w14:textId="77777777" w:rsidR="00C55468" w:rsidRPr="00C55468" w:rsidRDefault="00C55468" w:rsidP="00C55468">
      <w:pPr>
        <w:jc w:val="both"/>
        <w:rPr>
          <w:rFonts w:cs="Arial"/>
          <w:szCs w:val="20"/>
          <w:lang w:val="sl-SI"/>
        </w:rPr>
      </w:pPr>
    </w:p>
    <w:p w14:paraId="0CE9042E" w14:textId="77777777" w:rsidR="00C55468" w:rsidRPr="00C55468" w:rsidRDefault="00C55468" w:rsidP="00C55468">
      <w:pPr>
        <w:jc w:val="both"/>
        <w:rPr>
          <w:rFonts w:cs="Arial"/>
          <w:szCs w:val="20"/>
          <w:lang w:val="sl-SI"/>
        </w:rPr>
      </w:pPr>
      <w:r w:rsidRPr="00C55468">
        <w:rPr>
          <w:rFonts w:cs="Arial"/>
          <w:szCs w:val="20"/>
          <w:lang w:val="sl-SI"/>
        </w:rPr>
        <w:t>Na primarnem nivoju je ambulanta DM mesto prvega stika z bolnikom z demenco in njegovimi svojci. Za bolnika skrbi ves čas trajanja bolezni do konca njegovega življenja, zdravniki DM skrbijo tudi za bolnike z demenco, ki živijo v DSO.</w:t>
      </w:r>
    </w:p>
    <w:p w14:paraId="62520CB6" w14:textId="77777777" w:rsidR="00C55468" w:rsidRPr="00C55468" w:rsidRDefault="00C55468" w:rsidP="00C55468">
      <w:pPr>
        <w:jc w:val="both"/>
        <w:rPr>
          <w:rFonts w:cs="Arial"/>
          <w:szCs w:val="20"/>
          <w:lang w:val="sl-SI"/>
        </w:rPr>
      </w:pPr>
    </w:p>
    <w:p w14:paraId="00BE7E35" w14:textId="3E177F2C" w:rsidR="00C55468" w:rsidRPr="00C55468" w:rsidRDefault="00C55468" w:rsidP="00C55468">
      <w:pPr>
        <w:jc w:val="both"/>
        <w:rPr>
          <w:rFonts w:cs="Arial"/>
          <w:szCs w:val="20"/>
          <w:lang w:val="sl-SI"/>
        </w:rPr>
      </w:pPr>
      <w:r w:rsidRPr="00C55468">
        <w:rPr>
          <w:rFonts w:cs="Arial"/>
          <w:szCs w:val="20"/>
          <w:lang w:val="sl-SI"/>
        </w:rPr>
        <w:t xml:space="preserve">V ambulanti družinske medicine poteka celostna obravnava bolnikov </w:t>
      </w:r>
      <w:r w:rsidR="006B03EA">
        <w:rPr>
          <w:rFonts w:cs="Arial"/>
          <w:szCs w:val="20"/>
          <w:lang w:val="sl-SI"/>
        </w:rPr>
        <w:t>z</w:t>
      </w:r>
      <w:r w:rsidRPr="00C55468">
        <w:rPr>
          <w:rFonts w:cs="Arial"/>
          <w:szCs w:val="20"/>
          <w:lang w:val="sl-SI"/>
        </w:rPr>
        <w:t>dravnik DM v timu skupaj s srednjo medicinsko sestro in 0,5 diplomirane sestre</w:t>
      </w:r>
      <w:r w:rsidR="009D5B01">
        <w:rPr>
          <w:rFonts w:cs="Arial"/>
          <w:szCs w:val="20"/>
          <w:lang w:val="sl-SI"/>
        </w:rPr>
        <w:t>, ki</w:t>
      </w:r>
      <w:r w:rsidRPr="00C55468">
        <w:rPr>
          <w:rFonts w:cs="Arial"/>
          <w:szCs w:val="20"/>
          <w:lang w:val="sl-SI"/>
        </w:rPr>
        <w:t xml:space="preserve"> skrbi za odkrivanje bolezni, diagnostiko zdravljenje in dolgotrajno spremljanje bolnika. Pri demenci je pomembno zgodnje prepoznavanje bolnikov, diagnostika z izključevanjem reverzibilne demence ter zdravljenje in dolgotrajno spremljanje bolnika. Bolniki so usmerjeni k specialistu nevrologu ali psihiatru za nadaljnjo diagnostiko in potrditev diagnoze ter zdravljenje. </w:t>
      </w:r>
    </w:p>
    <w:p w14:paraId="26FC73CC" w14:textId="77777777" w:rsidR="00C55468" w:rsidRPr="00C55468" w:rsidRDefault="00C55468" w:rsidP="00C55468">
      <w:pPr>
        <w:jc w:val="both"/>
        <w:rPr>
          <w:rFonts w:cs="Arial"/>
          <w:szCs w:val="20"/>
          <w:lang w:val="sl-SI"/>
        </w:rPr>
      </w:pPr>
    </w:p>
    <w:p w14:paraId="3DF329F5" w14:textId="26C07836" w:rsidR="00C55468" w:rsidRPr="00C55468" w:rsidRDefault="00C55468" w:rsidP="00C55468">
      <w:pPr>
        <w:jc w:val="both"/>
        <w:rPr>
          <w:rFonts w:cs="Arial"/>
          <w:szCs w:val="20"/>
          <w:lang w:val="sl-SI"/>
        </w:rPr>
      </w:pPr>
      <w:r w:rsidRPr="00C55468">
        <w:rPr>
          <w:rFonts w:cs="Arial"/>
          <w:szCs w:val="20"/>
          <w:lang w:val="sl-SI"/>
        </w:rPr>
        <w:t>Demenca potrebuje specifičen pristop, saj je v obravnavo že od začetka bolezni potrebno vključevanje svojcev in drugih strokovnih služb. Večina bolnikov z demenco živi doma, zato zdravljenje poteka ambulantno. Po postavitvi diagnoze se v verigo oskrbe vključujejo poleg zdravnika družinske medicine še terenski strokovni delavci kot so patronažne sestre in socialni delavci ter ostale službe s področja socialne oskrbe. Pravočasno planiranje dolgotrajne oskrbe in dobro sodelovanje vseh deležnikov s svojci izboljšajo učinkovitost oskrbe in kakovost življenja bolniku in svojcem, tako da lahko bolniki ostajajo dlje časa v oskrbi doma. S sodobnimi oblikami informacijske tehnologije je potrebno</w:t>
      </w:r>
      <w:r w:rsidR="009D5B01">
        <w:rPr>
          <w:rFonts w:cs="Arial"/>
          <w:szCs w:val="20"/>
          <w:lang w:val="sl-SI"/>
        </w:rPr>
        <w:t xml:space="preserve"> </w:t>
      </w:r>
      <w:r w:rsidRPr="00C55468">
        <w:rPr>
          <w:rFonts w:cs="Arial"/>
          <w:szCs w:val="20"/>
          <w:lang w:val="sl-SI"/>
        </w:rPr>
        <w:t>vzpodbujati multidisciplinarni pristop in olajšati povezovanje med zdravnikom, specialisti in terenskimi strokovnimi službami.</w:t>
      </w:r>
    </w:p>
    <w:p w14:paraId="349D80F9" w14:textId="77777777" w:rsidR="00C55468" w:rsidRPr="00C55468" w:rsidRDefault="00C55468" w:rsidP="00C55468">
      <w:pPr>
        <w:jc w:val="both"/>
        <w:rPr>
          <w:rFonts w:cs="Arial"/>
          <w:szCs w:val="20"/>
          <w:lang w:val="sl-SI"/>
        </w:rPr>
      </w:pPr>
    </w:p>
    <w:p w14:paraId="19698DE7" w14:textId="72A3EC29" w:rsidR="00C55468" w:rsidRPr="00C55468" w:rsidRDefault="00C55468" w:rsidP="00C55468">
      <w:pPr>
        <w:jc w:val="both"/>
        <w:rPr>
          <w:rFonts w:cs="Arial"/>
          <w:szCs w:val="20"/>
          <w:lang w:val="sl-SI"/>
        </w:rPr>
      </w:pPr>
      <w:r w:rsidRPr="00C55468">
        <w:rPr>
          <w:rFonts w:cs="Arial"/>
          <w:szCs w:val="20"/>
          <w:lang w:val="sl-SI"/>
        </w:rPr>
        <w:t xml:space="preserve">V družinski medicini predstavlja pomemben del aktivnosti preventivna dejavnost, ki je bila v delo ambulante družinskega zdravnika formalno uvedena z uvedbo diplomirane sestre v tim ZDM, ki skrbi za prepoznavanje dejavnikov tveganja za kronične bolezni in vodenje kronične bolezni. V preventivni program so danes vključene najpogostejše kronične bolezni z ustreznimi presejalnimi testi za odkrivanje dejavnikov tveganja in ukrepi za odpravljanje dejavnikov tveganja. Demenca trenutno ni uvrščena v program odkrivanja in vodenja </w:t>
      </w:r>
      <w:r w:rsidR="0067024C">
        <w:rPr>
          <w:rFonts w:cs="Arial"/>
          <w:szCs w:val="20"/>
          <w:lang w:val="sl-SI"/>
        </w:rPr>
        <w:t>pri izbranem osebnem zdravniku</w:t>
      </w:r>
      <w:r w:rsidRPr="00C55468">
        <w:rPr>
          <w:rFonts w:cs="Arial"/>
          <w:szCs w:val="20"/>
          <w:lang w:val="sl-SI"/>
        </w:rPr>
        <w:t xml:space="preserve">. Kronične bolezni se v življenju pogosto prekrivajo in trenutno se spremljajo dejavniki tveganja za bolezni srca in ožilja, ki so pomemben dejavnik tveganja za vaskularno demenco. Glede na naraščanje števila starejših v družbi in oseb z demenco je potrebno dopolniti program družinske medicine in demenco vključiti v program vodenja kroničnih bolezni na primarnem nivoju, ki bo poleg izboljšane kakovosti obravnave bolnikov omogočal tudi epidemiološko spremljanje. Novejše raziskave namreč odkrivajo nove dejavnike tveganja za demenco kot so okvara sluha, arterijska hipertenzija srednjih let, depresija, debelost, kajenje in onesnaženost zraka in opozarjajo na vpliv nekognitivnih biomarkerjev kot so motnje spanja, motnje hoje, znaki parkinsonizma, ki bodo v prihodnosti nedvomno na novo oblikovale. </w:t>
      </w:r>
      <w:r w:rsidR="009D5B01">
        <w:rPr>
          <w:rFonts w:cs="Arial"/>
          <w:szCs w:val="20"/>
          <w:lang w:val="sl-SI"/>
        </w:rPr>
        <w:t>P</w:t>
      </w:r>
      <w:r w:rsidRPr="00C55468">
        <w:rPr>
          <w:rFonts w:cs="Arial"/>
          <w:szCs w:val="20"/>
          <w:lang w:val="sl-SI"/>
        </w:rPr>
        <w:t xml:space="preserve">reventivni pristop pri obravnavi in preprečevanju demence v družinski medicini. </w:t>
      </w:r>
    </w:p>
    <w:p w14:paraId="0175884D" w14:textId="77777777" w:rsidR="00C55468" w:rsidRPr="00C55468" w:rsidRDefault="00C55468" w:rsidP="00C55468">
      <w:pPr>
        <w:jc w:val="both"/>
        <w:rPr>
          <w:rFonts w:cs="Arial"/>
          <w:szCs w:val="20"/>
          <w:lang w:val="sl-SI"/>
        </w:rPr>
      </w:pPr>
    </w:p>
    <w:p w14:paraId="14FA99FD" w14:textId="25195A25" w:rsidR="00C55468" w:rsidRPr="00C55468" w:rsidRDefault="00C55468" w:rsidP="00C55468">
      <w:pPr>
        <w:jc w:val="both"/>
        <w:rPr>
          <w:rFonts w:cs="Arial"/>
          <w:szCs w:val="20"/>
          <w:lang w:val="sl-SI"/>
        </w:rPr>
      </w:pPr>
      <w:r w:rsidRPr="00C55468">
        <w:rPr>
          <w:rFonts w:cs="Arial"/>
          <w:szCs w:val="20"/>
          <w:lang w:val="sl-SI"/>
        </w:rPr>
        <w:lastRenderedPageBreak/>
        <w:t xml:space="preserve">Pomanjkanje zdravnikov družinske medicine vpliva na počasnejše uvajanje sprememb pri obravnavi demence </w:t>
      </w:r>
      <w:r w:rsidR="00A15D64">
        <w:rPr>
          <w:rFonts w:cs="Arial"/>
          <w:szCs w:val="20"/>
          <w:lang w:val="sl-SI"/>
        </w:rPr>
        <w:t>z</w:t>
      </w:r>
      <w:r w:rsidRPr="00C55468">
        <w:rPr>
          <w:rFonts w:cs="Arial"/>
          <w:szCs w:val="20"/>
          <w:lang w:val="sl-SI"/>
        </w:rPr>
        <w:t xml:space="preserve">a uspešno in učinkovito obvladovanje bolnikov z demenco v domačem okolju je potrebno okrepiti tako mrežo </w:t>
      </w:r>
      <w:r w:rsidR="00A15D64">
        <w:rPr>
          <w:rFonts w:cs="Arial"/>
          <w:szCs w:val="20"/>
          <w:lang w:val="sl-SI"/>
        </w:rPr>
        <w:t>ambulant</w:t>
      </w:r>
      <w:r w:rsidRPr="00C55468">
        <w:rPr>
          <w:rFonts w:cs="Arial"/>
          <w:szCs w:val="20"/>
          <w:lang w:val="sl-SI"/>
        </w:rPr>
        <w:t xml:space="preserve"> družinske medicine in </w:t>
      </w:r>
      <w:r w:rsidR="00A15D64">
        <w:rPr>
          <w:rFonts w:cs="Arial"/>
          <w:szCs w:val="20"/>
          <w:lang w:val="sl-SI"/>
        </w:rPr>
        <w:t>patronažno</w:t>
      </w:r>
      <w:r w:rsidRPr="00C55468">
        <w:rPr>
          <w:rFonts w:cs="Arial"/>
          <w:szCs w:val="20"/>
          <w:lang w:val="sl-SI"/>
        </w:rPr>
        <w:t xml:space="preserve"> služb</w:t>
      </w:r>
      <w:r w:rsidR="00A15D64">
        <w:rPr>
          <w:rFonts w:cs="Arial"/>
          <w:szCs w:val="20"/>
          <w:lang w:val="sl-SI"/>
        </w:rPr>
        <w:t>o</w:t>
      </w:r>
      <w:r w:rsidRPr="00C55468">
        <w:rPr>
          <w:rFonts w:cs="Arial"/>
          <w:szCs w:val="20"/>
          <w:lang w:val="sl-SI"/>
        </w:rPr>
        <w:t>.</w:t>
      </w:r>
    </w:p>
    <w:p w14:paraId="5B3A9C02" w14:textId="77777777" w:rsidR="00C55468" w:rsidRPr="00C55468" w:rsidRDefault="00C55468" w:rsidP="00E546B0">
      <w:pPr>
        <w:pStyle w:val="Naslov1"/>
      </w:pPr>
      <w:bookmarkStart w:id="37" w:name="_Toc117692290"/>
      <w:r w:rsidRPr="00C55468">
        <w:t>3.2.1.1.2 Zdravstveno vzgojni centri, Centri za krepitev zdravja (ZVC, CKZ)</w:t>
      </w:r>
      <w:bookmarkEnd w:id="37"/>
    </w:p>
    <w:p w14:paraId="727FDD47" w14:textId="77777777" w:rsidR="00C55468" w:rsidRPr="00C55468" w:rsidRDefault="00C55468" w:rsidP="00C55468">
      <w:pPr>
        <w:jc w:val="both"/>
        <w:rPr>
          <w:rFonts w:cs="Arial"/>
          <w:szCs w:val="20"/>
          <w:lang w:val="sl-SI"/>
        </w:rPr>
      </w:pPr>
    </w:p>
    <w:p w14:paraId="2E58E3DB" w14:textId="1A57F9AB" w:rsidR="00C55468" w:rsidRPr="00C55468" w:rsidRDefault="00C55468" w:rsidP="00C55468">
      <w:pPr>
        <w:jc w:val="both"/>
        <w:rPr>
          <w:rFonts w:cs="Arial"/>
          <w:szCs w:val="20"/>
          <w:lang w:val="sl-SI"/>
        </w:rPr>
      </w:pPr>
      <w:r w:rsidRPr="00C55468">
        <w:rPr>
          <w:rFonts w:cs="Arial"/>
          <w:szCs w:val="20"/>
          <w:lang w:val="sl-SI"/>
        </w:rPr>
        <w:t>Centr</w:t>
      </w:r>
      <w:r w:rsidR="009D5B01">
        <w:rPr>
          <w:rFonts w:cs="Arial"/>
          <w:szCs w:val="20"/>
          <w:lang w:val="sl-SI"/>
        </w:rPr>
        <w:t>i</w:t>
      </w:r>
      <w:r w:rsidRPr="00C55468">
        <w:rPr>
          <w:rFonts w:cs="Arial"/>
          <w:szCs w:val="20"/>
          <w:lang w:val="sl-SI"/>
        </w:rPr>
        <w:t xml:space="preserve"> za krepitev zdravja (v nadaljnjem besedilu: CKZ) predstavljajo nadgradnjo zdravstveno vzgojnih centrov, ki so delovali v okviru zdravstvenih domov. Programi centrov za krepitev zdravja so tesno povezani s preventivno dejavnostjo ambulant družinske medicine in so namenjeni celotni populaciji za promocijo in izobraževanje o zdravem življenjskem slogu in preprečevanju dejavnikov tveganja. Izvajajo se s pomočjo predavanj, skupinskih delavnic in individualnega svetovanja za krepitev zdravja. V programu se naslavlja tudi področj</w:t>
      </w:r>
      <w:r w:rsidR="009D5B01">
        <w:rPr>
          <w:rFonts w:cs="Arial"/>
          <w:szCs w:val="20"/>
          <w:lang w:val="sl-SI"/>
        </w:rPr>
        <w:t>e</w:t>
      </w:r>
      <w:r w:rsidRPr="00C55468">
        <w:rPr>
          <w:rFonts w:cs="Arial"/>
          <w:szCs w:val="20"/>
          <w:lang w:val="sl-SI"/>
        </w:rPr>
        <w:t xml:space="preserve"> duševnega zdravja kot je spoprijemanje </w:t>
      </w:r>
      <w:r w:rsidR="00A15D64">
        <w:rPr>
          <w:rFonts w:cs="Arial"/>
          <w:szCs w:val="20"/>
          <w:lang w:val="sl-SI"/>
        </w:rPr>
        <w:t>z</w:t>
      </w:r>
      <w:r w:rsidRPr="00C55468">
        <w:rPr>
          <w:rFonts w:cs="Arial"/>
          <w:szCs w:val="20"/>
          <w:lang w:val="sl-SI"/>
        </w:rPr>
        <w:t xml:space="preserve"> depresijo in tesnobo. Umestitev delavnic za prepoznavanje demence, psihosocialno podporo svojcem pri soočanju z demenco v programe CKZ bo pripomogla k preprečevanje depresije in izgorelosti svojcev ter obvladovanju demence v domačem okolju.</w:t>
      </w:r>
    </w:p>
    <w:p w14:paraId="20544D4D" w14:textId="77777777" w:rsidR="00C55468" w:rsidRPr="00C55468" w:rsidRDefault="00C55468" w:rsidP="00E546B0">
      <w:pPr>
        <w:pStyle w:val="Naslov1"/>
      </w:pPr>
      <w:bookmarkStart w:id="38" w:name="_Toc117692291"/>
      <w:r w:rsidRPr="00C55468">
        <w:t>3.2.1.1.3 Centri za duševno zdravje odraslih (z mobilnimi timi)</w:t>
      </w:r>
      <w:bookmarkEnd w:id="38"/>
    </w:p>
    <w:p w14:paraId="5D2645BB" w14:textId="77777777" w:rsidR="00C55468" w:rsidRPr="00C55468" w:rsidRDefault="00C55468" w:rsidP="00C55468">
      <w:pPr>
        <w:jc w:val="both"/>
        <w:rPr>
          <w:rFonts w:cs="Arial"/>
          <w:szCs w:val="20"/>
          <w:lang w:val="sl-SI"/>
        </w:rPr>
      </w:pPr>
    </w:p>
    <w:p w14:paraId="204E1112" w14:textId="77777777" w:rsidR="00C55468" w:rsidRPr="00C55468" w:rsidRDefault="00C55468" w:rsidP="00C55468">
      <w:pPr>
        <w:jc w:val="both"/>
        <w:rPr>
          <w:rFonts w:cs="Arial"/>
          <w:szCs w:val="20"/>
          <w:lang w:val="sl-SI"/>
        </w:rPr>
      </w:pPr>
      <w:r w:rsidRPr="00C55468">
        <w:rPr>
          <w:rFonts w:cs="Arial"/>
          <w:szCs w:val="20"/>
          <w:lang w:val="sl-SI"/>
        </w:rPr>
        <w:t>Centri za duševno zdravje odraslih (v nadaljnjem besedilu: CDZO) kot nova organizacijska struktura na primarni ravni predstavljajo nadgradnjo Centrov za mentalno zdravje. CDZO bodo organizirani regijsko in multidisciplinarno in bodo izboljšali dostopnost do psihiatričnih storitev. Pomoč in podporo bodo nudili vsem odraslim, ki imajo težave v duševnem zdravju. V Sloveniji je predvidenih skupaj 25 centrov z mobilnimi timi, CDZO opravljajo storitve: primarne, sekundarne in terciarne preventive, zgodnje obravnave odraslih s tveganjem za težave v duševnem zdravju ter specialističnega zdravljenja težav v duševnem zdravju. Delujejo interdisciplinarno ter po principu približevanja storitev s področja duševnega zdravja v posameznikovo primarno okolje. Omogočali bodo pregled in obravnavo oseb v domačem okolju. Ukrepi v teh centrih se prilagajajo potrebam posameznika.</w:t>
      </w:r>
    </w:p>
    <w:p w14:paraId="6DF195DC" w14:textId="77777777" w:rsidR="00C55468" w:rsidRPr="00C55468" w:rsidRDefault="00C55468" w:rsidP="00C55468">
      <w:pPr>
        <w:jc w:val="both"/>
        <w:rPr>
          <w:rFonts w:cs="Arial"/>
          <w:szCs w:val="20"/>
          <w:lang w:val="sl-SI"/>
        </w:rPr>
      </w:pPr>
    </w:p>
    <w:p w14:paraId="680F0D35" w14:textId="77777777" w:rsidR="00C55468" w:rsidRPr="00C55468" w:rsidRDefault="00C55468" w:rsidP="00C55468">
      <w:pPr>
        <w:jc w:val="both"/>
        <w:rPr>
          <w:rFonts w:cs="Arial"/>
          <w:szCs w:val="20"/>
          <w:lang w:val="sl-SI"/>
        </w:rPr>
      </w:pPr>
      <w:r w:rsidRPr="00C55468">
        <w:rPr>
          <w:rFonts w:cs="Arial"/>
          <w:szCs w:val="20"/>
          <w:lang w:val="sl-SI"/>
        </w:rPr>
        <w:t xml:space="preserve">S sooblikovanjem programov CDZO je potrebno zagotoviti dostopnost storitev za bolnike z demenco in njihove svojce, in sicer za bolnike programe kognitivne stimulacije in rehabilitacije, za svojce pa programe psihosocialne podpore. </w:t>
      </w:r>
    </w:p>
    <w:p w14:paraId="247AA6DD" w14:textId="77777777" w:rsidR="00C55468" w:rsidRPr="00C55468" w:rsidRDefault="00C55468" w:rsidP="00C55468">
      <w:pPr>
        <w:jc w:val="both"/>
        <w:rPr>
          <w:rFonts w:cs="Arial"/>
          <w:szCs w:val="20"/>
          <w:lang w:val="sl-SI"/>
        </w:rPr>
      </w:pPr>
    </w:p>
    <w:p w14:paraId="10602263" w14:textId="1B83170E" w:rsidR="00C55468" w:rsidRPr="00C55468" w:rsidRDefault="00C55468" w:rsidP="00C55468">
      <w:pPr>
        <w:jc w:val="both"/>
        <w:rPr>
          <w:rFonts w:cs="Arial"/>
          <w:szCs w:val="20"/>
          <w:lang w:val="sl-SI"/>
        </w:rPr>
      </w:pPr>
      <w:r w:rsidRPr="00C55468">
        <w:rPr>
          <w:rFonts w:cs="Arial"/>
          <w:szCs w:val="20"/>
          <w:lang w:val="sl-SI"/>
        </w:rPr>
        <w:t xml:space="preserve">Do </w:t>
      </w:r>
      <w:r w:rsidR="00965570">
        <w:rPr>
          <w:rFonts w:cs="Arial"/>
          <w:szCs w:val="20"/>
          <w:lang w:val="sl-SI"/>
        </w:rPr>
        <w:t xml:space="preserve">leta 2022 </w:t>
      </w:r>
      <w:r w:rsidRPr="00C55468">
        <w:rPr>
          <w:rFonts w:cs="Arial"/>
          <w:szCs w:val="20"/>
          <w:lang w:val="sl-SI"/>
        </w:rPr>
        <w:t xml:space="preserve">je </w:t>
      </w:r>
      <w:r w:rsidR="00965570">
        <w:rPr>
          <w:rFonts w:cs="Arial"/>
          <w:szCs w:val="20"/>
          <w:lang w:val="sl-SI"/>
        </w:rPr>
        <w:t xml:space="preserve">bilo </w:t>
      </w:r>
      <w:r w:rsidRPr="00C55468">
        <w:rPr>
          <w:rFonts w:cs="Arial"/>
          <w:szCs w:val="20"/>
          <w:lang w:val="sl-SI"/>
        </w:rPr>
        <w:t>v Sloveniji vzpostavljenih 19 CDZO z mobilnimi timi, nekateri zaradi pomanjkanja ustrezno usposobljenega kadra delujejo še v nepopolni sestavi.</w:t>
      </w:r>
    </w:p>
    <w:p w14:paraId="5313E8FC" w14:textId="62F572AF" w:rsidR="00C55468" w:rsidRPr="00C55468" w:rsidRDefault="00C55468" w:rsidP="00E546B0">
      <w:pPr>
        <w:pStyle w:val="Naslov1"/>
      </w:pPr>
      <w:bookmarkStart w:id="39" w:name="_Toc117692292"/>
      <w:r w:rsidRPr="00C55468">
        <w:t>3.2.1.1.4 Patronažna služba</w:t>
      </w:r>
      <w:bookmarkEnd w:id="39"/>
      <w:r w:rsidRPr="00C55468">
        <w:t xml:space="preserve"> </w:t>
      </w:r>
    </w:p>
    <w:p w14:paraId="3DDDEE27" w14:textId="77777777" w:rsidR="00C55468" w:rsidRPr="00C55468" w:rsidRDefault="00C55468" w:rsidP="00C55468">
      <w:pPr>
        <w:jc w:val="both"/>
        <w:rPr>
          <w:rFonts w:cs="Arial"/>
          <w:szCs w:val="20"/>
          <w:lang w:val="sl-SI"/>
        </w:rPr>
      </w:pPr>
    </w:p>
    <w:p w14:paraId="2D67F3CF" w14:textId="3C11CC58" w:rsidR="007B4866" w:rsidRDefault="00C55468" w:rsidP="00C55468">
      <w:pPr>
        <w:jc w:val="both"/>
        <w:rPr>
          <w:rFonts w:cs="Arial"/>
          <w:szCs w:val="20"/>
          <w:lang w:val="sl-SI"/>
        </w:rPr>
      </w:pPr>
      <w:r w:rsidRPr="00C55468">
        <w:rPr>
          <w:rFonts w:cs="Arial"/>
          <w:szCs w:val="20"/>
          <w:lang w:val="sl-SI"/>
        </w:rPr>
        <w:t xml:space="preserve">Patronažna služba je sestavni del primarnega zdravstvenega varstva, ki je praviloma organizirana po teritorialnem principu. Po podatkih NIJZ </w:t>
      </w:r>
      <w:r w:rsidR="00965570">
        <w:rPr>
          <w:rFonts w:cs="Arial"/>
          <w:szCs w:val="20"/>
          <w:lang w:val="sl-SI"/>
        </w:rPr>
        <w:t xml:space="preserve">je bilo v letu 2021 </w:t>
      </w:r>
      <w:r w:rsidRPr="00C55468">
        <w:rPr>
          <w:rFonts w:cs="Arial"/>
          <w:szCs w:val="20"/>
          <w:lang w:val="sl-SI"/>
        </w:rPr>
        <w:t>v Sloveniji 756 patronažnih medicinskih sester in 98 tehnikov zdravstvene nege.</w:t>
      </w:r>
    </w:p>
    <w:p w14:paraId="06062982" w14:textId="11D920CA" w:rsidR="00C55468" w:rsidRPr="00C55468" w:rsidRDefault="00C55468" w:rsidP="00C55468">
      <w:pPr>
        <w:jc w:val="both"/>
        <w:rPr>
          <w:rFonts w:cs="Arial"/>
          <w:szCs w:val="20"/>
          <w:lang w:val="sl-SI"/>
        </w:rPr>
      </w:pPr>
    </w:p>
    <w:p w14:paraId="357323D0" w14:textId="0D7CF778" w:rsidR="00C55468" w:rsidRPr="00C55468" w:rsidRDefault="00C55468" w:rsidP="00C55468">
      <w:pPr>
        <w:jc w:val="both"/>
        <w:rPr>
          <w:rFonts w:cs="Arial"/>
          <w:szCs w:val="20"/>
          <w:lang w:val="sl-SI"/>
        </w:rPr>
      </w:pPr>
      <w:r w:rsidRPr="00C55468">
        <w:rPr>
          <w:rFonts w:cs="Arial"/>
          <w:szCs w:val="20"/>
          <w:lang w:val="sl-SI"/>
        </w:rPr>
        <w:t xml:space="preserve">Patronažna medicinska sestra obravnava bolnika na njegovem domu. Poleg zdravstvene oskrbe in nege je delo patronažne sestre preventivno usmerjeno k obravnavi družine v okolju in skupnosti v različnih obdobjih življenja, posebej tudi za oskrbo starejših po 65 letu, prepoznavanje socialno varstvenih potreb, posebej ranljivih skupin, nasilja in odvisnosti. </w:t>
      </w:r>
    </w:p>
    <w:p w14:paraId="1D31B643" w14:textId="77777777" w:rsidR="00C55468" w:rsidRPr="00C55468" w:rsidRDefault="00C55468" w:rsidP="00C55468">
      <w:pPr>
        <w:jc w:val="both"/>
        <w:rPr>
          <w:rFonts w:cs="Arial"/>
          <w:szCs w:val="20"/>
          <w:lang w:val="sl-SI"/>
        </w:rPr>
      </w:pPr>
    </w:p>
    <w:p w14:paraId="6953FA4C" w14:textId="4EC89A75" w:rsidR="00B75357" w:rsidRDefault="00C55468" w:rsidP="00C55468">
      <w:pPr>
        <w:jc w:val="both"/>
        <w:rPr>
          <w:rFonts w:cs="Arial"/>
          <w:szCs w:val="20"/>
          <w:lang w:val="sl-SI"/>
        </w:rPr>
      </w:pPr>
      <w:r w:rsidRPr="00C55468">
        <w:rPr>
          <w:rFonts w:cs="Arial"/>
          <w:szCs w:val="20"/>
          <w:lang w:val="sl-SI"/>
        </w:rPr>
        <w:t xml:space="preserve">Demenca prizadene bolnika in celo družino, zato naj se sreča z družino takoj po postavljeni diagnozi. Ker je bolezen dolgotrajna in napredujoča, patronažna sestra dolga leta spremlja bolnika in njegovo družino in se odziva na njihove potrebe pri napredovanju bolezni. Za učinkovito podporo potrebuje široko in raznoliko znanje s področja oskrbe bolnikov z demenco, zato je potrebno patronažnim sestram omogočiti dopolnjevanja znanja o demenci. Večje število </w:t>
      </w:r>
      <w:r w:rsidRPr="00C55468">
        <w:rPr>
          <w:rFonts w:cs="Arial"/>
          <w:szCs w:val="20"/>
          <w:lang w:val="sl-SI"/>
        </w:rPr>
        <w:lastRenderedPageBreak/>
        <w:t>patronažnih sester in vključitev specializirane, v demenco usmerjene patronažne sestre bi predstavljalo nadgradnjo patronažne službe in izboljšalo kakovost obravnave demence na terenu</w:t>
      </w:r>
      <w:r w:rsidR="00947ADB">
        <w:rPr>
          <w:rStyle w:val="Sprotnaopomba-sklic"/>
          <w:rFonts w:cs="Arial"/>
          <w:szCs w:val="20"/>
          <w:lang w:val="sl-SI"/>
        </w:rPr>
        <w:footnoteReference w:id="25"/>
      </w:r>
      <w:r w:rsidRPr="00C55468">
        <w:rPr>
          <w:rFonts w:cs="Arial"/>
          <w:szCs w:val="20"/>
          <w:lang w:val="sl-SI"/>
        </w:rPr>
        <w:t>.</w:t>
      </w:r>
    </w:p>
    <w:p w14:paraId="51C9B0FC" w14:textId="4B172E9E" w:rsidR="00C55468" w:rsidRPr="008E7FAE" w:rsidRDefault="00C55468" w:rsidP="00E546B0">
      <w:pPr>
        <w:pStyle w:val="Naslov1"/>
      </w:pPr>
      <w:bookmarkStart w:id="40" w:name="_Toc117692293"/>
      <w:r w:rsidRPr="008E7FAE">
        <w:t>3.2.1.1.5 Integrirana oskrba</w:t>
      </w:r>
      <w:bookmarkEnd w:id="40"/>
      <w:r w:rsidRPr="008E7FAE">
        <w:t xml:space="preserve">   </w:t>
      </w:r>
    </w:p>
    <w:p w14:paraId="41979388" w14:textId="77777777" w:rsidR="00C55468" w:rsidRPr="000933E5" w:rsidRDefault="00C55468" w:rsidP="00C55468">
      <w:pPr>
        <w:jc w:val="both"/>
        <w:rPr>
          <w:rFonts w:cs="Arial"/>
          <w:szCs w:val="20"/>
          <w:highlight w:val="cyan"/>
          <w:lang w:val="sl-SI"/>
        </w:rPr>
      </w:pPr>
    </w:p>
    <w:p w14:paraId="22E4A0D4" w14:textId="3ADC9F1D" w:rsidR="008E7FAE" w:rsidRPr="00885BD1" w:rsidRDefault="008E7FAE" w:rsidP="008E7FAE">
      <w:pPr>
        <w:jc w:val="both"/>
        <w:rPr>
          <w:rFonts w:cs="Arial"/>
          <w:szCs w:val="20"/>
          <w:lang w:val="sl-SI"/>
        </w:rPr>
      </w:pPr>
      <w:r w:rsidRPr="00885BD1">
        <w:rPr>
          <w:rFonts w:cs="Arial"/>
          <w:szCs w:val="20"/>
          <w:lang w:val="sl-SI"/>
        </w:rPr>
        <w:t>Po zaključku projekta</w:t>
      </w:r>
      <w:r w:rsidR="008477F4">
        <w:rPr>
          <w:rFonts w:cs="Arial"/>
          <w:szCs w:val="20"/>
          <w:lang w:val="sl-SI"/>
        </w:rPr>
        <w:t xml:space="preserve"> Ministrstva za zdravje</w:t>
      </w:r>
      <w:r w:rsidR="001E3BD3" w:rsidRPr="00F67D02">
        <w:rPr>
          <w:lang w:val="sl-SI"/>
        </w:rPr>
        <w:t xml:space="preserve"> </w:t>
      </w:r>
      <w:r w:rsidR="001E3BD3" w:rsidRPr="001E3BD3">
        <w:rPr>
          <w:rFonts w:cs="Arial"/>
          <w:szCs w:val="20"/>
          <w:lang w:val="sl-SI"/>
        </w:rPr>
        <w:t>»Izvedba pilotnih projektov, ki bodo podpirali prehod v izvajanje sistemskega zakona o dolgotrajni oskrbi«</w:t>
      </w:r>
      <w:r w:rsidR="001E3BD3">
        <w:rPr>
          <w:rFonts w:cs="Arial"/>
          <w:szCs w:val="20"/>
          <w:lang w:val="sl-SI"/>
        </w:rPr>
        <w:t>, ki je omogočal</w:t>
      </w:r>
      <w:r w:rsidR="001E3BD3" w:rsidRPr="001E3BD3">
        <w:rPr>
          <w:rFonts w:cs="Arial"/>
          <w:szCs w:val="20"/>
          <w:lang w:val="sl-SI"/>
        </w:rPr>
        <w:t xml:space="preserve"> testira</w:t>
      </w:r>
      <w:r w:rsidR="001E3BD3">
        <w:rPr>
          <w:rFonts w:cs="Arial"/>
          <w:szCs w:val="20"/>
          <w:lang w:val="sl-SI"/>
        </w:rPr>
        <w:t>nje</w:t>
      </w:r>
      <w:r w:rsidR="001E3BD3" w:rsidRPr="001E3BD3">
        <w:rPr>
          <w:rFonts w:cs="Arial"/>
          <w:szCs w:val="20"/>
          <w:lang w:val="sl-SI"/>
        </w:rPr>
        <w:t xml:space="preserve"> nov</w:t>
      </w:r>
      <w:r w:rsidR="001E3BD3">
        <w:rPr>
          <w:rFonts w:cs="Arial"/>
          <w:szCs w:val="20"/>
          <w:lang w:val="sl-SI"/>
        </w:rPr>
        <w:t>ih</w:t>
      </w:r>
      <w:r w:rsidR="001E3BD3" w:rsidRPr="001E3BD3">
        <w:rPr>
          <w:rFonts w:cs="Arial"/>
          <w:szCs w:val="20"/>
          <w:lang w:val="sl-SI"/>
        </w:rPr>
        <w:t xml:space="preserve"> integriran</w:t>
      </w:r>
      <w:r w:rsidR="001E3BD3">
        <w:rPr>
          <w:rFonts w:cs="Arial"/>
          <w:szCs w:val="20"/>
          <w:lang w:val="sl-SI"/>
        </w:rPr>
        <w:t>ih</w:t>
      </w:r>
      <w:r w:rsidR="001E3BD3" w:rsidRPr="001E3BD3">
        <w:rPr>
          <w:rFonts w:cs="Arial"/>
          <w:szCs w:val="20"/>
          <w:lang w:val="sl-SI"/>
        </w:rPr>
        <w:t xml:space="preserve"> rešit</w:t>
      </w:r>
      <w:r w:rsidR="001E3BD3">
        <w:rPr>
          <w:rFonts w:cs="Arial"/>
          <w:szCs w:val="20"/>
          <w:lang w:val="sl-SI"/>
        </w:rPr>
        <w:t>e</w:t>
      </w:r>
      <w:r w:rsidR="001E3BD3" w:rsidRPr="001E3BD3">
        <w:rPr>
          <w:rFonts w:cs="Arial"/>
          <w:szCs w:val="20"/>
          <w:lang w:val="sl-SI"/>
        </w:rPr>
        <w:t>v na področju dolgotrajne oskrbe za osebe, starejše od 18 let, ki so trajno odvisne od tuje pomoči</w:t>
      </w:r>
      <w:r w:rsidR="001E3BD3">
        <w:rPr>
          <w:rFonts w:cs="Arial"/>
          <w:szCs w:val="20"/>
          <w:lang w:val="sl-SI"/>
        </w:rPr>
        <w:t xml:space="preserve"> in se je zaključil</w:t>
      </w:r>
      <w:r w:rsidRPr="00885BD1">
        <w:rPr>
          <w:rFonts w:cs="Arial"/>
          <w:szCs w:val="20"/>
          <w:lang w:val="sl-SI"/>
        </w:rPr>
        <w:t xml:space="preserve"> v letu 2020</w:t>
      </w:r>
      <w:r w:rsidR="008477F4">
        <w:rPr>
          <w:rFonts w:cs="Arial"/>
          <w:szCs w:val="20"/>
          <w:lang w:val="sl-SI"/>
        </w:rPr>
        <w:t xml:space="preserve">, </w:t>
      </w:r>
      <w:r w:rsidRPr="00885BD1">
        <w:rPr>
          <w:rFonts w:cs="Arial"/>
          <w:szCs w:val="20"/>
          <w:lang w:val="sl-SI"/>
        </w:rPr>
        <w:t>je bil v občini Krško vzpostavljen koncept integrirane oskrbe na domu</w:t>
      </w:r>
      <w:r w:rsidR="008477F4">
        <w:rPr>
          <w:rFonts w:cs="Arial"/>
          <w:szCs w:val="20"/>
          <w:lang w:val="sl-SI"/>
        </w:rPr>
        <w:t>. Koncept</w:t>
      </w:r>
      <w:r w:rsidRPr="00885BD1">
        <w:rPr>
          <w:rFonts w:cs="Arial"/>
          <w:szCs w:val="20"/>
          <w:lang w:val="sl-SI"/>
        </w:rPr>
        <w:t xml:space="preserve"> predstavlja sistem ukrepov, storitev in aktivnosti, namenjenih osebam, ki so zaradi posledic bolezni, starostne oslabelosti, poškodb, invalidnosti, pomanjkanja ali izgube intelektualnih sposobnosti v daljšem časovnem obdobju ali trajno, odvisne od pomoči drugih oseb pri opravljanju osnovnih in podpornih dnevnih opravil je občina pristopila k zagotavljanju izvajanja storitev za nadaljnji dve leti. V sodelovanju z občino in drugimi institucijami bodo tako nadgrajene storitve pomoči na domu, ki lahko uspešno rešijo osebne stiske in preprečijo večje odvisnosti, ki vodijo k preobremenitvi zdravstvenega in socialnega sistema, kot tudi neformalnih oskrbovalcev. </w:t>
      </w:r>
      <w:r w:rsidR="00280D7F" w:rsidRPr="00885BD1">
        <w:rPr>
          <w:rFonts w:cs="Arial"/>
          <w:szCs w:val="20"/>
          <w:lang w:val="sl-SI"/>
        </w:rPr>
        <w:t>Ključn</w:t>
      </w:r>
      <w:r w:rsidR="00280D7F">
        <w:rPr>
          <w:rFonts w:cs="Arial"/>
          <w:szCs w:val="20"/>
          <w:lang w:val="sl-SI"/>
        </w:rPr>
        <w:t>i</w:t>
      </w:r>
      <w:r w:rsidR="00280D7F" w:rsidRPr="00885BD1">
        <w:rPr>
          <w:rFonts w:cs="Arial"/>
          <w:szCs w:val="20"/>
          <w:lang w:val="sl-SI"/>
        </w:rPr>
        <w:t xml:space="preserve"> </w:t>
      </w:r>
      <w:r w:rsidRPr="00885BD1">
        <w:rPr>
          <w:rFonts w:cs="Arial"/>
          <w:szCs w:val="20"/>
          <w:lang w:val="sl-SI"/>
        </w:rPr>
        <w:t xml:space="preserve">doprinos je zagotavljanje storitev za ohranjanje samostojnosti, ki omogoča obravnavo oseb z demenco s strani delovnih terapevtov, fizioterapije in negovalnega kadra, ki s storitvami omogočajo daljše in bolj </w:t>
      </w:r>
      <w:r w:rsidR="00F22F09">
        <w:rPr>
          <w:rFonts w:cs="Arial"/>
          <w:szCs w:val="20"/>
          <w:lang w:val="sl-SI"/>
        </w:rPr>
        <w:t>kakovost</w:t>
      </w:r>
      <w:r w:rsidRPr="00885BD1">
        <w:rPr>
          <w:rFonts w:cs="Arial"/>
          <w:szCs w:val="20"/>
          <w:lang w:val="sl-SI"/>
        </w:rPr>
        <w:t xml:space="preserve"> življenje v domačem okolju. </w:t>
      </w:r>
    </w:p>
    <w:p w14:paraId="37FAB3C4" w14:textId="77777777" w:rsidR="008E7FAE" w:rsidRPr="00885BD1" w:rsidRDefault="008E7FAE" w:rsidP="008E7FAE">
      <w:pPr>
        <w:jc w:val="both"/>
        <w:rPr>
          <w:rFonts w:cs="Arial"/>
          <w:szCs w:val="20"/>
          <w:lang w:val="sl-SI"/>
        </w:rPr>
      </w:pPr>
    </w:p>
    <w:p w14:paraId="27CF3C5F" w14:textId="5FFB2288" w:rsidR="008E7FAE" w:rsidRDefault="008E7FAE" w:rsidP="008E7FAE">
      <w:pPr>
        <w:jc w:val="both"/>
        <w:rPr>
          <w:rFonts w:cs="Arial"/>
          <w:szCs w:val="20"/>
          <w:lang w:val="sl-SI"/>
        </w:rPr>
      </w:pPr>
      <w:r w:rsidRPr="00885BD1">
        <w:rPr>
          <w:rFonts w:cs="Arial"/>
          <w:szCs w:val="20"/>
          <w:lang w:val="sl-SI"/>
        </w:rPr>
        <w:t>Povezovanju obstoječih in naštetih služb je treba dodati vstopne točke za dolgotrajno oskrbo. V projektu Preoblikovanje obstoječih mrež ter vstopa novih izvajalcev za nudenje skupnostnih storitev in programov za odraslo in starejšo populacijo je bil na vstopnih točkah dodan presejalni test, z namenom odkriti pojavnost odstopanj pri starejši populaciji, ki ocenjuje, da potrebuje pomoč podporo ali storitve za opravljanje življenjskih aktivnostih. Pri ocenjevanju z »Ocenjevalno lestvico dolgotrajne oskrbe« (v nadaljnjem besedilu: OLDO)</w:t>
      </w:r>
      <w:r w:rsidR="00F67D02">
        <w:rPr>
          <w:rFonts w:cs="Arial"/>
          <w:szCs w:val="20"/>
          <w:lang w:val="sl-SI"/>
        </w:rPr>
        <w:t xml:space="preserve">, ki jo določa ZDOsk, </w:t>
      </w:r>
      <w:r w:rsidRPr="00885BD1">
        <w:rPr>
          <w:rFonts w:cs="Arial"/>
          <w:szCs w:val="20"/>
          <w:lang w:val="sl-SI"/>
        </w:rPr>
        <w:t>je bila vzpostavljena možnost, da se preveri pojavnost odstopanj in skladnost med obema uporabljenima lestvicama</w:t>
      </w:r>
      <w:r w:rsidR="008477F4">
        <w:rPr>
          <w:rFonts w:cs="Arial"/>
          <w:szCs w:val="20"/>
          <w:lang w:val="sl-SI"/>
        </w:rPr>
        <w:t>.</w:t>
      </w:r>
      <w:r w:rsidR="008477F4" w:rsidRPr="00F67D02">
        <w:rPr>
          <w:lang w:val="sl-SI"/>
        </w:rPr>
        <w:t xml:space="preserve"> </w:t>
      </w:r>
    </w:p>
    <w:p w14:paraId="544BDE01" w14:textId="77777777" w:rsidR="008E7FAE" w:rsidRPr="00885BD1" w:rsidRDefault="008E7FAE" w:rsidP="008E7FAE">
      <w:pPr>
        <w:jc w:val="both"/>
        <w:rPr>
          <w:rFonts w:cs="Arial"/>
          <w:szCs w:val="20"/>
          <w:lang w:val="sl-SI"/>
        </w:rPr>
      </w:pPr>
    </w:p>
    <w:p w14:paraId="7D90AFDD" w14:textId="3BC51235" w:rsidR="008E7FAE" w:rsidRPr="00610F05" w:rsidRDefault="008477F4" w:rsidP="008E7FAE">
      <w:pPr>
        <w:jc w:val="both"/>
        <w:rPr>
          <w:rFonts w:cs="Arial"/>
          <w:szCs w:val="20"/>
          <w:lang w:val="sl-SI"/>
        </w:rPr>
      </w:pPr>
      <w:r>
        <w:rPr>
          <w:rFonts w:cs="Arial"/>
          <w:szCs w:val="20"/>
          <w:lang w:val="sl-SI"/>
        </w:rPr>
        <w:t>O</w:t>
      </w:r>
      <w:r w:rsidR="008E7FAE" w:rsidRPr="00610F05">
        <w:rPr>
          <w:rFonts w:cs="Arial"/>
          <w:szCs w:val="20"/>
          <w:lang w:val="sl-SI"/>
        </w:rPr>
        <w:t xml:space="preserve">bravnava oseb </w:t>
      </w:r>
      <w:r>
        <w:rPr>
          <w:rFonts w:cs="Arial"/>
          <w:szCs w:val="20"/>
          <w:lang w:val="sl-SI"/>
        </w:rPr>
        <w:t>z</w:t>
      </w:r>
      <w:r w:rsidRPr="008477F4">
        <w:rPr>
          <w:rFonts w:cs="Arial"/>
          <w:szCs w:val="20"/>
          <w:lang w:val="sl-SI"/>
        </w:rPr>
        <w:t xml:space="preserve"> </w:t>
      </w:r>
      <w:r>
        <w:rPr>
          <w:rFonts w:cs="Arial"/>
          <w:szCs w:val="20"/>
          <w:lang w:val="sl-SI"/>
        </w:rPr>
        <w:t>d</w:t>
      </w:r>
      <w:r w:rsidRPr="00610F05">
        <w:rPr>
          <w:rFonts w:cs="Arial"/>
          <w:szCs w:val="20"/>
          <w:lang w:val="sl-SI"/>
        </w:rPr>
        <w:t>emenc</w:t>
      </w:r>
      <w:r>
        <w:rPr>
          <w:rFonts w:cs="Arial"/>
          <w:szCs w:val="20"/>
          <w:lang w:val="sl-SI"/>
        </w:rPr>
        <w:t>o</w:t>
      </w:r>
      <w:r w:rsidRPr="00610F05">
        <w:rPr>
          <w:rFonts w:cs="Arial"/>
          <w:szCs w:val="20"/>
          <w:lang w:val="sl-SI"/>
        </w:rPr>
        <w:t xml:space="preserve"> </w:t>
      </w:r>
      <w:r w:rsidR="008E7FAE" w:rsidRPr="00610F05">
        <w:rPr>
          <w:rFonts w:cs="Arial"/>
          <w:szCs w:val="20"/>
          <w:lang w:val="sl-SI"/>
        </w:rPr>
        <w:t>sodi v obravnavo v dolgotrajni oskrbi, saj gre za kronično napredovalo bolezen, pri kateri je v različnih fazah bolezni treba zagotoviti in prilagoditi podporo ter storitve glede na potrebe posameznika.</w:t>
      </w:r>
    </w:p>
    <w:p w14:paraId="32B7B9E1" w14:textId="77777777" w:rsidR="008E7FAE" w:rsidRPr="00610F05" w:rsidRDefault="008E7FAE" w:rsidP="008E7FAE">
      <w:pPr>
        <w:jc w:val="both"/>
        <w:rPr>
          <w:rFonts w:cs="Arial"/>
          <w:szCs w:val="20"/>
          <w:lang w:val="sl-SI"/>
        </w:rPr>
      </w:pPr>
    </w:p>
    <w:p w14:paraId="4D62CBAC" w14:textId="452CAC0F" w:rsidR="008E7FAE" w:rsidRDefault="008E7FAE" w:rsidP="008E7FAE">
      <w:pPr>
        <w:jc w:val="both"/>
        <w:rPr>
          <w:rFonts w:cs="Arial"/>
          <w:lang w:val="sl-SI"/>
        </w:rPr>
      </w:pPr>
      <w:r w:rsidRPr="00610F05">
        <w:rPr>
          <w:rFonts w:cs="Arial"/>
          <w:lang w:val="sl-SI"/>
        </w:rPr>
        <w:t>Več kot dve tretjini oseb z demenco živi doma, v oskrbi svojcev. To so praviloma zakonci bolnika in otroci, ki se kot oskrbovalci oseb z demenco zaradi progresivne narave bolezni srečujejo s posebnimi zdravstvenimi, socialnimi in finančnimi izzivi. Poslabša se njihovo telesno zdravje in poveča duševni stres v primerjavi s splošno populacijo in oskrbovalci bolnikov z drugimi boleznimi.</w:t>
      </w:r>
    </w:p>
    <w:p w14:paraId="5DD18E8B" w14:textId="77777777" w:rsidR="00965570" w:rsidRPr="00610F05" w:rsidRDefault="00965570" w:rsidP="008E7FAE">
      <w:pPr>
        <w:jc w:val="both"/>
        <w:rPr>
          <w:rFonts w:cs="Arial"/>
          <w:lang w:val="sl-SI"/>
        </w:rPr>
      </w:pPr>
    </w:p>
    <w:p w14:paraId="622C64A4" w14:textId="2A52BF0A" w:rsidR="008E7FAE" w:rsidRDefault="008E7FAE" w:rsidP="008E7FAE">
      <w:pPr>
        <w:jc w:val="both"/>
        <w:rPr>
          <w:rFonts w:cs="Arial"/>
          <w:lang w:val="sl-SI"/>
        </w:rPr>
      </w:pPr>
      <w:r w:rsidRPr="00610F05">
        <w:rPr>
          <w:rFonts w:cs="Arial"/>
          <w:lang w:val="sl-SI"/>
        </w:rPr>
        <w:t>Vzpostavit</w:t>
      </w:r>
      <w:r w:rsidR="00965570">
        <w:rPr>
          <w:rFonts w:cs="Arial"/>
          <w:lang w:val="sl-SI"/>
        </w:rPr>
        <w:t>i</w:t>
      </w:r>
      <w:r w:rsidRPr="00610F05">
        <w:rPr>
          <w:rFonts w:cs="Arial"/>
          <w:lang w:val="sl-SI"/>
        </w:rPr>
        <w:t xml:space="preserve"> </w:t>
      </w:r>
      <w:r w:rsidR="00965570">
        <w:rPr>
          <w:rFonts w:cs="Arial"/>
          <w:lang w:val="sl-SI"/>
        </w:rPr>
        <w:t xml:space="preserve">je treba </w:t>
      </w:r>
      <w:r w:rsidRPr="00610F05">
        <w:rPr>
          <w:rFonts w:cs="Arial"/>
          <w:lang w:val="sl-SI"/>
        </w:rPr>
        <w:t>interdisciplinarni pristop pomoči na domu v sklopu integrirane oskrbe: (ustrezen časovni normativ, multidisciplinarna ekipa, poročila, ponovni obiski, prenos informacij med izvajalci socialnega varstva in zdravstvenega varstva).</w:t>
      </w:r>
    </w:p>
    <w:p w14:paraId="5C1DDBA4" w14:textId="77777777" w:rsidR="008E7FAE" w:rsidRDefault="008E7FAE" w:rsidP="008E7FAE">
      <w:pPr>
        <w:jc w:val="both"/>
        <w:rPr>
          <w:rFonts w:cs="Arial"/>
          <w:lang w:val="sl-SI"/>
        </w:rPr>
      </w:pPr>
    </w:p>
    <w:p w14:paraId="00800A48" w14:textId="6E40FE8E" w:rsidR="008E7FAE" w:rsidRPr="002A2A84" w:rsidRDefault="00645CEE" w:rsidP="008E7FAE">
      <w:pPr>
        <w:jc w:val="both"/>
        <w:rPr>
          <w:rFonts w:cs="Arial"/>
          <w:szCs w:val="20"/>
          <w:lang w:val="sl-SI"/>
        </w:rPr>
      </w:pPr>
      <w:r>
        <w:rPr>
          <w:rFonts w:cs="Arial"/>
          <w:lang w:val="sl-SI"/>
        </w:rPr>
        <w:t>V</w:t>
      </w:r>
      <w:r w:rsidR="008E7FAE">
        <w:rPr>
          <w:rFonts w:cs="Arial"/>
          <w:lang w:val="sl-SI"/>
        </w:rPr>
        <w:t xml:space="preserve"> naslednjih letih</w:t>
      </w:r>
      <w:r>
        <w:rPr>
          <w:rFonts w:cs="Arial"/>
          <w:lang w:val="sl-SI"/>
        </w:rPr>
        <w:t xml:space="preserve"> si bomo prizadevali</w:t>
      </w:r>
      <w:r w:rsidR="008E7FAE">
        <w:rPr>
          <w:rFonts w:cs="Arial"/>
          <w:lang w:val="sl-SI"/>
        </w:rPr>
        <w:t xml:space="preserve"> </w:t>
      </w:r>
      <w:r>
        <w:rPr>
          <w:rFonts w:cs="Arial"/>
          <w:lang w:val="sl-SI"/>
        </w:rPr>
        <w:t xml:space="preserve">za </w:t>
      </w:r>
      <w:r w:rsidR="008E7FAE">
        <w:rPr>
          <w:rFonts w:cs="Arial"/>
          <w:lang w:val="sl-SI"/>
        </w:rPr>
        <w:t>vzpostavi</w:t>
      </w:r>
      <w:r>
        <w:rPr>
          <w:rFonts w:cs="Arial"/>
          <w:lang w:val="sl-SI"/>
        </w:rPr>
        <w:t xml:space="preserve">tev </w:t>
      </w:r>
      <w:r w:rsidR="008E7FAE">
        <w:rPr>
          <w:rFonts w:cs="Arial"/>
          <w:lang w:val="sl-SI"/>
        </w:rPr>
        <w:t xml:space="preserve">in </w:t>
      </w:r>
      <w:r>
        <w:rPr>
          <w:rFonts w:cs="Arial"/>
          <w:lang w:val="sl-SI"/>
        </w:rPr>
        <w:t>razvoj</w:t>
      </w:r>
      <w:r w:rsidR="008E7FAE">
        <w:rPr>
          <w:rFonts w:cs="Arial"/>
          <w:lang w:val="sl-SI"/>
        </w:rPr>
        <w:t xml:space="preserve"> mrež</w:t>
      </w:r>
      <w:r>
        <w:rPr>
          <w:rFonts w:cs="Arial"/>
          <w:lang w:val="sl-SI"/>
        </w:rPr>
        <w:t>e</w:t>
      </w:r>
      <w:r w:rsidR="008E7FAE">
        <w:rPr>
          <w:rFonts w:cs="Arial"/>
          <w:lang w:val="sl-SI"/>
        </w:rPr>
        <w:t xml:space="preserve"> tako imenovanih spominskih </w:t>
      </w:r>
      <w:r w:rsidR="008E7FAE" w:rsidRPr="008E7FAE">
        <w:rPr>
          <w:rFonts w:cs="Arial"/>
          <w:lang w:val="sl-SI"/>
        </w:rPr>
        <w:t>centro</w:t>
      </w:r>
      <w:r>
        <w:rPr>
          <w:rFonts w:cs="Arial"/>
          <w:lang w:val="sl-SI"/>
        </w:rPr>
        <w:t>v</w:t>
      </w:r>
      <w:r w:rsidR="008E7FAE" w:rsidRPr="008E7FAE">
        <w:rPr>
          <w:rFonts w:cs="Arial"/>
          <w:lang w:val="sl-SI"/>
        </w:rPr>
        <w:t xml:space="preserve"> (</w:t>
      </w:r>
      <w:r w:rsidR="00054A7F">
        <w:rPr>
          <w:rFonts w:cs="Arial"/>
          <w:lang w:val="sl-SI"/>
        </w:rPr>
        <w:t xml:space="preserve">angl. </w:t>
      </w:r>
      <w:r w:rsidR="008E7FAE" w:rsidRPr="008E7FAE">
        <w:rPr>
          <w:rFonts w:cs="Arial"/>
          <w:lang w:val="sl-SI"/>
        </w:rPr>
        <w:t>comprehensive memory center)</w:t>
      </w:r>
      <w:r>
        <w:rPr>
          <w:rFonts w:cs="Arial"/>
          <w:lang w:val="sl-SI"/>
        </w:rPr>
        <w:t>,</w:t>
      </w:r>
      <w:r w:rsidR="008E7FAE" w:rsidRPr="008E7FAE">
        <w:rPr>
          <w:rFonts w:cs="Arial"/>
          <w:lang w:val="sl-SI"/>
        </w:rPr>
        <w:t xml:space="preserve"> v</w:t>
      </w:r>
      <w:r w:rsidR="008E7FAE">
        <w:rPr>
          <w:rFonts w:cs="Arial"/>
          <w:lang w:val="sl-SI"/>
        </w:rPr>
        <w:t xml:space="preserve"> katerih bomo za nekoliko širše območje vzpostavili usmerjeno zgodn</w:t>
      </w:r>
      <w:r w:rsidR="00280D7F">
        <w:rPr>
          <w:rFonts w:cs="Arial"/>
          <w:lang w:val="sl-SI"/>
        </w:rPr>
        <w:t>j</w:t>
      </w:r>
      <w:r w:rsidR="008E7FAE">
        <w:rPr>
          <w:rFonts w:cs="Arial"/>
          <w:lang w:val="sl-SI"/>
        </w:rPr>
        <w:t xml:space="preserve">o diagnostiko in obravnavo v okviru multidisciplinarne obravnave s področja zdravja, sociale, psihologije, pedagogike in drugih.  </w:t>
      </w:r>
    </w:p>
    <w:p w14:paraId="6C596DB9" w14:textId="0B7E31FF" w:rsidR="00C55468" w:rsidRPr="00C55468" w:rsidRDefault="00C55468" w:rsidP="00E546B0">
      <w:pPr>
        <w:pStyle w:val="Naslov1"/>
      </w:pPr>
      <w:bookmarkStart w:id="41" w:name="_Toc117692294"/>
      <w:r w:rsidRPr="00C55468">
        <w:lastRenderedPageBreak/>
        <w:t>3.2.1.1.6 Paliativna oskrba</w:t>
      </w:r>
      <w:bookmarkEnd w:id="41"/>
      <w:r w:rsidRPr="00C55468">
        <w:t xml:space="preserve"> </w:t>
      </w:r>
    </w:p>
    <w:p w14:paraId="1683B96D" w14:textId="77777777" w:rsidR="007D3DB4" w:rsidRDefault="007D3DB4" w:rsidP="00C55468">
      <w:pPr>
        <w:jc w:val="both"/>
        <w:rPr>
          <w:rFonts w:cs="Arial"/>
          <w:szCs w:val="20"/>
          <w:lang w:val="sl-SI"/>
        </w:rPr>
      </w:pPr>
    </w:p>
    <w:p w14:paraId="04FBAAAC" w14:textId="77777777" w:rsidR="007D3DB4" w:rsidRPr="00726717" w:rsidRDefault="007D3DB4" w:rsidP="007D3DB4">
      <w:pPr>
        <w:jc w:val="both"/>
        <w:rPr>
          <w:rFonts w:cs="Arial"/>
          <w:szCs w:val="20"/>
          <w:lang w:val="sl-SI"/>
        </w:rPr>
      </w:pPr>
      <w:r w:rsidRPr="00726717">
        <w:rPr>
          <w:rFonts w:cs="Arial"/>
          <w:szCs w:val="20"/>
          <w:lang w:val="sl-SI"/>
        </w:rPr>
        <w:t xml:space="preserve">Zagotavljanje dobre paliativne oskrbe bolnikov z demenco je potrebno zagotoviti v okolju, kjer se taka oseba nahaja. Paliativna oskrba bolnikov z demenco je kompleksna, saj je v fazah napredovale demence kognicija pravilo že tako okrnjena, da je sporazumevanje omejeno. Smiselno je zgodnje vključevanje načel paliativnega pristopa v obravnavi glede na obstoječe mednarodne smernice in učenje zdravstvenih strokovnjakov o pravilni prepoznavi mejnikov v poteku bolezni in oceni simptomov. Bolniki z demenco potrebujejo tudi več socialno-negovalne pomoči, sočasno morajo biti v obravnavo vključeni tudi njihovi svojci, ki pogosto prevzamejo vlogo skrbnikov in so soočeni s sprejemanjem zahtevnih odločitev. </w:t>
      </w:r>
    </w:p>
    <w:p w14:paraId="45CF3CC9" w14:textId="77777777" w:rsidR="007D3DB4" w:rsidRDefault="007D3DB4" w:rsidP="007D3DB4">
      <w:pPr>
        <w:jc w:val="both"/>
        <w:rPr>
          <w:rFonts w:cs="Arial"/>
          <w:szCs w:val="20"/>
          <w:lang w:val="sl-SI"/>
        </w:rPr>
      </w:pPr>
    </w:p>
    <w:p w14:paraId="3A5BBC9E" w14:textId="1F9990CC" w:rsidR="007D3DB4" w:rsidRDefault="007D3DB4" w:rsidP="007D3DB4">
      <w:pPr>
        <w:jc w:val="both"/>
        <w:rPr>
          <w:rFonts w:cs="Arial"/>
          <w:szCs w:val="20"/>
          <w:lang w:val="sl-SI"/>
        </w:rPr>
      </w:pPr>
      <w:r w:rsidRPr="00726717">
        <w:rPr>
          <w:rFonts w:cs="Arial"/>
          <w:szCs w:val="20"/>
          <w:lang w:val="sl-SI"/>
        </w:rPr>
        <w:t xml:space="preserve">Osnovno paliativno podpora zagotavljata izbrani osebni zdravnik in patronažna medicinska sestra, v domovih za starejše občane pa domski zdravniki in negovalno osebje. Negovalno in socialno podporo v domačem okolju zagotavlja sistem pomoči na domu v skladu z zakonom o dolgotrajni oskrbi. </w:t>
      </w:r>
      <w:r w:rsidR="004E577C" w:rsidRPr="004E577C">
        <w:rPr>
          <w:rFonts w:cs="Arial"/>
          <w:szCs w:val="20"/>
          <w:lang w:val="sl-SI"/>
        </w:rPr>
        <w:t>Po potrebi bo v zdravljenje na domu vključil psihiatra, ki lahko opravi pregled bolnika na domu v okviru dejavnosti skupnostne psihiatrije ali mobilnega tima CDZO, kar je posebej primerno pri odklonilnih, nemirnih ali nepokretnih bolnikih.</w:t>
      </w:r>
    </w:p>
    <w:p w14:paraId="6C5FCBD1" w14:textId="77777777" w:rsidR="007D3DB4" w:rsidRDefault="007D3DB4" w:rsidP="007D3DB4">
      <w:pPr>
        <w:jc w:val="both"/>
        <w:rPr>
          <w:rFonts w:cs="Arial"/>
          <w:szCs w:val="20"/>
          <w:lang w:val="sl-SI"/>
        </w:rPr>
      </w:pPr>
    </w:p>
    <w:p w14:paraId="321B09A3" w14:textId="77777777" w:rsidR="007D3DB4" w:rsidRDefault="007D3DB4" w:rsidP="007D3DB4">
      <w:pPr>
        <w:jc w:val="both"/>
        <w:rPr>
          <w:rFonts w:cs="Arial"/>
          <w:szCs w:val="20"/>
          <w:lang w:val="sl-SI"/>
        </w:rPr>
      </w:pPr>
      <w:r w:rsidRPr="00726717">
        <w:rPr>
          <w:rFonts w:cs="Arial"/>
          <w:szCs w:val="20"/>
          <w:lang w:val="sl-SI"/>
        </w:rPr>
        <w:t>Specialistično paliativno podporo pa se zagotavlja preko mobilnih paliativnih enot v domačem okolju oz</w:t>
      </w:r>
      <w:r>
        <w:rPr>
          <w:rFonts w:cs="Arial"/>
          <w:szCs w:val="20"/>
          <w:lang w:val="sl-SI"/>
        </w:rPr>
        <w:t xml:space="preserve">iroma </w:t>
      </w:r>
      <w:r w:rsidRPr="00726717">
        <w:rPr>
          <w:rFonts w:cs="Arial"/>
          <w:szCs w:val="20"/>
          <w:lang w:val="sl-SI"/>
        </w:rPr>
        <w:t>preko oddelkov</w:t>
      </w:r>
      <w:r>
        <w:rPr>
          <w:rFonts w:cs="Arial"/>
          <w:szCs w:val="20"/>
          <w:lang w:val="sl-SI"/>
        </w:rPr>
        <w:t xml:space="preserve"> ali </w:t>
      </w:r>
      <w:r w:rsidRPr="00726717">
        <w:rPr>
          <w:rFonts w:cs="Arial"/>
          <w:szCs w:val="20"/>
          <w:lang w:val="sl-SI"/>
        </w:rPr>
        <w:t xml:space="preserve">enot za paliativno oskrbo v bolnišnicah. Napotitev na specialistični nivo paliativne obravnave je možna ob upoštevanju kriterijev z napotnico. </w:t>
      </w:r>
    </w:p>
    <w:p w14:paraId="7F79A369" w14:textId="77777777" w:rsidR="00C55468" w:rsidRDefault="00C55468" w:rsidP="00CD4BC8">
      <w:pPr>
        <w:jc w:val="both"/>
        <w:rPr>
          <w:rFonts w:cs="Arial"/>
          <w:szCs w:val="20"/>
          <w:lang w:val="sl-SI"/>
        </w:rPr>
      </w:pPr>
    </w:p>
    <w:p w14:paraId="1DAD6A3B" w14:textId="6493A06A" w:rsidR="00A94469" w:rsidRPr="00885BD1" w:rsidRDefault="00A94469" w:rsidP="00E546B0">
      <w:pPr>
        <w:pStyle w:val="Naslov1"/>
        <w:rPr>
          <w:rStyle w:val="Intenzivenpoudarek"/>
          <w:i w:val="0"/>
          <w:iCs w:val="0"/>
        </w:rPr>
      </w:pPr>
      <w:bookmarkStart w:id="42" w:name="_Toc117692295"/>
      <w:bookmarkStart w:id="43" w:name="_Hlk93052369"/>
      <w:r w:rsidRPr="00885BD1">
        <w:rPr>
          <w:rStyle w:val="Intenzivenpoudarek"/>
          <w:i w:val="0"/>
          <w:iCs w:val="0"/>
        </w:rPr>
        <w:t xml:space="preserve">3.2.1.2 </w:t>
      </w:r>
      <w:r w:rsidR="00FE4542" w:rsidRPr="00885BD1">
        <w:rPr>
          <w:rStyle w:val="Intenzivenpoudarek"/>
          <w:i w:val="0"/>
          <w:iCs w:val="0"/>
        </w:rPr>
        <w:t>S</w:t>
      </w:r>
      <w:r w:rsidRPr="00885BD1">
        <w:rPr>
          <w:rStyle w:val="Intenzivenpoudarek"/>
          <w:i w:val="0"/>
          <w:iCs w:val="0"/>
        </w:rPr>
        <w:t>ekundarno</w:t>
      </w:r>
      <w:r w:rsidR="005454CC" w:rsidRPr="00885BD1">
        <w:rPr>
          <w:rStyle w:val="Intenzivenpoudarek"/>
          <w:i w:val="0"/>
          <w:iCs w:val="0"/>
        </w:rPr>
        <w:t xml:space="preserve"> in terciarno</w:t>
      </w:r>
      <w:r w:rsidRPr="00885BD1">
        <w:rPr>
          <w:rStyle w:val="Intenzivenpoudarek"/>
          <w:i w:val="0"/>
          <w:iCs w:val="0"/>
        </w:rPr>
        <w:t xml:space="preserve"> zdravstveno varstvo</w:t>
      </w:r>
      <w:bookmarkEnd w:id="42"/>
    </w:p>
    <w:bookmarkEnd w:id="43"/>
    <w:p w14:paraId="20D11BF9" w14:textId="77777777" w:rsidR="00A94469" w:rsidRPr="00885BD1" w:rsidRDefault="00A94469" w:rsidP="00CD4BC8">
      <w:pPr>
        <w:jc w:val="both"/>
        <w:rPr>
          <w:rFonts w:cs="Arial"/>
          <w:szCs w:val="20"/>
          <w:lang w:val="sl-SI"/>
        </w:rPr>
      </w:pPr>
    </w:p>
    <w:p w14:paraId="062601BC" w14:textId="4B197065" w:rsidR="003A1BA9" w:rsidRPr="003A1BA9" w:rsidRDefault="003A1BA9" w:rsidP="003A1BA9">
      <w:pPr>
        <w:jc w:val="both"/>
        <w:rPr>
          <w:rFonts w:cs="Arial"/>
          <w:szCs w:val="20"/>
          <w:lang w:val="sl-SI"/>
        </w:rPr>
      </w:pPr>
      <w:r w:rsidRPr="003A1BA9">
        <w:rPr>
          <w:rFonts w:cs="Arial"/>
          <w:szCs w:val="20"/>
          <w:lang w:val="sl-SI"/>
        </w:rPr>
        <w:t>V slovenskem prostoru imamo 26 bolnišnic, ki izvajajo sekundarno in terciarno raven zdravstvene dejavnosti. V navedeno število se štejejo tudi štiri psihiatrične bolnišnice, Oddelek za psihiatrijo pri Univerzitetnem kliničnem centru v Mariboru in Univerzitetno psihiatrično kliniko v Ljubljani. Na sekundarnem in terciarnem nivoju se dejavnost nevrologije in psihiatrije prepletata. Nevrologi bolnike z demenco obravnavajo večinoma ambulantno v okviru subspecialnih kognitivnih nevroloških ambulant</w:t>
      </w:r>
      <w:r w:rsidR="00BC7C26" w:rsidRPr="00BC7C26">
        <w:rPr>
          <w:lang w:val="sl-SI"/>
        </w:rPr>
        <w:t xml:space="preserve"> </w:t>
      </w:r>
      <w:r w:rsidR="00BC7C26" w:rsidRPr="00BC7C26">
        <w:rPr>
          <w:rFonts w:cs="Arial"/>
          <w:szCs w:val="20"/>
          <w:lang w:val="sl-SI"/>
        </w:rPr>
        <w:t>na terciarnem nivoju</w:t>
      </w:r>
      <w:r w:rsidRPr="003A1BA9">
        <w:rPr>
          <w:rFonts w:cs="Arial"/>
          <w:szCs w:val="20"/>
          <w:lang w:val="sl-SI"/>
        </w:rPr>
        <w:t>, redno izvajajo tudi diagnostične obravnave bolnikov z demenco ali zgod</w:t>
      </w:r>
      <w:r w:rsidR="00CF2D45">
        <w:rPr>
          <w:rFonts w:cs="Arial"/>
          <w:szCs w:val="20"/>
          <w:lang w:val="sl-SI"/>
        </w:rPr>
        <w:t>n</w:t>
      </w:r>
      <w:r w:rsidRPr="003A1BA9">
        <w:rPr>
          <w:rFonts w:cs="Arial"/>
          <w:szCs w:val="20"/>
          <w:lang w:val="sl-SI"/>
        </w:rPr>
        <w:t xml:space="preserve">ejšimi obdobji bolezni v okviru t.i. dnevne bolnišnice (analiza biomarkerjev in napredne metode slikanja možganov). Psihiatri obravnavajo bolnike z demenco ambulantno v okviru </w:t>
      </w:r>
      <w:r w:rsidR="00210234">
        <w:rPr>
          <w:rFonts w:cs="Arial"/>
          <w:szCs w:val="20"/>
          <w:lang w:val="sl-SI"/>
        </w:rPr>
        <w:t xml:space="preserve">specialističnih </w:t>
      </w:r>
      <w:r w:rsidRPr="003A1BA9">
        <w:rPr>
          <w:rFonts w:cs="Arial"/>
          <w:szCs w:val="20"/>
          <w:lang w:val="sl-SI"/>
        </w:rPr>
        <w:t xml:space="preserve">ambulant in v okviru bolnišnične  dejavnosti. Področne splošne bolnišnice imajo nevrološke oddelke in izvajajo </w:t>
      </w:r>
      <w:r w:rsidR="00210234">
        <w:rPr>
          <w:rFonts w:cs="Arial"/>
          <w:szCs w:val="20"/>
          <w:lang w:val="sl-SI"/>
        </w:rPr>
        <w:t xml:space="preserve">specialistično </w:t>
      </w:r>
      <w:r w:rsidRPr="003A1BA9">
        <w:rPr>
          <w:rFonts w:cs="Arial"/>
          <w:szCs w:val="20"/>
          <w:lang w:val="sl-SI"/>
        </w:rPr>
        <w:t xml:space="preserve">ambulantno dejavnost. </w:t>
      </w:r>
    </w:p>
    <w:p w14:paraId="7B1D2E4F" w14:textId="77777777" w:rsidR="003A1BA9" w:rsidRPr="003A1BA9" w:rsidRDefault="003A1BA9" w:rsidP="003A1BA9">
      <w:pPr>
        <w:jc w:val="both"/>
        <w:rPr>
          <w:rFonts w:cs="Arial"/>
          <w:szCs w:val="20"/>
          <w:lang w:val="sl-SI"/>
        </w:rPr>
      </w:pPr>
    </w:p>
    <w:p w14:paraId="29868290" w14:textId="096660C9" w:rsidR="003A1BA9" w:rsidRPr="003A1BA9" w:rsidRDefault="003A1BA9" w:rsidP="003A1BA9">
      <w:pPr>
        <w:jc w:val="both"/>
        <w:rPr>
          <w:rFonts w:cs="Arial"/>
          <w:szCs w:val="20"/>
          <w:lang w:val="sl-SI"/>
        </w:rPr>
      </w:pPr>
      <w:r w:rsidRPr="003A1BA9">
        <w:rPr>
          <w:rFonts w:cs="Arial"/>
          <w:szCs w:val="20"/>
          <w:lang w:val="sl-SI"/>
        </w:rPr>
        <w:t>V okviru specializiranih centrov in enot za gerontopsihiatrijo ter v skladu z ReNPDZ18-28 je bil sprejet nov standard za psihogeriatrijo, ki je oblika stacionarnega bolnišničnega zdravljenja namenjena specialistični obravnavi akutnih duševnih motenj oz. stanj nastalih v starosti, zlasti demenc</w:t>
      </w:r>
      <w:r w:rsidR="00326FDC">
        <w:rPr>
          <w:rStyle w:val="Sprotnaopomba-sklic"/>
          <w:rFonts w:cs="Arial"/>
          <w:szCs w:val="20"/>
          <w:lang w:val="sl-SI"/>
        </w:rPr>
        <w:footnoteReference w:id="26"/>
      </w:r>
      <w:r w:rsidRPr="003A1BA9">
        <w:rPr>
          <w:rFonts w:cs="Arial"/>
          <w:szCs w:val="20"/>
          <w:lang w:val="sl-SI"/>
        </w:rPr>
        <w:t>.</w:t>
      </w:r>
    </w:p>
    <w:p w14:paraId="616AA205" w14:textId="77777777" w:rsidR="003A1BA9" w:rsidRPr="003A1BA9" w:rsidRDefault="003A1BA9" w:rsidP="003A1BA9">
      <w:pPr>
        <w:jc w:val="both"/>
        <w:rPr>
          <w:rFonts w:cs="Arial"/>
          <w:szCs w:val="20"/>
          <w:lang w:val="sl-SI"/>
        </w:rPr>
      </w:pPr>
    </w:p>
    <w:p w14:paraId="52D67FA5" w14:textId="78832D12" w:rsidR="003A1BA9" w:rsidRDefault="003A1BA9" w:rsidP="003A1BA9">
      <w:pPr>
        <w:jc w:val="both"/>
        <w:rPr>
          <w:rFonts w:cs="Arial"/>
          <w:szCs w:val="20"/>
          <w:lang w:val="sl-SI"/>
        </w:rPr>
      </w:pPr>
      <w:r w:rsidRPr="003A1BA9">
        <w:rPr>
          <w:rFonts w:cs="Arial"/>
          <w:szCs w:val="20"/>
          <w:lang w:val="sl-SI"/>
        </w:rPr>
        <w:lastRenderedPageBreak/>
        <w:t>V Center za kognitivne motnje na Kliničnem oddelku za bolezni živčevja, Nevrološka klinika v UKC Ljubljana (v nadaljnjem besedilu: CKM) so napoteni bolniki s sumom na nevrokognitivne motnje različnih stopenj vse od subjektivne kognitivne pritožbe, preko blage kognitivne motnje do demence iz ambulant družinske medicine in drugih specialističnih ambulant</w:t>
      </w:r>
      <w:r w:rsidR="00326FDC">
        <w:rPr>
          <w:rStyle w:val="Sprotnaopomba-sklic"/>
          <w:rFonts w:cs="Arial"/>
          <w:szCs w:val="20"/>
          <w:lang w:val="sl-SI"/>
        </w:rPr>
        <w:footnoteReference w:id="27"/>
      </w:r>
      <w:r w:rsidRPr="003A1BA9">
        <w:rPr>
          <w:rFonts w:cs="Arial"/>
          <w:szCs w:val="20"/>
          <w:lang w:val="sl-SI"/>
        </w:rPr>
        <w:t xml:space="preserve">. Osnovni namen delovanja CKM je zagotavljati celostno diagnostično in terapevtsko obravnavo bolnikom z demenco, nuditi pomoč njihovim skrbnikom ter vzpostaviti dober partnerski odnos s socialnimi službami, drugimi zdravstvenimi institucijami ter prostovoljnimi združenji. </w:t>
      </w:r>
    </w:p>
    <w:p w14:paraId="001B9BF1" w14:textId="77777777" w:rsidR="0006642B" w:rsidRPr="003A1BA9" w:rsidRDefault="0006642B" w:rsidP="003A1BA9">
      <w:pPr>
        <w:jc w:val="both"/>
        <w:rPr>
          <w:rFonts w:cs="Arial"/>
          <w:szCs w:val="20"/>
          <w:lang w:val="sl-SI"/>
        </w:rPr>
      </w:pPr>
    </w:p>
    <w:p w14:paraId="05D457A4" w14:textId="4F6CE50A" w:rsidR="00BC7C26" w:rsidRDefault="003A1BA9" w:rsidP="00BC7C26">
      <w:pPr>
        <w:jc w:val="both"/>
        <w:rPr>
          <w:rFonts w:cs="Arial"/>
          <w:szCs w:val="20"/>
          <w:lang w:val="sl-SI"/>
        </w:rPr>
      </w:pPr>
      <w:r w:rsidRPr="003A1BA9">
        <w:rPr>
          <w:rFonts w:cs="Arial"/>
          <w:szCs w:val="20"/>
          <w:lang w:val="sl-SI"/>
        </w:rPr>
        <w:t>V okviru CKM je vzpostavljena sistematična klinična pot za obravnavo bolnikov s kognitivnimi motnjami v 16 rednih kognitivnih ambulantah, diagnostični dnevni bolnišnici in hospitalno</w:t>
      </w:r>
      <w:r w:rsidR="00326FDC">
        <w:rPr>
          <w:rStyle w:val="Sprotnaopomba-sklic"/>
          <w:rFonts w:cs="Arial"/>
          <w:szCs w:val="20"/>
          <w:lang w:val="sl-SI"/>
        </w:rPr>
        <w:footnoteReference w:id="28"/>
      </w:r>
      <w:r w:rsidRPr="003A1BA9">
        <w:rPr>
          <w:rFonts w:cs="Arial"/>
          <w:szCs w:val="20"/>
          <w:lang w:val="sl-SI"/>
        </w:rPr>
        <w:t xml:space="preserve">. </w:t>
      </w:r>
      <w:r w:rsidR="00BC7C26" w:rsidRPr="00BC7C26">
        <w:rPr>
          <w:rFonts w:cs="Arial"/>
          <w:szCs w:val="20"/>
          <w:lang w:val="sl-SI"/>
        </w:rPr>
        <w:t>Skladno z usmeritvami Strategije je potrebno zagotoviti organizacijske, prostorske in kadrovske okrepitve za delo celotnega multidisciplinarnega tima tako v obstoječih nevroloških kapacitetah v obeh kliničnih centrih (Ljubljana in Maribor), kakor tudi v drugih področnih splošnih bolnišnicah kjer že poteka nevrološka obravnava bolnikov s kognitivnimi motnjami.</w:t>
      </w:r>
    </w:p>
    <w:p w14:paraId="1352886C" w14:textId="77777777" w:rsidR="00DF468B" w:rsidRDefault="00DF468B" w:rsidP="00BC7C26">
      <w:pPr>
        <w:jc w:val="both"/>
        <w:rPr>
          <w:rFonts w:cs="Arial"/>
          <w:szCs w:val="20"/>
          <w:lang w:val="sl-SI"/>
        </w:rPr>
      </w:pPr>
    </w:p>
    <w:p w14:paraId="31F2924A" w14:textId="24379DE1" w:rsidR="003A1BA9" w:rsidRDefault="003A1BA9" w:rsidP="003A1BA9">
      <w:pPr>
        <w:jc w:val="both"/>
        <w:rPr>
          <w:rFonts w:cs="Arial"/>
          <w:szCs w:val="20"/>
          <w:lang w:val="sl-SI"/>
        </w:rPr>
      </w:pPr>
      <w:r w:rsidRPr="003A1BA9">
        <w:rPr>
          <w:rFonts w:cs="Arial"/>
          <w:szCs w:val="20"/>
          <w:lang w:val="sl-SI"/>
        </w:rPr>
        <w:t xml:space="preserve">Slovenski nevrologi (Ljubljana, Maribor, Nova Gorica) z dodatnim znanjem s področja demence sodelujejo v mednarodnih kliničnih študijah s področja demence. Sodelavci CKM sodelujejo </w:t>
      </w:r>
      <w:r w:rsidR="00DF468B">
        <w:rPr>
          <w:rFonts w:cs="Arial"/>
          <w:szCs w:val="20"/>
          <w:lang w:val="sl-SI"/>
        </w:rPr>
        <w:t>pri pripravi in izvedbi izobraževalnih programov na</w:t>
      </w:r>
      <w:r w:rsidRPr="003A1BA9">
        <w:rPr>
          <w:rFonts w:cs="Arial"/>
          <w:szCs w:val="20"/>
          <w:lang w:val="sl-SI"/>
        </w:rPr>
        <w:t xml:space="preserve"> </w:t>
      </w:r>
      <w:r w:rsidR="00DF468B">
        <w:rPr>
          <w:rFonts w:cs="Arial"/>
          <w:szCs w:val="20"/>
          <w:lang w:val="sl-SI"/>
        </w:rPr>
        <w:t>m</w:t>
      </w:r>
      <w:r w:rsidRPr="003A1BA9">
        <w:rPr>
          <w:rFonts w:cs="Arial"/>
          <w:szCs w:val="20"/>
          <w:lang w:val="sl-SI"/>
        </w:rPr>
        <w:t>edicinski fakulteti</w:t>
      </w:r>
      <w:r w:rsidR="00DF468B">
        <w:rPr>
          <w:rFonts w:cs="Arial"/>
          <w:szCs w:val="20"/>
          <w:lang w:val="sl-SI"/>
        </w:rPr>
        <w:t>.</w:t>
      </w:r>
      <w:r w:rsidRPr="003A1BA9">
        <w:rPr>
          <w:rFonts w:cs="Arial"/>
          <w:szCs w:val="20"/>
          <w:lang w:val="sl-SI"/>
        </w:rPr>
        <w:t xml:space="preserve"> V okviru CKM poteka več raziskovalnih projektov s področja demence</w:t>
      </w:r>
      <w:r w:rsidR="00DF468B">
        <w:rPr>
          <w:rFonts w:cs="Arial"/>
          <w:szCs w:val="20"/>
          <w:lang w:val="sl-SI"/>
        </w:rPr>
        <w:t xml:space="preserve">. </w:t>
      </w:r>
    </w:p>
    <w:p w14:paraId="1D0376EE" w14:textId="28F65BA2" w:rsidR="00257017" w:rsidRDefault="00257017" w:rsidP="003A1BA9">
      <w:pPr>
        <w:jc w:val="both"/>
        <w:rPr>
          <w:rFonts w:cs="Arial"/>
          <w:szCs w:val="20"/>
          <w:lang w:val="sl-SI"/>
        </w:rPr>
      </w:pPr>
    </w:p>
    <w:p w14:paraId="6FBE469A" w14:textId="5D8079A6" w:rsidR="00E546B0" w:rsidRPr="00E546B0" w:rsidRDefault="00E546B0" w:rsidP="00E546B0">
      <w:pPr>
        <w:jc w:val="both"/>
        <w:rPr>
          <w:rFonts w:cs="Arial"/>
          <w:szCs w:val="20"/>
          <w:lang w:val="sl-SI"/>
        </w:rPr>
      </w:pPr>
      <w:r w:rsidRPr="00E546B0">
        <w:rPr>
          <w:rFonts w:cs="Arial"/>
          <w:szCs w:val="20"/>
          <w:lang w:val="sl-SI"/>
        </w:rPr>
        <w:t xml:space="preserve">Univerzitetna psihiatrična klinika Ljubljana (UPKL) obravnava bolnike s sindromom demence in pridruženimi duševnimi motnjami hospitalno in ambulantno. V bolnišnico so večinoma napoteni bolniki z demenco, ki imajo pridružene vedenjske in psihične težave. Na Enotah za gerontopsihiatrijo (v nadaljnjem besedilu: EGP) v UPK Ljubljana deluje 5 bolnišničnih oddelkov (skupno 90 postelj) in en dnevni oddelek ter 8 gerontopsihiatričnih ambulant za diagnostiko in zdravljenje demence in drugih duševnih motenj v starosti. EGP sodeluje v izobraževanju študentov medicine na Medicinski fakulteti, Univerze v Ljubljani na temo demence ter mentorstvu specializantom psihiatrije, nevrologije in družinske medicine v programu specializacije. EGP izvaja tudi izobraževanja za svojce oseb z demenco ter organizira podporno skupino za svojce oseb z demenco. </w:t>
      </w:r>
    </w:p>
    <w:p w14:paraId="71A780DF" w14:textId="77777777" w:rsidR="00E546B0" w:rsidRPr="00E546B0" w:rsidRDefault="00E546B0" w:rsidP="00E546B0">
      <w:pPr>
        <w:jc w:val="both"/>
        <w:rPr>
          <w:rFonts w:cs="Arial"/>
          <w:szCs w:val="20"/>
          <w:lang w:val="sl-SI"/>
        </w:rPr>
      </w:pPr>
    </w:p>
    <w:p w14:paraId="4207ED76" w14:textId="77777777" w:rsidR="00E546B0" w:rsidRPr="00E546B0" w:rsidRDefault="00E546B0" w:rsidP="00E546B0">
      <w:pPr>
        <w:jc w:val="both"/>
        <w:rPr>
          <w:rFonts w:cs="Arial"/>
          <w:szCs w:val="20"/>
          <w:lang w:val="sl-SI"/>
        </w:rPr>
      </w:pPr>
      <w:r w:rsidRPr="00E546B0">
        <w:rPr>
          <w:rFonts w:cs="Arial"/>
          <w:szCs w:val="20"/>
          <w:lang w:val="sl-SI"/>
        </w:rPr>
        <w:t xml:space="preserve">V UKC Maribor je gerontopsihiatrični oddelek s 36 posteljami, v ostalih psihiatričnih bolnišnicah (v nadaljnjem besedilu: PB) je v okviru gerontopsihiatričnih oddelkov na voljo v PB Idrija 34, PB Begunje 17, PB Ormož 20 in PB Vojnik 15 postelj. Gerontopsihiatrični oddeleki v PB so namenjeni izključno zdravljenju akutnih duševnih motenj in stanj pri starostnikih tako na intenzivnih kot na odprtih enotah. V PB Idrija je zagotovljen tudi 1 tim za specialistično ambulantno gerontospihiatrično obravnavo. </w:t>
      </w:r>
    </w:p>
    <w:p w14:paraId="452DAAD9" w14:textId="77777777" w:rsidR="00E546B0" w:rsidRPr="00E546B0" w:rsidRDefault="00E546B0" w:rsidP="00E546B0">
      <w:pPr>
        <w:jc w:val="both"/>
        <w:rPr>
          <w:rFonts w:cs="Arial"/>
          <w:szCs w:val="20"/>
          <w:lang w:val="sl-SI"/>
        </w:rPr>
      </w:pPr>
    </w:p>
    <w:p w14:paraId="1665B15E" w14:textId="2D831AE3" w:rsidR="00257017" w:rsidRPr="00257017" w:rsidRDefault="00E546B0" w:rsidP="00E546B0">
      <w:pPr>
        <w:jc w:val="both"/>
        <w:rPr>
          <w:rFonts w:cs="Arial"/>
          <w:szCs w:val="20"/>
          <w:lang w:val="sl-SI"/>
        </w:rPr>
      </w:pPr>
      <w:r w:rsidRPr="00E546B0">
        <w:rPr>
          <w:rFonts w:cs="Arial"/>
          <w:szCs w:val="20"/>
          <w:lang w:val="sl-SI"/>
        </w:rPr>
        <w:t xml:space="preserve">V psihiatričnih bolnišnicah se osebe z demenco zdravijo na </w:t>
      </w:r>
      <w:r w:rsidR="00C1187F" w:rsidRPr="00E546B0">
        <w:rPr>
          <w:rFonts w:cs="Arial"/>
          <w:szCs w:val="20"/>
          <w:lang w:val="sl-SI"/>
        </w:rPr>
        <w:t>odprt</w:t>
      </w:r>
      <w:r w:rsidR="00C1187F">
        <w:rPr>
          <w:rFonts w:cs="Arial"/>
          <w:szCs w:val="20"/>
          <w:lang w:val="sl-SI"/>
        </w:rPr>
        <w:t>ih</w:t>
      </w:r>
      <w:r w:rsidR="00C1187F" w:rsidRPr="00E546B0">
        <w:rPr>
          <w:rFonts w:cs="Arial"/>
          <w:szCs w:val="20"/>
          <w:lang w:val="sl-SI"/>
        </w:rPr>
        <w:t xml:space="preserve"> oddelk</w:t>
      </w:r>
      <w:r w:rsidR="00C1187F">
        <w:rPr>
          <w:rFonts w:cs="Arial"/>
          <w:szCs w:val="20"/>
          <w:lang w:val="sl-SI"/>
        </w:rPr>
        <w:t>ih</w:t>
      </w:r>
      <w:r w:rsidRPr="00E546B0">
        <w:rPr>
          <w:rFonts w:cs="Arial"/>
          <w:szCs w:val="20"/>
          <w:lang w:val="sl-SI"/>
        </w:rPr>
        <w:t xml:space="preserve">, v primeru, ko je zdravje bolnika huje ogroženo zaradi nevarnega vedenja in ogrožanja sebe ali drugih pa tudi na </w:t>
      </w:r>
      <w:r w:rsidR="00C1187F" w:rsidRPr="00E546B0">
        <w:rPr>
          <w:rFonts w:cs="Arial"/>
          <w:szCs w:val="20"/>
          <w:lang w:val="sl-SI"/>
        </w:rPr>
        <w:t>oddelk</w:t>
      </w:r>
      <w:r w:rsidR="00C1187F">
        <w:rPr>
          <w:rFonts w:cs="Arial"/>
          <w:szCs w:val="20"/>
          <w:lang w:val="sl-SI"/>
        </w:rPr>
        <w:t>ih</w:t>
      </w:r>
      <w:r w:rsidR="00C1187F" w:rsidRPr="00E546B0">
        <w:rPr>
          <w:rFonts w:cs="Arial"/>
          <w:szCs w:val="20"/>
          <w:lang w:val="sl-SI"/>
        </w:rPr>
        <w:t xml:space="preserve"> </w:t>
      </w:r>
      <w:r w:rsidRPr="00E546B0">
        <w:rPr>
          <w:rFonts w:cs="Arial"/>
          <w:szCs w:val="20"/>
          <w:lang w:val="sl-SI"/>
        </w:rPr>
        <w:t xml:space="preserve">pod posebnim nadzorom. Pred odpustom bolnika z bolnišničnega zdravljenja se praviloma pripravi individualni načrt psihosocialne rehabilitacije v domačem okolju oziroma za premestitev v socialnovarstveni zavod. Pristojne službe v bolnišnicah se za namen izvedbe individualnega načrta povežejo s svojci, osebnim zdravnikom, centri za socialno delo, koordinatorji obravnave v skupnosti in drugimi deležniki, ki lahko pripomorejo k psihosocialni rehabilitaciji oziroma premestitvi bolnika. V primeru, če se zaradi zdravstvenih in/ali socialnih razlogov oseba z demenco ne more vrniti v domače okolje, se ureja premestitev v socialnovarstveni zavod. Bolniki, ki se vrnejo v domače okolje, imajo redne ambulantne posthospitalne kontrole. </w:t>
      </w:r>
      <w:r w:rsidR="00257017" w:rsidRPr="00257017">
        <w:rPr>
          <w:rFonts w:cs="Arial"/>
          <w:szCs w:val="20"/>
          <w:lang w:val="sl-SI"/>
        </w:rPr>
        <w:t xml:space="preserve"> </w:t>
      </w:r>
    </w:p>
    <w:p w14:paraId="5652333F" w14:textId="77777777" w:rsidR="00257017" w:rsidRPr="00257017" w:rsidRDefault="00257017" w:rsidP="00257017">
      <w:pPr>
        <w:jc w:val="both"/>
        <w:rPr>
          <w:rFonts w:cs="Arial"/>
          <w:szCs w:val="20"/>
          <w:lang w:val="sl-SI"/>
        </w:rPr>
      </w:pPr>
    </w:p>
    <w:p w14:paraId="3EB2E790" w14:textId="2685F641" w:rsidR="000E6CE7" w:rsidRDefault="000E6CE7" w:rsidP="00610F05">
      <w:pPr>
        <w:jc w:val="both"/>
        <w:rPr>
          <w:lang w:val="sl-SI"/>
        </w:rPr>
      </w:pPr>
      <w:r w:rsidRPr="000E6CE7">
        <w:rPr>
          <w:lang w:val="sl-SI"/>
        </w:rPr>
        <w:t>Skladno z usmeritvami Strategije je potrebno vzpostaviti učinkovito verigo storitev za osebe s kognitivnimi motnjami, ki bo povezala storitve in kapacitete vseh nivojev zdravstvenega varstva. Slednje bo omogočeno z uresničitvijo cilja Strategije za vzpostavitev policentrične mreže spominskih centrov s kadrovskimi normativi za interdisciplinarno timsko obravnavo za zdravljenje in oskrbo oseb z demenco, v skladu s sodobnimi kliničnimi trendi.</w:t>
      </w:r>
    </w:p>
    <w:p w14:paraId="398E69CA" w14:textId="77777777" w:rsidR="00610F05" w:rsidRPr="00BC7C26" w:rsidRDefault="00610F05" w:rsidP="00610F05">
      <w:pPr>
        <w:jc w:val="both"/>
        <w:rPr>
          <w:lang w:val="sl-SI"/>
        </w:rPr>
      </w:pPr>
    </w:p>
    <w:p w14:paraId="6D9B4736" w14:textId="0A033ED7" w:rsidR="00C54B67" w:rsidRPr="00A95315" w:rsidRDefault="00C54B67" w:rsidP="00610F05">
      <w:pPr>
        <w:rPr>
          <w:rStyle w:val="Intenzivenpoudarek"/>
          <w:i w:val="0"/>
          <w:iCs w:val="0"/>
          <w:sz w:val="24"/>
          <w:lang w:val="sl-SI"/>
        </w:rPr>
      </w:pPr>
      <w:r w:rsidRPr="00A95315">
        <w:rPr>
          <w:rStyle w:val="Intenzivenpoudarek"/>
          <w:i w:val="0"/>
          <w:iCs w:val="0"/>
          <w:sz w:val="24"/>
          <w:lang w:val="sl-SI"/>
        </w:rPr>
        <w:t>3.2.1.3 Zdravstveno varstvo v socialnovarstvenih zavodih</w:t>
      </w:r>
    </w:p>
    <w:p w14:paraId="37E9DC48" w14:textId="77777777" w:rsidR="00F80F29" w:rsidRPr="00885BD1" w:rsidRDefault="00F80F29" w:rsidP="00CD4BC8">
      <w:pPr>
        <w:jc w:val="both"/>
        <w:rPr>
          <w:rFonts w:cs="Arial"/>
          <w:szCs w:val="20"/>
          <w:lang w:val="sl-SI"/>
        </w:rPr>
      </w:pPr>
    </w:p>
    <w:p w14:paraId="64B76DEA" w14:textId="68A81E82" w:rsidR="00EC70B0" w:rsidRPr="00885BD1" w:rsidRDefault="00EC70B0" w:rsidP="00D507AA">
      <w:pPr>
        <w:jc w:val="both"/>
        <w:rPr>
          <w:rFonts w:cs="Arial"/>
          <w:szCs w:val="20"/>
          <w:lang w:val="sl-SI"/>
        </w:rPr>
      </w:pPr>
      <w:r w:rsidRPr="00885BD1">
        <w:rPr>
          <w:rFonts w:cs="Arial"/>
          <w:szCs w:val="20"/>
          <w:lang w:val="sl-SI"/>
        </w:rPr>
        <w:t>V sistemu zdravstvenega varstva je za stanovalce DSO zagotovljena zdravstveno oskrba</w:t>
      </w:r>
      <w:r w:rsidR="00B75357">
        <w:rPr>
          <w:rStyle w:val="Sprotnaopomba-sklic"/>
          <w:rFonts w:cs="Arial"/>
          <w:szCs w:val="20"/>
          <w:lang w:val="sl-SI"/>
        </w:rPr>
        <w:footnoteReference w:id="29"/>
      </w:r>
      <w:r w:rsidRPr="00885BD1">
        <w:rPr>
          <w:rFonts w:cs="Arial"/>
          <w:szCs w:val="20"/>
          <w:lang w:val="sl-SI"/>
        </w:rPr>
        <w:t xml:space="preserve"> s strani izbranega osebnega zdravnika, ki deluje v prostorih doma. Povprečno število stanovalcev za tim splošne družinske ambulante je 306 stanovalcev. V letu 2020 je bilo po pogodbah ZZZS 71,21 nosilcev dejavnosti. V standardu zdravstvene oskrbe ja priznan standard zdravnika specialista na 2</w:t>
      </w:r>
      <w:r w:rsidR="00C1187F">
        <w:rPr>
          <w:rFonts w:cs="Arial"/>
          <w:szCs w:val="20"/>
          <w:lang w:val="sl-SI"/>
        </w:rPr>
        <w:t>.</w:t>
      </w:r>
      <w:r w:rsidRPr="00885BD1">
        <w:rPr>
          <w:rFonts w:cs="Arial"/>
          <w:szCs w:val="20"/>
          <w:lang w:val="sl-SI"/>
        </w:rPr>
        <w:t>000 postelj oziroma 0,0005 specialista na posteljo na dan, kar ne ustreza potrebam, zato bi bilo potrebno standard ustrezno popraviti.</w:t>
      </w:r>
    </w:p>
    <w:p w14:paraId="0103098A" w14:textId="51ED350B" w:rsidR="004D5FCC" w:rsidRPr="00885BD1" w:rsidRDefault="00C8002F" w:rsidP="00E546B0">
      <w:pPr>
        <w:pStyle w:val="Naslov1"/>
      </w:pPr>
      <w:bookmarkStart w:id="44" w:name="_Toc117692296"/>
      <w:r w:rsidRPr="00885BD1">
        <w:t xml:space="preserve">3.2.2 </w:t>
      </w:r>
      <w:r w:rsidR="004D5FCC" w:rsidRPr="00885BD1">
        <w:t>Storitve in programi socialnega varstva</w:t>
      </w:r>
      <w:bookmarkEnd w:id="44"/>
    </w:p>
    <w:p w14:paraId="1418C9E8" w14:textId="77777777" w:rsidR="001E778A" w:rsidRPr="00885BD1" w:rsidRDefault="001E778A" w:rsidP="00CD4BC8">
      <w:pPr>
        <w:jc w:val="both"/>
        <w:rPr>
          <w:rFonts w:cs="Arial"/>
          <w:szCs w:val="20"/>
          <w:lang w:val="sl-SI"/>
        </w:rPr>
      </w:pPr>
    </w:p>
    <w:p w14:paraId="43D3B0D7" w14:textId="311A7DF8" w:rsidR="006C2D1F" w:rsidRPr="00885BD1" w:rsidRDefault="006C2D1F" w:rsidP="006C2D1F">
      <w:pPr>
        <w:jc w:val="both"/>
        <w:rPr>
          <w:rFonts w:cs="Arial"/>
          <w:szCs w:val="20"/>
          <w:lang w:val="sl-SI"/>
        </w:rPr>
      </w:pPr>
      <w:r w:rsidRPr="00885BD1">
        <w:rPr>
          <w:rFonts w:cs="Arial"/>
          <w:szCs w:val="20"/>
          <w:lang w:val="sl-SI"/>
        </w:rPr>
        <w:t xml:space="preserve">Pri razvoju storitev in programov socialnega varstva so cilji usmerjeni v povečanje deleža uporabnikov skupnostnih oblik pomoči, prilagajanju storitev potrebam posameznih ciljnih skupin </w:t>
      </w:r>
      <w:r w:rsidRPr="00610F05">
        <w:rPr>
          <w:rFonts w:cs="Arial"/>
          <w:szCs w:val="20"/>
          <w:lang w:val="sl-SI"/>
        </w:rPr>
        <w:t>uporabnikov, zagotavljanju dostopnosti in dosegljivosti storitev ter večanju možnosti izbire storitev, kadrovski krepitvi izvajalcev ter modernizaciji infrastrukture. Za izvajalce je potrebno zagotoviti redna izobraževanja in usposabljanje za delo z osebami z demenco</w:t>
      </w:r>
      <w:r w:rsidR="004D7F75" w:rsidRPr="00610F05">
        <w:rPr>
          <w:rFonts w:cs="Arial"/>
          <w:szCs w:val="20"/>
          <w:lang w:val="sl-SI"/>
        </w:rPr>
        <w:t xml:space="preserve"> na podlag sodobnih konceptov.</w:t>
      </w:r>
    </w:p>
    <w:p w14:paraId="2B340372" w14:textId="77777777" w:rsidR="006C2D1F" w:rsidRPr="00885BD1" w:rsidRDefault="006C2D1F" w:rsidP="006C2D1F">
      <w:pPr>
        <w:jc w:val="both"/>
        <w:rPr>
          <w:rFonts w:cs="Arial"/>
          <w:szCs w:val="20"/>
          <w:lang w:val="sl-SI"/>
        </w:rPr>
      </w:pPr>
    </w:p>
    <w:p w14:paraId="0574F001" w14:textId="15690B38" w:rsidR="006C2D1F" w:rsidRPr="00885BD1" w:rsidRDefault="006C2D1F" w:rsidP="006C2D1F">
      <w:pPr>
        <w:jc w:val="both"/>
        <w:rPr>
          <w:rFonts w:cs="Arial"/>
          <w:szCs w:val="20"/>
          <w:lang w:val="sl-SI"/>
        </w:rPr>
      </w:pPr>
      <w:r w:rsidRPr="00885BD1">
        <w:rPr>
          <w:rFonts w:cs="Arial"/>
          <w:szCs w:val="20"/>
          <w:lang w:val="sl-SI"/>
        </w:rPr>
        <w:t xml:space="preserve">Širitev in razvoj mreže izvajalcev socialnovarstvenih programov in storitev je določena v </w:t>
      </w:r>
      <w:r w:rsidRPr="00A95315">
        <w:rPr>
          <w:rFonts w:cs="Arial"/>
          <w:szCs w:val="20"/>
          <w:lang w:val="sl-SI"/>
        </w:rPr>
        <w:t>ReNPSV</w:t>
      </w:r>
      <w:r w:rsidR="00D8269D" w:rsidRPr="00A95315">
        <w:rPr>
          <w:rFonts w:cs="Arial"/>
          <w:szCs w:val="20"/>
          <w:lang w:val="sl-SI"/>
        </w:rPr>
        <w:t xml:space="preserve"> </w:t>
      </w:r>
      <w:r w:rsidRPr="00A95315">
        <w:rPr>
          <w:rFonts w:cs="Arial"/>
          <w:szCs w:val="20"/>
          <w:lang w:val="sl-SI"/>
        </w:rPr>
        <w:t>22</w:t>
      </w:r>
      <w:r w:rsidR="00D8269D" w:rsidRPr="00A95315">
        <w:rPr>
          <w:rFonts w:cs="Arial"/>
          <w:szCs w:val="20"/>
          <w:lang w:val="sl-SI"/>
        </w:rPr>
        <w:t xml:space="preserve"> </w:t>
      </w:r>
      <w:r w:rsidRPr="00A95315">
        <w:rPr>
          <w:rFonts w:cs="Arial"/>
          <w:szCs w:val="20"/>
          <w:lang w:val="sl-SI"/>
        </w:rPr>
        <w:t>-</w:t>
      </w:r>
      <w:r w:rsidR="00D8269D" w:rsidRPr="00A95315">
        <w:rPr>
          <w:rFonts w:cs="Arial"/>
          <w:szCs w:val="20"/>
          <w:lang w:val="sl-SI"/>
        </w:rPr>
        <w:t xml:space="preserve"> </w:t>
      </w:r>
      <w:r w:rsidRPr="00A95315">
        <w:rPr>
          <w:rFonts w:cs="Arial"/>
          <w:szCs w:val="20"/>
          <w:lang w:val="sl-SI"/>
        </w:rPr>
        <w:t>30, vendar bo uresničevanje zapisanih ciljev odvisno tudi od sprejetja novih zakonov oz. sistemske ureditve nekaterih področij (dolgotrajne oskrbe, deinstitucionalizacije, reorganizacije</w:t>
      </w:r>
      <w:r w:rsidRPr="00885BD1">
        <w:rPr>
          <w:rFonts w:cs="Arial"/>
          <w:szCs w:val="20"/>
          <w:lang w:val="sl-SI"/>
        </w:rPr>
        <w:t xml:space="preserve"> izvajalskih mrež in drugo).</w:t>
      </w:r>
    </w:p>
    <w:p w14:paraId="3E337C9A" w14:textId="4980688F" w:rsidR="002C2EEC" w:rsidRPr="00885BD1" w:rsidRDefault="002C2EEC" w:rsidP="00E546B0">
      <w:pPr>
        <w:pStyle w:val="Naslov1"/>
      </w:pPr>
      <w:bookmarkStart w:id="45" w:name="_Toc117692297"/>
      <w:r w:rsidRPr="00885BD1">
        <w:t>3.2.2.1 Institucionalno varstvo starejših - Domovi za starejše</w:t>
      </w:r>
      <w:bookmarkEnd w:id="45"/>
    </w:p>
    <w:p w14:paraId="5E380406" w14:textId="77777777" w:rsidR="002C2EEC" w:rsidRPr="00885BD1" w:rsidRDefault="002C2EEC" w:rsidP="00CD4BC8">
      <w:pPr>
        <w:jc w:val="both"/>
        <w:rPr>
          <w:rFonts w:cs="Arial"/>
          <w:szCs w:val="20"/>
          <w:lang w:val="sl-SI"/>
        </w:rPr>
      </w:pPr>
    </w:p>
    <w:p w14:paraId="095482FD" w14:textId="55B101CF" w:rsidR="00EC70B0" w:rsidRPr="00BF27B7" w:rsidRDefault="00EC70B0" w:rsidP="00EC70B0">
      <w:pPr>
        <w:jc w:val="both"/>
        <w:rPr>
          <w:rFonts w:cs="Arial"/>
          <w:szCs w:val="20"/>
          <w:lang w:val="sl-SI"/>
        </w:rPr>
      </w:pPr>
      <w:r w:rsidRPr="0019315F">
        <w:rPr>
          <w:rFonts w:cs="Arial"/>
          <w:szCs w:val="20"/>
          <w:lang w:val="sl-SI"/>
        </w:rPr>
        <w:t>V  DSO in v posebnih socialnovarstvenih zavodih je bilo konec leta 2020 na voljo skupno 18.977 mest, v posebnih zavodih za odrasle pa še 2.344 mest (tudi ti imajo osebe z demenco)</w:t>
      </w:r>
      <w:r w:rsidR="00FF3096" w:rsidRPr="0019315F">
        <w:rPr>
          <w:rStyle w:val="Sprotnaopomba-sklic"/>
          <w:rFonts w:cs="Arial"/>
          <w:szCs w:val="20"/>
          <w:lang w:val="sl-SI"/>
        </w:rPr>
        <w:footnoteReference w:id="30"/>
      </w:r>
      <w:r w:rsidRPr="0019315F">
        <w:rPr>
          <w:rFonts w:cs="Arial"/>
          <w:szCs w:val="20"/>
          <w:lang w:val="sl-SI"/>
        </w:rPr>
        <w:t xml:space="preserve">. </w:t>
      </w:r>
      <w:r w:rsidRPr="0019315F">
        <w:rPr>
          <w:rFonts w:cs="Arial"/>
          <w:szCs w:val="20"/>
          <w:lang w:val="sl-SI"/>
        </w:rPr>
        <w:lastRenderedPageBreak/>
        <w:t xml:space="preserve">Povprečna starost stanovalcev </w:t>
      </w:r>
      <w:r w:rsidR="00FF3096" w:rsidRPr="0019315F">
        <w:rPr>
          <w:rFonts w:cs="Arial"/>
          <w:szCs w:val="20"/>
          <w:lang w:val="sl-SI"/>
        </w:rPr>
        <w:t>v DSO</w:t>
      </w:r>
      <w:r w:rsidRPr="0019315F">
        <w:rPr>
          <w:rFonts w:cs="Arial"/>
          <w:szCs w:val="20"/>
          <w:lang w:val="sl-SI"/>
        </w:rPr>
        <w:t xml:space="preserve"> je 83 let. Ocenjujemo, da je med starejšimi, ki živijo v domu že več kot 70% oseb z demenco (v različnih stadijih bolezni). </w:t>
      </w:r>
    </w:p>
    <w:p w14:paraId="2BC0617D" w14:textId="77777777" w:rsidR="00FF3096" w:rsidRPr="0019315F" w:rsidRDefault="00FF3096" w:rsidP="00EC70B0">
      <w:pPr>
        <w:jc w:val="both"/>
        <w:rPr>
          <w:rFonts w:cs="Arial"/>
          <w:strike/>
          <w:szCs w:val="20"/>
          <w:lang w:val="sl-SI"/>
        </w:rPr>
      </w:pPr>
    </w:p>
    <w:p w14:paraId="3357B733" w14:textId="5BD2D667" w:rsidR="00EC70B0" w:rsidRPr="00885BD1" w:rsidRDefault="00EC70B0" w:rsidP="00EC70B0">
      <w:pPr>
        <w:jc w:val="both"/>
        <w:rPr>
          <w:rFonts w:cs="Arial"/>
          <w:szCs w:val="20"/>
          <w:lang w:val="sl-SI"/>
        </w:rPr>
      </w:pPr>
      <w:r w:rsidRPr="00885BD1">
        <w:rPr>
          <w:rFonts w:cs="Arial"/>
          <w:szCs w:val="20"/>
          <w:lang w:val="sl-SI"/>
        </w:rPr>
        <w:t xml:space="preserve">Cilj ReNPSV 22 - 30 je </w:t>
      </w:r>
      <w:r w:rsidR="006C3ABF" w:rsidRPr="00885BD1">
        <w:rPr>
          <w:rFonts w:cs="Arial"/>
          <w:szCs w:val="20"/>
          <w:lang w:val="sl-SI"/>
        </w:rPr>
        <w:t xml:space="preserve">vključitev </w:t>
      </w:r>
      <w:r w:rsidRPr="00885BD1">
        <w:rPr>
          <w:rFonts w:cs="Arial"/>
          <w:szCs w:val="20"/>
          <w:lang w:val="sl-SI"/>
        </w:rPr>
        <w:t>4,5% starejših nad 65 let v institucionalno varstvo starejših, saj naj bi v prihodnje izvajalci institucionalnega varstva starejših v večji meri ponujali tudi skupnostne storitve. Za zagotovitev ustreznih standardov prijaznega in varnega bivalnega okolja še zlasti v pogojih okužb potekajo aktivnosti, ki bodo v naslednjem obdobju financirane</w:t>
      </w:r>
      <w:r w:rsidR="00C1187F">
        <w:rPr>
          <w:rFonts w:cs="Arial"/>
          <w:szCs w:val="20"/>
          <w:lang w:val="sl-SI"/>
        </w:rPr>
        <w:t xml:space="preserve"> tako</w:t>
      </w:r>
      <w:r w:rsidRPr="00885BD1">
        <w:rPr>
          <w:rFonts w:cs="Arial"/>
          <w:szCs w:val="20"/>
          <w:lang w:val="sl-SI"/>
        </w:rPr>
        <w:t xml:space="preserve"> iz EU sredstev </w:t>
      </w:r>
      <w:r w:rsidR="00C1187F">
        <w:rPr>
          <w:rFonts w:cs="Arial"/>
          <w:szCs w:val="20"/>
          <w:lang w:val="sl-SI"/>
        </w:rPr>
        <w:t>kot</w:t>
      </w:r>
      <w:r w:rsidRPr="00885BD1">
        <w:rPr>
          <w:rFonts w:cs="Arial"/>
          <w:szCs w:val="20"/>
          <w:lang w:val="sl-SI"/>
        </w:rPr>
        <w:t xml:space="preserve"> tudi iz državnega proračuna. S pomočjo EU sredstev bo</w:t>
      </w:r>
      <w:r w:rsidR="00C1187F">
        <w:rPr>
          <w:rFonts w:cs="Arial"/>
          <w:szCs w:val="20"/>
          <w:lang w:val="sl-SI"/>
        </w:rPr>
        <w:t>do</w:t>
      </w:r>
      <w:r w:rsidRPr="00885BD1">
        <w:rPr>
          <w:rFonts w:cs="Arial"/>
          <w:szCs w:val="20"/>
          <w:lang w:val="sl-SI"/>
        </w:rPr>
        <w:t xml:space="preserve"> v okviru modernizacije socialne infrastrukture (ESRR) vzpostavljeni tudi trije skupnostni centri za osebe z demenco.</w:t>
      </w:r>
    </w:p>
    <w:p w14:paraId="48A837DA" w14:textId="77777777" w:rsidR="00EC70B0" w:rsidRPr="00885BD1" w:rsidRDefault="00EC70B0" w:rsidP="00EC70B0">
      <w:pPr>
        <w:jc w:val="both"/>
        <w:rPr>
          <w:rFonts w:cs="Arial"/>
          <w:szCs w:val="20"/>
          <w:lang w:val="sl-SI"/>
        </w:rPr>
      </w:pPr>
    </w:p>
    <w:p w14:paraId="02F7AC66" w14:textId="22BC90EE" w:rsidR="00EC70B0" w:rsidRPr="00885BD1" w:rsidRDefault="00EC70B0" w:rsidP="00EC70B0">
      <w:pPr>
        <w:jc w:val="both"/>
        <w:rPr>
          <w:rFonts w:cs="Arial"/>
          <w:szCs w:val="20"/>
          <w:lang w:val="sl-SI"/>
        </w:rPr>
      </w:pPr>
      <w:r w:rsidRPr="00885BD1">
        <w:rPr>
          <w:rFonts w:cs="Arial"/>
          <w:szCs w:val="20"/>
          <w:lang w:val="sl-SI"/>
        </w:rPr>
        <w:t xml:space="preserve">Na področju institucionalnega varstva starejših je potrebno povečati število postelj in prilagojenih enot za osebe z demenco ter zagotoviti prostorsko in kadrovsko prilagoditve za izvajanje sodobnih konceptom dela s to ciljno skupino. Izvajalci institucionalnega varstva bodo svojo dejavnost širili tudi v ponudbo skupnostnih oblik storitev (dnevni centri, začasne namestitve, manjše bivalne enote), prilagojenih osebam z demenco. V večji meri je potrebno dati poudarek tudi zagotavljanju paliativne oskrbe. Dopolniti je treba usmeritve za delo z osebami z demenco </w:t>
      </w:r>
      <w:r w:rsidRPr="009F7B6C">
        <w:rPr>
          <w:rFonts w:cs="Arial"/>
          <w:szCs w:val="20"/>
          <w:lang w:val="sl-SI"/>
        </w:rPr>
        <w:t>za oskrbo mlajših oseb z demenco</w:t>
      </w:r>
      <w:r w:rsidR="00DD15AA" w:rsidRPr="009F7B6C">
        <w:rPr>
          <w:rFonts w:cs="Arial"/>
          <w:szCs w:val="20"/>
          <w:lang w:val="sl-SI"/>
        </w:rPr>
        <w:t xml:space="preserve"> (posebn</w:t>
      </w:r>
      <w:r w:rsidR="00BD7730">
        <w:rPr>
          <w:rFonts w:cs="Arial"/>
          <w:szCs w:val="20"/>
          <w:lang w:val="sl-SI"/>
        </w:rPr>
        <w:t>e</w:t>
      </w:r>
      <w:r w:rsidR="00DD15AA" w:rsidRPr="009F7B6C">
        <w:rPr>
          <w:rFonts w:cs="Arial"/>
          <w:szCs w:val="20"/>
          <w:lang w:val="sl-SI"/>
        </w:rPr>
        <w:t xml:space="preserve"> </w:t>
      </w:r>
      <w:r w:rsidR="00BF27B7">
        <w:rPr>
          <w:rFonts w:cs="Arial"/>
          <w:szCs w:val="20"/>
          <w:lang w:val="sl-SI"/>
        </w:rPr>
        <w:t>enote</w:t>
      </w:r>
      <w:r w:rsidR="00DD15AA" w:rsidRPr="009F7B6C">
        <w:rPr>
          <w:rFonts w:cs="Arial"/>
          <w:szCs w:val="20"/>
          <w:lang w:val="sl-SI"/>
        </w:rPr>
        <w:t>)</w:t>
      </w:r>
      <w:r w:rsidRPr="009F7B6C">
        <w:rPr>
          <w:rFonts w:cs="Arial"/>
          <w:szCs w:val="20"/>
          <w:lang w:val="sl-SI"/>
        </w:rPr>
        <w:t xml:space="preserve"> in z usmeritvami za oskrbo v pogojih okužb.</w:t>
      </w:r>
    </w:p>
    <w:p w14:paraId="10ED7EFE" w14:textId="77777777" w:rsidR="006C2D1F" w:rsidRPr="00885BD1" w:rsidRDefault="006C2D1F" w:rsidP="006C2D1F">
      <w:pPr>
        <w:jc w:val="both"/>
        <w:rPr>
          <w:rFonts w:cs="Arial"/>
          <w:szCs w:val="20"/>
          <w:lang w:val="sl-SI"/>
        </w:rPr>
      </w:pPr>
    </w:p>
    <w:p w14:paraId="050DDF12" w14:textId="77777777" w:rsidR="006C2D1F" w:rsidRPr="00885BD1" w:rsidRDefault="006C2D1F" w:rsidP="006C2D1F">
      <w:pPr>
        <w:jc w:val="both"/>
        <w:rPr>
          <w:rFonts w:cs="Arial"/>
          <w:b/>
          <w:bCs/>
          <w:szCs w:val="20"/>
          <w:lang w:val="sl-SI"/>
        </w:rPr>
      </w:pPr>
      <w:r w:rsidRPr="00885BD1">
        <w:rPr>
          <w:rFonts w:cs="Arial"/>
          <w:b/>
          <w:bCs/>
          <w:szCs w:val="20"/>
          <w:lang w:val="sl-SI"/>
        </w:rPr>
        <w:t>Institucionalno varstvo odraslih (VDC/CUDV)</w:t>
      </w:r>
    </w:p>
    <w:p w14:paraId="0033730F" w14:textId="77777777" w:rsidR="006C2D1F" w:rsidRPr="00885BD1" w:rsidRDefault="006C2D1F" w:rsidP="006C2D1F">
      <w:pPr>
        <w:jc w:val="both"/>
        <w:rPr>
          <w:rFonts w:cs="Arial"/>
          <w:szCs w:val="20"/>
          <w:lang w:val="sl-SI"/>
        </w:rPr>
      </w:pPr>
    </w:p>
    <w:p w14:paraId="56C3B4D6" w14:textId="42781FD5" w:rsidR="00FF3096" w:rsidRPr="00885BD1" w:rsidRDefault="007F3201" w:rsidP="00FF3096">
      <w:pPr>
        <w:jc w:val="both"/>
        <w:rPr>
          <w:rFonts w:cs="Arial"/>
          <w:szCs w:val="20"/>
          <w:lang w:val="sl-SI"/>
        </w:rPr>
      </w:pPr>
      <w:r w:rsidRPr="007F3201">
        <w:rPr>
          <w:rFonts w:cs="Arial"/>
          <w:szCs w:val="20"/>
          <w:lang w:val="sl-SI"/>
        </w:rPr>
        <w:t>V varstveno delovne centre in centre za usposabljanje, delo in varstvo (VDC/CUDV) je vključenih 5.321 odraslih uporabnikov, med katerimi je po naši oceni do 10% oseb z demenco. Zato je potrebna prilagoditev programov  obravnave in storitev, ki so namenjene osebam z motnjo v duševnem in telesnem razvoju tudi osebam z demenco ter okrepiti izobraževanje in usposabljanje zaposlenih ter svetovanje in podporo staršem/zakonitim zastopnikom/skrbnikom oseb z motnjami v duševnem in telesnem razvoju z demenco.</w:t>
      </w:r>
    </w:p>
    <w:p w14:paraId="3CE616F3" w14:textId="77777777" w:rsidR="002C2EEC" w:rsidRPr="00885BD1" w:rsidRDefault="002C2EEC" w:rsidP="00E546B0">
      <w:pPr>
        <w:pStyle w:val="Naslov1"/>
      </w:pPr>
      <w:bookmarkStart w:id="46" w:name="_Toc117692298"/>
      <w:r w:rsidRPr="00885BD1">
        <w:t>3.2.2.2 Dnevno varstvo in začasne namestitve</w:t>
      </w:r>
      <w:bookmarkEnd w:id="46"/>
    </w:p>
    <w:p w14:paraId="620B3F7E" w14:textId="77777777" w:rsidR="002C2EEC" w:rsidRPr="00885BD1" w:rsidRDefault="002C2EEC" w:rsidP="002C2EEC">
      <w:pPr>
        <w:jc w:val="both"/>
        <w:rPr>
          <w:rFonts w:cs="Arial"/>
          <w:szCs w:val="20"/>
          <w:lang w:val="sl-SI"/>
        </w:rPr>
      </w:pPr>
    </w:p>
    <w:p w14:paraId="738EFB5D" w14:textId="6691BA9C" w:rsidR="006C2D1F" w:rsidRPr="00885BD1" w:rsidRDefault="006C2D1F" w:rsidP="006C2D1F">
      <w:pPr>
        <w:jc w:val="both"/>
        <w:rPr>
          <w:rFonts w:cs="Arial"/>
          <w:szCs w:val="20"/>
          <w:lang w:val="sl-SI"/>
        </w:rPr>
      </w:pPr>
      <w:r w:rsidRPr="00885BD1">
        <w:rPr>
          <w:rFonts w:cs="Arial"/>
          <w:szCs w:val="20"/>
          <w:lang w:val="sl-SI"/>
        </w:rPr>
        <w:t>Dnevna oblika varstva je namenjena osebam, ki še ne potrebujejo celodnevnega varstva, temveč potrebujejo organizirano obliko bivanja le za določeno število ur na dan. V letu 2021 so izvajalci institucionalnega varstva zagotavljali 607 mest za dnevno varstvo starejših. Povpraševanje po tej storitvi narašča zlasti v urbanih središčih</w:t>
      </w:r>
      <w:r w:rsidR="0003565F" w:rsidRPr="00885BD1">
        <w:rPr>
          <w:rFonts w:cs="Arial"/>
          <w:szCs w:val="20"/>
          <w:lang w:val="sl-SI"/>
        </w:rPr>
        <w:t xml:space="preserve">. Storitev je pogosto </w:t>
      </w:r>
      <w:r w:rsidR="00210234">
        <w:rPr>
          <w:rFonts w:cs="Arial"/>
          <w:szCs w:val="20"/>
          <w:lang w:val="sl-SI"/>
        </w:rPr>
        <w:t>povezana</w:t>
      </w:r>
      <w:r w:rsidR="00210234" w:rsidRPr="00885BD1">
        <w:rPr>
          <w:rFonts w:cs="Arial"/>
          <w:szCs w:val="20"/>
          <w:lang w:val="sl-SI"/>
        </w:rPr>
        <w:t xml:space="preserve"> </w:t>
      </w:r>
      <w:r w:rsidR="0003565F" w:rsidRPr="00885BD1">
        <w:rPr>
          <w:rFonts w:cs="Arial"/>
          <w:szCs w:val="20"/>
          <w:lang w:val="sl-SI"/>
        </w:rPr>
        <w:t>z</w:t>
      </w:r>
      <w:r w:rsidRPr="00885BD1">
        <w:rPr>
          <w:rFonts w:cs="Arial"/>
          <w:szCs w:val="20"/>
          <w:lang w:val="sl-SI"/>
        </w:rPr>
        <w:t xml:space="preserve"> organiziran</w:t>
      </w:r>
      <w:r w:rsidR="0003565F" w:rsidRPr="00885BD1">
        <w:rPr>
          <w:rFonts w:cs="Arial"/>
          <w:szCs w:val="20"/>
          <w:lang w:val="sl-SI"/>
        </w:rPr>
        <w:t>im</w:t>
      </w:r>
      <w:r w:rsidRPr="00885BD1">
        <w:rPr>
          <w:rFonts w:cs="Arial"/>
          <w:szCs w:val="20"/>
          <w:lang w:val="sl-SI"/>
        </w:rPr>
        <w:t xml:space="preserve"> prevoz</w:t>
      </w:r>
      <w:r w:rsidR="0003565F" w:rsidRPr="00885BD1">
        <w:rPr>
          <w:rFonts w:cs="Arial"/>
          <w:szCs w:val="20"/>
          <w:lang w:val="sl-SI"/>
        </w:rPr>
        <w:t>om</w:t>
      </w:r>
      <w:r w:rsidRPr="00885BD1">
        <w:rPr>
          <w:rFonts w:cs="Arial"/>
          <w:szCs w:val="20"/>
          <w:lang w:val="sl-SI"/>
        </w:rPr>
        <w:t>.</w:t>
      </w:r>
    </w:p>
    <w:p w14:paraId="318007B5" w14:textId="77777777" w:rsidR="00F80F29" w:rsidRDefault="00F80F29" w:rsidP="006C2D1F">
      <w:pPr>
        <w:jc w:val="both"/>
        <w:rPr>
          <w:rFonts w:cs="Arial"/>
          <w:szCs w:val="20"/>
          <w:lang w:val="sl-SI"/>
        </w:rPr>
      </w:pPr>
    </w:p>
    <w:p w14:paraId="4F4E06C9" w14:textId="14AC4FDA" w:rsidR="006C2D1F" w:rsidRPr="00885BD1" w:rsidRDefault="006C2D1F" w:rsidP="006C2D1F">
      <w:pPr>
        <w:jc w:val="both"/>
        <w:rPr>
          <w:rFonts w:cs="Arial"/>
          <w:szCs w:val="20"/>
          <w:lang w:val="sl-SI"/>
        </w:rPr>
      </w:pPr>
      <w:r w:rsidRPr="00885BD1">
        <w:rPr>
          <w:rFonts w:cs="Arial"/>
          <w:szCs w:val="20"/>
          <w:lang w:val="sl-SI"/>
        </w:rPr>
        <w:t>Cilj ReNPSV</w:t>
      </w:r>
      <w:r w:rsidR="0003565F" w:rsidRPr="00885BD1">
        <w:rPr>
          <w:rFonts w:cs="Arial"/>
          <w:szCs w:val="20"/>
          <w:lang w:val="sl-SI"/>
        </w:rPr>
        <w:t xml:space="preserve"> </w:t>
      </w:r>
      <w:r w:rsidRPr="00885BD1">
        <w:rPr>
          <w:rFonts w:cs="Arial"/>
          <w:szCs w:val="20"/>
          <w:lang w:val="sl-SI"/>
        </w:rPr>
        <w:t>22</w:t>
      </w:r>
      <w:r w:rsidR="0003565F" w:rsidRPr="00885BD1">
        <w:rPr>
          <w:rFonts w:cs="Arial"/>
          <w:szCs w:val="20"/>
          <w:lang w:val="sl-SI"/>
        </w:rPr>
        <w:t xml:space="preserve"> </w:t>
      </w:r>
      <w:r w:rsidRPr="00885BD1">
        <w:rPr>
          <w:rFonts w:cs="Arial"/>
          <w:szCs w:val="20"/>
          <w:lang w:val="sl-SI"/>
        </w:rPr>
        <w:t>-</w:t>
      </w:r>
      <w:r w:rsidR="0003565F" w:rsidRPr="00885BD1">
        <w:rPr>
          <w:rFonts w:cs="Arial"/>
          <w:szCs w:val="20"/>
          <w:lang w:val="sl-SI"/>
        </w:rPr>
        <w:t xml:space="preserve"> </w:t>
      </w:r>
      <w:r w:rsidRPr="00885BD1">
        <w:rPr>
          <w:rFonts w:cs="Arial"/>
          <w:szCs w:val="20"/>
          <w:lang w:val="sl-SI"/>
        </w:rPr>
        <w:t>30 je zagotoviti okvirno 1.300 mest v dnevnem varstvu starejših. V okviru teh mest bodo prilagojene tudi oblike dnevnega varstva za osebe z demenco</w:t>
      </w:r>
      <w:r w:rsidR="009F7B6C">
        <w:rPr>
          <w:rFonts w:cs="Arial"/>
          <w:szCs w:val="20"/>
          <w:lang w:val="sl-SI"/>
        </w:rPr>
        <w:t>,</w:t>
      </w:r>
      <w:r w:rsidRPr="00885BD1">
        <w:rPr>
          <w:rFonts w:cs="Arial"/>
          <w:szCs w:val="20"/>
          <w:lang w:val="sl-SI"/>
        </w:rPr>
        <w:t xml:space="preserve"> </w:t>
      </w:r>
      <w:r w:rsidRPr="009F7B6C">
        <w:rPr>
          <w:rFonts w:cs="Arial"/>
          <w:szCs w:val="20"/>
          <w:lang w:val="sl-SI"/>
        </w:rPr>
        <w:t xml:space="preserve">storitev bo na voljo </w:t>
      </w:r>
      <w:r w:rsidR="00DD15AA" w:rsidRPr="009F7B6C">
        <w:rPr>
          <w:rFonts w:cs="Arial"/>
          <w:szCs w:val="20"/>
          <w:lang w:val="sl-SI"/>
        </w:rPr>
        <w:t xml:space="preserve">v vseh slovenskih regijah </w:t>
      </w:r>
      <w:r w:rsidRPr="009F7B6C">
        <w:rPr>
          <w:rFonts w:cs="Arial"/>
          <w:szCs w:val="20"/>
          <w:lang w:val="sl-SI"/>
        </w:rPr>
        <w:t>vse dni v tednu</w:t>
      </w:r>
      <w:r w:rsidRPr="00885BD1">
        <w:rPr>
          <w:rFonts w:cs="Arial"/>
          <w:szCs w:val="20"/>
          <w:lang w:val="sl-SI"/>
        </w:rPr>
        <w:t>, zagotovljen bo tudi prevoz uporabnikov.</w:t>
      </w:r>
    </w:p>
    <w:p w14:paraId="7F672B5A" w14:textId="77777777" w:rsidR="006C2D1F" w:rsidRPr="00885BD1" w:rsidRDefault="006C2D1F" w:rsidP="006C2D1F">
      <w:pPr>
        <w:jc w:val="both"/>
        <w:rPr>
          <w:rFonts w:cs="Arial"/>
          <w:szCs w:val="20"/>
          <w:lang w:val="sl-SI"/>
        </w:rPr>
      </w:pPr>
    </w:p>
    <w:p w14:paraId="33F70FD6" w14:textId="77777777" w:rsidR="006C2D1F" w:rsidRPr="00885BD1" w:rsidRDefault="006C2D1F" w:rsidP="006C2D1F">
      <w:pPr>
        <w:jc w:val="both"/>
        <w:rPr>
          <w:rFonts w:cs="Arial"/>
          <w:szCs w:val="20"/>
          <w:lang w:val="sl-SI"/>
        </w:rPr>
      </w:pPr>
      <w:r w:rsidRPr="00885BD1">
        <w:rPr>
          <w:rFonts w:cs="Arial"/>
          <w:szCs w:val="20"/>
          <w:lang w:val="sl-SI"/>
        </w:rPr>
        <w:t xml:space="preserve">Vedno večje povpraševanje je tudi po kratkotrajnih (začasnih) namestitvah. Za osebe z demenco in njihove svojce je ta storitev zelo pomembna, zato jo bo potrebno v naslednjem obdobju bistveno okrepiti. </w:t>
      </w:r>
    </w:p>
    <w:p w14:paraId="54027C19" w14:textId="7415BE14" w:rsidR="007E796A" w:rsidRPr="00885BD1" w:rsidRDefault="007E796A" w:rsidP="00E546B0">
      <w:pPr>
        <w:pStyle w:val="Naslov1"/>
      </w:pPr>
      <w:bookmarkStart w:id="47" w:name="_Toc117692299"/>
      <w:r w:rsidRPr="00885BD1">
        <w:t>3.2.2.3 Pomoč na domu</w:t>
      </w:r>
      <w:bookmarkEnd w:id="47"/>
    </w:p>
    <w:p w14:paraId="43EFE32A" w14:textId="6CB96599" w:rsidR="002C2EEC" w:rsidRPr="00885BD1" w:rsidRDefault="002C2EEC" w:rsidP="002C2EEC">
      <w:pPr>
        <w:jc w:val="both"/>
        <w:rPr>
          <w:rFonts w:cs="Arial"/>
          <w:szCs w:val="20"/>
          <w:lang w:val="sl-SI"/>
        </w:rPr>
      </w:pPr>
    </w:p>
    <w:p w14:paraId="610F1ECD" w14:textId="0D383E2C" w:rsidR="006C2D1F" w:rsidRPr="0019315F" w:rsidRDefault="006C2D1F" w:rsidP="006C2D1F">
      <w:pPr>
        <w:jc w:val="both"/>
        <w:rPr>
          <w:rFonts w:cs="Arial"/>
          <w:szCs w:val="20"/>
          <w:lang w:val="sl-SI"/>
        </w:rPr>
      </w:pPr>
      <w:r w:rsidRPr="0019315F">
        <w:rPr>
          <w:rFonts w:cs="Arial"/>
          <w:szCs w:val="20"/>
          <w:lang w:val="sl-SI"/>
        </w:rPr>
        <w:t>V letu 2020 koristi pomoč na domu okrog 8.207 uporabnikov, njihovo število pa narašča. Zlasti se je povečal delež uporabnikov nad 80 let (konec leta 2022 je znašal 66,6% delež vključenih v to storitev). 62,3% uporabnikov je prejemalo manj kot 3,5 ure pomoči tedensko. Od vseh občin (ki po zakonu zagotavljajo to storitev) jih je v letu 2020 zgolj 27 preseglo prag 3% vključitve starejših od 65 let (cilj ReNPSV 2013</w:t>
      </w:r>
      <w:r w:rsidR="00897921" w:rsidRPr="0019315F">
        <w:rPr>
          <w:rFonts w:cs="Arial"/>
          <w:szCs w:val="20"/>
          <w:lang w:val="sl-SI"/>
        </w:rPr>
        <w:t xml:space="preserve"> </w:t>
      </w:r>
      <w:r w:rsidRPr="0019315F">
        <w:rPr>
          <w:rFonts w:cs="Arial"/>
          <w:szCs w:val="20"/>
          <w:lang w:val="sl-SI"/>
        </w:rPr>
        <w:t>-</w:t>
      </w:r>
      <w:r w:rsidR="00897921" w:rsidRPr="0019315F">
        <w:rPr>
          <w:rFonts w:cs="Arial"/>
          <w:szCs w:val="20"/>
          <w:lang w:val="sl-SI"/>
        </w:rPr>
        <w:t xml:space="preserve"> </w:t>
      </w:r>
      <w:r w:rsidRPr="0019315F">
        <w:rPr>
          <w:rFonts w:cs="Arial"/>
          <w:szCs w:val="20"/>
          <w:lang w:val="sl-SI"/>
        </w:rPr>
        <w:t xml:space="preserve">20). </w:t>
      </w:r>
    </w:p>
    <w:p w14:paraId="41B5D548" w14:textId="77C406F1" w:rsidR="00DD0AB4" w:rsidRPr="0019315F" w:rsidRDefault="00DD0AB4" w:rsidP="006C2D1F">
      <w:pPr>
        <w:jc w:val="both"/>
        <w:rPr>
          <w:rFonts w:cs="Arial"/>
          <w:szCs w:val="20"/>
          <w:lang w:val="sl-SI"/>
        </w:rPr>
      </w:pPr>
    </w:p>
    <w:p w14:paraId="364B38F2" w14:textId="4BD19DA2" w:rsidR="00DD0AB4" w:rsidRPr="00DD0AB4" w:rsidRDefault="00DD0AB4" w:rsidP="006C2D1F">
      <w:pPr>
        <w:jc w:val="both"/>
        <w:rPr>
          <w:rFonts w:cs="Arial"/>
          <w:szCs w:val="20"/>
          <w:highlight w:val="cyan"/>
          <w:lang w:val="sl-SI"/>
        </w:rPr>
      </w:pPr>
      <w:r w:rsidRPr="00DD0AB4">
        <w:rPr>
          <w:rFonts w:cs="Arial"/>
          <w:szCs w:val="20"/>
          <w:lang w:val="sl-SI"/>
        </w:rPr>
        <w:lastRenderedPageBreak/>
        <w:t>Pomoč na domu je osnovna podporna storitev osebam z demenco in njihovim družinam, ki živijo v domačem okolju. Storitev je potrebno narediti dostopnejšo, s povečanjem števila mest ter vsebinsko nadgradnjo in prilagoditvijo storitve osebam z demenco. Poleg tega je potrebno,  zagotoviti bolj poenoteno ceno storitve ter boljšo časovno dostopnost storitve (dostopna vse dni v tednu ) ter večjo možnost uporabe IKT storitev za osebe z demenco.</w:t>
      </w:r>
    </w:p>
    <w:p w14:paraId="34BF62A7" w14:textId="77777777" w:rsidR="006C2D1F" w:rsidRPr="00885BD1" w:rsidRDefault="006C2D1F" w:rsidP="006C2D1F">
      <w:pPr>
        <w:jc w:val="both"/>
        <w:rPr>
          <w:rFonts w:cs="Arial"/>
          <w:szCs w:val="20"/>
          <w:lang w:val="sl-SI"/>
        </w:rPr>
      </w:pPr>
    </w:p>
    <w:p w14:paraId="18D0B92A" w14:textId="77777777" w:rsidR="002C2EEC" w:rsidRPr="00885BD1" w:rsidRDefault="002C2EEC" w:rsidP="002C2EEC">
      <w:pPr>
        <w:jc w:val="both"/>
        <w:rPr>
          <w:rFonts w:cs="Arial"/>
          <w:b/>
          <w:bCs/>
          <w:szCs w:val="20"/>
          <w:lang w:val="sl-SI"/>
        </w:rPr>
      </w:pPr>
      <w:r w:rsidRPr="00885BD1">
        <w:rPr>
          <w:rFonts w:cs="Arial"/>
          <w:b/>
          <w:bCs/>
          <w:szCs w:val="20"/>
          <w:lang w:val="sl-SI"/>
        </w:rPr>
        <w:t>Programi socialnega varstva:</w:t>
      </w:r>
    </w:p>
    <w:p w14:paraId="1A5C4C9D" w14:textId="77777777" w:rsidR="002C2EEC" w:rsidRPr="00885BD1" w:rsidRDefault="002C2EEC" w:rsidP="002C2EEC">
      <w:pPr>
        <w:jc w:val="both"/>
        <w:rPr>
          <w:rFonts w:cs="Arial"/>
          <w:szCs w:val="20"/>
          <w:lang w:val="sl-SI"/>
        </w:rPr>
      </w:pPr>
    </w:p>
    <w:p w14:paraId="00739A21" w14:textId="440BD18A" w:rsidR="006C2D1F" w:rsidRPr="00885BD1" w:rsidRDefault="006C2D1F" w:rsidP="006C2D1F">
      <w:pPr>
        <w:jc w:val="both"/>
        <w:rPr>
          <w:rFonts w:cs="Arial"/>
          <w:szCs w:val="20"/>
          <w:lang w:val="sl-SI"/>
        </w:rPr>
      </w:pPr>
      <w:r w:rsidRPr="00885BD1">
        <w:rPr>
          <w:rFonts w:cs="Arial"/>
          <w:szCs w:val="20"/>
          <w:lang w:val="sl-SI"/>
        </w:rPr>
        <w:t xml:space="preserve">Osebe z demenco potrebujejo tudi druge oblike pomoči, ki jih danes že uspešno izvajajo programi socialnega varstva (psihološka podpora, zagovorništvo, informacijske pisarne, izobraževanje, svetovanje, ponudba prostovoljcev, samopomočne skupine; aktivnosti za tiste, ki še živijo doma </w:t>
      </w:r>
      <w:r w:rsidRPr="009776E7">
        <w:rPr>
          <w:rFonts w:cs="Arial"/>
          <w:szCs w:val="20"/>
          <w:lang w:val="sl-SI"/>
        </w:rPr>
        <w:t>(</w:t>
      </w:r>
      <w:r w:rsidR="000A00B7" w:rsidRPr="009776E7">
        <w:rPr>
          <w:rFonts w:cs="Arial"/>
          <w:szCs w:val="20"/>
          <w:lang w:val="sl-SI"/>
        </w:rPr>
        <w:t xml:space="preserve">strukturiranje dnevnih aktivnosti, </w:t>
      </w:r>
      <w:r w:rsidRPr="009776E7">
        <w:rPr>
          <w:rFonts w:cs="Arial"/>
          <w:szCs w:val="20"/>
          <w:lang w:val="sl-SI"/>
        </w:rPr>
        <w:t xml:space="preserve">vaje za krepitev spomina, ohranjanje </w:t>
      </w:r>
      <w:r w:rsidR="000A00B7" w:rsidRPr="009776E7">
        <w:rPr>
          <w:rFonts w:cs="Arial"/>
          <w:szCs w:val="20"/>
          <w:lang w:val="sl-SI"/>
        </w:rPr>
        <w:t xml:space="preserve">socialnih veščin </w:t>
      </w:r>
      <w:r w:rsidRPr="009776E7">
        <w:rPr>
          <w:rFonts w:cs="Arial"/>
          <w:szCs w:val="20"/>
          <w:lang w:val="sl-SI"/>
        </w:rPr>
        <w:t>in gibalnih sposobnosti</w:t>
      </w:r>
      <w:r w:rsidR="00DD0AB4">
        <w:rPr>
          <w:rFonts w:cs="Arial"/>
          <w:szCs w:val="20"/>
          <w:lang w:val="sl-SI"/>
        </w:rPr>
        <w:t xml:space="preserve"> in drugo</w:t>
      </w:r>
      <w:r w:rsidR="009776E7" w:rsidRPr="009776E7">
        <w:rPr>
          <w:rFonts w:cs="Arial"/>
          <w:szCs w:val="20"/>
          <w:lang w:val="sl-SI"/>
        </w:rPr>
        <w:t>)</w:t>
      </w:r>
      <w:r w:rsidRPr="009776E7">
        <w:rPr>
          <w:rFonts w:cs="Arial"/>
          <w:szCs w:val="20"/>
          <w:lang w:val="sl-SI"/>
        </w:rPr>
        <w:t>.</w:t>
      </w:r>
      <w:r w:rsidR="00DD0AB4">
        <w:rPr>
          <w:rFonts w:cs="Arial"/>
          <w:szCs w:val="20"/>
          <w:lang w:val="sl-SI"/>
        </w:rPr>
        <w:t xml:space="preserve"> </w:t>
      </w:r>
      <w:r w:rsidR="00C33B4C" w:rsidRPr="00885BD1">
        <w:rPr>
          <w:rFonts w:cs="Arial"/>
          <w:szCs w:val="20"/>
          <w:lang w:val="sl-SI"/>
        </w:rPr>
        <w:t xml:space="preserve">Cilj </w:t>
      </w:r>
      <w:r w:rsidRPr="00885BD1">
        <w:rPr>
          <w:rFonts w:cs="Arial"/>
          <w:szCs w:val="20"/>
          <w:lang w:val="sl-SI"/>
        </w:rPr>
        <w:t>ReNPSV</w:t>
      </w:r>
      <w:r w:rsidR="00897921" w:rsidRPr="00885BD1">
        <w:rPr>
          <w:rFonts w:cs="Arial"/>
          <w:szCs w:val="20"/>
          <w:lang w:val="sl-SI"/>
        </w:rPr>
        <w:t xml:space="preserve"> </w:t>
      </w:r>
      <w:r w:rsidRPr="00885BD1">
        <w:rPr>
          <w:rFonts w:cs="Arial"/>
          <w:szCs w:val="20"/>
          <w:lang w:val="sl-SI"/>
        </w:rPr>
        <w:t>22</w:t>
      </w:r>
      <w:r w:rsidR="00897921" w:rsidRPr="00885BD1">
        <w:rPr>
          <w:rFonts w:cs="Arial"/>
          <w:szCs w:val="20"/>
          <w:lang w:val="sl-SI"/>
        </w:rPr>
        <w:t xml:space="preserve"> </w:t>
      </w:r>
      <w:r w:rsidRPr="00885BD1">
        <w:rPr>
          <w:rFonts w:cs="Arial"/>
          <w:szCs w:val="20"/>
          <w:lang w:val="sl-SI"/>
        </w:rPr>
        <w:t>-</w:t>
      </w:r>
      <w:r w:rsidR="00897921" w:rsidRPr="00885BD1">
        <w:rPr>
          <w:rFonts w:cs="Arial"/>
          <w:szCs w:val="20"/>
          <w:lang w:val="sl-SI"/>
        </w:rPr>
        <w:t xml:space="preserve"> </w:t>
      </w:r>
      <w:r w:rsidRPr="00885BD1">
        <w:rPr>
          <w:rFonts w:cs="Arial"/>
          <w:szCs w:val="20"/>
          <w:lang w:val="sl-SI"/>
        </w:rPr>
        <w:t xml:space="preserve">30 je </w:t>
      </w:r>
      <w:r w:rsidRPr="00885BD1">
        <w:rPr>
          <w:lang w:val="sl-SI"/>
        </w:rPr>
        <w:t>krepitev mreže socialno varstvenih programov na področju dela s starejšimi in z osebami z demenco.</w:t>
      </w:r>
    </w:p>
    <w:p w14:paraId="238AB600" w14:textId="77777777" w:rsidR="006C2D1F" w:rsidRPr="00885BD1" w:rsidRDefault="006C2D1F" w:rsidP="006C2D1F">
      <w:pPr>
        <w:jc w:val="both"/>
        <w:rPr>
          <w:rFonts w:cs="Arial"/>
          <w:szCs w:val="20"/>
          <w:lang w:val="sl-SI"/>
        </w:rPr>
      </w:pPr>
    </w:p>
    <w:p w14:paraId="1B74D35A" w14:textId="77777777" w:rsidR="006C2D1F" w:rsidRPr="00885BD1" w:rsidRDefault="006C2D1F" w:rsidP="006C2D1F">
      <w:pPr>
        <w:jc w:val="both"/>
        <w:rPr>
          <w:rFonts w:cs="Arial"/>
          <w:b/>
          <w:bCs/>
          <w:szCs w:val="20"/>
          <w:lang w:val="sl-SI"/>
        </w:rPr>
      </w:pPr>
      <w:r w:rsidRPr="00885BD1">
        <w:rPr>
          <w:rFonts w:cs="Arial"/>
          <w:b/>
          <w:bCs/>
          <w:szCs w:val="20"/>
          <w:lang w:val="sl-SI"/>
        </w:rPr>
        <w:t>Centri za socialno delo:</w:t>
      </w:r>
    </w:p>
    <w:p w14:paraId="6BDCE3C2" w14:textId="77777777" w:rsidR="006C2D1F" w:rsidRPr="00885BD1" w:rsidRDefault="006C2D1F" w:rsidP="006C2D1F">
      <w:pPr>
        <w:jc w:val="both"/>
        <w:rPr>
          <w:rFonts w:cs="Arial"/>
          <w:szCs w:val="20"/>
          <w:lang w:val="sl-SI"/>
        </w:rPr>
      </w:pPr>
    </w:p>
    <w:p w14:paraId="3F68D0DE" w14:textId="6532396D" w:rsidR="006E7EE5" w:rsidRPr="00885BD1" w:rsidRDefault="006C2D1F" w:rsidP="006E7EE5">
      <w:pPr>
        <w:jc w:val="both"/>
        <w:rPr>
          <w:rFonts w:cs="Arial"/>
          <w:szCs w:val="20"/>
          <w:lang w:val="sl-SI"/>
        </w:rPr>
      </w:pPr>
      <w:r w:rsidRPr="00885BD1">
        <w:rPr>
          <w:rFonts w:cs="Arial"/>
          <w:szCs w:val="20"/>
          <w:lang w:val="sl-SI"/>
        </w:rPr>
        <w:t>Centri za socialno delo imajo pomembne naloge v zvezi s svetovanjem in pomočjo osebam z demenco, njihovim svojcem ali skrbnikom. Število aktivnosti, ki so povezane z oblikami pomoči za osebe z demenco (svetovanje, oprostitve, odvzem poslovne sposobnosti, določitev skrbnika za posebni primer, iskanje nujnih namestitev in drugo), se je v zadnjih letih bistveno povečalo.</w:t>
      </w:r>
      <w:r w:rsidR="006E7EE5" w:rsidRPr="00885BD1">
        <w:rPr>
          <w:rFonts w:cs="Arial"/>
          <w:szCs w:val="20"/>
          <w:lang w:val="sl-SI"/>
        </w:rPr>
        <w:t xml:space="preserve"> Zato je potrebno zagotoviti redna izobraževanja za zaposlene na CSD v zvezi s prepoznavanjem demence in komunikacijo z osebami z demenco ter zagotoviti ustrezno podporo strokovnim delavcem ob obravnavi uporabnikov z demenco.</w:t>
      </w:r>
    </w:p>
    <w:p w14:paraId="3321B53B" w14:textId="77777777" w:rsidR="006E7EE5" w:rsidRPr="00885BD1" w:rsidRDefault="006E7EE5" w:rsidP="006E7EE5">
      <w:pPr>
        <w:jc w:val="both"/>
        <w:rPr>
          <w:rFonts w:cs="Arial"/>
          <w:szCs w:val="20"/>
          <w:lang w:val="sl-SI"/>
        </w:rPr>
      </w:pPr>
    </w:p>
    <w:p w14:paraId="1D512198" w14:textId="77777777" w:rsidR="002C2EEC" w:rsidRPr="00885BD1" w:rsidRDefault="002C2EEC" w:rsidP="00E546B0">
      <w:pPr>
        <w:pStyle w:val="Naslov1"/>
      </w:pPr>
      <w:bookmarkStart w:id="48" w:name="_Toc117692300"/>
      <w:r w:rsidRPr="00885BD1">
        <w:t>3.2.3 Storitve in programi v skupnosti</w:t>
      </w:r>
      <w:bookmarkEnd w:id="48"/>
    </w:p>
    <w:p w14:paraId="4C827DB0" w14:textId="77777777" w:rsidR="002C2EEC" w:rsidRPr="00885BD1" w:rsidRDefault="002C2EEC" w:rsidP="002C2EEC">
      <w:pPr>
        <w:jc w:val="both"/>
        <w:rPr>
          <w:rFonts w:cs="Arial"/>
          <w:szCs w:val="20"/>
          <w:lang w:val="sl-SI"/>
        </w:rPr>
      </w:pPr>
    </w:p>
    <w:p w14:paraId="41BA5C9F" w14:textId="4310B1BC" w:rsidR="002C2EEC" w:rsidRPr="00885BD1" w:rsidRDefault="002C2EEC" w:rsidP="002C2EEC">
      <w:pPr>
        <w:jc w:val="both"/>
        <w:rPr>
          <w:rFonts w:cs="Arial"/>
          <w:szCs w:val="20"/>
          <w:lang w:val="sl-SI"/>
        </w:rPr>
      </w:pPr>
      <w:r w:rsidRPr="00885BD1">
        <w:rPr>
          <w:rFonts w:cs="Arial"/>
          <w:szCs w:val="20"/>
          <w:lang w:val="sl-SI"/>
        </w:rPr>
        <w:t>Skupnostne oblike storitve podaljšujejo bivanje v domačem okolju in preprečujejo socialno izključenost</w:t>
      </w:r>
      <w:r w:rsidR="00105E45" w:rsidRPr="00885BD1">
        <w:rPr>
          <w:rStyle w:val="Sprotnaopomba-sklic"/>
          <w:rFonts w:cs="Arial"/>
          <w:szCs w:val="20"/>
          <w:lang w:val="sl-SI"/>
        </w:rPr>
        <w:footnoteReference w:id="31"/>
      </w:r>
      <w:r w:rsidRPr="00885BD1">
        <w:rPr>
          <w:rFonts w:cs="Arial"/>
          <w:szCs w:val="20"/>
          <w:lang w:val="sl-SI"/>
        </w:rPr>
        <w:t>.</w:t>
      </w:r>
      <w:r w:rsidR="00105E45" w:rsidRPr="00885BD1">
        <w:rPr>
          <w:rFonts w:cs="Arial"/>
          <w:szCs w:val="20"/>
          <w:lang w:val="sl-SI"/>
        </w:rPr>
        <w:t xml:space="preserve"> </w:t>
      </w:r>
      <w:r w:rsidRPr="00885BD1">
        <w:rPr>
          <w:rFonts w:cs="Arial"/>
          <w:szCs w:val="20"/>
          <w:lang w:val="sl-SI"/>
        </w:rPr>
        <w:t>Izvajalci skupnostnih storitev so skupnostne službe, ki izvajajo oskrbo v skupnosti  javne službe, zasebniki, zasebniki s koncesijo in nevladne organizacije. Ključno je medresorsko povezovanje vseh deležnikov v mrežo služb s področja zdravstvenega in socialnega varstva, tako da zagotavljajo optimalno interdisciplinarno in medresorsko obravnavo v skladu s potrebami posameznika in skupnosti. (ReNPSV22-30)</w:t>
      </w:r>
    </w:p>
    <w:p w14:paraId="25802956" w14:textId="77777777" w:rsidR="002C2EEC" w:rsidRPr="00885BD1" w:rsidRDefault="002C2EEC" w:rsidP="002C2EEC">
      <w:pPr>
        <w:jc w:val="both"/>
        <w:rPr>
          <w:rFonts w:cs="Arial"/>
          <w:szCs w:val="20"/>
          <w:lang w:val="sl-SI"/>
        </w:rPr>
      </w:pPr>
    </w:p>
    <w:p w14:paraId="40BE9F76" w14:textId="525F63B4" w:rsidR="002C2EEC" w:rsidRPr="009776E7" w:rsidRDefault="002C2EEC" w:rsidP="002C2EEC">
      <w:pPr>
        <w:jc w:val="both"/>
        <w:rPr>
          <w:rFonts w:cs="Arial"/>
          <w:szCs w:val="20"/>
          <w:lang w:val="sl-SI"/>
        </w:rPr>
      </w:pPr>
      <w:r w:rsidRPr="00885BD1">
        <w:rPr>
          <w:rFonts w:cs="Arial"/>
          <w:szCs w:val="20"/>
          <w:lang w:val="sl-SI"/>
        </w:rPr>
        <w:t xml:space="preserve">Med oblikami pomoči, ki jih najbolj pogrešajo osebe z demenco in njihovi svojci </w:t>
      </w:r>
      <w:r w:rsidR="00E81935" w:rsidRPr="00885BD1">
        <w:rPr>
          <w:rFonts w:cs="Arial"/>
          <w:szCs w:val="20"/>
          <w:lang w:val="sl-SI"/>
        </w:rPr>
        <w:t>je</w:t>
      </w:r>
      <w:r w:rsidRPr="00885BD1">
        <w:rPr>
          <w:rFonts w:cs="Arial"/>
          <w:szCs w:val="20"/>
          <w:lang w:val="sl-SI"/>
        </w:rPr>
        <w:t xml:space="preserve"> postdiagnostična podpora z individualnim timskim pristopom v kater</w:t>
      </w:r>
      <w:r w:rsidR="00E81935" w:rsidRPr="00885BD1">
        <w:rPr>
          <w:rFonts w:cs="Arial"/>
          <w:szCs w:val="20"/>
          <w:lang w:val="sl-SI"/>
        </w:rPr>
        <w:t>i</w:t>
      </w:r>
      <w:r w:rsidRPr="00885BD1">
        <w:rPr>
          <w:rFonts w:cs="Arial"/>
          <w:szCs w:val="20"/>
          <w:lang w:val="sl-SI"/>
        </w:rPr>
        <w:t xml:space="preserve"> sodelujejo zdravstveni delavci, psiholog, socialni delavec, delovni terapevt, svetovalec za pravne in finančne zadeve. </w:t>
      </w:r>
      <w:r w:rsidRPr="009776E7">
        <w:rPr>
          <w:rFonts w:cs="Arial"/>
          <w:szCs w:val="20"/>
          <w:lang w:val="sl-SI"/>
        </w:rPr>
        <w:t xml:space="preserve">Postdiagnostična podpora mora nuditi psihološko podporo, informiranje, izobraževanje, svetovanje, ponudba prostovoljcev, različnih skupin za samopomoč, skupin za osebe z demenco. Osebam z demenco, ki živijo doma je treba zagotoviti storitve za krepitev in ohranjanje </w:t>
      </w:r>
      <w:r w:rsidR="00906C5F" w:rsidRPr="009776E7">
        <w:rPr>
          <w:rFonts w:cs="Arial"/>
          <w:szCs w:val="20"/>
          <w:lang w:val="sl-SI"/>
        </w:rPr>
        <w:t>kognitivnih sposobnosti, samostojnosti in avtonomnosti ter ohranjanja vključenosti v skupnost in družbo</w:t>
      </w:r>
      <w:r w:rsidR="00261539">
        <w:rPr>
          <w:rFonts w:cs="Arial"/>
          <w:szCs w:val="20"/>
          <w:lang w:val="sl-SI"/>
        </w:rPr>
        <w:t>, kot jo opredeljuje ZDOsk</w:t>
      </w:r>
      <w:r w:rsidR="001B3CA1">
        <w:rPr>
          <w:rFonts w:cs="Arial"/>
          <w:szCs w:val="20"/>
          <w:lang w:val="sl-SI"/>
        </w:rPr>
        <w:t>.</w:t>
      </w:r>
      <w:r w:rsidRPr="009776E7">
        <w:rPr>
          <w:rFonts w:cs="Arial"/>
          <w:szCs w:val="20"/>
          <w:lang w:val="sl-SI"/>
        </w:rPr>
        <w:t xml:space="preserve"> </w:t>
      </w:r>
    </w:p>
    <w:p w14:paraId="6BF835D3" w14:textId="363622C6" w:rsidR="002C2EEC" w:rsidRPr="009776E7" w:rsidRDefault="002C2EEC" w:rsidP="002C2EEC">
      <w:pPr>
        <w:jc w:val="both"/>
        <w:rPr>
          <w:rFonts w:cs="Arial"/>
          <w:szCs w:val="20"/>
          <w:lang w:val="sl-SI"/>
        </w:rPr>
      </w:pPr>
    </w:p>
    <w:p w14:paraId="55E0E2C4" w14:textId="14728443" w:rsidR="00CB7422" w:rsidRDefault="00CB7422" w:rsidP="002C2EEC">
      <w:pPr>
        <w:jc w:val="both"/>
        <w:rPr>
          <w:rFonts w:cs="Arial"/>
          <w:szCs w:val="20"/>
          <w:lang w:val="sl-SI"/>
        </w:rPr>
      </w:pPr>
      <w:r w:rsidRPr="009776E7">
        <w:rPr>
          <w:rFonts w:cs="Arial"/>
          <w:szCs w:val="20"/>
          <w:lang w:val="sl-SI"/>
        </w:rPr>
        <w:t xml:space="preserve">Socialnovarstvene storitve in servisi bi morali biti ustrezno zagotovljeni tudi za osebe z demenco mlajših od 65 let (Po ocenah Alzheimer Europe je bilo v Sloveniji v letu 2018 kar 1939 oseb z demenco v starostni skupini od 30 do 64 let), nuditi k posamezniku usmerjen in prilagojen način storitev med potekom bolezni ter upoštevajoč pridružene obolevnosti, ki so že prisotne ali se razvijejo ob poteku bolezni. </w:t>
      </w:r>
    </w:p>
    <w:p w14:paraId="4C394BA3" w14:textId="77777777" w:rsidR="00CB7422" w:rsidRPr="00885BD1" w:rsidRDefault="00CB7422" w:rsidP="002C2EEC">
      <w:pPr>
        <w:jc w:val="both"/>
        <w:rPr>
          <w:rFonts w:cs="Arial"/>
          <w:szCs w:val="20"/>
          <w:lang w:val="sl-SI"/>
        </w:rPr>
      </w:pPr>
    </w:p>
    <w:p w14:paraId="13ABCCF7" w14:textId="7AF030BA" w:rsidR="00CE41F2" w:rsidRPr="00885BD1" w:rsidRDefault="002C2EEC" w:rsidP="002C2EEC">
      <w:pPr>
        <w:jc w:val="both"/>
        <w:rPr>
          <w:rFonts w:cs="Arial"/>
          <w:szCs w:val="20"/>
          <w:lang w:val="sl-SI"/>
        </w:rPr>
      </w:pPr>
      <w:r w:rsidRPr="008711BF">
        <w:rPr>
          <w:rFonts w:cs="Arial"/>
          <w:szCs w:val="20"/>
          <w:lang w:val="sl-SI"/>
        </w:rPr>
        <w:t xml:space="preserve">Za storitve in programe v skupnosti je značilno, da se prepletajo socialne in zdravstvene storitve, pomembna pa je tudi dejavnost svojcev, drugih neformalnih skrbnikov in drugih deležnikov, ki lahko pripomorejo k demenci prijaznemu okolju. Zelo pomembno vlogo imajo pri tem skupine za samopomoč in humanitarne organizacije </w:t>
      </w:r>
      <w:r w:rsidR="00906C5F" w:rsidRPr="008711BF">
        <w:rPr>
          <w:rFonts w:cs="Arial"/>
          <w:szCs w:val="20"/>
          <w:lang w:val="sl-SI"/>
        </w:rPr>
        <w:t xml:space="preserve">z </w:t>
      </w:r>
      <w:r w:rsidRPr="008711BF">
        <w:rPr>
          <w:rFonts w:cs="Arial"/>
          <w:szCs w:val="20"/>
          <w:lang w:val="sl-SI"/>
        </w:rPr>
        <w:t>ustrezno usposobljeni</w:t>
      </w:r>
      <w:r w:rsidR="00906C5F" w:rsidRPr="008711BF">
        <w:rPr>
          <w:rFonts w:cs="Arial"/>
          <w:szCs w:val="20"/>
          <w:lang w:val="sl-SI"/>
        </w:rPr>
        <w:t>mi</w:t>
      </w:r>
      <w:r w:rsidRPr="008711BF">
        <w:rPr>
          <w:rFonts w:cs="Arial"/>
          <w:szCs w:val="20"/>
          <w:lang w:val="sl-SI"/>
        </w:rPr>
        <w:t xml:space="preserve"> kadri</w:t>
      </w:r>
      <w:r w:rsidR="00906C5F" w:rsidRPr="008711BF">
        <w:rPr>
          <w:rFonts w:cs="Arial"/>
          <w:szCs w:val="20"/>
          <w:lang w:val="sl-SI"/>
        </w:rPr>
        <w:t xml:space="preserve"> ter s denarnimi sredstvi izvajanja dejavnosti</w:t>
      </w:r>
      <w:r w:rsidRPr="008711BF">
        <w:rPr>
          <w:rFonts w:cs="Arial"/>
          <w:szCs w:val="20"/>
          <w:lang w:val="sl-SI"/>
        </w:rPr>
        <w:t>. V tem primeru njihove dejavnosti dopolnjujejo dejavnosti javne zdravstvene in socialnovarstvene mreže.</w:t>
      </w:r>
    </w:p>
    <w:p w14:paraId="14061D4A" w14:textId="3F266D35" w:rsidR="004D5FCC" w:rsidRPr="00885BD1" w:rsidRDefault="00CE41F2" w:rsidP="00E546B0">
      <w:pPr>
        <w:pStyle w:val="Naslov1"/>
      </w:pPr>
      <w:bookmarkStart w:id="49" w:name="_Toc117692301"/>
      <w:r w:rsidRPr="00885BD1">
        <w:t xml:space="preserve">3.2.4. </w:t>
      </w:r>
      <w:r w:rsidR="004D5FCC" w:rsidRPr="00885BD1">
        <w:t>Dejavnosti nevladnih organizacij in neformalnih oskrbovalcev</w:t>
      </w:r>
      <w:bookmarkEnd w:id="49"/>
    </w:p>
    <w:p w14:paraId="45F485B7" w14:textId="77777777" w:rsidR="00CE41F2" w:rsidRPr="00885BD1" w:rsidRDefault="00CE41F2" w:rsidP="0075411E">
      <w:pPr>
        <w:rPr>
          <w:lang w:val="sl-SI"/>
        </w:rPr>
      </w:pPr>
    </w:p>
    <w:p w14:paraId="183A5176" w14:textId="75864CEA" w:rsidR="00CB7422" w:rsidRPr="002A2A84" w:rsidRDefault="004D5FCC" w:rsidP="00CB7422">
      <w:pPr>
        <w:jc w:val="both"/>
        <w:rPr>
          <w:rFonts w:cs="Arial"/>
          <w:szCs w:val="20"/>
          <w:lang w:val="sl-SI"/>
        </w:rPr>
      </w:pPr>
      <w:r w:rsidRPr="008711BF">
        <w:rPr>
          <w:rFonts w:cs="Arial"/>
          <w:szCs w:val="20"/>
          <w:lang w:val="sl-SI"/>
        </w:rPr>
        <w:t>V Sloveniji imamo dejavnost nevladnih organizacij (</w:t>
      </w:r>
      <w:r w:rsidR="00E81935" w:rsidRPr="008711BF">
        <w:rPr>
          <w:rFonts w:cs="Arial"/>
          <w:szCs w:val="20"/>
          <w:lang w:val="sl-SI"/>
        </w:rPr>
        <w:t xml:space="preserve">v nadaljnjem besedilu: </w:t>
      </w:r>
      <w:r w:rsidRPr="008711BF">
        <w:rPr>
          <w:rFonts w:cs="Arial"/>
          <w:szCs w:val="20"/>
          <w:lang w:val="sl-SI"/>
        </w:rPr>
        <w:t xml:space="preserve">NVO) dobro razvito. </w:t>
      </w:r>
      <w:r w:rsidR="00CB7422" w:rsidRPr="008711BF">
        <w:rPr>
          <w:rFonts w:cs="Arial"/>
          <w:lang w:val="sl-SI"/>
        </w:rPr>
        <w:t>Na področju zdravstvenega in socialnega varstva bi morala država bolj stabilno financirati programe humanitarnih organizacij, ki izpolnjujejo določene kakovostne standarde in pomenijo dopolnitev javne zdravstvene in socialno varstvene mreže</w:t>
      </w:r>
      <w:r w:rsidR="00261539">
        <w:rPr>
          <w:rFonts w:cs="Arial"/>
          <w:lang w:val="sl-SI"/>
        </w:rPr>
        <w:t>. N</w:t>
      </w:r>
      <w:r w:rsidR="00261539" w:rsidRPr="00261539">
        <w:rPr>
          <w:rFonts w:cs="Arial"/>
          <w:lang w:val="sl-SI"/>
        </w:rPr>
        <w:t xml:space="preserve">evladne organizacije </w:t>
      </w:r>
      <w:r w:rsidR="00261539">
        <w:rPr>
          <w:rFonts w:cs="Arial"/>
          <w:lang w:val="sl-SI"/>
        </w:rPr>
        <w:t xml:space="preserve">morajo </w:t>
      </w:r>
      <w:r w:rsidR="00261539" w:rsidRPr="00261539">
        <w:rPr>
          <w:rFonts w:cs="Arial"/>
          <w:lang w:val="sl-SI"/>
        </w:rPr>
        <w:t>dosegati zahtevano kakovost</w:t>
      </w:r>
      <w:r w:rsidR="00261539">
        <w:rPr>
          <w:rFonts w:cs="Arial"/>
          <w:lang w:val="sl-SI"/>
        </w:rPr>
        <w:t xml:space="preserve"> in</w:t>
      </w:r>
      <w:r w:rsidR="00261539" w:rsidRPr="00261539">
        <w:rPr>
          <w:rFonts w:cs="Arial"/>
          <w:lang w:val="sl-SI"/>
        </w:rPr>
        <w:t xml:space="preserve"> slediti praksam integrirane oskrbe</w:t>
      </w:r>
      <w:r w:rsidR="00261539">
        <w:rPr>
          <w:rFonts w:cs="Arial"/>
          <w:lang w:val="sl-SI"/>
        </w:rPr>
        <w:t xml:space="preserve">. </w:t>
      </w:r>
    </w:p>
    <w:p w14:paraId="53B1FF64" w14:textId="77777777" w:rsidR="00F02FCF" w:rsidRPr="00885BD1" w:rsidRDefault="00F02FCF" w:rsidP="00CD4BC8">
      <w:pPr>
        <w:jc w:val="both"/>
        <w:rPr>
          <w:rFonts w:cs="Arial"/>
          <w:szCs w:val="20"/>
          <w:lang w:val="sl-SI"/>
        </w:rPr>
      </w:pPr>
    </w:p>
    <w:p w14:paraId="30DDF1E2" w14:textId="4A0E1D35" w:rsidR="00F02FCF" w:rsidRPr="00885BD1" w:rsidRDefault="00F02FCF" w:rsidP="00CD4BC8">
      <w:pPr>
        <w:jc w:val="both"/>
        <w:rPr>
          <w:rFonts w:cs="Arial"/>
          <w:szCs w:val="20"/>
          <w:lang w:val="sl-SI"/>
        </w:rPr>
      </w:pPr>
      <w:r w:rsidRPr="004E577C">
        <w:rPr>
          <w:rFonts w:cs="Arial"/>
          <w:szCs w:val="20"/>
          <w:lang w:val="sl-SI"/>
        </w:rPr>
        <w:t xml:space="preserve">Pri nudenju pomoči in podpore osebam z demenco in njihovim svojcem je v družbi zelo pomembna vloga </w:t>
      </w:r>
      <w:r w:rsidR="005D328F" w:rsidRPr="004E577C">
        <w:rPr>
          <w:rFonts w:cs="Arial"/>
          <w:szCs w:val="20"/>
          <w:lang w:val="sl-SI"/>
        </w:rPr>
        <w:t xml:space="preserve">humanitarnih </w:t>
      </w:r>
      <w:r w:rsidRPr="004E577C">
        <w:rPr>
          <w:rFonts w:cs="Arial"/>
          <w:szCs w:val="20"/>
          <w:lang w:val="sl-SI"/>
        </w:rPr>
        <w:t>organizacij in drugih nevladnih organizacij, ki omogočajo, da so ljudje, ki živijo z demenco slišani v družbi (v prihodnosti bo teh ljudi vedno več).</w:t>
      </w:r>
      <w:r w:rsidR="005D328F" w:rsidRPr="004E577C">
        <w:rPr>
          <w:rFonts w:cs="Arial"/>
          <w:szCs w:val="20"/>
          <w:lang w:val="sl-SI"/>
        </w:rPr>
        <w:t xml:space="preserve"> Nevladne organizacije </w:t>
      </w:r>
      <w:r w:rsidR="001D6AA4" w:rsidRPr="004E577C">
        <w:rPr>
          <w:rFonts w:cs="Arial"/>
          <w:szCs w:val="20"/>
          <w:lang w:val="sl-SI"/>
        </w:rPr>
        <w:t>predstavljajo</w:t>
      </w:r>
      <w:r w:rsidRPr="004E577C">
        <w:rPr>
          <w:rFonts w:cs="Arial"/>
          <w:szCs w:val="20"/>
          <w:lang w:val="sl-SI"/>
        </w:rPr>
        <w:t xml:space="preserve"> z vidika oskrbe v skupnosti pomemben steber obvladovanja demence v družbi </w:t>
      </w:r>
      <w:r w:rsidR="005D328F" w:rsidRPr="004E577C">
        <w:rPr>
          <w:rFonts w:cs="Arial"/>
          <w:szCs w:val="20"/>
          <w:lang w:val="sl-SI"/>
        </w:rPr>
        <w:t>in sta</w:t>
      </w:r>
      <w:r w:rsidR="001B04C1" w:rsidRPr="004E577C">
        <w:rPr>
          <w:rFonts w:cs="Arial"/>
          <w:szCs w:val="20"/>
          <w:lang w:val="sl-SI"/>
        </w:rPr>
        <w:t>bile</w:t>
      </w:r>
      <w:r w:rsidR="005D328F" w:rsidRPr="004E577C">
        <w:rPr>
          <w:rFonts w:cs="Arial"/>
          <w:szCs w:val="20"/>
          <w:lang w:val="sl-SI"/>
        </w:rPr>
        <w:t>n sistem</w:t>
      </w:r>
      <w:r w:rsidRPr="004E577C">
        <w:rPr>
          <w:rFonts w:cs="Arial"/>
          <w:szCs w:val="20"/>
          <w:lang w:val="sl-SI"/>
        </w:rPr>
        <w:t xml:space="preserve"> vzpostavljen</w:t>
      </w:r>
      <w:r w:rsidR="00592494" w:rsidRPr="004E577C">
        <w:rPr>
          <w:rFonts w:cs="Arial"/>
          <w:szCs w:val="20"/>
          <w:lang w:val="sl-SI"/>
        </w:rPr>
        <w:t>ih</w:t>
      </w:r>
      <w:r w:rsidRPr="004E577C">
        <w:rPr>
          <w:rFonts w:cs="Arial"/>
          <w:szCs w:val="20"/>
          <w:lang w:val="sl-SI"/>
        </w:rPr>
        <w:t xml:space="preserve"> </w:t>
      </w:r>
      <w:r w:rsidR="00592494" w:rsidRPr="004E577C">
        <w:rPr>
          <w:rFonts w:cs="Arial"/>
          <w:szCs w:val="20"/>
          <w:lang w:val="sl-SI"/>
        </w:rPr>
        <w:t>organizacijskih struktur</w:t>
      </w:r>
      <w:r w:rsidRPr="004E577C">
        <w:rPr>
          <w:rFonts w:cs="Arial"/>
          <w:szCs w:val="20"/>
          <w:lang w:val="sl-SI"/>
        </w:rPr>
        <w:t xml:space="preserve"> z </w:t>
      </w:r>
      <w:r w:rsidR="001B04C1" w:rsidRPr="004E577C">
        <w:rPr>
          <w:rFonts w:cs="Arial"/>
          <w:szCs w:val="20"/>
          <w:lang w:val="sl-SI"/>
        </w:rPr>
        <w:t>vsemi akterji</w:t>
      </w:r>
      <w:r w:rsidRPr="004E577C">
        <w:rPr>
          <w:rFonts w:cs="Arial"/>
          <w:szCs w:val="20"/>
          <w:lang w:val="sl-SI"/>
        </w:rPr>
        <w:t xml:space="preserve">. </w:t>
      </w:r>
      <w:r w:rsidR="00592494" w:rsidRPr="004E577C">
        <w:rPr>
          <w:rFonts w:cs="Arial"/>
          <w:szCs w:val="20"/>
          <w:lang w:val="sl-SI"/>
        </w:rPr>
        <w:t>Posebno pomembna je njihova aktivnost na področju o</w:t>
      </w:r>
      <w:r w:rsidR="002B3EC5" w:rsidRPr="004E577C">
        <w:rPr>
          <w:rFonts w:cs="Arial"/>
          <w:szCs w:val="20"/>
          <w:lang w:val="sl-SI"/>
        </w:rPr>
        <w:t>s</w:t>
      </w:r>
      <w:r w:rsidR="00592494" w:rsidRPr="004E577C">
        <w:rPr>
          <w:rFonts w:cs="Arial"/>
          <w:szCs w:val="20"/>
          <w:lang w:val="sl-SI"/>
        </w:rPr>
        <w:t>veščanja in zmanjševanja stigme z namenom, da pridejo osebe z demenco do pravočasne diagnoze. V ta namen je bila vzpostavljena mreža demenci prijaznih točk po celi Sloveniji v najrazličnejših organizacijah.</w:t>
      </w:r>
    </w:p>
    <w:p w14:paraId="7282A338" w14:textId="77777777" w:rsidR="00F02FCF" w:rsidRPr="00885BD1" w:rsidRDefault="00F02FCF" w:rsidP="00CD4BC8">
      <w:pPr>
        <w:jc w:val="both"/>
        <w:rPr>
          <w:rFonts w:cs="Arial"/>
          <w:szCs w:val="20"/>
          <w:lang w:val="sl-SI"/>
        </w:rPr>
      </w:pPr>
    </w:p>
    <w:p w14:paraId="4CAD3CC1" w14:textId="532ED6F6" w:rsidR="00155A76" w:rsidRPr="002A2A84" w:rsidRDefault="004D5FCC" w:rsidP="00155A76">
      <w:pPr>
        <w:jc w:val="both"/>
        <w:rPr>
          <w:rFonts w:cs="Arial"/>
          <w:szCs w:val="20"/>
          <w:lang w:val="sl-SI"/>
        </w:rPr>
      </w:pPr>
      <w:r w:rsidRPr="00885BD1">
        <w:rPr>
          <w:rFonts w:cs="Arial"/>
          <w:szCs w:val="20"/>
          <w:lang w:val="sl-SI"/>
        </w:rPr>
        <w:t>Na področju duševnega zdravja in nevroloških bolezni deluje v Sloveniji več NVO, na področju demence deluje Spominčica</w:t>
      </w:r>
      <w:r w:rsidR="00592494" w:rsidRPr="00885BD1">
        <w:rPr>
          <w:rFonts w:cs="Arial"/>
          <w:szCs w:val="20"/>
          <w:lang w:val="sl-SI"/>
        </w:rPr>
        <w:t xml:space="preserve"> </w:t>
      </w:r>
      <w:r w:rsidRPr="00885BD1">
        <w:rPr>
          <w:rFonts w:cs="Arial"/>
          <w:szCs w:val="20"/>
          <w:lang w:val="sl-SI"/>
        </w:rPr>
        <w:t xml:space="preserve">- Alzheimer Slovenija. Spominčica je bila ustanovljena leta 1997, da bi pomagala svojcem oseb z demenco. </w:t>
      </w:r>
      <w:r w:rsidR="00155A76" w:rsidRPr="000E6CE7">
        <w:rPr>
          <w:rFonts w:cs="Arial"/>
          <w:szCs w:val="20"/>
          <w:lang w:val="sl-SI"/>
        </w:rPr>
        <w:t>Spominčice je nosilec ozaveščanja o demenci, usposabljanj in izobraževanj oskrbovalcev oseb z demenco, pomoči in opolnomočenja svojcev oseb z demenco, ki so pri tej več let trajajoči bolezni izpostavljeni velikemu psihičnemu, fizičnemu, čustvenem in finančnemu izgorevanju in družbeni izključenosti. Je ustanovitelj in koordinator nacionalne mreže demenci prijaznih točk, ki omogoča dostopnost do informacij, usposabljanj in pomoči ter prenos znanja v lokalnem okolju. Svojci, ki so ozaveščeni, usposobljeni in so deležni dobre podpore po diagnozi, lahko zagotovijo kakovostno življenje osebi z demenco in sebi. Tako lahko oseba z demenco ostane čim dlje v domači oskrbi, kar je najbolj humano</w:t>
      </w:r>
      <w:r w:rsidR="001B04C1">
        <w:rPr>
          <w:rFonts w:cs="Arial"/>
          <w:szCs w:val="20"/>
          <w:lang w:val="sl-SI"/>
        </w:rPr>
        <w:t xml:space="preserve"> oziroma</w:t>
      </w:r>
      <w:r w:rsidR="00155A76" w:rsidRPr="000E6CE7">
        <w:rPr>
          <w:rFonts w:cs="Arial"/>
          <w:szCs w:val="20"/>
          <w:lang w:val="sl-SI"/>
        </w:rPr>
        <w:t xml:space="preserve"> etično</w:t>
      </w:r>
      <w:r w:rsidR="001B04C1">
        <w:rPr>
          <w:rFonts w:cs="Arial"/>
          <w:szCs w:val="20"/>
          <w:lang w:val="sl-SI"/>
        </w:rPr>
        <w:t xml:space="preserve">. </w:t>
      </w:r>
      <w:r w:rsidR="00155A76" w:rsidRPr="000E6CE7">
        <w:rPr>
          <w:rFonts w:cs="Arial"/>
          <w:lang w:val="sl-SI"/>
        </w:rPr>
        <w:t xml:space="preserve">Spominčica ima pomembno vlogo tudi pri povezovanju strokovnjakov s področja demence v Sloveniji in je vpeta v številne mednarodne povezave. </w:t>
      </w:r>
    </w:p>
    <w:p w14:paraId="4089F362" w14:textId="714FBFC5" w:rsidR="00AF1A0E" w:rsidRPr="00885BD1" w:rsidRDefault="00AF1A0E" w:rsidP="00CD4BC8">
      <w:pPr>
        <w:jc w:val="both"/>
        <w:rPr>
          <w:rFonts w:cs="Arial"/>
          <w:szCs w:val="20"/>
          <w:lang w:val="sl-SI"/>
        </w:rPr>
      </w:pPr>
    </w:p>
    <w:p w14:paraId="05E29E72" w14:textId="3879E5A3" w:rsidR="00B202F6" w:rsidRDefault="005D42FB" w:rsidP="005D42FB">
      <w:pPr>
        <w:jc w:val="both"/>
        <w:rPr>
          <w:rFonts w:cs="Arial"/>
          <w:szCs w:val="20"/>
          <w:lang w:val="sl-SI"/>
        </w:rPr>
      </w:pPr>
      <w:r w:rsidRPr="005D42FB">
        <w:rPr>
          <w:rFonts w:cs="Arial"/>
          <w:szCs w:val="20"/>
          <w:lang w:val="sl-SI"/>
        </w:rPr>
        <w:t>P</w:t>
      </w:r>
      <w:r w:rsidR="00FF2B5F" w:rsidRPr="005D42FB">
        <w:rPr>
          <w:rFonts w:cs="Arial"/>
          <w:szCs w:val="20"/>
          <w:lang w:val="sl-SI"/>
        </w:rPr>
        <w:t>o vsem svetu so ženske prevladujoče izvajalke neformalne oskrbe družinskih članov s kroničnimi boleznimi, vključno s starejšimi in odraslimi z demenco</w:t>
      </w:r>
      <w:r w:rsidRPr="005D42FB">
        <w:rPr>
          <w:rStyle w:val="Sprotnaopomba-sklic"/>
          <w:rFonts w:cs="Arial"/>
          <w:szCs w:val="20"/>
          <w:lang w:val="sl-SI"/>
        </w:rPr>
        <w:footnoteReference w:id="32"/>
      </w:r>
      <w:r w:rsidR="008F7610">
        <w:rPr>
          <w:rFonts w:cs="Arial"/>
          <w:szCs w:val="20"/>
          <w:lang w:val="sl-SI"/>
        </w:rPr>
        <w:t xml:space="preserve">, tudi </w:t>
      </w:r>
      <w:r w:rsidR="00FF2B5F" w:rsidRPr="005D42FB">
        <w:rPr>
          <w:rFonts w:cs="Arial"/>
          <w:szCs w:val="20"/>
          <w:lang w:val="sl-SI"/>
        </w:rPr>
        <w:t>v Sloveniji</w:t>
      </w:r>
      <w:r w:rsidR="00E518DE" w:rsidRPr="005D42FB">
        <w:rPr>
          <w:rStyle w:val="Sprotnaopomba-sklic"/>
          <w:rFonts w:cs="Arial"/>
          <w:szCs w:val="20"/>
          <w:lang w:val="sl-SI"/>
        </w:rPr>
        <w:footnoteReference w:id="33"/>
      </w:r>
      <w:r w:rsidRPr="005D42FB">
        <w:rPr>
          <w:rFonts w:cs="Arial"/>
          <w:szCs w:val="20"/>
          <w:lang w:val="sl-SI"/>
        </w:rPr>
        <w:t xml:space="preserve"> in imajo zato večje tveganje za izgorelost, depresijo in druge bolezni</w:t>
      </w:r>
      <w:r w:rsidR="00B202F6" w:rsidRPr="005D42FB">
        <w:rPr>
          <w:rFonts w:cs="Arial"/>
          <w:szCs w:val="20"/>
          <w:lang w:val="sl-SI"/>
        </w:rPr>
        <w:t>. Predvidevamo lahko, da se bo število oseb, zlasti žensk, ki bi izvajale oskrbo</w:t>
      </w:r>
      <w:r w:rsidR="00FF2B5F" w:rsidRPr="005D42FB">
        <w:rPr>
          <w:rFonts w:cs="Arial"/>
          <w:szCs w:val="20"/>
          <w:lang w:val="sl-SI"/>
        </w:rPr>
        <w:t xml:space="preserve"> oseb z demenco</w:t>
      </w:r>
      <w:r w:rsidR="00B202F6" w:rsidRPr="005D42FB">
        <w:rPr>
          <w:rFonts w:cs="Arial"/>
          <w:szCs w:val="20"/>
          <w:lang w:val="sl-SI"/>
        </w:rPr>
        <w:t>, še povečalo.</w:t>
      </w:r>
      <w:r w:rsidR="00FF2B5F" w:rsidRPr="005D42FB">
        <w:rPr>
          <w:rFonts w:cs="Arial"/>
          <w:szCs w:val="20"/>
          <w:lang w:val="sl-SI"/>
        </w:rPr>
        <w:t xml:space="preserve"> Poleg tega ženske v večji meri zbolevajo za boleznimi, ki povzročajo demenco in tudi kasneje poiščejo pomoč. Urediti je treba status oskrbovalcem oseb z demenco v domačem okolju ter jih podpreti z ustreznim obsegom in kakovostjo storitev nege ter oskrbe v skupnosti.</w:t>
      </w:r>
    </w:p>
    <w:p w14:paraId="72CC1732" w14:textId="77777777" w:rsidR="005D42FB" w:rsidRDefault="005D42FB" w:rsidP="005D42FB">
      <w:pPr>
        <w:jc w:val="both"/>
        <w:rPr>
          <w:rFonts w:cs="Arial"/>
          <w:szCs w:val="20"/>
          <w:lang w:val="sl-SI"/>
        </w:rPr>
      </w:pPr>
    </w:p>
    <w:p w14:paraId="485A03B5" w14:textId="376B7761" w:rsidR="007F3201" w:rsidRDefault="008711BF" w:rsidP="007F3201">
      <w:pPr>
        <w:jc w:val="both"/>
        <w:rPr>
          <w:rFonts w:cs="Arial"/>
          <w:szCs w:val="20"/>
          <w:lang w:val="sl-SI"/>
        </w:rPr>
      </w:pPr>
      <w:r w:rsidRPr="000E6CE7">
        <w:rPr>
          <w:rFonts w:cs="Arial"/>
          <w:szCs w:val="20"/>
          <w:lang w:val="sl-SI"/>
        </w:rPr>
        <w:lastRenderedPageBreak/>
        <w:t>V Sloveniji</w:t>
      </w:r>
      <w:r w:rsidR="000E6CE7" w:rsidRPr="000E6CE7">
        <w:rPr>
          <w:rFonts w:cs="Arial"/>
          <w:szCs w:val="20"/>
          <w:lang w:val="sl-SI"/>
        </w:rPr>
        <w:t xml:space="preserve"> aktivno delujejo tudi druga združenja, ki so namenjena za pomoč bolnikom in svojcem oseb z bolezni</w:t>
      </w:r>
      <w:r w:rsidR="006207D9">
        <w:rPr>
          <w:rFonts w:cs="Arial"/>
          <w:szCs w:val="20"/>
          <w:lang w:val="sl-SI"/>
        </w:rPr>
        <w:t>mi</w:t>
      </w:r>
      <w:r w:rsidR="000E6CE7" w:rsidRPr="000E6CE7">
        <w:rPr>
          <w:rFonts w:cs="Arial"/>
          <w:szCs w:val="20"/>
          <w:lang w:val="sl-SI"/>
        </w:rPr>
        <w:t xml:space="preserve"> možganov, </w:t>
      </w:r>
      <w:r w:rsidR="006207D9">
        <w:rPr>
          <w:rFonts w:cs="Arial"/>
          <w:szCs w:val="20"/>
          <w:lang w:val="sl-SI"/>
        </w:rPr>
        <w:t xml:space="preserve">pri katerih je demenca lahko del klinične slike </w:t>
      </w:r>
      <w:r w:rsidR="000E6CE7" w:rsidRPr="000E6CE7">
        <w:rPr>
          <w:rFonts w:cs="Arial"/>
          <w:szCs w:val="20"/>
          <w:lang w:val="sl-SI"/>
        </w:rPr>
        <w:t>(društvo bolnikov s parkinsonizmom in drugimi ekstrapiramidnimi bolez</w:t>
      </w:r>
      <w:r w:rsidR="00D61AA1">
        <w:rPr>
          <w:rFonts w:cs="Arial"/>
          <w:szCs w:val="20"/>
          <w:lang w:val="sl-SI"/>
        </w:rPr>
        <w:t>n</w:t>
      </w:r>
      <w:r w:rsidR="000E6CE7" w:rsidRPr="000E6CE7">
        <w:rPr>
          <w:rFonts w:cs="Arial"/>
          <w:szCs w:val="20"/>
          <w:lang w:val="sl-SI"/>
        </w:rPr>
        <w:t xml:space="preserve">imi - Trepetilka, </w:t>
      </w:r>
      <w:r w:rsidR="006207D9">
        <w:rPr>
          <w:rFonts w:cs="Arial"/>
          <w:szCs w:val="20"/>
          <w:lang w:val="sl-SI"/>
        </w:rPr>
        <w:t xml:space="preserve">društvo bolnikov z Huntingtonovo boleznijo, društvo </w:t>
      </w:r>
      <w:r w:rsidR="000E6CE7" w:rsidRPr="000E6CE7">
        <w:rPr>
          <w:rFonts w:cs="Arial"/>
          <w:szCs w:val="20"/>
          <w:lang w:val="sl-SI"/>
        </w:rPr>
        <w:t>bolnikov po možganski kapi</w:t>
      </w:r>
      <w:r w:rsidR="00D61AA1">
        <w:rPr>
          <w:rFonts w:cs="Arial"/>
          <w:szCs w:val="20"/>
          <w:lang w:val="sl-SI"/>
        </w:rPr>
        <w:t xml:space="preserve"> in drugo</w:t>
      </w:r>
      <w:r w:rsidR="000E6CE7" w:rsidRPr="000E6CE7">
        <w:rPr>
          <w:rFonts w:cs="Arial"/>
          <w:szCs w:val="20"/>
          <w:lang w:val="sl-SI"/>
        </w:rPr>
        <w:t>)</w:t>
      </w:r>
      <w:bookmarkStart w:id="50" w:name="_Toc62108600"/>
      <w:r w:rsidR="000E6CE7">
        <w:rPr>
          <w:rFonts w:cs="Arial"/>
          <w:szCs w:val="20"/>
          <w:lang w:val="sl-SI"/>
        </w:rPr>
        <w:t>.</w:t>
      </w:r>
    </w:p>
    <w:p w14:paraId="21F19775" w14:textId="77777777" w:rsidR="007F3201" w:rsidRDefault="007F3201" w:rsidP="007F3201">
      <w:pPr>
        <w:jc w:val="both"/>
        <w:rPr>
          <w:rFonts w:cs="Arial"/>
          <w:szCs w:val="20"/>
          <w:lang w:val="sl-SI"/>
        </w:rPr>
      </w:pPr>
    </w:p>
    <w:p w14:paraId="14608D39" w14:textId="5FAB4F88" w:rsidR="00D61AA1" w:rsidRDefault="00D61AA1" w:rsidP="00947D36">
      <w:pPr>
        <w:rPr>
          <w:lang w:val="sl-SI"/>
        </w:rPr>
      </w:pPr>
    </w:p>
    <w:p w14:paraId="1348FEDD" w14:textId="77777777" w:rsidR="00D61AA1" w:rsidRDefault="00D61AA1">
      <w:pPr>
        <w:spacing w:line="240" w:lineRule="auto"/>
        <w:rPr>
          <w:rFonts w:ascii="Calibri Light" w:hAnsi="Calibri Light" w:cs="Arial"/>
          <w:b/>
          <w:bCs/>
          <w:kern w:val="28"/>
          <w:sz w:val="24"/>
          <w:lang w:val="sl-SI"/>
        </w:rPr>
      </w:pPr>
      <w:r>
        <w:rPr>
          <w:rFonts w:cs="Arial"/>
          <w:sz w:val="24"/>
          <w:lang w:val="sl-SI"/>
        </w:rPr>
        <w:br w:type="page"/>
      </w:r>
    </w:p>
    <w:p w14:paraId="2818B1B6" w14:textId="51120C5E" w:rsidR="00A11EEF" w:rsidRPr="00E546B0" w:rsidRDefault="00D61AA1" w:rsidP="007F3201">
      <w:pPr>
        <w:pStyle w:val="Naslov"/>
        <w:jc w:val="left"/>
        <w:rPr>
          <w:rFonts w:ascii="Arial" w:hAnsi="Arial" w:cs="Arial"/>
          <w:b w:val="0"/>
          <w:bCs w:val="0"/>
          <w:color w:val="4472C4" w:themeColor="accent1"/>
          <w:sz w:val="24"/>
          <w:szCs w:val="24"/>
          <w:lang w:val="sl-SI"/>
        </w:rPr>
      </w:pPr>
      <w:bookmarkStart w:id="51" w:name="_Toc117692302"/>
      <w:r w:rsidRPr="00E546B0">
        <w:rPr>
          <w:rFonts w:ascii="Arial" w:hAnsi="Arial" w:cs="Arial"/>
          <w:b w:val="0"/>
          <w:bCs w:val="0"/>
          <w:color w:val="4472C4" w:themeColor="accent1"/>
          <w:sz w:val="24"/>
          <w:szCs w:val="24"/>
          <w:lang w:val="sl-SI"/>
        </w:rPr>
        <w:lastRenderedPageBreak/>
        <w:t xml:space="preserve">4 </w:t>
      </w:r>
      <w:r w:rsidR="007F3201" w:rsidRPr="00E546B0">
        <w:rPr>
          <w:rFonts w:ascii="Arial" w:hAnsi="Arial" w:cs="Arial"/>
          <w:b w:val="0"/>
          <w:bCs w:val="0"/>
          <w:color w:val="4472C4" w:themeColor="accent1"/>
          <w:sz w:val="24"/>
          <w:szCs w:val="24"/>
          <w:lang w:val="sl-SI"/>
        </w:rPr>
        <w:t>ZAGOTAVLJANJE KAKOVOSTI IN VARNOSTI</w:t>
      </w:r>
      <w:bookmarkEnd w:id="50"/>
      <w:bookmarkEnd w:id="51"/>
    </w:p>
    <w:p w14:paraId="2111A12E" w14:textId="77777777" w:rsidR="00C33B4C" w:rsidRPr="00885BD1" w:rsidRDefault="00C33B4C" w:rsidP="00C33B4C">
      <w:pPr>
        <w:rPr>
          <w:lang w:val="sl-SI" w:eastAsia="sl-SI"/>
        </w:rPr>
      </w:pPr>
    </w:p>
    <w:p w14:paraId="3D361FB7" w14:textId="1671E265" w:rsidR="00217D69" w:rsidRPr="00885BD1" w:rsidRDefault="00217D69" w:rsidP="00217D69">
      <w:pPr>
        <w:jc w:val="both"/>
        <w:rPr>
          <w:rFonts w:cs="Arial"/>
          <w:szCs w:val="20"/>
          <w:lang w:val="sl-SI"/>
        </w:rPr>
      </w:pPr>
      <w:r w:rsidRPr="004E577C">
        <w:rPr>
          <w:rFonts w:cs="Arial"/>
          <w:szCs w:val="20"/>
          <w:lang w:val="sl-SI"/>
        </w:rPr>
        <w:t>Strategija podpira uveljavitev splošnega nacionalnega koncepta za kakovost in varnost zdravstvenih storitev. Zagotavljanje kakovosti in varnosti obravnave oseb z demenco</w:t>
      </w:r>
      <w:r w:rsidR="001B04C1" w:rsidRPr="004E577C">
        <w:rPr>
          <w:rFonts w:cs="Arial"/>
          <w:szCs w:val="20"/>
          <w:lang w:val="sl-SI"/>
        </w:rPr>
        <w:t xml:space="preserve"> </w:t>
      </w:r>
      <w:r w:rsidR="008F7610" w:rsidRPr="004E577C">
        <w:rPr>
          <w:rFonts w:cs="Arial"/>
          <w:szCs w:val="20"/>
          <w:lang w:val="sl-SI"/>
        </w:rPr>
        <w:t>upoštevajoč</w:t>
      </w:r>
      <w:r w:rsidRPr="004E577C">
        <w:rPr>
          <w:rFonts w:cs="Arial"/>
          <w:szCs w:val="20"/>
          <w:lang w:val="sl-SI"/>
        </w:rPr>
        <w:t xml:space="preserve"> </w:t>
      </w:r>
      <w:r w:rsidR="008F7610" w:rsidRPr="004E577C">
        <w:rPr>
          <w:rFonts w:cs="Arial"/>
          <w:szCs w:val="20"/>
          <w:lang w:val="sl-SI"/>
        </w:rPr>
        <w:t xml:space="preserve">racionalno </w:t>
      </w:r>
      <w:r w:rsidRPr="004E577C">
        <w:rPr>
          <w:rFonts w:cs="Arial"/>
          <w:szCs w:val="20"/>
          <w:lang w:val="sl-SI"/>
        </w:rPr>
        <w:t>upravljanj</w:t>
      </w:r>
      <w:r w:rsidR="001164AD" w:rsidRPr="004E577C">
        <w:rPr>
          <w:rFonts w:cs="Arial"/>
          <w:szCs w:val="20"/>
          <w:lang w:val="sl-SI"/>
        </w:rPr>
        <w:t>e</w:t>
      </w:r>
      <w:r w:rsidRPr="004E577C">
        <w:rPr>
          <w:rFonts w:cs="Arial"/>
          <w:szCs w:val="20"/>
          <w:lang w:val="sl-SI"/>
        </w:rPr>
        <w:t xml:space="preserve"> z viri</w:t>
      </w:r>
      <w:r w:rsidR="001164AD" w:rsidRPr="004E577C">
        <w:rPr>
          <w:rFonts w:cs="Arial"/>
          <w:szCs w:val="20"/>
          <w:lang w:val="sl-SI"/>
        </w:rPr>
        <w:t>,</w:t>
      </w:r>
      <w:r w:rsidRPr="004E577C">
        <w:rPr>
          <w:rFonts w:cs="Arial"/>
          <w:szCs w:val="20"/>
          <w:lang w:val="sl-SI"/>
        </w:rPr>
        <w:t xml:space="preserve"> vključuje načrtovanje in izvajanje procesov, ki vključujejo uvedbo nacionalnih strokovnih smernic in posameznih kliničnih poti ter procesno vodenje. Za ocenjevanje in izboljševanje kakovosti in varnosti </w:t>
      </w:r>
      <w:r w:rsidR="00C82667" w:rsidRPr="004E577C">
        <w:rPr>
          <w:rFonts w:cs="Arial"/>
          <w:szCs w:val="20"/>
          <w:lang w:val="sl-SI"/>
        </w:rPr>
        <w:t xml:space="preserve">oskrbe </w:t>
      </w:r>
      <w:r w:rsidRPr="004E577C">
        <w:rPr>
          <w:rFonts w:cs="Arial"/>
          <w:szCs w:val="20"/>
          <w:lang w:val="sl-SI"/>
        </w:rPr>
        <w:t xml:space="preserve">oseb z demenco na primarni ravni moramo razviti orodja, ki zagotavljajo integrirano obravnavo. Za zagotavljanje kakovosti in varnosti </w:t>
      </w:r>
      <w:r w:rsidR="00C82667" w:rsidRPr="004E577C">
        <w:rPr>
          <w:rFonts w:cs="Arial"/>
          <w:szCs w:val="20"/>
          <w:lang w:val="sl-SI"/>
        </w:rPr>
        <w:t xml:space="preserve">oskrbe </w:t>
      </w:r>
      <w:r w:rsidRPr="004E577C">
        <w:rPr>
          <w:rFonts w:cs="Arial"/>
          <w:szCs w:val="20"/>
          <w:lang w:val="sl-SI"/>
        </w:rPr>
        <w:t xml:space="preserve">ter njeno stalno izboljševanje </w:t>
      </w:r>
      <w:r w:rsidR="004E577C" w:rsidRPr="004E577C">
        <w:rPr>
          <w:rFonts w:cs="Arial"/>
          <w:szCs w:val="20"/>
          <w:lang w:val="sl-SI"/>
        </w:rPr>
        <w:t xml:space="preserve">na vseh ravneh zdravstvenega varstva </w:t>
      </w:r>
      <w:r w:rsidRPr="004E577C">
        <w:rPr>
          <w:rFonts w:cs="Arial"/>
          <w:szCs w:val="20"/>
          <w:lang w:val="sl-SI"/>
        </w:rPr>
        <w:t xml:space="preserve">moramo zagotoviti spremljanje kakovosti, ki bo temeljila na strokovnosti, izkušnjah oseb z demenco in njihovih svojcev ter izidih oskrbe. Zagotovljeno mora biti sledenje </w:t>
      </w:r>
      <w:r w:rsidR="004E577C" w:rsidRPr="004E577C">
        <w:rPr>
          <w:rFonts w:cs="Arial"/>
          <w:szCs w:val="20"/>
          <w:lang w:val="sl-SI"/>
        </w:rPr>
        <w:t xml:space="preserve">obravnav </w:t>
      </w:r>
      <w:r w:rsidRPr="004E577C">
        <w:rPr>
          <w:rFonts w:cs="Arial"/>
          <w:szCs w:val="20"/>
          <w:lang w:val="sl-SI"/>
        </w:rPr>
        <w:t xml:space="preserve">strokovnemu razvoju. Namen spremljanja in ocenjevanja kakovosti mora temeljiti na izboljševanju kakovosti in varnosti obravnave oseb z demenco, kot tudi izvajalcev zdravstvene obravnave, kar pripomore k razvoju kulture varnosti. Ocenjevanje uresničevanja zastavljenih ciljev za izboljšanje kakovosti in varnosti se mora izvajati na izvajalski, upravljavski in izobraževalni ravni. </w:t>
      </w:r>
    </w:p>
    <w:p w14:paraId="3830CB34" w14:textId="30CFA3EC" w:rsidR="00217D69" w:rsidRPr="00885BD1" w:rsidRDefault="001B04C1" w:rsidP="00217D69">
      <w:pPr>
        <w:jc w:val="both"/>
        <w:rPr>
          <w:rFonts w:cs="Arial"/>
          <w:szCs w:val="20"/>
          <w:lang w:val="sl-SI"/>
        </w:rPr>
      </w:pPr>
      <w:r>
        <w:rPr>
          <w:rFonts w:cs="Arial"/>
          <w:szCs w:val="20"/>
          <w:lang w:val="sl-SI"/>
        </w:rPr>
        <w:t xml:space="preserve"> </w:t>
      </w:r>
    </w:p>
    <w:p w14:paraId="42F06AC6" w14:textId="75D7DD57" w:rsidR="00217D69" w:rsidRPr="00885BD1" w:rsidRDefault="00217D69" w:rsidP="00217D69">
      <w:pPr>
        <w:jc w:val="both"/>
        <w:rPr>
          <w:rFonts w:cs="Arial"/>
          <w:szCs w:val="20"/>
          <w:lang w:val="sl-SI"/>
        </w:rPr>
      </w:pPr>
      <w:r w:rsidRPr="00885BD1">
        <w:rPr>
          <w:rFonts w:cs="Arial"/>
          <w:szCs w:val="20"/>
          <w:lang w:val="sl-SI"/>
        </w:rPr>
        <w:t>Za uveljavitev nacionalnega koncepta sistema kakovosti in varnosti so ključne tudi spremembe v vodenju in upravljanju, zagotavljanju virov (kompetenc in infrastrukture vključno z informacijsko podporo</w:t>
      </w:r>
      <w:r w:rsidR="001164AD">
        <w:rPr>
          <w:rFonts w:cs="Arial"/>
          <w:szCs w:val="20"/>
          <w:lang w:val="sl-SI"/>
        </w:rPr>
        <w:t xml:space="preserve"> in</w:t>
      </w:r>
      <w:r w:rsidRPr="00885BD1">
        <w:rPr>
          <w:rFonts w:cs="Arial"/>
          <w:szCs w:val="20"/>
          <w:lang w:val="sl-SI"/>
        </w:rPr>
        <w:t xml:space="preserve"> </w:t>
      </w:r>
      <w:r w:rsidR="001164AD" w:rsidRPr="00885BD1">
        <w:rPr>
          <w:rFonts w:cs="Arial"/>
          <w:szCs w:val="20"/>
          <w:lang w:val="sl-SI"/>
        </w:rPr>
        <w:t>finan</w:t>
      </w:r>
      <w:r w:rsidR="001164AD">
        <w:rPr>
          <w:rFonts w:cs="Arial"/>
          <w:szCs w:val="20"/>
          <w:lang w:val="sl-SI"/>
        </w:rPr>
        <w:t>čnimi viri)</w:t>
      </w:r>
      <w:r w:rsidRPr="00885BD1">
        <w:rPr>
          <w:rFonts w:cs="Arial"/>
          <w:szCs w:val="20"/>
          <w:lang w:val="sl-SI"/>
        </w:rPr>
        <w:t>. Zagotoviti je treba koordinacijo in podporo programom kakovosti in z različnimi vzpodbudami doseči premik v razmišljanju pri vodilnih in odgovornih za vzpostavljanje celovitega sistema kakovosti in varnosti</w:t>
      </w:r>
      <w:r w:rsidR="00C82667">
        <w:rPr>
          <w:rFonts w:cs="Arial"/>
          <w:szCs w:val="20"/>
          <w:lang w:val="sl-SI"/>
        </w:rPr>
        <w:t xml:space="preserve"> oskrbe</w:t>
      </w:r>
      <w:r w:rsidRPr="00885BD1">
        <w:rPr>
          <w:rFonts w:cs="Arial"/>
          <w:szCs w:val="20"/>
          <w:lang w:val="sl-SI"/>
        </w:rPr>
        <w:t xml:space="preserve">. Zagotoviti je treba spodbude in napredna znanja, veščine in orodja za vodenje celovite kakovosti in varnosti, opolnomočenje  vodstvenih delavcev za izvajanje sprememb. Treba je zagotoviti, da so izpopolnjevanje in usposabljanje </w:t>
      </w:r>
      <w:r w:rsidR="0070679D">
        <w:rPr>
          <w:rFonts w:cs="Arial"/>
          <w:szCs w:val="20"/>
          <w:lang w:val="sl-SI"/>
        </w:rPr>
        <w:t xml:space="preserve">kadrov </w:t>
      </w:r>
      <w:r w:rsidRPr="00885BD1">
        <w:rPr>
          <w:rFonts w:cs="Arial"/>
          <w:szCs w:val="20"/>
          <w:lang w:val="sl-SI"/>
        </w:rPr>
        <w:t xml:space="preserve">del procesa vodenja saj izkušnje kažejo, da je na tak način mogoče dvigniti uspešnost, učinkovitost, strokovnost, kakovost in varnost dela. </w:t>
      </w:r>
    </w:p>
    <w:p w14:paraId="0C80A990" w14:textId="3EF5C24B" w:rsidR="00217D69" w:rsidRPr="00885BD1" w:rsidRDefault="00217D69" w:rsidP="00217D69">
      <w:pPr>
        <w:jc w:val="both"/>
        <w:rPr>
          <w:rFonts w:cs="Arial"/>
          <w:szCs w:val="20"/>
          <w:lang w:val="sl-SI"/>
        </w:rPr>
      </w:pPr>
    </w:p>
    <w:p w14:paraId="752B8DEF" w14:textId="0E469892" w:rsidR="00217D69" w:rsidRPr="00885BD1" w:rsidRDefault="00217D69" w:rsidP="00217D69">
      <w:pPr>
        <w:jc w:val="both"/>
        <w:rPr>
          <w:rFonts w:cs="Arial"/>
          <w:szCs w:val="20"/>
          <w:lang w:val="sl-SI"/>
        </w:rPr>
      </w:pPr>
      <w:r w:rsidRPr="00885BD1">
        <w:rPr>
          <w:rFonts w:cs="Arial"/>
          <w:szCs w:val="20"/>
          <w:lang w:val="sl-SI"/>
        </w:rPr>
        <w:t xml:space="preserve">Za ustrezno kakovostno in varno obravnavo oseb z demenco bodo strokovna združenja pregledala in po potrebi posodobila strokovne smernice </w:t>
      </w:r>
      <w:r w:rsidR="004E577C">
        <w:rPr>
          <w:rFonts w:cs="Arial"/>
          <w:szCs w:val="20"/>
          <w:lang w:val="sl-SI"/>
        </w:rPr>
        <w:t xml:space="preserve">obravnav </w:t>
      </w:r>
      <w:r w:rsidRPr="00885BD1">
        <w:rPr>
          <w:rFonts w:cs="Arial"/>
          <w:szCs w:val="20"/>
          <w:lang w:val="sl-SI"/>
        </w:rPr>
        <w:t xml:space="preserve">in klinične poti v roku 6 mesecev po sprejetju Strategije. Strokovne smernice in klinične poti se bodo </w:t>
      </w:r>
      <w:r w:rsidR="001164AD">
        <w:rPr>
          <w:rFonts w:cs="Arial"/>
          <w:szCs w:val="20"/>
          <w:lang w:val="sl-SI"/>
        </w:rPr>
        <w:t>redno</w:t>
      </w:r>
      <w:r w:rsidR="001164AD" w:rsidRPr="00885BD1">
        <w:rPr>
          <w:rFonts w:cs="Arial"/>
          <w:szCs w:val="20"/>
          <w:lang w:val="sl-SI"/>
        </w:rPr>
        <w:t xml:space="preserve"> </w:t>
      </w:r>
      <w:r w:rsidRPr="00885BD1">
        <w:rPr>
          <w:rFonts w:cs="Arial"/>
          <w:szCs w:val="20"/>
          <w:lang w:val="sl-SI"/>
        </w:rPr>
        <w:t xml:space="preserve">pregledovale in posodabljale najkasneje </w:t>
      </w:r>
      <w:r w:rsidR="001164AD">
        <w:rPr>
          <w:rFonts w:cs="Arial"/>
          <w:szCs w:val="20"/>
          <w:lang w:val="sl-SI"/>
        </w:rPr>
        <w:t>na</w:t>
      </w:r>
      <w:r w:rsidRPr="00885BD1">
        <w:rPr>
          <w:rFonts w:cs="Arial"/>
          <w:szCs w:val="20"/>
          <w:lang w:val="sl-SI"/>
        </w:rPr>
        <w:t xml:space="preserve"> 3 let</w:t>
      </w:r>
      <w:r w:rsidR="001164AD">
        <w:rPr>
          <w:rFonts w:cs="Arial"/>
          <w:szCs w:val="20"/>
          <w:lang w:val="sl-SI"/>
        </w:rPr>
        <w:t>a</w:t>
      </w:r>
      <w:r w:rsidRPr="00885BD1">
        <w:rPr>
          <w:rFonts w:cs="Arial"/>
          <w:szCs w:val="20"/>
          <w:lang w:val="sl-SI"/>
        </w:rPr>
        <w:t>.</w:t>
      </w:r>
    </w:p>
    <w:p w14:paraId="1C3D0274" w14:textId="77777777" w:rsidR="00217D69" w:rsidRPr="00885BD1" w:rsidRDefault="00217D69" w:rsidP="00217D69">
      <w:pPr>
        <w:jc w:val="both"/>
        <w:rPr>
          <w:rFonts w:cs="Arial"/>
          <w:szCs w:val="20"/>
          <w:lang w:val="sl-SI"/>
        </w:rPr>
      </w:pPr>
    </w:p>
    <w:p w14:paraId="1ABF54DC" w14:textId="176D4712" w:rsidR="00D94F5D" w:rsidRPr="006207D9" w:rsidRDefault="006207D9" w:rsidP="00E546B0">
      <w:pPr>
        <w:pStyle w:val="Naslov1"/>
      </w:pPr>
      <w:bookmarkStart w:id="52" w:name="_Toc117692303"/>
      <w:r w:rsidRPr="006207D9">
        <w:t>4</w:t>
      </w:r>
      <w:r w:rsidR="00D652C6" w:rsidRPr="006207D9">
        <w:t xml:space="preserve">.1 </w:t>
      </w:r>
      <w:r w:rsidR="00D94F5D" w:rsidRPr="006207D9">
        <w:t>S</w:t>
      </w:r>
      <w:r w:rsidR="00D652C6" w:rsidRPr="006207D9">
        <w:t>trokovne smernice</w:t>
      </w:r>
      <w:r w:rsidR="005C6962" w:rsidRPr="006207D9">
        <w:t xml:space="preserve"> in klinične poti za kakovostno in varno obravnavo demence</w:t>
      </w:r>
      <w:bookmarkEnd w:id="52"/>
    </w:p>
    <w:p w14:paraId="39272EA6" w14:textId="77777777" w:rsidR="00D94F5D" w:rsidRPr="00885BD1" w:rsidRDefault="00D94F5D" w:rsidP="00CD4BC8">
      <w:pPr>
        <w:spacing w:line="360" w:lineRule="auto"/>
        <w:jc w:val="both"/>
        <w:rPr>
          <w:rFonts w:cs="Arial"/>
          <w:b/>
          <w:bCs/>
          <w:szCs w:val="20"/>
          <w:lang w:val="sl-SI"/>
        </w:rPr>
      </w:pPr>
    </w:p>
    <w:p w14:paraId="2F356F05" w14:textId="5A027F60" w:rsidR="00D94F5D" w:rsidRPr="00885BD1" w:rsidRDefault="00D94F5D" w:rsidP="007C1E1C">
      <w:pPr>
        <w:spacing w:line="288" w:lineRule="auto"/>
        <w:jc w:val="both"/>
        <w:rPr>
          <w:rFonts w:cs="Arial"/>
          <w:szCs w:val="20"/>
          <w:lang w:val="sl-SI" w:eastAsia="en-GB"/>
        </w:rPr>
      </w:pPr>
      <w:r w:rsidRPr="00885BD1">
        <w:rPr>
          <w:rFonts w:cs="Arial"/>
          <w:szCs w:val="20"/>
          <w:lang w:val="sl-SI"/>
        </w:rPr>
        <w:t xml:space="preserve">Strokovne smernice in priporočila za obravnavo oseb z demenco omogočajo z dokazi podprto pomoč zdravnikom in ostalim zdravstvenim delavcem in drugemu strokovnemu osebju, </w:t>
      </w:r>
      <w:r w:rsidR="004E577C">
        <w:rPr>
          <w:rFonts w:cs="Arial"/>
          <w:szCs w:val="20"/>
          <w:lang w:val="sl-SI"/>
        </w:rPr>
        <w:t xml:space="preserve">pri delu z osebami </w:t>
      </w:r>
      <w:r w:rsidRPr="00885BD1">
        <w:rPr>
          <w:rFonts w:cs="Arial"/>
          <w:szCs w:val="20"/>
          <w:lang w:val="sl-SI"/>
        </w:rPr>
        <w:t xml:space="preserve">z demenco. Njihov namen je zagotavljanje </w:t>
      </w:r>
      <w:r w:rsidR="00F22F09">
        <w:rPr>
          <w:rFonts w:cs="Arial"/>
          <w:szCs w:val="20"/>
          <w:lang w:val="sl-SI"/>
        </w:rPr>
        <w:t>kakovostne</w:t>
      </w:r>
      <w:r w:rsidRPr="00885BD1">
        <w:rPr>
          <w:rFonts w:cs="Arial"/>
          <w:szCs w:val="20"/>
          <w:lang w:val="sl-SI"/>
        </w:rPr>
        <w:t xml:space="preserve"> obravnave in standardizacija oskrbe. </w:t>
      </w:r>
      <w:r w:rsidRPr="00885BD1">
        <w:rPr>
          <w:rFonts w:cs="Arial"/>
          <w:szCs w:val="20"/>
          <w:lang w:val="sl-SI" w:eastAsia="en-GB"/>
        </w:rPr>
        <w:t>Smernice morajo vsebovati bistvena priporočila za diagnostiko demence, zdravljenje ter ka</w:t>
      </w:r>
      <w:r w:rsidR="00F22F09">
        <w:rPr>
          <w:rFonts w:cs="Arial"/>
          <w:szCs w:val="20"/>
          <w:lang w:val="sl-SI" w:eastAsia="en-GB"/>
        </w:rPr>
        <w:t xml:space="preserve">kovostno </w:t>
      </w:r>
      <w:r w:rsidRPr="00885BD1">
        <w:rPr>
          <w:rFonts w:cs="Arial"/>
          <w:szCs w:val="20"/>
          <w:lang w:val="sl-SI" w:eastAsia="en-GB"/>
        </w:rPr>
        <w:t xml:space="preserve">dolgotrajno oskrbo ljudi z demenco, vključevati pa morajo tudi </w:t>
      </w:r>
      <w:r w:rsidR="004E577C">
        <w:rPr>
          <w:rFonts w:cs="Arial"/>
          <w:szCs w:val="20"/>
          <w:lang w:val="sl-SI" w:eastAsia="en-GB"/>
        </w:rPr>
        <w:t>dileme</w:t>
      </w:r>
      <w:r w:rsidRPr="00885BD1">
        <w:rPr>
          <w:rFonts w:cs="Arial"/>
          <w:szCs w:val="20"/>
          <w:lang w:val="sl-SI" w:eastAsia="en-GB"/>
        </w:rPr>
        <w:t xml:space="preserve"> glede pravnih in etičnih vprašanj, ki lahko vplivajo na </w:t>
      </w:r>
      <w:r w:rsidR="00F22F09">
        <w:rPr>
          <w:rFonts w:cs="Arial"/>
          <w:szCs w:val="20"/>
          <w:lang w:val="sl-SI" w:eastAsia="en-GB"/>
        </w:rPr>
        <w:t>kakovost</w:t>
      </w:r>
      <w:r w:rsidR="004E577C">
        <w:rPr>
          <w:rFonts w:cs="Arial"/>
          <w:szCs w:val="20"/>
          <w:lang w:val="sl-SI" w:eastAsia="en-GB"/>
        </w:rPr>
        <w:t xml:space="preserve"> in varnost</w:t>
      </w:r>
      <w:r w:rsidRPr="00885BD1">
        <w:rPr>
          <w:rFonts w:cs="Arial"/>
          <w:szCs w:val="20"/>
          <w:lang w:val="sl-SI" w:eastAsia="en-GB"/>
        </w:rPr>
        <w:t xml:space="preserve"> obravnav.</w:t>
      </w:r>
    </w:p>
    <w:p w14:paraId="2FF0EF0E" w14:textId="77777777" w:rsidR="00D94F5D" w:rsidRPr="00885BD1" w:rsidRDefault="00D94F5D" w:rsidP="007C1E1C">
      <w:pPr>
        <w:spacing w:line="288" w:lineRule="auto"/>
        <w:jc w:val="both"/>
        <w:rPr>
          <w:rFonts w:cs="Arial"/>
          <w:szCs w:val="20"/>
          <w:lang w:val="sl-SI" w:eastAsia="en-GB"/>
        </w:rPr>
      </w:pPr>
    </w:p>
    <w:p w14:paraId="7D9E1A3E" w14:textId="2CDD6CC1" w:rsidR="00847DE1" w:rsidRPr="00885BD1" w:rsidRDefault="00D94F5D" w:rsidP="00847DE1">
      <w:pPr>
        <w:pStyle w:val="Navadensplet"/>
        <w:spacing w:before="0" w:beforeAutospacing="0" w:after="0" w:afterAutospacing="0" w:line="288" w:lineRule="auto"/>
        <w:jc w:val="both"/>
        <w:rPr>
          <w:rFonts w:ascii="Arial" w:hAnsi="Arial" w:cs="Arial"/>
          <w:sz w:val="20"/>
          <w:szCs w:val="20"/>
        </w:rPr>
      </w:pPr>
      <w:r w:rsidRPr="00885BD1">
        <w:rPr>
          <w:rFonts w:ascii="Arial" w:hAnsi="Arial" w:cs="Arial"/>
          <w:sz w:val="20"/>
          <w:szCs w:val="20"/>
        </w:rPr>
        <w:t xml:space="preserve">V Sloveniji so trenutno v veljavi smernice za obravnavo demence na primarni ravni: Smernice za obravnavo </w:t>
      </w:r>
      <w:r w:rsidR="00BD3CD1" w:rsidRPr="00885BD1">
        <w:rPr>
          <w:rFonts w:ascii="Arial" w:hAnsi="Arial" w:cs="Arial"/>
          <w:sz w:val="20"/>
          <w:szCs w:val="20"/>
        </w:rPr>
        <w:t>bolnikov</w:t>
      </w:r>
      <w:r w:rsidRPr="00885BD1">
        <w:rPr>
          <w:rFonts w:ascii="Arial" w:hAnsi="Arial" w:cs="Arial"/>
          <w:sz w:val="20"/>
          <w:szCs w:val="20"/>
        </w:rPr>
        <w:t xml:space="preserve"> z demenco (1), ki podajajo diagnostične kriterije, usmeritve za obravnavo in zdravljenje kognitivnih in vedenjskih simptomov in motenj, ki lahko spremljajo demenco, ukrepanje ob nujnih stanjih ter pregled priporočenih zdravil z indikacijami predpisovanja in priporočenimi učinkovitimi odmerki. Glede na razvoj področja je smiselna dopolnitev oz. posodobitev obstoječih smernic z nekaterimi novejšimi spoznanji o diagnostiki in obravnavi </w:t>
      </w:r>
      <w:r w:rsidR="00BD3CD1" w:rsidRPr="00885BD1">
        <w:rPr>
          <w:rFonts w:ascii="Arial" w:hAnsi="Arial" w:cs="Arial"/>
          <w:sz w:val="20"/>
          <w:szCs w:val="20"/>
        </w:rPr>
        <w:lastRenderedPageBreak/>
        <w:t>bolnikov</w:t>
      </w:r>
      <w:r w:rsidRPr="00885BD1">
        <w:rPr>
          <w:rFonts w:ascii="Arial" w:hAnsi="Arial" w:cs="Arial"/>
          <w:sz w:val="20"/>
          <w:szCs w:val="20"/>
        </w:rPr>
        <w:t xml:space="preserve"> s kognitivnim upadom, po zgledu smernic za demenco NICE</w:t>
      </w:r>
      <w:r w:rsidR="00621F89">
        <w:rPr>
          <w:rStyle w:val="Sprotnaopomba-sklic"/>
          <w:rFonts w:ascii="Arial" w:hAnsi="Arial" w:cs="Arial"/>
          <w:sz w:val="20"/>
          <w:szCs w:val="20"/>
        </w:rPr>
        <w:footnoteReference w:id="34"/>
      </w:r>
      <w:r w:rsidRPr="00885BD1">
        <w:rPr>
          <w:rFonts w:ascii="Arial" w:hAnsi="Arial" w:cs="Arial"/>
          <w:sz w:val="20"/>
          <w:szCs w:val="20"/>
        </w:rPr>
        <w:t xml:space="preserve"> in drugih relevantnih dokumentov (3, 4). </w:t>
      </w:r>
    </w:p>
    <w:p w14:paraId="7E5995F0" w14:textId="77777777" w:rsidR="00D94F5D" w:rsidRPr="00885BD1" w:rsidRDefault="00D94F5D" w:rsidP="007C1E1C">
      <w:pPr>
        <w:spacing w:line="288" w:lineRule="auto"/>
        <w:jc w:val="both"/>
        <w:rPr>
          <w:rFonts w:cs="Arial"/>
          <w:b/>
          <w:bCs/>
          <w:szCs w:val="20"/>
          <w:lang w:val="sl-SI"/>
        </w:rPr>
      </w:pPr>
    </w:p>
    <w:p w14:paraId="4DDA147E" w14:textId="639AF434" w:rsidR="00D94F5D" w:rsidRPr="00885BD1" w:rsidRDefault="005C6962" w:rsidP="007C1E1C">
      <w:pPr>
        <w:pStyle w:val="Navadensplet"/>
        <w:spacing w:before="0" w:beforeAutospacing="0" w:after="0" w:afterAutospacing="0" w:line="288" w:lineRule="auto"/>
        <w:jc w:val="both"/>
        <w:rPr>
          <w:rFonts w:ascii="Arial" w:hAnsi="Arial" w:cs="Arial"/>
          <w:sz w:val="20"/>
          <w:szCs w:val="20"/>
        </w:rPr>
      </w:pPr>
      <w:r w:rsidRPr="00885BD1">
        <w:rPr>
          <w:rFonts w:ascii="Arial" w:hAnsi="Arial" w:cs="Arial"/>
          <w:sz w:val="20"/>
          <w:szCs w:val="20"/>
        </w:rPr>
        <w:t>Za kakovostno in varno</w:t>
      </w:r>
      <w:r w:rsidR="00D94F5D" w:rsidRPr="00885BD1">
        <w:rPr>
          <w:rFonts w:ascii="Arial" w:hAnsi="Arial" w:cs="Arial"/>
          <w:sz w:val="20"/>
          <w:szCs w:val="20"/>
        </w:rPr>
        <w:t xml:space="preserve"> obravnav</w:t>
      </w:r>
      <w:r w:rsidRPr="00885BD1">
        <w:rPr>
          <w:rFonts w:ascii="Arial" w:hAnsi="Arial" w:cs="Arial"/>
          <w:sz w:val="20"/>
          <w:szCs w:val="20"/>
        </w:rPr>
        <w:t>o</w:t>
      </w:r>
      <w:r w:rsidR="00D94F5D" w:rsidRPr="00885BD1">
        <w:rPr>
          <w:rFonts w:ascii="Arial" w:hAnsi="Arial" w:cs="Arial"/>
          <w:sz w:val="20"/>
          <w:szCs w:val="20"/>
        </w:rPr>
        <w:t xml:space="preserve"> bolnikov z demenco na primarni in sekundarni ravni</w:t>
      </w:r>
      <w:r w:rsidRPr="00885BD1">
        <w:rPr>
          <w:rFonts w:ascii="Arial" w:hAnsi="Arial" w:cs="Arial"/>
          <w:sz w:val="20"/>
          <w:szCs w:val="20"/>
        </w:rPr>
        <w:t xml:space="preserve"> v posameznih zdravstvenih institucijah se pripravijo</w:t>
      </w:r>
      <w:r w:rsidR="00D94F5D" w:rsidRPr="00885BD1">
        <w:rPr>
          <w:rFonts w:ascii="Arial" w:hAnsi="Arial" w:cs="Arial"/>
          <w:sz w:val="20"/>
          <w:szCs w:val="20"/>
        </w:rPr>
        <w:t xml:space="preserve"> </w:t>
      </w:r>
      <w:r w:rsidRPr="00885BD1">
        <w:rPr>
          <w:rFonts w:ascii="Arial" w:hAnsi="Arial" w:cs="Arial"/>
          <w:sz w:val="20"/>
          <w:szCs w:val="20"/>
        </w:rPr>
        <w:t xml:space="preserve">različne </w:t>
      </w:r>
      <w:r w:rsidR="00D94F5D" w:rsidRPr="00885BD1">
        <w:rPr>
          <w:rFonts w:ascii="Arial" w:hAnsi="Arial" w:cs="Arial"/>
          <w:sz w:val="20"/>
          <w:szCs w:val="20"/>
        </w:rPr>
        <w:t>kliničn</w:t>
      </w:r>
      <w:r w:rsidRPr="00885BD1">
        <w:rPr>
          <w:rFonts w:ascii="Arial" w:hAnsi="Arial" w:cs="Arial"/>
          <w:sz w:val="20"/>
          <w:szCs w:val="20"/>
        </w:rPr>
        <w:t>e</w:t>
      </w:r>
      <w:r w:rsidR="00D94F5D" w:rsidRPr="00885BD1">
        <w:rPr>
          <w:rFonts w:ascii="Arial" w:hAnsi="Arial" w:cs="Arial"/>
          <w:sz w:val="20"/>
          <w:szCs w:val="20"/>
        </w:rPr>
        <w:t xml:space="preserve"> poti</w:t>
      </w:r>
      <w:r w:rsidR="004E577C">
        <w:rPr>
          <w:rFonts w:ascii="Arial" w:hAnsi="Arial" w:cs="Arial"/>
          <w:sz w:val="20"/>
          <w:szCs w:val="20"/>
        </w:rPr>
        <w:t>, ki bodo upoštevale integrirano oskrbo</w:t>
      </w:r>
      <w:r w:rsidRPr="00885BD1">
        <w:rPr>
          <w:rFonts w:ascii="Arial" w:hAnsi="Arial" w:cs="Arial"/>
          <w:sz w:val="20"/>
          <w:szCs w:val="20"/>
        </w:rPr>
        <w:t xml:space="preserve"> </w:t>
      </w:r>
      <w:r w:rsidR="00D94F5D" w:rsidRPr="00885BD1">
        <w:rPr>
          <w:rFonts w:ascii="Arial" w:hAnsi="Arial" w:cs="Arial"/>
          <w:sz w:val="20"/>
          <w:szCs w:val="20"/>
        </w:rPr>
        <w:t>za hospitalno</w:t>
      </w:r>
      <w:r w:rsidR="007F12AA" w:rsidRPr="00885BD1">
        <w:rPr>
          <w:rStyle w:val="Sprotnaopomba-sklic"/>
          <w:rFonts w:ascii="Arial" w:hAnsi="Arial" w:cs="Arial"/>
          <w:sz w:val="20"/>
          <w:szCs w:val="20"/>
        </w:rPr>
        <w:footnoteReference w:id="35"/>
      </w:r>
      <w:r w:rsidR="00D94F5D" w:rsidRPr="00885BD1">
        <w:rPr>
          <w:rFonts w:ascii="Arial" w:hAnsi="Arial" w:cs="Arial"/>
          <w:sz w:val="20"/>
          <w:szCs w:val="20"/>
        </w:rPr>
        <w:t xml:space="preserve"> in ambulantno obravnavo (8). </w:t>
      </w:r>
    </w:p>
    <w:p w14:paraId="6978EDD5" w14:textId="77777777" w:rsidR="007F12AA" w:rsidRPr="00885BD1" w:rsidRDefault="007F12AA" w:rsidP="007C1E1C">
      <w:pPr>
        <w:spacing w:line="288" w:lineRule="auto"/>
        <w:jc w:val="both"/>
        <w:rPr>
          <w:rFonts w:cs="Arial"/>
          <w:szCs w:val="20"/>
          <w:lang w:val="sl-SI"/>
        </w:rPr>
      </w:pPr>
    </w:p>
    <w:p w14:paraId="4BAFF4E6" w14:textId="53384368" w:rsidR="00D94F5D" w:rsidRPr="00885BD1" w:rsidRDefault="00D94F5D" w:rsidP="007C1E1C">
      <w:pPr>
        <w:spacing w:line="288" w:lineRule="auto"/>
        <w:jc w:val="both"/>
        <w:rPr>
          <w:rFonts w:cs="Arial"/>
          <w:szCs w:val="20"/>
          <w:lang w:val="sl-SI"/>
        </w:rPr>
      </w:pPr>
      <w:r w:rsidRPr="00885BD1">
        <w:rPr>
          <w:rFonts w:cs="Arial"/>
          <w:szCs w:val="20"/>
          <w:lang w:val="sl-SI"/>
        </w:rPr>
        <w:t xml:space="preserve">Klinične poti je potrebno </w:t>
      </w:r>
      <w:r w:rsidR="005C6962" w:rsidRPr="00885BD1">
        <w:rPr>
          <w:rFonts w:cs="Arial"/>
          <w:szCs w:val="20"/>
          <w:lang w:val="sl-SI"/>
        </w:rPr>
        <w:t>redno</w:t>
      </w:r>
      <w:r w:rsidRPr="00885BD1">
        <w:rPr>
          <w:rFonts w:cs="Arial"/>
          <w:szCs w:val="20"/>
          <w:lang w:val="sl-SI"/>
        </w:rPr>
        <w:t xml:space="preserve"> posodabljati glede na smernice oz. </w:t>
      </w:r>
      <w:r w:rsidR="00C96F44" w:rsidRPr="00885BD1">
        <w:rPr>
          <w:rFonts w:cs="Arial"/>
          <w:szCs w:val="20"/>
          <w:lang w:val="sl-SI"/>
        </w:rPr>
        <w:t xml:space="preserve">dokazana </w:t>
      </w:r>
      <w:r w:rsidRPr="00885BD1">
        <w:rPr>
          <w:rFonts w:cs="Arial"/>
          <w:szCs w:val="20"/>
          <w:lang w:val="sl-SI"/>
        </w:rPr>
        <w:t>novejša spoznanja v diagnostiki in obravnavi demenc.</w:t>
      </w:r>
    </w:p>
    <w:p w14:paraId="6EC21E61" w14:textId="77777777" w:rsidR="00FA10EC" w:rsidRPr="00885BD1" w:rsidRDefault="00FA10EC" w:rsidP="007C1E1C">
      <w:pPr>
        <w:spacing w:line="288" w:lineRule="auto"/>
        <w:jc w:val="both"/>
        <w:rPr>
          <w:rFonts w:cs="Arial"/>
          <w:szCs w:val="20"/>
          <w:lang w:val="sl-SI"/>
        </w:rPr>
      </w:pPr>
    </w:p>
    <w:p w14:paraId="640139D1" w14:textId="54E966DE" w:rsidR="00D94F5D" w:rsidRPr="00885BD1" w:rsidRDefault="006207D9" w:rsidP="00E546B0">
      <w:pPr>
        <w:pStyle w:val="Naslov1"/>
      </w:pPr>
      <w:bookmarkStart w:id="53" w:name="_Toc117692304"/>
      <w:r>
        <w:t>4</w:t>
      </w:r>
      <w:r w:rsidR="00D652C6" w:rsidRPr="00885BD1">
        <w:t>.</w:t>
      </w:r>
      <w:r w:rsidR="004E0C71" w:rsidRPr="00885BD1">
        <w:t>2</w:t>
      </w:r>
      <w:r w:rsidR="00D652C6" w:rsidRPr="00885BD1">
        <w:t xml:space="preserve"> </w:t>
      </w:r>
      <w:r w:rsidR="00C96F44" w:rsidRPr="00885BD1">
        <w:t>P</w:t>
      </w:r>
      <w:r w:rsidR="00D652C6" w:rsidRPr="00885BD1">
        <w:t>rotokoli sodelovanja</w:t>
      </w:r>
      <w:bookmarkEnd w:id="53"/>
    </w:p>
    <w:p w14:paraId="1E13E4E3" w14:textId="16AC45DC" w:rsidR="00D94F5D" w:rsidRPr="00885BD1" w:rsidRDefault="00D94F5D" w:rsidP="007C1E1C">
      <w:pPr>
        <w:pStyle w:val="Odstavekseznama"/>
        <w:spacing w:after="0" w:line="288" w:lineRule="auto"/>
        <w:ind w:left="0"/>
        <w:jc w:val="both"/>
        <w:rPr>
          <w:rFonts w:ascii="Arial" w:hAnsi="Arial" w:cs="Arial"/>
          <w:b/>
          <w:bCs/>
          <w:sz w:val="20"/>
          <w:szCs w:val="20"/>
        </w:rPr>
      </w:pPr>
    </w:p>
    <w:p w14:paraId="10D36795" w14:textId="53010CD2" w:rsidR="00C40313" w:rsidRPr="00885BD1" w:rsidRDefault="003579A9" w:rsidP="007C1E1C">
      <w:pPr>
        <w:pStyle w:val="Odstavekseznama"/>
        <w:spacing w:after="0" w:line="288" w:lineRule="auto"/>
        <w:ind w:left="0"/>
        <w:jc w:val="both"/>
        <w:rPr>
          <w:rFonts w:ascii="Arial" w:hAnsi="Arial" w:cs="Arial"/>
          <w:sz w:val="20"/>
          <w:szCs w:val="20"/>
        </w:rPr>
      </w:pPr>
      <w:r w:rsidRPr="00885BD1">
        <w:rPr>
          <w:rFonts w:ascii="Arial" w:hAnsi="Arial" w:cs="Arial"/>
          <w:sz w:val="20"/>
          <w:szCs w:val="20"/>
        </w:rPr>
        <w:t>Pri</w:t>
      </w:r>
      <w:r w:rsidR="002A5F2F" w:rsidRPr="00885BD1">
        <w:rPr>
          <w:rFonts w:ascii="Arial" w:hAnsi="Arial" w:cs="Arial"/>
          <w:sz w:val="20"/>
          <w:szCs w:val="20"/>
        </w:rPr>
        <w:t xml:space="preserve"> obravnavi demence je pomembno dobro sodelovanje vseh služb, ki morajo biti organizirane okrog posameznika oz. osebe z demenco, zato se </w:t>
      </w:r>
      <w:r w:rsidRPr="00885BD1">
        <w:rPr>
          <w:rFonts w:ascii="Arial" w:hAnsi="Arial" w:cs="Arial"/>
          <w:sz w:val="20"/>
          <w:szCs w:val="20"/>
        </w:rPr>
        <w:t xml:space="preserve">prednostno </w:t>
      </w:r>
      <w:r w:rsidR="002A5F2F" w:rsidRPr="00885BD1">
        <w:rPr>
          <w:rFonts w:ascii="Arial" w:hAnsi="Arial" w:cs="Arial"/>
          <w:sz w:val="20"/>
          <w:szCs w:val="20"/>
        </w:rPr>
        <w:t xml:space="preserve">spodbuja razvoj </w:t>
      </w:r>
      <w:r w:rsidRPr="00885BD1">
        <w:rPr>
          <w:rFonts w:ascii="Arial" w:hAnsi="Arial" w:cs="Arial"/>
          <w:sz w:val="20"/>
          <w:szCs w:val="20"/>
        </w:rPr>
        <w:t>integrirane obravnave</w:t>
      </w:r>
      <w:r w:rsidR="002A5F2F" w:rsidRPr="00885BD1">
        <w:rPr>
          <w:rFonts w:ascii="Arial" w:hAnsi="Arial" w:cs="Arial"/>
          <w:sz w:val="20"/>
          <w:szCs w:val="20"/>
        </w:rPr>
        <w:t xml:space="preserve"> na primarni zdravstveni ravni, to je v skupnosti oziroma domačem okolju. </w:t>
      </w:r>
      <w:r w:rsidR="00DA1902" w:rsidRPr="00885BD1">
        <w:rPr>
          <w:rFonts w:ascii="Arial" w:hAnsi="Arial" w:cs="Arial"/>
          <w:sz w:val="20"/>
          <w:szCs w:val="20"/>
        </w:rPr>
        <w:t>Za kakovostno, pravočasno, vsestransko in dostopno obravnavo ljudi z demenco potrebujemo povezano interdisciplinarno mrežo služb, programov in storitev, da se osebam z demenco omogoča in nudi kar najbolj kakovostne storitve, v najkrajšem možnem času in da ne prihaja do nepotrebnega podvajanja storitev ali pomanjkanja katere od njih. Zaradi raznolikosti potreb oseb z demenco in njihovih svojcev mora biti obravnava individualno prilagojena</w:t>
      </w:r>
      <w:r w:rsidR="00C40313" w:rsidRPr="00885BD1">
        <w:rPr>
          <w:rFonts w:ascii="Arial" w:hAnsi="Arial" w:cs="Arial"/>
          <w:sz w:val="20"/>
          <w:szCs w:val="20"/>
        </w:rPr>
        <w:t>. Učinkovito načrtovanje in sodelovanje služb bodo omogočili protokoli sodelovanja.</w:t>
      </w:r>
    </w:p>
    <w:p w14:paraId="4E1C1CE4" w14:textId="77777777" w:rsidR="00C40313" w:rsidRPr="00885BD1" w:rsidRDefault="00C40313" w:rsidP="007C1E1C">
      <w:pPr>
        <w:pStyle w:val="Odstavekseznama"/>
        <w:spacing w:after="0" w:line="288" w:lineRule="auto"/>
        <w:ind w:left="0"/>
        <w:jc w:val="both"/>
        <w:rPr>
          <w:rFonts w:ascii="Arial" w:hAnsi="Arial" w:cs="Arial"/>
          <w:sz w:val="20"/>
          <w:szCs w:val="20"/>
        </w:rPr>
      </w:pPr>
    </w:p>
    <w:p w14:paraId="7A3C22D2" w14:textId="0B08F0B4" w:rsidR="003579A9" w:rsidRPr="00885BD1" w:rsidRDefault="003579A9" w:rsidP="00C40313">
      <w:pPr>
        <w:pStyle w:val="Odstavekseznama"/>
        <w:spacing w:after="0" w:line="288" w:lineRule="auto"/>
        <w:ind w:left="0"/>
        <w:jc w:val="both"/>
        <w:rPr>
          <w:rFonts w:ascii="Arial" w:hAnsi="Arial" w:cs="Arial"/>
          <w:sz w:val="20"/>
          <w:szCs w:val="20"/>
        </w:rPr>
      </w:pPr>
      <w:r w:rsidRPr="00885BD1">
        <w:rPr>
          <w:rFonts w:ascii="Arial" w:hAnsi="Arial" w:cs="Arial"/>
          <w:sz w:val="20"/>
          <w:szCs w:val="20"/>
        </w:rPr>
        <w:t xml:space="preserve">Protokoli sodelovanja različnih služb v okviru istega ali več sektorjev omogočajo </w:t>
      </w:r>
      <w:r w:rsidR="0070679D">
        <w:rPr>
          <w:rFonts w:ascii="Arial" w:hAnsi="Arial" w:cs="Arial"/>
          <w:sz w:val="20"/>
          <w:szCs w:val="20"/>
        </w:rPr>
        <w:t>neprekinjeno</w:t>
      </w:r>
      <w:r w:rsidR="0070679D" w:rsidRPr="00885BD1">
        <w:rPr>
          <w:rFonts w:ascii="Arial" w:hAnsi="Arial" w:cs="Arial"/>
          <w:sz w:val="20"/>
          <w:szCs w:val="20"/>
        </w:rPr>
        <w:t xml:space="preserve"> </w:t>
      </w:r>
      <w:r w:rsidRPr="00885BD1">
        <w:rPr>
          <w:rFonts w:ascii="Arial" w:hAnsi="Arial" w:cs="Arial"/>
          <w:sz w:val="20"/>
          <w:szCs w:val="20"/>
        </w:rPr>
        <w:t>obravnave v verigi oskrbe od preventive do kurative in psihosocialne rehabilitacije ter paliativne oskrbe.</w:t>
      </w:r>
      <w:r w:rsidR="00C40313" w:rsidRPr="00885BD1">
        <w:rPr>
          <w:rFonts w:ascii="Arial" w:hAnsi="Arial" w:cs="Arial"/>
          <w:sz w:val="20"/>
          <w:szCs w:val="20"/>
        </w:rPr>
        <w:t xml:space="preserve"> </w:t>
      </w:r>
      <w:r w:rsidRPr="00885BD1">
        <w:rPr>
          <w:rFonts w:ascii="Arial" w:hAnsi="Arial" w:cs="Arial"/>
          <w:sz w:val="20"/>
          <w:szCs w:val="20"/>
        </w:rPr>
        <w:t xml:space="preserve">Namen protokolov sodelovanja je povečati dostopnost do storitev za obvladovanje demence, izboljšati učinkovitost in </w:t>
      </w:r>
      <w:r w:rsidR="0070679D">
        <w:rPr>
          <w:rFonts w:ascii="Arial" w:hAnsi="Arial" w:cs="Arial"/>
          <w:sz w:val="20"/>
          <w:szCs w:val="20"/>
        </w:rPr>
        <w:t>neprekinjenost</w:t>
      </w:r>
      <w:r w:rsidR="0070679D" w:rsidRPr="00885BD1">
        <w:rPr>
          <w:rFonts w:ascii="Arial" w:hAnsi="Arial" w:cs="Arial"/>
          <w:sz w:val="20"/>
          <w:szCs w:val="20"/>
        </w:rPr>
        <w:t xml:space="preserve"> </w:t>
      </w:r>
      <w:r w:rsidRPr="00885BD1">
        <w:rPr>
          <w:rFonts w:ascii="Arial" w:hAnsi="Arial" w:cs="Arial"/>
          <w:sz w:val="20"/>
          <w:szCs w:val="20"/>
        </w:rPr>
        <w:t xml:space="preserve">obravnave v verigi oskrbe, uskladiti (so)delovanje služb </w:t>
      </w:r>
      <w:r w:rsidR="003D4144" w:rsidRPr="00885BD1">
        <w:rPr>
          <w:rFonts w:ascii="Arial" w:hAnsi="Arial" w:cs="Arial"/>
          <w:sz w:val="20"/>
          <w:szCs w:val="20"/>
        </w:rPr>
        <w:t>oziroma</w:t>
      </w:r>
      <w:r w:rsidRPr="00885BD1">
        <w:rPr>
          <w:rFonts w:ascii="Arial" w:hAnsi="Arial" w:cs="Arial"/>
          <w:sz w:val="20"/>
          <w:szCs w:val="20"/>
        </w:rPr>
        <w:t xml:space="preserve"> izvajalcev storitev, izboljšati kakovost in varnost storitev ter zmanjšati stigmo</w:t>
      </w:r>
      <w:r w:rsidR="00C40313" w:rsidRPr="00885BD1">
        <w:rPr>
          <w:rFonts w:ascii="Arial" w:hAnsi="Arial" w:cs="Arial"/>
          <w:sz w:val="20"/>
          <w:szCs w:val="20"/>
        </w:rPr>
        <w:t xml:space="preserve"> demence</w:t>
      </w:r>
      <w:r w:rsidR="003D4144" w:rsidRPr="00885BD1">
        <w:rPr>
          <w:rFonts w:ascii="Arial" w:hAnsi="Arial" w:cs="Arial"/>
          <w:sz w:val="20"/>
          <w:szCs w:val="20"/>
        </w:rPr>
        <w:t xml:space="preserve"> in starizma</w:t>
      </w:r>
      <w:r w:rsidR="00C40313" w:rsidRPr="00885BD1">
        <w:rPr>
          <w:rFonts w:ascii="Arial" w:hAnsi="Arial" w:cs="Arial"/>
          <w:sz w:val="20"/>
          <w:szCs w:val="20"/>
        </w:rPr>
        <w:t xml:space="preserve">. </w:t>
      </w:r>
      <w:r w:rsidR="003D4144" w:rsidRPr="00885BD1">
        <w:rPr>
          <w:rFonts w:ascii="Arial" w:hAnsi="Arial" w:cs="Arial"/>
          <w:sz w:val="20"/>
          <w:szCs w:val="20"/>
        </w:rPr>
        <w:t xml:space="preserve">Zaposleni v protokolih sodelovanja najdejo osnovne smernice za svoje delo in formalne podlage za medsebojno povezovanje služb in ponudnikov storitev, </w:t>
      </w:r>
      <w:r w:rsidR="00C40313" w:rsidRPr="00885BD1">
        <w:rPr>
          <w:rFonts w:ascii="Arial" w:hAnsi="Arial" w:cs="Arial"/>
          <w:sz w:val="20"/>
          <w:szCs w:val="20"/>
        </w:rPr>
        <w:t xml:space="preserve">uporabljajo </w:t>
      </w:r>
      <w:r w:rsidR="003D4144" w:rsidRPr="00885BD1">
        <w:rPr>
          <w:rFonts w:ascii="Arial" w:hAnsi="Arial" w:cs="Arial"/>
          <w:sz w:val="20"/>
          <w:szCs w:val="20"/>
        </w:rPr>
        <w:t>jih tudi</w:t>
      </w:r>
      <w:r w:rsidR="00C40313" w:rsidRPr="00885BD1">
        <w:rPr>
          <w:rFonts w:ascii="Arial" w:hAnsi="Arial" w:cs="Arial"/>
          <w:sz w:val="20"/>
          <w:szCs w:val="20"/>
        </w:rPr>
        <w:t xml:space="preserve"> </w:t>
      </w:r>
      <w:r w:rsidR="003D4144" w:rsidRPr="00885BD1">
        <w:rPr>
          <w:rFonts w:ascii="Arial" w:hAnsi="Arial" w:cs="Arial"/>
          <w:sz w:val="20"/>
          <w:szCs w:val="20"/>
        </w:rPr>
        <w:t>ob</w:t>
      </w:r>
      <w:r w:rsidR="00C40313" w:rsidRPr="00885BD1">
        <w:rPr>
          <w:rFonts w:ascii="Arial" w:hAnsi="Arial" w:cs="Arial"/>
          <w:sz w:val="20"/>
          <w:szCs w:val="20"/>
        </w:rPr>
        <w:t xml:space="preserve"> svojem vsakodnevnem delu</w:t>
      </w:r>
      <w:r w:rsidR="0070679D">
        <w:rPr>
          <w:rFonts w:ascii="Arial" w:hAnsi="Arial" w:cs="Arial"/>
          <w:sz w:val="20"/>
          <w:szCs w:val="20"/>
        </w:rPr>
        <w:t>.</w:t>
      </w:r>
      <w:r w:rsidR="00C40313" w:rsidRPr="00885BD1">
        <w:rPr>
          <w:rFonts w:ascii="Arial" w:hAnsi="Arial" w:cs="Arial"/>
          <w:sz w:val="20"/>
          <w:szCs w:val="20"/>
        </w:rPr>
        <w:t xml:space="preserve"> </w:t>
      </w:r>
      <w:r w:rsidR="003D4144" w:rsidRPr="00885BD1">
        <w:rPr>
          <w:rFonts w:ascii="Arial" w:hAnsi="Arial" w:cs="Arial"/>
          <w:sz w:val="20"/>
          <w:szCs w:val="20"/>
        </w:rPr>
        <w:t>N</w:t>
      </w:r>
      <w:r w:rsidR="00C40313" w:rsidRPr="00885BD1">
        <w:rPr>
          <w:rFonts w:ascii="Arial" w:hAnsi="Arial" w:cs="Arial"/>
          <w:sz w:val="20"/>
          <w:szCs w:val="20"/>
        </w:rPr>
        <w:t>atančen opis metodologije dela in ustroja izvajalcev storitev olajša sodelovanje med  strokovnimi službami v okviru istega resorja, več različnih resorjev ter sodelovanje z osebo z demenco, njenimi svojci ter drugimi deležniki, ki lahko pripomorejo k obvladovanju demence in vzpostavitvi demenci prijaznega okolja.</w:t>
      </w:r>
      <w:r w:rsidR="003D4144" w:rsidRPr="00885BD1">
        <w:t xml:space="preserve"> </w:t>
      </w:r>
      <w:r w:rsidR="003D4144" w:rsidRPr="00885BD1">
        <w:rPr>
          <w:rFonts w:ascii="Arial" w:hAnsi="Arial" w:cs="Arial"/>
          <w:sz w:val="20"/>
          <w:szCs w:val="20"/>
        </w:rPr>
        <w:t>Natančen opis protokolov sodelovanja je pripravljen tudi zato, da se lahko osebe z demenco, njihovi svojci ter zainteresirana javnost podrobno seznanijo z načinom dela v posameznih službah.</w:t>
      </w:r>
    </w:p>
    <w:p w14:paraId="66035A4F" w14:textId="1742B41D" w:rsidR="00D94F5D" w:rsidRPr="00885BD1" w:rsidRDefault="00D94F5D" w:rsidP="007C1E1C">
      <w:pPr>
        <w:spacing w:line="288" w:lineRule="auto"/>
        <w:jc w:val="both"/>
        <w:rPr>
          <w:rFonts w:eastAsia="Arial Narrow" w:cs="Arial"/>
          <w:szCs w:val="20"/>
          <w:lang w:val="sl-SI"/>
        </w:rPr>
      </w:pPr>
    </w:p>
    <w:p w14:paraId="02A9AE4A" w14:textId="77777777" w:rsidR="009A0226" w:rsidRDefault="009A0226">
      <w:pPr>
        <w:spacing w:line="240" w:lineRule="auto"/>
        <w:rPr>
          <w:rFonts w:eastAsiaTheme="majorEastAsia" w:cs="Arial"/>
          <w:color w:val="2F5496" w:themeColor="accent1" w:themeShade="BF"/>
          <w:kern w:val="32"/>
          <w:sz w:val="24"/>
          <w:lang w:val="sl-SI" w:eastAsia="sl-SI"/>
        </w:rPr>
      </w:pPr>
      <w:r w:rsidRPr="00FA6402">
        <w:rPr>
          <w:lang w:val="sl-SI"/>
        </w:rPr>
        <w:br w:type="page"/>
      </w:r>
    </w:p>
    <w:p w14:paraId="5F1A12A5" w14:textId="10D6272D" w:rsidR="00E03EDD" w:rsidRPr="00E546B0" w:rsidRDefault="006207D9" w:rsidP="00E546B0">
      <w:pPr>
        <w:pStyle w:val="Naslov1"/>
      </w:pPr>
      <w:bookmarkStart w:id="54" w:name="_Toc117692305"/>
      <w:r w:rsidRPr="00E546B0">
        <w:lastRenderedPageBreak/>
        <w:t>5</w:t>
      </w:r>
      <w:r w:rsidR="001E5C2E" w:rsidRPr="00E546B0">
        <w:t xml:space="preserve"> </w:t>
      </w:r>
      <w:r w:rsidR="00EE47CC" w:rsidRPr="00E546B0">
        <w:t>KADRI</w:t>
      </w:r>
      <w:bookmarkEnd w:id="54"/>
    </w:p>
    <w:p w14:paraId="7025AE95" w14:textId="70A7750D" w:rsidR="00D026F7" w:rsidRPr="00885BD1" w:rsidRDefault="00D026F7" w:rsidP="007C1E1C">
      <w:pPr>
        <w:spacing w:line="288" w:lineRule="auto"/>
        <w:jc w:val="both"/>
        <w:rPr>
          <w:rFonts w:cs="Arial"/>
          <w:szCs w:val="20"/>
          <w:lang w:val="sl-SI"/>
        </w:rPr>
      </w:pPr>
    </w:p>
    <w:p w14:paraId="19E7ABB7" w14:textId="527337AB" w:rsidR="001A311F" w:rsidRDefault="001A311F" w:rsidP="007C1E1C">
      <w:pPr>
        <w:spacing w:after="240" w:line="288" w:lineRule="auto"/>
        <w:jc w:val="both"/>
        <w:rPr>
          <w:rFonts w:eastAsia="Calibri" w:cs="Arial"/>
          <w:szCs w:val="20"/>
          <w:lang w:val="sl-SI"/>
        </w:rPr>
      </w:pPr>
      <w:r w:rsidRPr="00885BD1">
        <w:rPr>
          <w:rFonts w:eastAsia="Calibri" w:cs="Arial"/>
          <w:szCs w:val="20"/>
          <w:lang w:val="sl-SI"/>
        </w:rPr>
        <w:t>Za dosego cilj</w:t>
      </w:r>
      <w:r w:rsidR="00C84F5C" w:rsidRPr="00885BD1">
        <w:rPr>
          <w:rFonts w:eastAsia="Calibri" w:cs="Arial"/>
          <w:szCs w:val="20"/>
          <w:lang w:val="sl-SI"/>
        </w:rPr>
        <w:t>ev</w:t>
      </w:r>
      <w:r w:rsidRPr="00885BD1">
        <w:rPr>
          <w:rFonts w:eastAsia="Calibri" w:cs="Arial"/>
          <w:szCs w:val="20"/>
          <w:lang w:val="sl-SI"/>
        </w:rPr>
        <w:t xml:space="preserve"> bo treba </w:t>
      </w:r>
      <w:r w:rsidR="00C84F5C" w:rsidRPr="00885BD1">
        <w:rPr>
          <w:rFonts w:eastAsia="Calibri" w:cs="Arial"/>
          <w:szCs w:val="20"/>
          <w:lang w:val="sl-SI"/>
        </w:rPr>
        <w:t>zagotoviti učinkovito politiko promoviranja in načrtovanja kadrov s katerim bo mogoče z</w:t>
      </w:r>
      <w:r w:rsidRPr="00885BD1">
        <w:rPr>
          <w:rFonts w:eastAsia="Calibri" w:cs="Arial"/>
          <w:szCs w:val="20"/>
          <w:lang w:val="sl-SI"/>
        </w:rPr>
        <w:t>agotoviti dovolj ustrezno usposobljenih zdravstvenih delavcev in sodelavcev drugih strok za oblikovanje timov, ki bodo lahko pacientom zagotavljali multidisciplinarno, celovito in kakovostno obravnavo.</w:t>
      </w:r>
      <w:r w:rsidR="00D7113D" w:rsidRPr="00885BD1">
        <w:rPr>
          <w:rFonts w:eastAsia="Calibri" w:cs="Arial"/>
          <w:szCs w:val="20"/>
          <w:lang w:val="sl-SI"/>
        </w:rPr>
        <w:t xml:space="preserve"> </w:t>
      </w:r>
    </w:p>
    <w:p w14:paraId="1E35D4D4" w14:textId="5962EAE4" w:rsidR="00CA5340" w:rsidRDefault="00C339B5" w:rsidP="00CA5340">
      <w:pPr>
        <w:spacing w:line="288" w:lineRule="auto"/>
        <w:jc w:val="both"/>
        <w:rPr>
          <w:rFonts w:eastAsia="Calibri" w:cs="Arial"/>
          <w:szCs w:val="20"/>
          <w:lang w:val="sl-SI"/>
        </w:rPr>
      </w:pPr>
      <w:r w:rsidRPr="00C339B5">
        <w:rPr>
          <w:rFonts w:eastAsia="Calibri" w:cs="Arial"/>
          <w:szCs w:val="20"/>
          <w:lang w:val="sl-SI"/>
        </w:rPr>
        <w:t>Za zagotavljanje uspešnega delovanja timov in zagotavljanja integrirane obravnave je treba optimizirati delo vseh obstoječih izvajalcev v zdravstveno socialnem sistemu in jih učinkovito povezati v sistemu dolgotrajne oskrb</w:t>
      </w:r>
      <w:r w:rsidR="00160E78">
        <w:rPr>
          <w:rFonts w:eastAsia="Calibri" w:cs="Arial"/>
          <w:szCs w:val="20"/>
          <w:lang w:val="sl-SI"/>
        </w:rPr>
        <w:t>e</w:t>
      </w:r>
      <w:r w:rsidRPr="00C339B5">
        <w:rPr>
          <w:rFonts w:eastAsia="Calibri" w:cs="Arial"/>
          <w:szCs w:val="20"/>
          <w:lang w:val="sl-SI"/>
        </w:rPr>
        <w:t xml:space="preserve"> v smeri celostne obravnave pacienta, optimizirati administrativna bremena ter časovno zagotoviti dovolj neposrednega dela z osebo z demenco.</w:t>
      </w:r>
      <w:r w:rsidR="00960580">
        <w:rPr>
          <w:rFonts w:eastAsia="Calibri" w:cs="Arial"/>
          <w:szCs w:val="20"/>
          <w:lang w:val="sl-SI"/>
        </w:rPr>
        <w:t xml:space="preserve"> </w:t>
      </w:r>
      <w:r w:rsidRPr="00C339B5">
        <w:rPr>
          <w:rFonts w:eastAsia="Calibri" w:cs="Arial"/>
          <w:szCs w:val="20"/>
          <w:lang w:val="sl-SI"/>
        </w:rPr>
        <w:t>Sočasno je treba s pravnimi predpisi urediti, omogočiti in podpreti prenos nekaterih kompetenc in opravil, ki jih sedaj izvajajo deficitarni kadri, na druge strokovnjake. Pri tem se moramo zgledovati po dobrih praksah v drugih evropskih državah</w:t>
      </w:r>
      <w:r w:rsidR="00BC522E">
        <w:rPr>
          <w:rFonts w:eastAsia="Calibri" w:cs="Arial"/>
          <w:szCs w:val="20"/>
          <w:lang w:val="sl-SI"/>
        </w:rPr>
        <w:t>, kot na</w:t>
      </w:r>
      <w:r w:rsidR="001545E7">
        <w:rPr>
          <w:rFonts w:eastAsia="Calibri" w:cs="Arial"/>
          <w:szCs w:val="20"/>
          <w:lang w:val="sl-SI"/>
        </w:rPr>
        <w:t xml:space="preserve"> </w:t>
      </w:r>
      <w:r w:rsidR="00BC522E">
        <w:rPr>
          <w:rFonts w:eastAsia="Calibri" w:cs="Arial"/>
          <w:szCs w:val="20"/>
          <w:lang w:val="sl-SI"/>
        </w:rPr>
        <w:t xml:space="preserve">primer </w:t>
      </w:r>
      <w:r w:rsidR="001E5C2E">
        <w:rPr>
          <w:rFonts w:eastAsia="Calibri" w:cs="Arial"/>
          <w:szCs w:val="20"/>
          <w:lang w:val="sl-SI"/>
        </w:rPr>
        <w:t xml:space="preserve">na </w:t>
      </w:r>
      <w:r w:rsidR="00BC522E">
        <w:rPr>
          <w:rFonts w:eastAsia="Calibri" w:cs="Arial"/>
          <w:szCs w:val="20"/>
          <w:lang w:val="sl-SI"/>
        </w:rPr>
        <w:t>Finsk</w:t>
      </w:r>
      <w:r w:rsidR="00160E78">
        <w:rPr>
          <w:rFonts w:eastAsia="Calibri" w:cs="Arial"/>
          <w:szCs w:val="20"/>
          <w:lang w:val="sl-SI"/>
        </w:rPr>
        <w:t>em</w:t>
      </w:r>
      <w:r w:rsidR="00CA5340">
        <w:rPr>
          <w:rFonts w:eastAsia="Calibri" w:cs="Arial"/>
          <w:szCs w:val="20"/>
          <w:lang w:val="sl-SI"/>
        </w:rPr>
        <w:t xml:space="preserve"> ali </w:t>
      </w:r>
      <w:r w:rsidR="00CA5340" w:rsidRPr="00CA5340">
        <w:rPr>
          <w:rFonts w:eastAsia="Calibri" w:cs="Arial"/>
          <w:szCs w:val="20"/>
          <w:lang w:val="sl-SI"/>
        </w:rPr>
        <w:t>primer koncept</w:t>
      </w:r>
      <w:r w:rsidR="00CA5340">
        <w:rPr>
          <w:rFonts w:eastAsia="Calibri" w:cs="Arial"/>
          <w:szCs w:val="20"/>
          <w:lang w:val="sl-SI"/>
        </w:rPr>
        <w:t>a</w:t>
      </w:r>
      <w:r w:rsidR="00CA5340" w:rsidRPr="00CA5340">
        <w:rPr>
          <w:rFonts w:eastAsia="Calibri" w:cs="Arial"/>
          <w:szCs w:val="20"/>
          <w:lang w:val="sl-SI"/>
        </w:rPr>
        <w:t xml:space="preserve"> medicinske sestre specializirane za demenco v Veliki Britaniji</w:t>
      </w:r>
      <w:r w:rsidR="00CA5340">
        <w:rPr>
          <w:rFonts w:eastAsia="Calibri" w:cs="Arial"/>
          <w:szCs w:val="20"/>
          <w:lang w:val="sl-SI"/>
        </w:rPr>
        <w:t xml:space="preserve"> in na </w:t>
      </w:r>
      <w:r w:rsidR="00CA5340" w:rsidRPr="00CA5340">
        <w:rPr>
          <w:rFonts w:eastAsia="Calibri" w:cs="Arial"/>
          <w:szCs w:val="20"/>
          <w:lang w:val="sl-SI"/>
        </w:rPr>
        <w:t>Nizozemsk</w:t>
      </w:r>
      <w:r w:rsidR="00CA5340">
        <w:rPr>
          <w:rFonts w:eastAsia="Calibri" w:cs="Arial"/>
          <w:szCs w:val="20"/>
          <w:lang w:val="sl-SI"/>
        </w:rPr>
        <w:t>em</w:t>
      </w:r>
      <w:r w:rsidR="00CA5340">
        <w:rPr>
          <w:rStyle w:val="Sprotnaopomba-sklic"/>
          <w:rFonts w:eastAsia="Calibri" w:cs="Arial"/>
          <w:szCs w:val="20"/>
          <w:lang w:val="sl-SI"/>
        </w:rPr>
        <w:footnoteReference w:id="36"/>
      </w:r>
      <w:r w:rsidR="00CA5340">
        <w:rPr>
          <w:rFonts w:eastAsia="Calibri" w:cs="Arial"/>
          <w:szCs w:val="20"/>
          <w:lang w:val="sl-SI"/>
        </w:rPr>
        <w:t>.</w:t>
      </w:r>
    </w:p>
    <w:p w14:paraId="12EFBD5E" w14:textId="77777777" w:rsidR="00960580" w:rsidRDefault="00960580" w:rsidP="00960580">
      <w:pPr>
        <w:spacing w:line="288" w:lineRule="auto"/>
        <w:jc w:val="both"/>
        <w:rPr>
          <w:rFonts w:eastAsia="Calibri" w:cs="Arial"/>
          <w:szCs w:val="20"/>
          <w:lang w:val="sl-SI"/>
        </w:rPr>
      </w:pPr>
    </w:p>
    <w:p w14:paraId="0F2354FE" w14:textId="15F7E9A8" w:rsidR="00C339B5" w:rsidRPr="00885BD1" w:rsidRDefault="00C339B5" w:rsidP="00C339B5">
      <w:pPr>
        <w:spacing w:after="240" w:line="288" w:lineRule="auto"/>
        <w:jc w:val="both"/>
        <w:rPr>
          <w:rFonts w:eastAsia="Calibri" w:cs="Arial"/>
          <w:szCs w:val="20"/>
          <w:lang w:val="sl-SI"/>
        </w:rPr>
      </w:pPr>
      <w:r w:rsidRPr="00C339B5">
        <w:rPr>
          <w:rFonts w:eastAsia="Calibri" w:cs="Arial"/>
          <w:szCs w:val="20"/>
          <w:lang w:val="sl-SI"/>
        </w:rPr>
        <w:t>Zagotoviti je potrebno strateško in učinkovito ukrepanje ter delovne pogoje, ki bodo preprečevali izgorelost zdravstvenih delavcev v Sloveniji, ki ogroža zdravje zdravstvenih delavcev, varnost oseb z demenco ter odvrača zaposlitev na obravnavanem področju. Zaposlenim je potrebno zagotoviti izpopolnjevanja in usposabljanja na področju dela z osebami z demenco, komunikacije, obvladovanja konfliktnih situacij in prepoznavanja vseh oblik nasilja.</w:t>
      </w:r>
    </w:p>
    <w:p w14:paraId="0360D0F9" w14:textId="69CDA0E0" w:rsidR="00392B0A" w:rsidRDefault="004E1395" w:rsidP="000152FD">
      <w:pPr>
        <w:spacing w:line="276" w:lineRule="auto"/>
        <w:jc w:val="both"/>
        <w:rPr>
          <w:rStyle w:val="Intenzivenpoudarek"/>
          <w:rFonts w:eastAsiaTheme="majorEastAsia" w:cs="Arial"/>
          <w:i w:val="0"/>
          <w:iCs w:val="0"/>
          <w:color w:val="2F5496" w:themeColor="accent1" w:themeShade="BF"/>
          <w:kern w:val="32"/>
          <w:szCs w:val="20"/>
          <w:lang w:val="sl-SI" w:eastAsia="sl-SI"/>
        </w:rPr>
      </w:pPr>
      <w:bookmarkStart w:id="55" w:name="_Toc62108601"/>
      <w:r w:rsidRPr="000152FD">
        <w:rPr>
          <w:rStyle w:val="Intenzivenpoudarek"/>
          <w:i w:val="0"/>
          <w:iCs w:val="0"/>
          <w:color w:val="auto"/>
          <w:lang w:val="sl-SI"/>
        </w:rPr>
        <w:t>Za ublažitev posledic kadrovskega pomanjkanja bo</w:t>
      </w:r>
      <w:r w:rsidR="001545E7" w:rsidRPr="000152FD">
        <w:rPr>
          <w:rStyle w:val="Intenzivenpoudarek"/>
          <w:i w:val="0"/>
          <w:iCs w:val="0"/>
          <w:color w:val="auto"/>
          <w:lang w:val="sl-SI"/>
        </w:rPr>
        <w:t xml:space="preserve">do z akcijskim načrtom opredeljeni </w:t>
      </w:r>
      <w:r w:rsidR="0053476D" w:rsidRPr="000152FD">
        <w:rPr>
          <w:rStyle w:val="Intenzivenpoudarek"/>
          <w:i w:val="0"/>
          <w:iCs w:val="0"/>
          <w:color w:val="auto"/>
          <w:lang w:val="sl-SI"/>
        </w:rPr>
        <w:t xml:space="preserve">kratkoročni in dolgoročni </w:t>
      </w:r>
      <w:r w:rsidR="001545E7" w:rsidRPr="000152FD">
        <w:rPr>
          <w:rStyle w:val="Intenzivenpoudarek"/>
          <w:i w:val="0"/>
          <w:iCs w:val="0"/>
          <w:color w:val="auto"/>
          <w:lang w:val="sl-SI"/>
        </w:rPr>
        <w:t xml:space="preserve">ukrepi </w:t>
      </w:r>
      <w:r w:rsidR="0053476D" w:rsidRPr="000152FD">
        <w:rPr>
          <w:rStyle w:val="Intenzivenpoudarek"/>
          <w:i w:val="0"/>
          <w:iCs w:val="0"/>
          <w:color w:val="auto"/>
          <w:lang w:val="sl-SI"/>
        </w:rPr>
        <w:t xml:space="preserve">tako </w:t>
      </w:r>
      <w:r w:rsidR="001545E7" w:rsidRPr="000152FD">
        <w:rPr>
          <w:rStyle w:val="Intenzivenpoudarek"/>
          <w:i w:val="0"/>
          <w:iCs w:val="0"/>
          <w:color w:val="auto"/>
          <w:lang w:val="sl-SI"/>
        </w:rPr>
        <w:t>za krepitev kadrovskih kompetenc deležnikov  v verigi oskrbe oseb z demenco in za podporo njihovim svojcem</w:t>
      </w:r>
      <w:r w:rsidR="0053476D" w:rsidRPr="000152FD">
        <w:rPr>
          <w:rStyle w:val="Intenzivenpoudarek"/>
          <w:i w:val="0"/>
          <w:iCs w:val="0"/>
          <w:color w:val="auto"/>
          <w:lang w:val="sl-SI"/>
        </w:rPr>
        <w:t xml:space="preserve"> kot</w:t>
      </w:r>
      <w:r w:rsidR="001545E7" w:rsidRPr="000152FD">
        <w:rPr>
          <w:rStyle w:val="Intenzivenpoudarek"/>
          <w:i w:val="0"/>
          <w:iCs w:val="0"/>
          <w:color w:val="auto"/>
          <w:lang w:val="sl-SI"/>
        </w:rPr>
        <w:t xml:space="preserve"> za povezovanje obstoječih kadrovskih struktur oziroma služb ter </w:t>
      </w:r>
      <w:r w:rsidR="0053476D" w:rsidRPr="000152FD">
        <w:rPr>
          <w:rStyle w:val="Intenzivenpoudarek"/>
          <w:i w:val="0"/>
          <w:iCs w:val="0"/>
          <w:color w:val="auto"/>
          <w:lang w:val="sl-SI"/>
        </w:rPr>
        <w:t xml:space="preserve">njihovo dopolnitev. Med dolgoročne ukrepe lahko uvrstimo izobraževanje deficitarnih poklicev in sistemsko vzpostavitev dodatnih usposabljanj oziroma specializacij za delo z osebami z demenco. Med kratkoročne cilje za ublažitev kadrovskega primanjkljaja pa lahko uvrstimo </w:t>
      </w:r>
      <w:r w:rsidR="00207F9A" w:rsidRPr="000152FD">
        <w:rPr>
          <w:rStyle w:val="Intenzivenpoudarek"/>
          <w:i w:val="0"/>
          <w:iCs w:val="0"/>
          <w:color w:val="auto"/>
          <w:lang w:val="sl-SI"/>
        </w:rPr>
        <w:t xml:space="preserve">dodatno usposabljanje obstoječih kadrov in </w:t>
      </w:r>
      <w:r w:rsidR="0053476D" w:rsidRPr="000152FD">
        <w:rPr>
          <w:rStyle w:val="Intenzivenpoudarek"/>
          <w:i w:val="0"/>
          <w:iCs w:val="0"/>
          <w:color w:val="auto"/>
          <w:lang w:val="sl-SI"/>
        </w:rPr>
        <w:t>ukrepe za povečanje pismenosti o demenci med splošno in ciljnimi populacijami ter načrt za sistemsko spodbudo svojcem, nevladnim organizacijam, prostovoljcem in drugim deležnikom v lokalnem okolju za izvajanje dejavnosti, s katerimi dopolnjujejo storitve javnih služb</w:t>
      </w:r>
      <w:r w:rsidR="00207F9A" w:rsidRPr="000152FD">
        <w:rPr>
          <w:rStyle w:val="Intenzivenpoudarek"/>
          <w:i w:val="0"/>
          <w:iCs w:val="0"/>
          <w:color w:val="auto"/>
          <w:lang w:val="sl-SI"/>
        </w:rPr>
        <w:t>. Neformalni oskrbovalci lahko</w:t>
      </w:r>
      <w:r w:rsidR="0053476D" w:rsidRPr="000152FD">
        <w:rPr>
          <w:rStyle w:val="Intenzivenpoudarek"/>
          <w:i w:val="0"/>
          <w:iCs w:val="0"/>
          <w:color w:val="auto"/>
          <w:lang w:val="sl-SI"/>
        </w:rPr>
        <w:t xml:space="preserve"> osebam z demenco omogočajo, da čim dlje ostajajo v domačem okolju. Pri tem </w:t>
      </w:r>
      <w:r w:rsidR="00207F9A" w:rsidRPr="000152FD">
        <w:rPr>
          <w:rStyle w:val="Intenzivenpoudarek"/>
          <w:i w:val="0"/>
          <w:iCs w:val="0"/>
          <w:color w:val="auto"/>
          <w:lang w:val="sl-SI"/>
        </w:rPr>
        <w:t xml:space="preserve">pa </w:t>
      </w:r>
      <w:r w:rsidR="0053476D" w:rsidRPr="000152FD">
        <w:rPr>
          <w:rStyle w:val="Intenzivenpoudarek"/>
          <w:i w:val="0"/>
          <w:iCs w:val="0"/>
          <w:color w:val="auto"/>
          <w:lang w:val="sl-SI"/>
        </w:rPr>
        <w:t xml:space="preserve">imajo pomembno vlogo </w:t>
      </w:r>
      <w:r w:rsidR="00207F9A" w:rsidRPr="000152FD">
        <w:rPr>
          <w:rStyle w:val="Intenzivenpoudarek"/>
          <w:i w:val="0"/>
          <w:iCs w:val="0"/>
          <w:color w:val="auto"/>
          <w:lang w:val="sl-SI"/>
        </w:rPr>
        <w:t xml:space="preserve">zlasti </w:t>
      </w:r>
      <w:r w:rsidR="0053476D" w:rsidRPr="000152FD">
        <w:rPr>
          <w:rStyle w:val="Intenzivenpoudarek"/>
          <w:i w:val="0"/>
          <w:iCs w:val="0"/>
          <w:color w:val="auto"/>
          <w:lang w:val="sl-SI"/>
        </w:rPr>
        <w:t xml:space="preserve">njihovi svojci, ki </w:t>
      </w:r>
      <w:r w:rsidR="00207F9A" w:rsidRPr="000152FD">
        <w:rPr>
          <w:rStyle w:val="Intenzivenpoudarek"/>
          <w:i w:val="0"/>
          <w:iCs w:val="0"/>
          <w:color w:val="auto"/>
          <w:lang w:val="sl-SI"/>
        </w:rPr>
        <w:t>so ogroženi, da bodo zaradi prevelikih bremen</w:t>
      </w:r>
      <w:r w:rsidR="0053476D" w:rsidRPr="000152FD">
        <w:rPr>
          <w:rStyle w:val="Intenzivenpoudarek"/>
          <w:i w:val="0"/>
          <w:iCs w:val="0"/>
          <w:color w:val="auto"/>
          <w:lang w:val="sl-SI"/>
        </w:rPr>
        <w:t xml:space="preserve"> brez sistemske podpore države</w:t>
      </w:r>
      <w:r w:rsidR="00207F9A" w:rsidRPr="000152FD">
        <w:rPr>
          <w:rStyle w:val="Intenzivenpoudarek"/>
          <w:i w:val="0"/>
          <w:iCs w:val="0"/>
          <w:color w:val="auto"/>
          <w:lang w:val="sl-SI"/>
        </w:rPr>
        <w:t xml:space="preserve"> sčasoma tudi sami potrebovali zdravniško pomoč. Neformalni oskrbovalci lahko s sistemskim izobraževanjem, usposabljanjem in ustrezno socialno podporo pomembno pripomorejo tudi k razbremenitvi poklicnih kadrov.</w:t>
      </w:r>
      <w:r w:rsidR="00392B0A" w:rsidRPr="00285980">
        <w:rPr>
          <w:rStyle w:val="Intenzivenpoudarek"/>
          <w:i w:val="0"/>
          <w:iCs w:val="0"/>
          <w:color w:val="2F5496" w:themeColor="accent1" w:themeShade="BF"/>
          <w:lang w:val="sl-SI"/>
        </w:rPr>
        <w:br w:type="page"/>
      </w:r>
    </w:p>
    <w:p w14:paraId="5D68921C" w14:textId="292B7629" w:rsidR="00CE41F2" w:rsidRDefault="00642895" w:rsidP="00E546B0">
      <w:pPr>
        <w:pStyle w:val="Naslov1"/>
        <w:rPr>
          <w:rStyle w:val="Intenzivenpoudarek"/>
          <w:i w:val="0"/>
          <w:iCs w:val="0"/>
          <w:color w:val="2F5496" w:themeColor="accent1" w:themeShade="BF"/>
        </w:rPr>
      </w:pPr>
      <w:bookmarkStart w:id="56" w:name="_Toc117692306"/>
      <w:r>
        <w:rPr>
          <w:rStyle w:val="Intenzivenpoudarek"/>
          <w:i w:val="0"/>
          <w:iCs w:val="0"/>
          <w:color w:val="2F5496" w:themeColor="accent1" w:themeShade="BF"/>
        </w:rPr>
        <w:lastRenderedPageBreak/>
        <w:t>6</w:t>
      </w:r>
      <w:r w:rsidR="00CE41F2" w:rsidRPr="00885BD1">
        <w:rPr>
          <w:rStyle w:val="Intenzivenpoudarek"/>
          <w:i w:val="0"/>
          <w:iCs w:val="0"/>
          <w:color w:val="2F5496" w:themeColor="accent1" w:themeShade="BF"/>
        </w:rPr>
        <w:t xml:space="preserve"> </w:t>
      </w:r>
      <w:r w:rsidR="001267E4" w:rsidRPr="00885BD1">
        <w:rPr>
          <w:rStyle w:val="Intenzivenpoudarek"/>
          <w:i w:val="0"/>
          <w:iCs w:val="0"/>
          <w:color w:val="2F5496" w:themeColor="accent1" w:themeShade="BF"/>
        </w:rPr>
        <w:t>IZOBRAŽEVANJE IN RAZISKAVE</w:t>
      </w:r>
      <w:bookmarkEnd w:id="55"/>
      <w:bookmarkEnd w:id="56"/>
      <w:r w:rsidR="00654476" w:rsidRPr="00885BD1">
        <w:rPr>
          <w:rStyle w:val="Intenzivenpoudarek"/>
          <w:i w:val="0"/>
          <w:iCs w:val="0"/>
          <w:color w:val="2F5496" w:themeColor="accent1" w:themeShade="BF"/>
        </w:rPr>
        <w:t xml:space="preserve"> </w:t>
      </w:r>
    </w:p>
    <w:p w14:paraId="2E7AF233" w14:textId="2CF862EA" w:rsidR="00A11EEF" w:rsidRDefault="00642895" w:rsidP="00E546B0">
      <w:pPr>
        <w:pStyle w:val="Naslov1"/>
      </w:pPr>
      <w:bookmarkStart w:id="57" w:name="_Toc117692307"/>
      <w:r>
        <w:t>6.1 Izobraževanje</w:t>
      </w:r>
      <w:bookmarkEnd w:id="57"/>
      <w:r>
        <w:t xml:space="preserve"> </w:t>
      </w:r>
    </w:p>
    <w:p w14:paraId="637DE055" w14:textId="77777777" w:rsidR="00642895" w:rsidRDefault="00642895" w:rsidP="00097D69">
      <w:pPr>
        <w:jc w:val="both"/>
        <w:rPr>
          <w:rFonts w:cs="Arial"/>
          <w:szCs w:val="20"/>
          <w:lang w:val="sl-SI"/>
        </w:rPr>
      </w:pPr>
    </w:p>
    <w:p w14:paraId="33002220" w14:textId="74F7DA48" w:rsidR="00097D69" w:rsidRPr="00215054" w:rsidRDefault="00097D69" w:rsidP="00097D69">
      <w:pPr>
        <w:jc w:val="both"/>
        <w:rPr>
          <w:rFonts w:cs="Arial"/>
          <w:szCs w:val="20"/>
          <w:lang w:val="sl-SI"/>
        </w:rPr>
      </w:pPr>
      <w:r w:rsidRPr="00215054">
        <w:rPr>
          <w:rFonts w:cs="Arial"/>
          <w:szCs w:val="20"/>
          <w:lang w:val="sl-SI"/>
        </w:rPr>
        <w:t>Za uspešno implementacijo Strategije je nadvse pomembno osveščanje in izobraževanje. Pomembni strukturni in vsebinski elementi izobraževanja so:</w:t>
      </w:r>
    </w:p>
    <w:p w14:paraId="183ACF39" w14:textId="08FFA455" w:rsidR="001E5C2E" w:rsidRPr="00215054" w:rsidRDefault="00097D69" w:rsidP="00097D69">
      <w:pPr>
        <w:jc w:val="both"/>
        <w:rPr>
          <w:rFonts w:cs="Arial"/>
          <w:szCs w:val="20"/>
          <w:lang w:val="sl-SI"/>
        </w:rPr>
      </w:pPr>
      <w:r w:rsidRPr="00215054">
        <w:rPr>
          <w:rFonts w:cs="Arial"/>
          <w:szCs w:val="20"/>
          <w:lang w:val="sl-SI"/>
        </w:rPr>
        <w:tab/>
        <w:t xml:space="preserve">Izobraževanje mora ciljno zajeti različne segmente družbe: </w:t>
      </w:r>
    </w:p>
    <w:p w14:paraId="25AE924E" w14:textId="1BB7A73E" w:rsidR="001E5C2E" w:rsidRPr="00215054" w:rsidRDefault="00097D69" w:rsidP="001E5C2E">
      <w:pPr>
        <w:pStyle w:val="Odstavekseznama"/>
        <w:numPr>
          <w:ilvl w:val="0"/>
          <w:numId w:val="49"/>
        </w:numPr>
        <w:jc w:val="both"/>
        <w:rPr>
          <w:rFonts w:ascii="Arial" w:hAnsi="Arial" w:cs="Arial"/>
          <w:sz w:val="20"/>
          <w:szCs w:val="20"/>
        </w:rPr>
      </w:pPr>
      <w:r w:rsidRPr="00215054">
        <w:rPr>
          <w:rFonts w:ascii="Arial" w:hAnsi="Arial" w:cs="Arial"/>
          <w:sz w:val="20"/>
          <w:szCs w:val="20"/>
        </w:rPr>
        <w:t>splošno javnost</w:t>
      </w:r>
      <w:r w:rsidR="001E5C2E" w:rsidRPr="00215054">
        <w:rPr>
          <w:rFonts w:ascii="Arial" w:hAnsi="Arial" w:cs="Arial"/>
          <w:sz w:val="20"/>
          <w:szCs w:val="20"/>
        </w:rPr>
        <w:t>;</w:t>
      </w:r>
    </w:p>
    <w:p w14:paraId="215DD88C" w14:textId="77777777" w:rsidR="001E5C2E" w:rsidRPr="00215054" w:rsidRDefault="00097D69" w:rsidP="001E5C2E">
      <w:pPr>
        <w:pStyle w:val="Odstavekseznama"/>
        <w:numPr>
          <w:ilvl w:val="0"/>
          <w:numId w:val="49"/>
        </w:numPr>
        <w:jc w:val="both"/>
        <w:rPr>
          <w:rFonts w:ascii="Arial" w:hAnsi="Arial" w:cs="Arial"/>
          <w:sz w:val="20"/>
          <w:szCs w:val="20"/>
        </w:rPr>
      </w:pPr>
      <w:r w:rsidRPr="00215054">
        <w:rPr>
          <w:rFonts w:ascii="Arial" w:hAnsi="Arial" w:cs="Arial"/>
          <w:sz w:val="20"/>
          <w:szCs w:val="20"/>
        </w:rPr>
        <w:t xml:space="preserve">tiste poklicne skupine, ki pogosteje prihajajo v stik z osebo z demenco (npr. policija, gasilska služba, reševalci, sodniki, odvetniki, arhitekti, delavci v lokalni skupnosti - šoferji avtobusov, taksisti, knjižničarji, finančni uslužbenci, maloprodajno in gostinsko osebje; </w:t>
      </w:r>
    </w:p>
    <w:p w14:paraId="1DC58CCE" w14:textId="77777777" w:rsidR="001E5C2E" w:rsidRPr="00215054" w:rsidRDefault="00097D69" w:rsidP="001E5C2E">
      <w:pPr>
        <w:pStyle w:val="Odstavekseznama"/>
        <w:numPr>
          <w:ilvl w:val="0"/>
          <w:numId w:val="49"/>
        </w:numPr>
        <w:jc w:val="both"/>
        <w:rPr>
          <w:rFonts w:ascii="Arial" w:hAnsi="Arial" w:cs="Arial"/>
          <w:sz w:val="20"/>
          <w:szCs w:val="20"/>
        </w:rPr>
      </w:pPr>
      <w:r w:rsidRPr="00215054">
        <w:rPr>
          <w:rFonts w:ascii="Arial" w:hAnsi="Arial" w:cs="Arial"/>
          <w:sz w:val="20"/>
          <w:szCs w:val="20"/>
        </w:rPr>
        <w:t>oskrbovalci;</w:t>
      </w:r>
    </w:p>
    <w:p w14:paraId="11492369" w14:textId="77777777" w:rsidR="001E5C2E" w:rsidRPr="00215054" w:rsidRDefault="00097D69" w:rsidP="001E5C2E">
      <w:pPr>
        <w:pStyle w:val="Odstavekseznama"/>
        <w:numPr>
          <w:ilvl w:val="0"/>
          <w:numId w:val="49"/>
        </w:numPr>
        <w:jc w:val="both"/>
        <w:rPr>
          <w:rFonts w:ascii="Arial" w:hAnsi="Arial" w:cs="Arial"/>
          <w:sz w:val="20"/>
          <w:szCs w:val="20"/>
        </w:rPr>
      </w:pPr>
      <w:r w:rsidRPr="00215054">
        <w:rPr>
          <w:rFonts w:ascii="Arial" w:hAnsi="Arial" w:cs="Arial"/>
          <w:sz w:val="20"/>
          <w:szCs w:val="20"/>
        </w:rPr>
        <w:t>strokovni delavci v verigi oskrbe oseb z demenco (zdravstveno osebje, socialni delavci, negovalci, izvajalci v DO);</w:t>
      </w:r>
    </w:p>
    <w:p w14:paraId="42440492" w14:textId="77777777" w:rsidR="001E5C2E" w:rsidRPr="00215054" w:rsidRDefault="00097D69" w:rsidP="001E5C2E">
      <w:pPr>
        <w:pStyle w:val="Odstavekseznama"/>
        <w:numPr>
          <w:ilvl w:val="0"/>
          <w:numId w:val="49"/>
        </w:numPr>
        <w:jc w:val="both"/>
        <w:rPr>
          <w:rFonts w:ascii="Arial" w:hAnsi="Arial" w:cs="Arial"/>
          <w:sz w:val="20"/>
          <w:szCs w:val="20"/>
        </w:rPr>
      </w:pPr>
      <w:r w:rsidRPr="00215054">
        <w:rPr>
          <w:rFonts w:ascii="Arial" w:hAnsi="Arial" w:cs="Arial"/>
          <w:sz w:val="20"/>
          <w:szCs w:val="20"/>
        </w:rPr>
        <w:t>bolniki v zgodnjih obdobjih;</w:t>
      </w:r>
    </w:p>
    <w:p w14:paraId="196F5268" w14:textId="77777777" w:rsidR="001E5C2E" w:rsidRPr="00215054" w:rsidRDefault="00097D69" w:rsidP="001E5C2E">
      <w:pPr>
        <w:pStyle w:val="Odstavekseznama"/>
        <w:numPr>
          <w:ilvl w:val="0"/>
          <w:numId w:val="49"/>
        </w:numPr>
        <w:jc w:val="both"/>
        <w:rPr>
          <w:rFonts w:ascii="Arial" w:hAnsi="Arial" w:cs="Arial"/>
          <w:sz w:val="20"/>
          <w:szCs w:val="20"/>
        </w:rPr>
      </w:pPr>
      <w:r w:rsidRPr="00215054">
        <w:rPr>
          <w:rFonts w:ascii="Arial" w:hAnsi="Arial" w:cs="Arial"/>
          <w:sz w:val="20"/>
          <w:szCs w:val="20"/>
        </w:rPr>
        <w:t xml:space="preserve">odločevalci in načrtovalci zdravstveno-socialne politike; </w:t>
      </w:r>
    </w:p>
    <w:p w14:paraId="1D368912" w14:textId="77777777" w:rsidR="001E5C2E" w:rsidRPr="00215054" w:rsidRDefault="001E5C2E" w:rsidP="001E5C2E">
      <w:pPr>
        <w:pStyle w:val="Odstavekseznama"/>
        <w:numPr>
          <w:ilvl w:val="0"/>
          <w:numId w:val="49"/>
        </w:numPr>
        <w:jc w:val="both"/>
        <w:rPr>
          <w:rFonts w:ascii="Arial" w:hAnsi="Arial" w:cs="Arial"/>
          <w:sz w:val="20"/>
          <w:szCs w:val="20"/>
        </w:rPr>
      </w:pPr>
      <w:r w:rsidRPr="00215054">
        <w:rPr>
          <w:rFonts w:ascii="Arial" w:hAnsi="Arial" w:cs="Arial"/>
          <w:sz w:val="20"/>
          <w:szCs w:val="20"/>
        </w:rPr>
        <w:t>in</w:t>
      </w:r>
      <w:r w:rsidR="00097D69" w:rsidRPr="00215054">
        <w:rPr>
          <w:rFonts w:ascii="Arial" w:hAnsi="Arial" w:cs="Arial"/>
          <w:sz w:val="20"/>
          <w:szCs w:val="20"/>
        </w:rPr>
        <w:t xml:space="preserve"> drugi.</w:t>
      </w:r>
    </w:p>
    <w:p w14:paraId="3039A1A3" w14:textId="79E33A0A" w:rsidR="00097D69" w:rsidRPr="00215054" w:rsidRDefault="00097D69" w:rsidP="001E5C2E">
      <w:pPr>
        <w:pStyle w:val="Odstavekseznama"/>
        <w:numPr>
          <w:ilvl w:val="0"/>
          <w:numId w:val="50"/>
        </w:numPr>
        <w:jc w:val="both"/>
        <w:rPr>
          <w:rFonts w:ascii="Arial" w:hAnsi="Arial" w:cs="Arial"/>
          <w:sz w:val="20"/>
          <w:szCs w:val="20"/>
        </w:rPr>
      </w:pPr>
      <w:r w:rsidRPr="00215054">
        <w:rPr>
          <w:rFonts w:ascii="Arial" w:hAnsi="Arial" w:cs="Arial"/>
          <w:sz w:val="20"/>
          <w:szCs w:val="20"/>
        </w:rPr>
        <w:t>Izobraževanje mora v prilagojeni obliki zajeti vse starostne skupine bodisi kot formalni del učnih načrtov (od vrtcev do univerz tretjega obdobja) in kot neformalno, glede na potrebe in interes organizirano izobraževanje</w:t>
      </w:r>
      <w:r w:rsidR="00960580" w:rsidRPr="00215054">
        <w:rPr>
          <w:rFonts w:ascii="Arial" w:hAnsi="Arial" w:cs="Arial"/>
          <w:sz w:val="20"/>
          <w:szCs w:val="20"/>
        </w:rPr>
        <w:t>.</w:t>
      </w:r>
    </w:p>
    <w:p w14:paraId="2DFAC448" w14:textId="6999797E" w:rsidR="00097D69" w:rsidRPr="00215054" w:rsidRDefault="00097D69" w:rsidP="00960580">
      <w:pPr>
        <w:pStyle w:val="Odstavekseznama"/>
        <w:numPr>
          <w:ilvl w:val="0"/>
          <w:numId w:val="43"/>
        </w:numPr>
        <w:jc w:val="both"/>
        <w:rPr>
          <w:rFonts w:ascii="Arial" w:hAnsi="Arial" w:cs="Arial"/>
          <w:sz w:val="20"/>
          <w:szCs w:val="20"/>
        </w:rPr>
      </w:pPr>
      <w:r w:rsidRPr="00215054">
        <w:rPr>
          <w:rFonts w:ascii="Arial" w:hAnsi="Arial" w:cs="Arial"/>
          <w:sz w:val="20"/>
          <w:szCs w:val="20"/>
        </w:rPr>
        <w:t>Izobraževanje mora vključevati tako spoznanja o zdravih slogih življenja, možnostih preventive oz. odloga nevrokognitivnih motenj, kot celostno obravnavo, farmakološko in nefarmakološko, komunikacije, obvladovanja konfliktnih situacij in prepoznavanja vseh oblik nasilja, zlasti nad ženskami in drugimi ranljivimi skupinami socialne, in ostale psihološke, ekonomske, pravne in druge vidike demence kot bio-psiho-socialnega fenomena</w:t>
      </w:r>
      <w:r w:rsidR="00960580" w:rsidRPr="00215054">
        <w:rPr>
          <w:rFonts w:ascii="Arial" w:hAnsi="Arial" w:cs="Arial"/>
          <w:sz w:val="20"/>
          <w:szCs w:val="20"/>
        </w:rPr>
        <w:t>.</w:t>
      </w:r>
    </w:p>
    <w:p w14:paraId="0848BE60" w14:textId="2EB1B5A0" w:rsidR="00097D69" w:rsidRPr="00215054" w:rsidRDefault="00097D69" w:rsidP="00960580">
      <w:pPr>
        <w:pStyle w:val="Odstavekseznama"/>
        <w:numPr>
          <w:ilvl w:val="0"/>
          <w:numId w:val="43"/>
        </w:numPr>
        <w:jc w:val="both"/>
        <w:rPr>
          <w:rFonts w:ascii="Arial" w:hAnsi="Arial" w:cs="Arial"/>
          <w:sz w:val="20"/>
          <w:szCs w:val="20"/>
        </w:rPr>
      </w:pPr>
      <w:r w:rsidRPr="00215054">
        <w:rPr>
          <w:rFonts w:ascii="Arial" w:hAnsi="Arial" w:cs="Arial"/>
          <w:sz w:val="20"/>
          <w:szCs w:val="20"/>
        </w:rPr>
        <w:t>Izobraževanje in podpora morata biti začrtana tako, da osebe z demenco in njihove svojce opolnomočimo za varovanje in koriščenje pravic v največji možni meri, v kolikor to ne ogroža zdravja in/ali pravic osebe z demenco in drugih</w:t>
      </w:r>
      <w:r w:rsidR="00960580" w:rsidRPr="00215054">
        <w:rPr>
          <w:rFonts w:ascii="Arial" w:hAnsi="Arial" w:cs="Arial"/>
          <w:sz w:val="20"/>
          <w:szCs w:val="20"/>
        </w:rPr>
        <w:t>.</w:t>
      </w:r>
    </w:p>
    <w:p w14:paraId="69BC0F89" w14:textId="483CFC10" w:rsidR="00097D69" w:rsidRPr="00960580" w:rsidRDefault="00097D69" w:rsidP="00960580">
      <w:pPr>
        <w:pStyle w:val="Odstavekseznama"/>
        <w:numPr>
          <w:ilvl w:val="0"/>
          <w:numId w:val="43"/>
        </w:numPr>
        <w:jc w:val="both"/>
        <w:rPr>
          <w:rFonts w:ascii="Arial" w:hAnsi="Arial" w:cs="Arial"/>
          <w:sz w:val="20"/>
          <w:szCs w:val="20"/>
        </w:rPr>
      </w:pPr>
      <w:r w:rsidRPr="00960580">
        <w:rPr>
          <w:rFonts w:ascii="Arial" w:hAnsi="Arial" w:cs="Arial"/>
          <w:sz w:val="20"/>
          <w:szCs w:val="20"/>
        </w:rPr>
        <w:t>Posebni programi izpopolnjevanja in usposabljanj morajo biti namenjeni zaposlenim za uvajanje novosti</w:t>
      </w:r>
      <w:r w:rsidR="00960580" w:rsidRPr="00960580">
        <w:rPr>
          <w:rFonts w:ascii="Arial" w:hAnsi="Arial" w:cs="Arial"/>
          <w:sz w:val="20"/>
          <w:szCs w:val="20"/>
        </w:rPr>
        <w:t xml:space="preserve"> in potekati interdisciplinarno</w:t>
      </w:r>
      <w:r w:rsidRPr="00960580">
        <w:rPr>
          <w:rFonts w:ascii="Arial" w:hAnsi="Arial" w:cs="Arial"/>
          <w:sz w:val="20"/>
          <w:szCs w:val="20"/>
        </w:rPr>
        <w:t>, kot je na primer integrirana obravnava, multidisciplina</w:t>
      </w:r>
      <w:r w:rsidR="004B7C11" w:rsidRPr="00960580">
        <w:rPr>
          <w:rFonts w:ascii="Arial" w:hAnsi="Arial" w:cs="Arial"/>
          <w:sz w:val="20"/>
          <w:szCs w:val="20"/>
        </w:rPr>
        <w:t>r</w:t>
      </w:r>
      <w:r w:rsidRPr="00960580">
        <w:rPr>
          <w:rFonts w:ascii="Arial" w:hAnsi="Arial" w:cs="Arial"/>
          <w:sz w:val="20"/>
          <w:szCs w:val="20"/>
        </w:rPr>
        <w:t>na obravnava, uvajanje protokolov sodelovanja in novih kliničnih poti ipd.</w:t>
      </w:r>
    </w:p>
    <w:p w14:paraId="6EACF07B" w14:textId="467895D6" w:rsidR="00097D69" w:rsidRPr="00960580" w:rsidRDefault="00097D69" w:rsidP="00960580">
      <w:pPr>
        <w:pStyle w:val="Odstavekseznama"/>
        <w:numPr>
          <w:ilvl w:val="0"/>
          <w:numId w:val="43"/>
        </w:numPr>
        <w:jc w:val="both"/>
        <w:rPr>
          <w:rFonts w:ascii="Arial" w:hAnsi="Arial" w:cs="Arial"/>
          <w:sz w:val="20"/>
          <w:szCs w:val="20"/>
        </w:rPr>
      </w:pPr>
      <w:r w:rsidRPr="00960580">
        <w:rPr>
          <w:rFonts w:ascii="Arial" w:hAnsi="Arial" w:cs="Arial"/>
          <w:sz w:val="20"/>
          <w:szCs w:val="20"/>
        </w:rPr>
        <w:t>Vzpodbuditi je potrebno vzpostavitev oz. razvoj tistih strok, študijev, specializacij, dodiplomskih in podiplomskih usmeritev, ki poglabljajo znanje in obravnavo oseb z demenco (ger</w:t>
      </w:r>
      <w:r w:rsidR="004B7C11" w:rsidRPr="00960580">
        <w:rPr>
          <w:rFonts w:ascii="Arial" w:hAnsi="Arial" w:cs="Arial"/>
          <w:sz w:val="20"/>
          <w:szCs w:val="20"/>
        </w:rPr>
        <w:t>i</w:t>
      </w:r>
      <w:r w:rsidRPr="00960580">
        <w:rPr>
          <w:rFonts w:ascii="Arial" w:hAnsi="Arial" w:cs="Arial"/>
          <w:sz w:val="20"/>
          <w:szCs w:val="20"/>
        </w:rPr>
        <w:t>atrija, gerontologija, socialna gerontologija, specializirane sestre...).</w:t>
      </w:r>
    </w:p>
    <w:p w14:paraId="7B92863B" w14:textId="729183F4" w:rsidR="00097D69" w:rsidRPr="00960580" w:rsidRDefault="00097D69" w:rsidP="00960580">
      <w:pPr>
        <w:pStyle w:val="Odstavekseznama"/>
        <w:numPr>
          <w:ilvl w:val="0"/>
          <w:numId w:val="43"/>
        </w:numPr>
        <w:jc w:val="both"/>
        <w:rPr>
          <w:rFonts w:ascii="Arial" w:hAnsi="Arial" w:cs="Arial"/>
          <w:sz w:val="20"/>
          <w:szCs w:val="20"/>
        </w:rPr>
      </w:pPr>
      <w:r w:rsidRPr="00960580">
        <w:rPr>
          <w:rFonts w:ascii="Arial" w:hAnsi="Arial" w:cs="Arial"/>
          <w:sz w:val="20"/>
          <w:szCs w:val="20"/>
        </w:rPr>
        <w:t>Oblike izobraževanja morajo temeljiti na sodobnih pedagoških in tehnoloških metodah</w:t>
      </w:r>
      <w:r w:rsidR="00960580">
        <w:rPr>
          <w:rFonts w:ascii="Arial" w:hAnsi="Arial" w:cs="Arial"/>
          <w:sz w:val="20"/>
          <w:szCs w:val="20"/>
        </w:rPr>
        <w:t>.</w:t>
      </w:r>
    </w:p>
    <w:p w14:paraId="3F3486D6" w14:textId="69E45424" w:rsidR="00097D69" w:rsidRPr="00960580" w:rsidRDefault="005B751F" w:rsidP="00960580">
      <w:pPr>
        <w:pStyle w:val="Odstavekseznama"/>
        <w:numPr>
          <w:ilvl w:val="0"/>
          <w:numId w:val="43"/>
        </w:numPr>
        <w:jc w:val="both"/>
        <w:rPr>
          <w:rFonts w:ascii="Arial" w:hAnsi="Arial" w:cs="Arial"/>
          <w:sz w:val="20"/>
          <w:szCs w:val="20"/>
        </w:rPr>
      </w:pPr>
      <w:r w:rsidRPr="00960580">
        <w:rPr>
          <w:rFonts w:ascii="Arial" w:hAnsi="Arial" w:cs="Arial"/>
          <w:sz w:val="20"/>
          <w:szCs w:val="20"/>
        </w:rPr>
        <w:t>Za uresničitev zgoraj navedenih nalog bo pristojen novonastali nacionalni Center za demenc.</w:t>
      </w:r>
    </w:p>
    <w:p w14:paraId="447847D8" w14:textId="4BE178CB" w:rsidR="00642895" w:rsidRDefault="00642895" w:rsidP="00E546B0">
      <w:pPr>
        <w:pStyle w:val="Naslov1"/>
      </w:pPr>
      <w:bookmarkStart w:id="58" w:name="_Toc117692308"/>
      <w:r>
        <w:t>6.2 Raziskovanje</w:t>
      </w:r>
      <w:bookmarkEnd w:id="58"/>
    </w:p>
    <w:p w14:paraId="35DC5FF6" w14:textId="77777777" w:rsidR="00642895" w:rsidRDefault="00642895" w:rsidP="00097D69">
      <w:pPr>
        <w:jc w:val="both"/>
        <w:rPr>
          <w:rFonts w:cs="Arial"/>
          <w:szCs w:val="20"/>
          <w:lang w:val="sl-SI"/>
        </w:rPr>
      </w:pPr>
    </w:p>
    <w:p w14:paraId="69E1EC76" w14:textId="15C9F031" w:rsidR="00097D69" w:rsidRPr="00097D69" w:rsidRDefault="00097D69" w:rsidP="00097D69">
      <w:pPr>
        <w:jc w:val="both"/>
        <w:rPr>
          <w:rFonts w:cs="Arial"/>
          <w:szCs w:val="20"/>
          <w:lang w:val="sl-SI"/>
        </w:rPr>
      </w:pPr>
      <w:r w:rsidRPr="00097D69">
        <w:rPr>
          <w:rFonts w:cs="Arial"/>
          <w:szCs w:val="20"/>
          <w:lang w:val="sl-SI"/>
        </w:rPr>
        <w:t xml:space="preserve">Kljub izboljšavam v zadnjih 10 letih so raziskave o </w:t>
      </w:r>
      <w:r w:rsidR="001E5C2E">
        <w:rPr>
          <w:rFonts w:cs="Arial"/>
          <w:szCs w:val="20"/>
          <w:lang w:val="sl-SI"/>
        </w:rPr>
        <w:t>demenci</w:t>
      </w:r>
      <w:r w:rsidRPr="00097D69">
        <w:rPr>
          <w:rFonts w:cs="Arial"/>
          <w:szCs w:val="20"/>
          <w:lang w:val="sl-SI"/>
        </w:rPr>
        <w:t xml:space="preserve"> v Sloveniji neusklajene. V Strategiji se zavezujemo, da bomo bolj intenzivno vzpodbujali raziskovalno delo na področju obravnave </w:t>
      </w:r>
      <w:r w:rsidR="0070679D">
        <w:rPr>
          <w:rFonts w:cs="Arial"/>
          <w:szCs w:val="20"/>
          <w:lang w:val="sl-SI"/>
        </w:rPr>
        <w:t xml:space="preserve">oseb z </w:t>
      </w:r>
      <w:r w:rsidRPr="00097D69">
        <w:rPr>
          <w:rFonts w:cs="Arial"/>
          <w:szCs w:val="20"/>
          <w:lang w:val="sl-SI"/>
        </w:rPr>
        <w:t>demenc</w:t>
      </w:r>
      <w:r w:rsidR="0070679D">
        <w:rPr>
          <w:rFonts w:cs="Arial"/>
          <w:szCs w:val="20"/>
          <w:lang w:val="sl-SI"/>
        </w:rPr>
        <w:t>o</w:t>
      </w:r>
      <w:r w:rsidRPr="00097D69">
        <w:rPr>
          <w:rFonts w:cs="Arial"/>
          <w:szCs w:val="20"/>
          <w:lang w:val="sl-SI"/>
        </w:rPr>
        <w:t xml:space="preserve">. </w:t>
      </w:r>
    </w:p>
    <w:p w14:paraId="1B39624E" w14:textId="2BE57A30" w:rsidR="00097D69" w:rsidRPr="00960580" w:rsidRDefault="00097D69" w:rsidP="00960580">
      <w:pPr>
        <w:pStyle w:val="Odstavekseznama"/>
        <w:numPr>
          <w:ilvl w:val="0"/>
          <w:numId w:val="46"/>
        </w:numPr>
        <w:jc w:val="both"/>
        <w:rPr>
          <w:rFonts w:ascii="Arial" w:hAnsi="Arial" w:cs="Arial"/>
          <w:sz w:val="20"/>
          <w:szCs w:val="20"/>
        </w:rPr>
      </w:pPr>
      <w:r w:rsidRPr="00960580">
        <w:rPr>
          <w:rFonts w:ascii="Arial" w:hAnsi="Arial" w:cs="Arial"/>
          <w:sz w:val="20"/>
          <w:szCs w:val="20"/>
        </w:rPr>
        <w:t>Ob pomanjkanju organizacijske koordinacije med univerzami, inštituti, društvi in raziskovalnimi centri na tem področju (primer Španije Konzorcij mreže Centra za biomedicinske raziskave o nevrodegenerativnih boleznih (CIBERNED), Francije..) bo Strategija vzpodbudila sinergijo na raziskovalnem področju, tako da bo na nivoju države vzpostaviti koordinacijsko telo za raziskovalno delo in (certificirano) izobraževanje na področju demenc (Center za demence).</w:t>
      </w:r>
    </w:p>
    <w:p w14:paraId="037D1259" w14:textId="4C01C501" w:rsidR="00097D69" w:rsidRPr="00960580" w:rsidRDefault="00097D69" w:rsidP="00960580">
      <w:pPr>
        <w:pStyle w:val="Odstavekseznama"/>
        <w:numPr>
          <w:ilvl w:val="0"/>
          <w:numId w:val="46"/>
        </w:numPr>
        <w:jc w:val="both"/>
        <w:rPr>
          <w:rFonts w:ascii="Arial" w:hAnsi="Arial" w:cs="Arial"/>
          <w:sz w:val="20"/>
          <w:szCs w:val="20"/>
        </w:rPr>
      </w:pPr>
      <w:r w:rsidRPr="00960580">
        <w:rPr>
          <w:rFonts w:ascii="Arial" w:hAnsi="Arial" w:cs="Arial"/>
          <w:sz w:val="20"/>
          <w:szCs w:val="20"/>
        </w:rPr>
        <w:t>Ob nizkih naložb</w:t>
      </w:r>
      <w:r w:rsidR="00751ECC">
        <w:rPr>
          <w:rFonts w:ascii="Arial" w:hAnsi="Arial" w:cs="Arial"/>
          <w:sz w:val="20"/>
          <w:szCs w:val="20"/>
        </w:rPr>
        <w:t>ah</w:t>
      </w:r>
      <w:r w:rsidRPr="00960580">
        <w:rPr>
          <w:rFonts w:ascii="Arial" w:hAnsi="Arial" w:cs="Arial"/>
          <w:sz w:val="20"/>
          <w:szCs w:val="20"/>
        </w:rPr>
        <w:t xml:space="preserve"> v raziskave na splošno, posebej pa pri </w:t>
      </w:r>
      <w:r w:rsidR="00C64F3D" w:rsidRPr="00960580">
        <w:rPr>
          <w:rFonts w:ascii="Arial" w:hAnsi="Arial" w:cs="Arial"/>
          <w:sz w:val="20"/>
          <w:szCs w:val="20"/>
        </w:rPr>
        <w:t>demenci</w:t>
      </w:r>
      <w:r w:rsidRPr="00960580">
        <w:rPr>
          <w:rFonts w:ascii="Arial" w:hAnsi="Arial" w:cs="Arial"/>
          <w:sz w:val="20"/>
          <w:szCs w:val="20"/>
        </w:rPr>
        <w:t xml:space="preserve"> (kjer ni hitrih rezultatov, stopnje uspešnosti so nižje, razvojna faza so dolge in vključitev bolnikov, ki so </w:t>
      </w:r>
      <w:r w:rsidRPr="00960580">
        <w:rPr>
          <w:rFonts w:ascii="Arial" w:hAnsi="Arial" w:cs="Arial"/>
          <w:sz w:val="20"/>
          <w:szCs w:val="20"/>
        </w:rPr>
        <w:lastRenderedPageBreak/>
        <w:t>starejši in polimorbidni,</w:t>
      </w:r>
      <w:r w:rsidR="005B751F" w:rsidRPr="00960580">
        <w:rPr>
          <w:rFonts w:ascii="Arial" w:hAnsi="Arial" w:cs="Arial"/>
          <w:sz w:val="20"/>
          <w:szCs w:val="20"/>
        </w:rPr>
        <w:t xml:space="preserve"> </w:t>
      </w:r>
      <w:r w:rsidRPr="00960580">
        <w:rPr>
          <w:rFonts w:ascii="Arial" w:hAnsi="Arial" w:cs="Arial"/>
          <w:sz w:val="20"/>
          <w:szCs w:val="20"/>
        </w:rPr>
        <w:t>težja) je potrebno zvišati sredstva za raziskave na področju demenc. V akcijske plane Strategij je potrebno vključiti tudi Ministrstvo za izobraževanje, znanost in šport, ki naj vzpostavi scenarije (javnih in zasebnih) financiranj.</w:t>
      </w:r>
    </w:p>
    <w:p w14:paraId="703582CC" w14:textId="2A920EF8" w:rsidR="00097D69" w:rsidRPr="00960580" w:rsidRDefault="00097D69" w:rsidP="00960580">
      <w:pPr>
        <w:pStyle w:val="Odstavekseznama"/>
        <w:numPr>
          <w:ilvl w:val="0"/>
          <w:numId w:val="46"/>
        </w:numPr>
        <w:jc w:val="both"/>
        <w:rPr>
          <w:rFonts w:cs="Arial"/>
          <w:szCs w:val="20"/>
        </w:rPr>
      </w:pPr>
      <w:r w:rsidRPr="00960580">
        <w:rPr>
          <w:rFonts w:ascii="Arial" w:hAnsi="Arial" w:cs="Arial"/>
          <w:sz w:val="20"/>
          <w:szCs w:val="20"/>
        </w:rPr>
        <w:t xml:space="preserve">Bolj je potrebno uskladiti delež bazičnih, bazično-translacijskih, kliničnih, </w:t>
      </w:r>
      <w:r w:rsidR="006E6D81" w:rsidRPr="00960580">
        <w:rPr>
          <w:rFonts w:ascii="Arial" w:hAnsi="Arial" w:cs="Arial"/>
          <w:sz w:val="20"/>
          <w:szCs w:val="20"/>
        </w:rPr>
        <w:t>farmakoloških in nefarmakoloških</w:t>
      </w:r>
      <w:r w:rsidR="00C64F3D" w:rsidRPr="00960580">
        <w:rPr>
          <w:rFonts w:ascii="Arial" w:hAnsi="Arial" w:cs="Arial"/>
          <w:sz w:val="20"/>
          <w:szCs w:val="20"/>
        </w:rPr>
        <w:t xml:space="preserve">, </w:t>
      </w:r>
      <w:r w:rsidRPr="00960580">
        <w:rPr>
          <w:rFonts w:ascii="Arial" w:hAnsi="Arial" w:cs="Arial"/>
          <w:sz w:val="20"/>
          <w:szCs w:val="20"/>
        </w:rPr>
        <w:t xml:space="preserve">novih tele- in digitalnih zdravstvenih tehnologij, socioloških (pravo, etika), epidemioloških in javno-zdravstvenih raziskav. Zlasti delež slednjih je nizek in zavira bolj uspešno načrtovanje politike </w:t>
      </w:r>
      <w:r w:rsidR="007A6F7E" w:rsidRPr="00960580">
        <w:rPr>
          <w:rFonts w:ascii="Arial" w:hAnsi="Arial" w:cs="Arial"/>
          <w:sz w:val="20"/>
          <w:szCs w:val="20"/>
        </w:rPr>
        <w:t>demence</w:t>
      </w:r>
      <w:r w:rsidRPr="00960580">
        <w:rPr>
          <w:rFonts w:ascii="Arial" w:hAnsi="Arial" w:cs="Arial"/>
          <w:sz w:val="20"/>
          <w:szCs w:val="20"/>
        </w:rPr>
        <w:t>.</w:t>
      </w:r>
      <w:r w:rsidR="007A6F7E" w:rsidRPr="00960580">
        <w:rPr>
          <w:rFonts w:ascii="Arial" w:hAnsi="Arial" w:cs="Arial"/>
          <w:sz w:val="20"/>
          <w:szCs w:val="20"/>
        </w:rPr>
        <w:t xml:space="preserve"> </w:t>
      </w:r>
    </w:p>
    <w:p w14:paraId="4FE7BB3A" w14:textId="0A4E02B1" w:rsidR="00097D69" w:rsidRPr="00960580" w:rsidRDefault="007A6F7E" w:rsidP="00960580">
      <w:pPr>
        <w:pStyle w:val="Odstavekseznama"/>
        <w:numPr>
          <w:ilvl w:val="0"/>
          <w:numId w:val="48"/>
        </w:numPr>
        <w:jc w:val="both"/>
        <w:rPr>
          <w:rFonts w:ascii="Arial" w:hAnsi="Arial" w:cs="Arial"/>
          <w:sz w:val="20"/>
          <w:szCs w:val="20"/>
        </w:rPr>
      </w:pPr>
      <w:r w:rsidRPr="00960580">
        <w:rPr>
          <w:rFonts w:ascii="Arial" w:hAnsi="Arial" w:cs="Arial"/>
          <w:sz w:val="20"/>
          <w:szCs w:val="20"/>
        </w:rPr>
        <w:t>B</w:t>
      </w:r>
      <w:r w:rsidR="00097D69" w:rsidRPr="00960580">
        <w:rPr>
          <w:rFonts w:ascii="Arial" w:hAnsi="Arial" w:cs="Arial"/>
          <w:sz w:val="20"/>
          <w:szCs w:val="20"/>
        </w:rPr>
        <w:t xml:space="preserve">olnikom in njihovim družinam ter združenjem so še premalo predstavljeni rezultati raziskav in malo je znanja o tem, kako prispevati in sodelovati v kliničnih raziskavah ali programe darovanja tkiv. Treba je napredovati pri vključevanju bolnikov, negovalcev, družine in družbe v raziskavah. Raziskovalci bi morali sistematično in odgovorno razširjati znanje in rezultate raziskav tako strokovni kot tudi laični javnosti. </w:t>
      </w:r>
    </w:p>
    <w:p w14:paraId="4DFF795B" w14:textId="5D707C6F" w:rsidR="001E5C2E" w:rsidRDefault="00097D69" w:rsidP="00960580">
      <w:pPr>
        <w:pStyle w:val="Odstavekseznama"/>
        <w:numPr>
          <w:ilvl w:val="0"/>
          <w:numId w:val="48"/>
        </w:numPr>
        <w:jc w:val="both"/>
        <w:rPr>
          <w:rFonts w:ascii="Arial" w:hAnsi="Arial" w:cs="Arial"/>
          <w:sz w:val="20"/>
          <w:szCs w:val="20"/>
        </w:rPr>
      </w:pPr>
      <w:r w:rsidRPr="00960580">
        <w:rPr>
          <w:rFonts w:ascii="Arial" w:hAnsi="Arial" w:cs="Arial"/>
          <w:sz w:val="20"/>
          <w:szCs w:val="20"/>
        </w:rPr>
        <w:t xml:space="preserve">Eden od glavnih trenutnih problemov pri </w:t>
      </w:r>
      <w:r w:rsidR="001E5C2E">
        <w:rPr>
          <w:rFonts w:ascii="Arial" w:hAnsi="Arial" w:cs="Arial"/>
          <w:sz w:val="20"/>
          <w:szCs w:val="20"/>
        </w:rPr>
        <w:t>demenci</w:t>
      </w:r>
      <w:r w:rsidRPr="00960580">
        <w:rPr>
          <w:rFonts w:ascii="Arial" w:hAnsi="Arial" w:cs="Arial"/>
          <w:sz w:val="20"/>
          <w:szCs w:val="20"/>
        </w:rPr>
        <w:t xml:space="preserve"> je da so v času diagnoze možgani že nepopravljivo poškodovani. Zato je poseben poudarek potreb</w:t>
      </w:r>
      <w:r w:rsidR="000152FD">
        <w:rPr>
          <w:rFonts w:ascii="Arial" w:hAnsi="Arial" w:cs="Arial"/>
          <w:sz w:val="20"/>
          <w:szCs w:val="20"/>
        </w:rPr>
        <w:t>no nameniti</w:t>
      </w:r>
      <w:r w:rsidRPr="00960580">
        <w:rPr>
          <w:rFonts w:ascii="Arial" w:hAnsi="Arial" w:cs="Arial"/>
          <w:sz w:val="20"/>
          <w:szCs w:val="20"/>
        </w:rPr>
        <w:t xml:space="preserve">: </w:t>
      </w:r>
    </w:p>
    <w:p w14:paraId="2B6F1864" w14:textId="77777777" w:rsidR="001E5C2E" w:rsidRDefault="00097D69" w:rsidP="001E5C2E">
      <w:pPr>
        <w:pStyle w:val="Odstavekseznama"/>
        <w:numPr>
          <w:ilvl w:val="0"/>
          <w:numId w:val="51"/>
        </w:numPr>
        <w:jc w:val="both"/>
        <w:rPr>
          <w:rFonts w:ascii="Arial" w:hAnsi="Arial" w:cs="Arial"/>
          <w:sz w:val="20"/>
          <w:szCs w:val="20"/>
        </w:rPr>
      </w:pPr>
      <w:r w:rsidRPr="00960580">
        <w:rPr>
          <w:rFonts w:ascii="Arial" w:hAnsi="Arial" w:cs="Arial"/>
          <w:sz w:val="20"/>
          <w:szCs w:val="20"/>
        </w:rPr>
        <w:t>raziskavam biomarkerjev, ki omogočajo uvedbo zgodnje &amp; predsimptomatsko diagnostike, ko bi imela vsaka terapevtska strategija več možnosti za uspeh;</w:t>
      </w:r>
    </w:p>
    <w:p w14:paraId="0806884D" w14:textId="33FB47C7" w:rsidR="00097D69" w:rsidRPr="00960580" w:rsidRDefault="00097D69" w:rsidP="001E5C2E">
      <w:pPr>
        <w:pStyle w:val="Odstavekseznama"/>
        <w:numPr>
          <w:ilvl w:val="0"/>
          <w:numId w:val="51"/>
        </w:numPr>
        <w:jc w:val="both"/>
        <w:rPr>
          <w:rFonts w:ascii="Arial" w:hAnsi="Arial" w:cs="Arial"/>
          <w:sz w:val="20"/>
          <w:szCs w:val="20"/>
        </w:rPr>
      </w:pPr>
      <w:r w:rsidRPr="00960580">
        <w:rPr>
          <w:rFonts w:ascii="Arial" w:hAnsi="Arial" w:cs="Arial"/>
          <w:sz w:val="20"/>
          <w:szCs w:val="20"/>
        </w:rPr>
        <w:t>raziskavam in izobraževanju o življenjskih slogih kot možnostih za preventivo/odlog demenc ter jih vgrajevati v programe primarnega in sekundarnega preprečevanja nevrokognitivnih motenj.</w:t>
      </w:r>
    </w:p>
    <w:p w14:paraId="7DA7987B" w14:textId="7D994352" w:rsidR="00097D69" w:rsidRPr="00960580" w:rsidRDefault="00097D69" w:rsidP="00960580">
      <w:pPr>
        <w:pStyle w:val="Odstavekseznama"/>
        <w:numPr>
          <w:ilvl w:val="0"/>
          <w:numId w:val="48"/>
        </w:numPr>
        <w:jc w:val="both"/>
        <w:rPr>
          <w:rFonts w:ascii="Arial" w:hAnsi="Arial" w:cs="Arial"/>
          <w:sz w:val="20"/>
          <w:szCs w:val="20"/>
        </w:rPr>
      </w:pPr>
      <w:r w:rsidRPr="00960580">
        <w:rPr>
          <w:rFonts w:ascii="Arial" w:hAnsi="Arial" w:cs="Arial"/>
          <w:sz w:val="20"/>
          <w:szCs w:val="20"/>
        </w:rPr>
        <w:t>Premagati je potrebno zgolj biomedicinski model demenc in se nasloniti na bio-psiho-socialni model, kot ga predlaga v svoji klasifikaciji WHO.</w:t>
      </w:r>
    </w:p>
    <w:p w14:paraId="2191B4D3" w14:textId="2AD99FE5" w:rsidR="00097D69" w:rsidRPr="00960580" w:rsidRDefault="00097D69" w:rsidP="00960580">
      <w:pPr>
        <w:pStyle w:val="Odstavekseznama"/>
        <w:numPr>
          <w:ilvl w:val="0"/>
          <w:numId w:val="48"/>
        </w:numPr>
        <w:jc w:val="both"/>
        <w:rPr>
          <w:rFonts w:ascii="Arial" w:hAnsi="Arial" w:cs="Arial"/>
          <w:sz w:val="20"/>
          <w:szCs w:val="20"/>
        </w:rPr>
      </w:pPr>
      <w:r w:rsidRPr="00960580">
        <w:rPr>
          <w:rFonts w:ascii="Arial" w:hAnsi="Arial" w:cs="Arial"/>
          <w:sz w:val="20"/>
          <w:szCs w:val="20"/>
        </w:rPr>
        <w:t xml:space="preserve">Pomembne so tudi raziskave in uvajanje inovativnih zdravstvenih in socialnih tehnologij na univerzah in javno-zasebnem partnerstvih, saj so te tehnologije lahko pomembne pri preprečevanju, zmanjševanju tveganja, zgodnjem diagnosticiranju, zdravljenju, oskrbi in podpori v zvezi z </w:t>
      </w:r>
      <w:r w:rsidR="007A6F7E" w:rsidRPr="00960580">
        <w:rPr>
          <w:rFonts w:ascii="Arial" w:hAnsi="Arial" w:cs="Arial"/>
          <w:sz w:val="20"/>
          <w:szCs w:val="20"/>
        </w:rPr>
        <w:t>demenco</w:t>
      </w:r>
      <w:r w:rsidRPr="00960580">
        <w:rPr>
          <w:rFonts w:ascii="Arial" w:hAnsi="Arial" w:cs="Arial"/>
          <w:sz w:val="20"/>
          <w:szCs w:val="20"/>
        </w:rPr>
        <w:t>. Ob vzpodbudi novim pristopom pa je potrebno zgotoviti mehanizme, da ne prihaja do izkoriščevalske komercializacije na tem področju.</w:t>
      </w:r>
    </w:p>
    <w:p w14:paraId="6DD2CC28" w14:textId="58F53282" w:rsidR="00097D69" w:rsidRPr="00960580" w:rsidRDefault="00097D69" w:rsidP="00960580">
      <w:pPr>
        <w:pStyle w:val="Odstavekseznama"/>
        <w:numPr>
          <w:ilvl w:val="0"/>
          <w:numId w:val="48"/>
        </w:numPr>
        <w:jc w:val="both"/>
        <w:rPr>
          <w:rFonts w:ascii="Arial" w:hAnsi="Arial" w:cs="Arial"/>
          <w:sz w:val="20"/>
          <w:szCs w:val="20"/>
        </w:rPr>
      </w:pPr>
      <w:r w:rsidRPr="00960580">
        <w:rPr>
          <w:rFonts w:ascii="Arial" w:hAnsi="Arial" w:cs="Arial"/>
          <w:sz w:val="20"/>
          <w:szCs w:val="20"/>
        </w:rPr>
        <w:t xml:space="preserve">Vzpostavljen mora biti sistem sistematičnega in rednega nadzora ter osnovnega nabora indikatorjev diagnoze in progresije demenc za usmerjanje ukrepov, izboljšanje storitev in merjenje napredka pri izvajanju nacionalnih politik o </w:t>
      </w:r>
      <w:r w:rsidR="007A6F7E" w:rsidRPr="00960580">
        <w:rPr>
          <w:rFonts w:ascii="Arial" w:hAnsi="Arial" w:cs="Arial"/>
          <w:sz w:val="20"/>
          <w:szCs w:val="20"/>
        </w:rPr>
        <w:t>demenci</w:t>
      </w:r>
      <w:r w:rsidRPr="00960580">
        <w:rPr>
          <w:rFonts w:ascii="Arial" w:hAnsi="Arial" w:cs="Arial"/>
          <w:sz w:val="20"/>
          <w:szCs w:val="20"/>
        </w:rPr>
        <w:t xml:space="preserve">. To bo zahtevalo velike spremembe v sistematičnih procesih zbiranja, registracije, povezovanja in razčlenitev za izmenjavo zdravstvenih in administrativnih podatkov o vsakem srečanju osebe z boleznijo z zdravstvenim in socialnim sistemom. Primeri dobre prakse, kot je </w:t>
      </w:r>
      <w:r w:rsidR="00E376C7">
        <w:rPr>
          <w:rFonts w:ascii="Arial" w:hAnsi="Arial" w:cs="Arial"/>
          <w:sz w:val="20"/>
          <w:szCs w:val="20"/>
        </w:rPr>
        <w:t>nac</w:t>
      </w:r>
      <w:r w:rsidR="00261539">
        <w:rPr>
          <w:rFonts w:ascii="Arial" w:hAnsi="Arial" w:cs="Arial"/>
          <w:sz w:val="20"/>
          <w:szCs w:val="20"/>
        </w:rPr>
        <w:t>i</w:t>
      </w:r>
      <w:r w:rsidR="00E376C7">
        <w:rPr>
          <w:rFonts w:ascii="Arial" w:hAnsi="Arial" w:cs="Arial"/>
          <w:sz w:val="20"/>
          <w:szCs w:val="20"/>
        </w:rPr>
        <w:t xml:space="preserve">onalni </w:t>
      </w:r>
      <w:r w:rsidRPr="00960580">
        <w:rPr>
          <w:rFonts w:ascii="Arial" w:hAnsi="Arial" w:cs="Arial"/>
          <w:sz w:val="20"/>
          <w:szCs w:val="20"/>
        </w:rPr>
        <w:t xml:space="preserve">register, obstajajo (UK, Švedska) in bi jih bilo smiselno prilagoditi in prenesti v Slovenijo. </w:t>
      </w:r>
    </w:p>
    <w:p w14:paraId="4AEEFBA3" w14:textId="5EF80521" w:rsidR="00097D69" w:rsidRPr="00960580" w:rsidRDefault="0067024C" w:rsidP="00960580">
      <w:pPr>
        <w:pStyle w:val="Odstavekseznama"/>
        <w:numPr>
          <w:ilvl w:val="0"/>
          <w:numId w:val="48"/>
        </w:numPr>
        <w:jc w:val="both"/>
        <w:rPr>
          <w:rFonts w:ascii="Arial" w:hAnsi="Arial" w:cs="Arial"/>
          <w:sz w:val="20"/>
          <w:szCs w:val="20"/>
        </w:rPr>
      </w:pPr>
      <w:r>
        <w:rPr>
          <w:rFonts w:ascii="Arial" w:hAnsi="Arial" w:cs="Arial"/>
          <w:sz w:val="20"/>
          <w:szCs w:val="20"/>
        </w:rPr>
        <w:t xml:space="preserve">Potrebno </w:t>
      </w:r>
      <w:r w:rsidR="00097D69" w:rsidRPr="00960580">
        <w:rPr>
          <w:rFonts w:ascii="Arial" w:hAnsi="Arial" w:cs="Arial"/>
          <w:sz w:val="20"/>
          <w:szCs w:val="20"/>
        </w:rPr>
        <w:t>je izboljšati pravilno kodiranje končne diagnoze, da bi lahko ustrezno izbrali kandidate za klinične študije (opazovalne in intervencijske)</w:t>
      </w:r>
    </w:p>
    <w:p w14:paraId="4D3885A3" w14:textId="3F4FF32B" w:rsidR="00097D69" w:rsidRPr="00960580" w:rsidRDefault="00097D69" w:rsidP="00960580">
      <w:pPr>
        <w:pStyle w:val="Odstavekseznama"/>
        <w:numPr>
          <w:ilvl w:val="0"/>
          <w:numId w:val="48"/>
        </w:numPr>
        <w:jc w:val="both"/>
        <w:rPr>
          <w:rFonts w:ascii="Arial" w:hAnsi="Arial" w:cs="Arial"/>
          <w:sz w:val="20"/>
          <w:szCs w:val="20"/>
        </w:rPr>
      </w:pPr>
      <w:r w:rsidRPr="00960580">
        <w:rPr>
          <w:rFonts w:ascii="Arial" w:hAnsi="Arial" w:cs="Arial"/>
          <w:sz w:val="20"/>
          <w:szCs w:val="20"/>
        </w:rPr>
        <w:t>V Sloveniji je že vzpostavljeno mednarodno sodelovanje na kliničnem in bazično-translacijskem nivoju in z združenjem bolnikov. Predvsem je vzpodbudno sodelovanje z</w:t>
      </w:r>
      <w:r w:rsidR="007A6F7E" w:rsidRPr="00960580">
        <w:rPr>
          <w:rFonts w:ascii="Arial" w:hAnsi="Arial" w:cs="Arial"/>
          <w:sz w:val="20"/>
          <w:szCs w:val="20"/>
        </w:rPr>
        <w:t xml:space="preserve"> </w:t>
      </w:r>
      <w:r w:rsidRPr="00960580">
        <w:rPr>
          <w:rFonts w:ascii="Arial" w:hAnsi="Arial" w:cs="Arial"/>
          <w:sz w:val="20"/>
          <w:szCs w:val="20"/>
        </w:rPr>
        <w:t>JPND</w:t>
      </w:r>
      <w:r w:rsidR="007A6F7E" w:rsidRPr="00960580">
        <w:rPr>
          <w:rStyle w:val="Sprotnaopomba-sklic"/>
          <w:rFonts w:ascii="Arial" w:hAnsi="Arial" w:cs="Arial"/>
          <w:sz w:val="20"/>
          <w:szCs w:val="20"/>
        </w:rPr>
        <w:footnoteReference w:id="37"/>
      </w:r>
      <w:r w:rsidRPr="00960580">
        <w:rPr>
          <w:rFonts w:ascii="Arial" w:hAnsi="Arial" w:cs="Arial"/>
          <w:sz w:val="20"/>
          <w:szCs w:val="20"/>
        </w:rPr>
        <w:t>, vendar je treba spodbujati in okrepiti mednarodno sodelovanje na področju raziskav vseh nivojev in vseh področij demenc.</w:t>
      </w:r>
    </w:p>
    <w:p w14:paraId="2A334126" w14:textId="77777777" w:rsidR="00BB0D89" w:rsidRPr="00885BD1" w:rsidRDefault="00BB0D89" w:rsidP="00CF26E4">
      <w:pPr>
        <w:jc w:val="both"/>
        <w:rPr>
          <w:lang w:val="sl-SI"/>
        </w:rPr>
      </w:pPr>
    </w:p>
    <w:p w14:paraId="6232A488" w14:textId="77777777" w:rsidR="00960580" w:rsidRDefault="00960580">
      <w:pPr>
        <w:spacing w:line="240" w:lineRule="auto"/>
        <w:rPr>
          <w:rStyle w:val="Intenzivenpoudarek"/>
          <w:rFonts w:eastAsiaTheme="majorEastAsia" w:cs="Arial"/>
          <w:i w:val="0"/>
          <w:iCs w:val="0"/>
          <w:kern w:val="32"/>
          <w:szCs w:val="20"/>
          <w:lang w:val="sl-SI" w:eastAsia="sl-SI"/>
        </w:rPr>
      </w:pPr>
      <w:bookmarkStart w:id="59" w:name="_Toc62108603"/>
      <w:r w:rsidRPr="00BC7C26">
        <w:rPr>
          <w:rStyle w:val="Intenzivenpoudarek"/>
          <w:i w:val="0"/>
          <w:iCs w:val="0"/>
          <w:lang w:val="sl-SI"/>
        </w:rPr>
        <w:br w:type="page"/>
      </w:r>
    </w:p>
    <w:p w14:paraId="380FEFEC" w14:textId="28C4F168" w:rsidR="00CE41F2" w:rsidRPr="00885BD1" w:rsidRDefault="00716346" w:rsidP="00E546B0">
      <w:pPr>
        <w:pStyle w:val="Naslov1"/>
        <w:rPr>
          <w:rStyle w:val="Intenzivenpoudarek"/>
          <w:i w:val="0"/>
          <w:iCs w:val="0"/>
        </w:rPr>
      </w:pPr>
      <w:bookmarkStart w:id="60" w:name="_Toc117692309"/>
      <w:r>
        <w:rPr>
          <w:rStyle w:val="Intenzivenpoudarek"/>
          <w:i w:val="0"/>
          <w:iCs w:val="0"/>
        </w:rPr>
        <w:lastRenderedPageBreak/>
        <w:t>7</w:t>
      </w:r>
      <w:r w:rsidR="00CE41F2" w:rsidRPr="00885BD1">
        <w:rPr>
          <w:rStyle w:val="Intenzivenpoudarek"/>
          <w:i w:val="0"/>
          <w:iCs w:val="0"/>
        </w:rPr>
        <w:t xml:space="preserve"> </w:t>
      </w:r>
      <w:r w:rsidR="001267E4" w:rsidRPr="00885BD1">
        <w:rPr>
          <w:rStyle w:val="Intenzivenpoudarek"/>
          <w:i w:val="0"/>
          <w:iCs w:val="0"/>
        </w:rPr>
        <w:t>DEJAVNOSTI ZA OBVLADOVANJE DEMENCE V ČASU EPIDEMIJE IN DRUGIH KRIZ</w:t>
      </w:r>
      <w:bookmarkEnd w:id="59"/>
      <w:bookmarkEnd w:id="60"/>
      <w:r w:rsidR="00AF1A0E" w:rsidRPr="00885BD1">
        <w:rPr>
          <w:rStyle w:val="Intenzivenpoudarek"/>
          <w:i w:val="0"/>
          <w:iCs w:val="0"/>
        </w:rPr>
        <w:t xml:space="preserve"> </w:t>
      </w:r>
    </w:p>
    <w:p w14:paraId="7504F7DE" w14:textId="77777777" w:rsidR="00CE41F2" w:rsidRPr="00885BD1" w:rsidRDefault="00CE41F2" w:rsidP="0030448C">
      <w:pPr>
        <w:rPr>
          <w:rStyle w:val="Neensklic"/>
          <w:lang w:val="sl-SI"/>
        </w:rPr>
      </w:pPr>
    </w:p>
    <w:p w14:paraId="4FC802DA" w14:textId="77777777" w:rsidR="00414623" w:rsidRPr="00885BD1" w:rsidRDefault="00414623" w:rsidP="00567E4B">
      <w:pPr>
        <w:jc w:val="both"/>
        <w:rPr>
          <w:lang w:val="sl-SI"/>
        </w:rPr>
      </w:pPr>
      <w:r w:rsidRPr="00885BD1">
        <w:rPr>
          <w:lang w:val="sl-SI"/>
        </w:rPr>
        <w:t xml:space="preserve">Bolniki z demenco zaradi motenj govora, orientacije, mišljenja, presoje spadajo v posebej ranljivo skupino prebivalcev. Interventne službe se srečajo z bolniki z demenco v primerih iskanja tavajočih bolnikov. V izrednih razmerah kot so naravne nesreče, požari, neurja, prekinitve elektrike, potresi, epidemije pa taki bolniki tudi potrebujejo posebno pomoč, saj praviloma ne zmorejo pravilno oceniti nevarnosti, niso sposobni sami aktivno iskati pomoči niti slediti navodilom interventnih služb. Večina bolnikov z demenco živi doma, sami ali v širši družini in bodo sicer deležni pomoči svojcev in sosedov. A število bolnikov z demenco narašča, zato se na reševanje bolnikov z demenco mora pripraviti tudi lokalna skupnost. </w:t>
      </w:r>
    </w:p>
    <w:p w14:paraId="4722579C" w14:textId="77777777" w:rsidR="00414623" w:rsidRPr="00885BD1" w:rsidRDefault="00414623" w:rsidP="00567E4B">
      <w:pPr>
        <w:jc w:val="both"/>
        <w:rPr>
          <w:lang w:val="sl-SI"/>
        </w:rPr>
      </w:pPr>
    </w:p>
    <w:p w14:paraId="0B87E387" w14:textId="5D4CDA2B" w:rsidR="00414623" w:rsidRPr="00885BD1" w:rsidRDefault="00414623" w:rsidP="00567E4B">
      <w:pPr>
        <w:jc w:val="both"/>
        <w:rPr>
          <w:rFonts w:cs="Arial"/>
          <w:szCs w:val="20"/>
          <w:lang w:val="sl-SI"/>
        </w:rPr>
      </w:pPr>
      <w:r w:rsidRPr="00885BD1">
        <w:rPr>
          <w:lang w:val="sl-SI"/>
        </w:rPr>
        <w:t xml:space="preserve">Strategija reševanja starejših in nemočnih na terenu bi morala posebej predvideti načrt za pomoč in </w:t>
      </w:r>
      <w:r w:rsidRPr="00885BD1">
        <w:rPr>
          <w:rFonts w:cs="Arial"/>
          <w:szCs w:val="20"/>
          <w:lang w:val="sl-SI"/>
        </w:rPr>
        <w:t>reševanje bolnikov z demenco v izrednih razmerah</w:t>
      </w:r>
      <w:r w:rsidR="009D753E" w:rsidRPr="00885BD1">
        <w:rPr>
          <w:rFonts w:cs="Arial"/>
          <w:szCs w:val="20"/>
          <w:lang w:val="sl-SI"/>
        </w:rPr>
        <w:t xml:space="preserve"> ter </w:t>
      </w:r>
      <w:r w:rsidRPr="00885BD1">
        <w:rPr>
          <w:rFonts w:cs="Arial"/>
          <w:szCs w:val="20"/>
          <w:lang w:val="sl-SI"/>
        </w:rPr>
        <w:t>zagotoviti:</w:t>
      </w:r>
    </w:p>
    <w:p w14:paraId="35F188DF" w14:textId="77777777" w:rsidR="009D753E" w:rsidRPr="00885BD1" w:rsidRDefault="00414623" w:rsidP="009F7B6C">
      <w:pPr>
        <w:pStyle w:val="Odstavekseznama"/>
        <w:numPr>
          <w:ilvl w:val="0"/>
          <w:numId w:val="54"/>
        </w:numPr>
        <w:jc w:val="both"/>
        <w:rPr>
          <w:rFonts w:ascii="Arial" w:hAnsi="Arial" w:cs="Arial"/>
          <w:sz w:val="20"/>
          <w:szCs w:val="20"/>
        </w:rPr>
      </w:pPr>
      <w:r w:rsidRPr="00885BD1">
        <w:rPr>
          <w:rFonts w:ascii="Arial" w:hAnsi="Arial" w:cs="Arial"/>
          <w:sz w:val="20"/>
          <w:szCs w:val="20"/>
        </w:rPr>
        <w:t xml:space="preserve">učinkovit dostop do informacij o bolnikih (lokacija bivanja, kontakti svojcev), </w:t>
      </w:r>
    </w:p>
    <w:p w14:paraId="4C2BE19D" w14:textId="77777777" w:rsidR="009D753E" w:rsidRPr="00885BD1" w:rsidRDefault="00414623" w:rsidP="009F7B6C">
      <w:pPr>
        <w:pStyle w:val="Odstavekseznama"/>
        <w:numPr>
          <w:ilvl w:val="0"/>
          <w:numId w:val="54"/>
        </w:numPr>
        <w:jc w:val="both"/>
        <w:rPr>
          <w:rFonts w:ascii="Arial" w:hAnsi="Arial" w:cs="Arial"/>
          <w:sz w:val="20"/>
          <w:szCs w:val="20"/>
        </w:rPr>
      </w:pPr>
      <w:r w:rsidRPr="00885BD1">
        <w:rPr>
          <w:rFonts w:ascii="Arial" w:hAnsi="Arial" w:cs="Arial"/>
          <w:sz w:val="20"/>
          <w:szCs w:val="20"/>
        </w:rPr>
        <w:t>opredeliti vire pomoči (civilna zaščita, gasilci, Rdeči križ, socialna in patronažna služba)</w:t>
      </w:r>
      <w:r w:rsidR="009D753E" w:rsidRPr="00885BD1">
        <w:rPr>
          <w:rFonts w:ascii="Arial" w:hAnsi="Arial" w:cs="Arial"/>
          <w:sz w:val="20"/>
          <w:szCs w:val="20"/>
        </w:rPr>
        <w:t>,</w:t>
      </w:r>
    </w:p>
    <w:p w14:paraId="365A5514" w14:textId="6E0B2501" w:rsidR="00414623" w:rsidRPr="00885BD1" w:rsidRDefault="00414623" w:rsidP="009F7B6C">
      <w:pPr>
        <w:pStyle w:val="Odstavekseznama"/>
        <w:numPr>
          <w:ilvl w:val="0"/>
          <w:numId w:val="54"/>
        </w:numPr>
        <w:jc w:val="both"/>
        <w:rPr>
          <w:rFonts w:ascii="Arial" w:hAnsi="Arial" w:cs="Arial"/>
          <w:sz w:val="20"/>
          <w:szCs w:val="20"/>
        </w:rPr>
      </w:pPr>
      <w:r w:rsidRPr="00885BD1">
        <w:rPr>
          <w:rFonts w:ascii="Arial" w:hAnsi="Arial" w:cs="Arial"/>
          <w:sz w:val="20"/>
          <w:szCs w:val="20"/>
        </w:rPr>
        <w:t xml:space="preserve">opredeliti poti reševanja za bolnike z demenco, posebej tiste, ki živijo še sami doma. </w:t>
      </w:r>
    </w:p>
    <w:p w14:paraId="427EA5A6" w14:textId="7BF5C27D" w:rsidR="00414623" w:rsidRPr="00885BD1" w:rsidRDefault="00414623" w:rsidP="00567E4B">
      <w:pPr>
        <w:jc w:val="both"/>
        <w:rPr>
          <w:lang w:val="sl-SI"/>
        </w:rPr>
      </w:pPr>
      <w:r w:rsidRPr="00885BD1">
        <w:rPr>
          <w:lang w:val="sl-SI"/>
        </w:rPr>
        <w:t xml:space="preserve">Učenje o demenci, obnašanju takih bolnikov in nujnih ukrepih ob njihovem reševanju </w:t>
      </w:r>
      <w:r w:rsidR="009D753E" w:rsidRPr="00885BD1">
        <w:rPr>
          <w:lang w:val="sl-SI"/>
        </w:rPr>
        <w:t>mora biti</w:t>
      </w:r>
      <w:r w:rsidRPr="00885BD1">
        <w:rPr>
          <w:lang w:val="sl-SI"/>
        </w:rPr>
        <w:t xml:space="preserve"> uvr</w:t>
      </w:r>
      <w:r w:rsidR="009D753E" w:rsidRPr="00885BD1">
        <w:rPr>
          <w:lang w:val="sl-SI"/>
        </w:rPr>
        <w:t>ščeno</w:t>
      </w:r>
      <w:r w:rsidRPr="00885BD1">
        <w:rPr>
          <w:lang w:val="sl-SI"/>
        </w:rPr>
        <w:t xml:space="preserve"> med temeljna znanja pri izobraževanju interventnih služb.</w:t>
      </w:r>
    </w:p>
    <w:p w14:paraId="0FA5B2CA" w14:textId="77777777" w:rsidR="00414623" w:rsidRPr="00885BD1" w:rsidRDefault="00414623" w:rsidP="00567E4B">
      <w:pPr>
        <w:jc w:val="both"/>
        <w:rPr>
          <w:lang w:val="sl-SI"/>
        </w:rPr>
      </w:pPr>
    </w:p>
    <w:p w14:paraId="62C8AEEC" w14:textId="1B851985" w:rsidR="00414623" w:rsidRDefault="00414623" w:rsidP="00567E4B">
      <w:pPr>
        <w:jc w:val="both"/>
        <w:rPr>
          <w:lang w:val="sl-SI"/>
        </w:rPr>
      </w:pPr>
      <w:r w:rsidRPr="00885BD1">
        <w:rPr>
          <w:lang w:val="sl-SI"/>
        </w:rPr>
        <w:t>V času epidemije COVID</w:t>
      </w:r>
      <w:r w:rsidR="009D753E" w:rsidRPr="00885BD1">
        <w:rPr>
          <w:lang w:val="sl-SI"/>
        </w:rPr>
        <w:t>-19 in podobnih epidemij</w:t>
      </w:r>
      <w:r w:rsidRPr="00885BD1">
        <w:rPr>
          <w:lang w:val="sl-SI"/>
        </w:rPr>
        <w:t xml:space="preserve"> </w:t>
      </w:r>
      <w:r w:rsidR="009D753E" w:rsidRPr="00885BD1">
        <w:rPr>
          <w:lang w:val="sl-SI"/>
        </w:rPr>
        <w:t>moramo</w:t>
      </w:r>
      <w:r w:rsidRPr="00885BD1">
        <w:rPr>
          <w:lang w:val="sl-SI"/>
        </w:rPr>
        <w:t xml:space="preserve"> bolnike z demenco prednostno zaščititi s cepljenjem, saj  bolniki ne razumejo navodil za preprečevanje okužbe in jim težko preprečimo nekontrolirane </w:t>
      </w:r>
      <w:r w:rsidR="0070679D">
        <w:rPr>
          <w:lang w:val="sl-SI"/>
        </w:rPr>
        <w:t>fizične</w:t>
      </w:r>
      <w:r w:rsidR="0070679D" w:rsidRPr="00885BD1">
        <w:rPr>
          <w:lang w:val="sl-SI"/>
        </w:rPr>
        <w:t xml:space="preserve"> </w:t>
      </w:r>
      <w:r w:rsidRPr="00885BD1">
        <w:rPr>
          <w:lang w:val="sl-SI"/>
        </w:rPr>
        <w:t xml:space="preserve">stike. </w:t>
      </w:r>
    </w:p>
    <w:p w14:paraId="5C30D68F" w14:textId="58A42495" w:rsidR="00EA066C" w:rsidRDefault="00EA066C" w:rsidP="00567E4B">
      <w:pPr>
        <w:jc w:val="both"/>
        <w:rPr>
          <w:lang w:val="sl-SI"/>
        </w:rPr>
      </w:pPr>
    </w:p>
    <w:p w14:paraId="2C1C52E7" w14:textId="3F628637" w:rsidR="00EA066C" w:rsidRPr="00885BD1" w:rsidRDefault="00F03620" w:rsidP="00567E4B">
      <w:pPr>
        <w:jc w:val="both"/>
        <w:rPr>
          <w:lang w:val="sl-SI"/>
        </w:rPr>
      </w:pPr>
      <w:r w:rsidRPr="00F03620">
        <w:rPr>
          <w:lang w:val="sl-SI"/>
        </w:rPr>
        <w:t>Osebe z demenco zaradi upada kognitivnih sposobnosti pogosto ne morejo slediti navodilom in usmeritvam, ki veljajo za splošno populacijo.</w:t>
      </w:r>
      <w:r>
        <w:rPr>
          <w:lang w:val="sl-SI"/>
        </w:rPr>
        <w:t xml:space="preserve"> </w:t>
      </w:r>
      <w:r w:rsidR="00EA066C">
        <w:rPr>
          <w:lang w:val="sl-SI"/>
        </w:rPr>
        <w:t>Za obvladovanje demence v času epidemij</w:t>
      </w:r>
      <w:r>
        <w:rPr>
          <w:lang w:val="sl-SI"/>
        </w:rPr>
        <w:t xml:space="preserve"> in drugih kriz se bo v skladu z akcijskim načrtom pripravil poseben načrt ukrepov, preučiti pa moramo tudi obstoječe načrte in ukrepe dopolniti v kolikor se bo ugotovilo, da je to potrebno z vidika varstva človekovih pravic oseb z demenco. </w:t>
      </w:r>
    </w:p>
    <w:p w14:paraId="3FEA5119" w14:textId="1B360C25" w:rsidR="009D753E" w:rsidRPr="00885BD1" w:rsidRDefault="009D753E" w:rsidP="00567E4B">
      <w:pPr>
        <w:jc w:val="both"/>
        <w:rPr>
          <w:lang w:val="sl-SI"/>
        </w:rPr>
      </w:pPr>
    </w:p>
    <w:p w14:paraId="7553C03C" w14:textId="77777777" w:rsidR="001B2CEF" w:rsidRPr="00885BD1" w:rsidRDefault="001B2CEF">
      <w:pPr>
        <w:spacing w:line="240" w:lineRule="auto"/>
        <w:rPr>
          <w:rStyle w:val="NaslovZnak"/>
          <w:rFonts w:ascii="Arial" w:eastAsiaTheme="majorEastAsia" w:hAnsi="Arial" w:cs="Arial"/>
          <w:b w:val="0"/>
          <w:bCs w:val="0"/>
          <w:color w:val="2F5496" w:themeColor="accent1" w:themeShade="BF"/>
          <w:sz w:val="24"/>
          <w:szCs w:val="24"/>
          <w:lang w:val="sl-SI"/>
        </w:rPr>
      </w:pPr>
      <w:bookmarkStart w:id="61" w:name="_Toc95409490"/>
      <w:r w:rsidRPr="00885BD1">
        <w:rPr>
          <w:rStyle w:val="NaslovZnak"/>
          <w:rFonts w:ascii="Arial" w:eastAsiaTheme="majorEastAsia" w:hAnsi="Arial" w:cs="Arial"/>
          <w:b w:val="0"/>
          <w:bCs w:val="0"/>
          <w:sz w:val="24"/>
          <w:szCs w:val="24"/>
          <w:lang w:val="sl-SI"/>
        </w:rPr>
        <w:br w:type="page"/>
      </w:r>
    </w:p>
    <w:p w14:paraId="6A5C25DE" w14:textId="0AF8C7B0" w:rsidR="008B5B1B" w:rsidRPr="00885BD1" w:rsidRDefault="00716346" w:rsidP="00E546B0">
      <w:pPr>
        <w:pStyle w:val="Naslov1"/>
        <w:rPr>
          <w:b/>
          <w:bCs/>
        </w:rPr>
      </w:pPr>
      <w:bookmarkStart w:id="62" w:name="_Toc117692310"/>
      <w:r>
        <w:rPr>
          <w:rStyle w:val="NaslovZnak"/>
          <w:rFonts w:ascii="Arial" w:eastAsiaTheme="majorEastAsia" w:hAnsi="Arial" w:cs="Arial"/>
          <w:b w:val="0"/>
          <w:bCs w:val="0"/>
          <w:sz w:val="24"/>
          <w:szCs w:val="24"/>
          <w:lang w:val="sl-SI"/>
        </w:rPr>
        <w:lastRenderedPageBreak/>
        <w:t>8</w:t>
      </w:r>
      <w:bookmarkEnd w:id="61"/>
      <w:r w:rsidR="008B5B1B" w:rsidRPr="00885BD1">
        <w:rPr>
          <w:rStyle w:val="NaslovZnak"/>
          <w:rFonts w:ascii="Arial" w:eastAsiaTheme="majorEastAsia" w:hAnsi="Arial" w:cs="Arial"/>
          <w:b w:val="0"/>
          <w:bCs w:val="0"/>
          <w:sz w:val="24"/>
          <w:szCs w:val="24"/>
          <w:lang w:val="sl-SI"/>
        </w:rPr>
        <w:t xml:space="preserve"> </w:t>
      </w:r>
      <w:r w:rsidR="001267E4" w:rsidRPr="00885BD1">
        <w:rPr>
          <w:rStyle w:val="NaslovZnak"/>
          <w:rFonts w:ascii="Arial" w:eastAsiaTheme="majorEastAsia" w:hAnsi="Arial" w:cs="Arial"/>
          <w:b w:val="0"/>
          <w:bCs w:val="0"/>
          <w:sz w:val="24"/>
          <w:szCs w:val="24"/>
          <w:lang w:val="sl-SI"/>
        </w:rPr>
        <w:t>VODENJE, KOORDINACIJA IN EVALVACIJA IMPLEMENTACIJE STRATEGIJE</w:t>
      </w:r>
      <w:r w:rsidR="00667928">
        <w:rPr>
          <w:rStyle w:val="NaslovZnak"/>
          <w:rFonts w:ascii="Arial" w:eastAsiaTheme="majorEastAsia" w:hAnsi="Arial" w:cs="Arial"/>
          <w:b w:val="0"/>
          <w:bCs w:val="0"/>
          <w:sz w:val="24"/>
          <w:szCs w:val="24"/>
          <w:lang w:val="sl-SI"/>
        </w:rPr>
        <w:t xml:space="preserve"> </w:t>
      </w:r>
      <w:r w:rsidR="001267E4" w:rsidRPr="00885BD1">
        <w:rPr>
          <w:b/>
          <w:bCs/>
        </w:rPr>
        <w:t xml:space="preserve"> </w:t>
      </w:r>
      <w:r w:rsidR="00B868CA">
        <w:t>TER IZHODIŠČA ZA</w:t>
      </w:r>
      <w:r w:rsidR="00667928">
        <w:t xml:space="preserve">  AKCIJSK</w:t>
      </w:r>
      <w:r w:rsidR="00B868CA">
        <w:t>I</w:t>
      </w:r>
      <w:r w:rsidR="00667928">
        <w:t xml:space="preserve">  NAČRT</w:t>
      </w:r>
      <w:bookmarkEnd w:id="62"/>
    </w:p>
    <w:p w14:paraId="5D5B5663" w14:textId="0AC7C9A7" w:rsidR="00F230CC" w:rsidRPr="00885BD1" w:rsidRDefault="00F230CC" w:rsidP="00AE78FF">
      <w:pPr>
        <w:rPr>
          <w:lang w:val="sl-SI"/>
        </w:rPr>
      </w:pPr>
    </w:p>
    <w:p w14:paraId="2D8FD074" w14:textId="27BE4E5E" w:rsidR="009D753E" w:rsidRPr="00885BD1" w:rsidRDefault="009D753E" w:rsidP="009D753E">
      <w:pPr>
        <w:jc w:val="both"/>
        <w:rPr>
          <w:lang w:val="sl-SI"/>
        </w:rPr>
      </w:pPr>
      <w:r w:rsidRPr="00885BD1">
        <w:rPr>
          <w:lang w:val="sl-SI"/>
        </w:rPr>
        <w:t>Strategija sistemsko naslavlja izzive in dopolnjuje nacionalne strategije</w:t>
      </w:r>
      <w:r w:rsidR="00221B0D" w:rsidRPr="00885BD1">
        <w:rPr>
          <w:lang w:val="sl-SI"/>
        </w:rPr>
        <w:t xml:space="preserve"> (</w:t>
      </w:r>
      <w:r w:rsidRPr="00885BD1">
        <w:rPr>
          <w:lang w:val="sl-SI"/>
        </w:rPr>
        <w:t>zlasti s področja zdravstva in socialnega varstva</w:t>
      </w:r>
      <w:r w:rsidR="00221B0D" w:rsidRPr="00885BD1">
        <w:rPr>
          <w:lang w:val="sl-SI"/>
        </w:rPr>
        <w:t>)</w:t>
      </w:r>
      <w:r w:rsidRPr="00885BD1">
        <w:rPr>
          <w:lang w:val="sl-SI"/>
        </w:rPr>
        <w:t xml:space="preserve">, ki vplivajo na obvladovanje demence in vzpostavljanje demenci prijaznega okolja. </w:t>
      </w:r>
      <w:r w:rsidR="00475251" w:rsidRPr="00885BD1">
        <w:rPr>
          <w:lang w:val="sl-SI"/>
        </w:rPr>
        <w:t xml:space="preserve">Za učinkovito, gospodarno in kakovostno vodenje, koordinacijo in evalvacijo Strategije </w:t>
      </w:r>
      <w:r w:rsidR="003F1935">
        <w:rPr>
          <w:lang w:val="sl-SI"/>
        </w:rPr>
        <w:t>ja odgovorno Ministr</w:t>
      </w:r>
      <w:r w:rsidR="00261539">
        <w:rPr>
          <w:lang w:val="sl-SI"/>
        </w:rPr>
        <w:t>s</w:t>
      </w:r>
      <w:r w:rsidR="003F1935">
        <w:rPr>
          <w:lang w:val="sl-SI"/>
        </w:rPr>
        <w:t xml:space="preserve">tvo za zdravje v sodelovanju </w:t>
      </w:r>
      <w:r w:rsidR="009A0226">
        <w:rPr>
          <w:lang w:val="sl-SI"/>
        </w:rPr>
        <w:t>z</w:t>
      </w:r>
      <w:r w:rsidR="00475251" w:rsidRPr="00885BD1">
        <w:rPr>
          <w:lang w:val="sl-SI"/>
        </w:rPr>
        <w:t>:</w:t>
      </w:r>
    </w:p>
    <w:p w14:paraId="4EFCB013" w14:textId="11C2BD60" w:rsidR="00475251" w:rsidRPr="00885BD1" w:rsidRDefault="00475251" w:rsidP="001E5C2E">
      <w:pPr>
        <w:pStyle w:val="Odstavekseznama"/>
        <w:numPr>
          <w:ilvl w:val="0"/>
          <w:numId w:val="10"/>
        </w:numPr>
        <w:jc w:val="both"/>
        <w:rPr>
          <w:rFonts w:ascii="Arial" w:hAnsi="Arial" w:cs="Arial"/>
          <w:sz w:val="20"/>
          <w:szCs w:val="20"/>
        </w:rPr>
      </w:pPr>
      <w:r w:rsidRPr="00885BD1">
        <w:rPr>
          <w:rFonts w:ascii="Arial" w:hAnsi="Arial" w:cs="Arial"/>
          <w:sz w:val="20"/>
          <w:szCs w:val="20"/>
        </w:rPr>
        <w:t>MDDSZ, MOP, MP in drugi</w:t>
      </w:r>
      <w:r w:rsidR="000152FD">
        <w:rPr>
          <w:rFonts w:ascii="Arial" w:hAnsi="Arial" w:cs="Arial"/>
          <w:sz w:val="20"/>
          <w:szCs w:val="20"/>
        </w:rPr>
        <w:t>mi ministrstvi</w:t>
      </w:r>
      <w:r w:rsidRPr="00885BD1">
        <w:rPr>
          <w:rFonts w:ascii="Arial" w:hAnsi="Arial" w:cs="Arial"/>
          <w:sz w:val="20"/>
          <w:szCs w:val="20"/>
        </w:rPr>
        <w:t>)</w:t>
      </w:r>
      <w:r w:rsidR="000A60D5" w:rsidRPr="00885BD1">
        <w:rPr>
          <w:rFonts w:ascii="Arial" w:hAnsi="Arial" w:cs="Arial"/>
          <w:sz w:val="20"/>
          <w:szCs w:val="20"/>
        </w:rPr>
        <w:t>,</w:t>
      </w:r>
    </w:p>
    <w:p w14:paraId="09B2DB9D" w14:textId="017519A3" w:rsidR="00475251" w:rsidRPr="00885BD1" w:rsidRDefault="00475251" w:rsidP="001E5C2E">
      <w:pPr>
        <w:pStyle w:val="Odstavekseznama"/>
        <w:numPr>
          <w:ilvl w:val="0"/>
          <w:numId w:val="10"/>
        </w:numPr>
        <w:jc w:val="both"/>
        <w:rPr>
          <w:rFonts w:ascii="Arial" w:hAnsi="Arial" w:cs="Arial"/>
          <w:sz w:val="20"/>
          <w:szCs w:val="20"/>
        </w:rPr>
      </w:pPr>
      <w:r w:rsidRPr="00885BD1">
        <w:rPr>
          <w:rFonts w:ascii="Arial" w:hAnsi="Arial" w:cs="Arial"/>
          <w:sz w:val="20"/>
          <w:szCs w:val="20"/>
        </w:rPr>
        <w:t>Nacionalni</w:t>
      </w:r>
      <w:r w:rsidR="000152FD">
        <w:rPr>
          <w:rFonts w:ascii="Arial" w:hAnsi="Arial" w:cs="Arial"/>
          <w:sz w:val="20"/>
          <w:szCs w:val="20"/>
        </w:rPr>
        <w:t>m</w:t>
      </w:r>
      <w:r w:rsidRPr="00885BD1">
        <w:rPr>
          <w:rFonts w:ascii="Arial" w:hAnsi="Arial" w:cs="Arial"/>
          <w:sz w:val="20"/>
          <w:szCs w:val="20"/>
        </w:rPr>
        <w:t xml:space="preserve"> inštitut</w:t>
      </w:r>
      <w:r w:rsidR="000152FD">
        <w:rPr>
          <w:rFonts w:ascii="Arial" w:hAnsi="Arial" w:cs="Arial"/>
          <w:sz w:val="20"/>
          <w:szCs w:val="20"/>
        </w:rPr>
        <w:t>om</w:t>
      </w:r>
      <w:r w:rsidRPr="00885BD1">
        <w:rPr>
          <w:rFonts w:ascii="Arial" w:hAnsi="Arial" w:cs="Arial"/>
          <w:sz w:val="20"/>
          <w:szCs w:val="20"/>
        </w:rPr>
        <w:t xml:space="preserve"> za javno zdravje</w:t>
      </w:r>
      <w:r w:rsidR="000A60D5" w:rsidRPr="00885BD1">
        <w:rPr>
          <w:rFonts w:ascii="Arial" w:hAnsi="Arial" w:cs="Arial"/>
          <w:sz w:val="20"/>
          <w:szCs w:val="20"/>
        </w:rPr>
        <w:t>,</w:t>
      </w:r>
    </w:p>
    <w:p w14:paraId="5DD08B57" w14:textId="377C537D" w:rsidR="000A60D5" w:rsidRPr="00885BD1" w:rsidRDefault="00475251" w:rsidP="001E5C2E">
      <w:pPr>
        <w:pStyle w:val="Odstavekseznama"/>
        <w:numPr>
          <w:ilvl w:val="0"/>
          <w:numId w:val="10"/>
        </w:numPr>
        <w:jc w:val="both"/>
        <w:rPr>
          <w:rFonts w:ascii="Arial" w:hAnsi="Arial" w:cs="Arial"/>
          <w:sz w:val="20"/>
          <w:szCs w:val="20"/>
        </w:rPr>
      </w:pPr>
      <w:r w:rsidRPr="00885BD1">
        <w:rPr>
          <w:rFonts w:ascii="Arial" w:hAnsi="Arial" w:cs="Arial"/>
          <w:sz w:val="20"/>
          <w:szCs w:val="20"/>
        </w:rPr>
        <w:t>Inštitut</w:t>
      </w:r>
      <w:r w:rsidR="000152FD">
        <w:rPr>
          <w:rFonts w:ascii="Arial" w:hAnsi="Arial" w:cs="Arial"/>
          <w:sz w:val="20"/>
          <w:szCs w:val="20"/>
        </w:rPr>
        <w:t>om</w:t>
      </w:r>
      <w:r w:rsidRPr="00885BD1">
        <w:rPr>
          <w:rFonts w:ascii="Arial" w:hAnsi="Arial" w:cs="Arial"/>
          <w:sz w:val="20"/>
          <w:szCs w:val="20"/>
        </w:rPr>
        <w:t xml:space="preserve"> Republike Slovenije za socialno varstvo</w:t>
      </w:r>
      <w:r w:rsidR="000A60D5" w:rsidRPr="00885BD1">
        <w:rPr>
          <w:rFonts w:ascii="Arial" w:hAnsi="Arial" w:cs="Arial"/>
          <w:sz w:val="20"/>
          <w:szCs w:val="20"/>
        </w:rPr>
        <w:t>,</w:t>
      </w:r>
    </w:p>
    <w:p w14:paraId="654C58B5" w14:textId="03C25E2C" w:rsidR="00F03620" w:rsidRPr="00EF0DE7" w:rsidRDefault="000A60D5" w:rsidP="000A60D5">
      <w:pPr>
        <w:pStyle w:val="Odstavekseznama"/>
        <w:numPr>
          <w:ilvl w:val="0"/>
          <w:numId w:val="10"/>
        </w:numPr>
        <w:jc w:val="both"/>
        <w:rPr>
          <w:rFonts w:ascii="Arial" w:hAnsi="Arial" w:cs="Arial"/>
          <w:sz w:val="20"/>
          <w:szCs w:val="20"/>
        </w:rPr>
      </w:pPr>
      <w:r w:rsidRPr="00885BD1">
        <w:rPr>
          <w:rFonts w:ascii="Arial" w:hAnsi="Arial" w:cs="Arial"/>
          <w:sz w:val="20"/>
          <w:szCs w:val="20"/>
        </w:rPr>
        <w:t>Predstavniki lokalne samouprave</w:t>
      </w:r>
      <w:r w:rsidR="00475251" w:rsidRPr="00885BD1">
        <w:rPr>
          <w:rFonts w:ascii="Arial" w:hAnsi="Arial" w:cs="Arial"/>
          <w:sz w:val="20"/>
          <w:szCs w:val="20"/>
        </w:rPr>
        <w:t>.</w:t>
      </w:r>
    </w:p>
    <w:p w14:paraId="4BDE177A" w14:textId="77777777" w:rsidR="0074255D" w:rsidRDefault="00F03620" w:rsidP="000A60D5">
      <w:pPr>
        <w:jc w:val="both"/>
        <w:rPr>
          <w:rFonts w:cs="Arial"/>
          <w:szCs w:val="20"/>
          <w:lang w:val="sl-SI"/>
        </w:rPr>
      </w:pPr>
      <w:r>
        <w:rPr>
          <w:rFonts w:cs="Arial"/>
          <w:szCs w:val="20"/>
          <w:lang w:val="sl-SI"/>
        </w:rPr>
        <w:t xml:space="preserve">Za učinkovito vodenje in koordinacijo nacionalne strategije obvladovanja demence se bodo poleg izboljšanja (so)delovanja obstoječih vzpostavile tudi nekatere nove strukture. V okviru Ministrstva za zdravje se bo vzpostavil poseben Sektor za duševno zdravje in demenco. </w:t>
      </w:r>
    </w:p>
    <w:p w14:paraId="476FEC8E" w14:textId="77777777" w:rsidR="0074255D" w:rsidRDefault="0074255D" w:rsidP="000A60D5">
      <w:pPr>
        <w:jc w:val="both"/>
        <w:rPr>
          <w:rFonts w:cs="Arial"/>
          <w:szCs w:val="20"/>
          <w:lang w:val="sl-SI"/>
        </w:rPr>
      </w:pPr>
    </w:p>
    <w:p w14:paraId="760C5FF0" w14:textId="5153E1A8" w:rsidR="00F03620" w:rsidRDefault="0074255D" w:rsidP="000A60D5">
      <w:pPr>
        <w:jc w:val="both"/>
        <w:rPr>
          <w:rFonts w:cs="Arial"/>
          <w:szCs w:val="20"/>
          <w:lang w:val="sl-SI"/>
        </w:rPr>
      </w:pPr>
      <w:r>
        <w:rPr>
          <w:rFonts w:cs="Arial"/>
          <w:szCs w:val="20"/>
          <w:lang w:val="sl-SI"/>
        </w:rPr>
        <w:t>Kot osredna nacionalna institucija se bo v</w:t>
      </w:r>
      <w:r w:rsidR="00F03620">
        <w:rPr>
          <w:rFonts w:cs="Arial"/>
          <w:szCs w:val="20"/>
          <w:lang w:val="sl-SI"/>
        </w:rPr>
        <w:t>zpostavil Center za demenco, ki bo skrbel</w:t>
      </w:r>
      <w:r>
        <w:rPr>
          <w:rFonts w:cs="Arial"/>
          <w:szCs w:val="20"/>
          <w:lang w:val="sl-SI"/>
        </w:rPr>
        <w:t xml:space="preserve"> predvsem</w:t>
      </w:r>
      <w:r w:rsidR="00F03620">
        <w:rPr>
          <w:rFonts w:cs="Arial"/>
          <w:szCs w:val="20"/>
          <w:lang w:val="sl-SI"/>
        </w:rPr>
        <w:t xml:space="preserve"> za usposabljanje</w:t>
      </w:r>
      <w:r w:rsidR="00687C2F">
        <w:rPr>
          <w:rFonts w:cs="Arial"/>
          <w:szCs w:val="20"/>
          <w:lang w:val="sl-SI"/>
        </w:rPr>
        <w:t xml:space="preserve"> in</w:t>
      </w:r>
      <w:r w:rsidR="00F03620">
        <w:rPr>
          <w:rFonts w:cs="Arial"/>
          <w:szCs w:val="20"/>
          <w:lang w:val="sl-SI"/>
        </w:rPr>
        <w:t xml:space="preserve"> izobraževanje</w:t>
      </w:r>
      <w:r w:rsidR="00687C2F">
        <w:rPr>
          <w:rFonts w:cs="Arial"/>
          <w:szCs w:val="20"/>
          <w:lang w:val="sl-SI"/>
        </w:rPr>
        <w:t xml:space="preserve"> kadrov v verigi oskrbe oseb z demenco, za usklajen razvoj stroke in raziskovalno dejavnost</w:t>
      </w:r>
      <w:r>
        <w:rPr>
          <w:rFonts w:cs="Arial"/>
          <w:szCs w:val="20"/>
          <w:lang w:val="sl-SI"/>
        </w:rPr>
        <w:t xml:space="preserve"> ter skrbel za</w:t>
      </w:r>
      <w:r w:rsidR="00687C2F">
        <w:rPr>
          <w:rFonts w:cs="Arial"/>
          <w:szCs w:val="20"/>
          <w:lang w:val="sl-SI"/>
        </w:rPr>
        <w:t xml:space="preserve"> strokovno </w:t>
      </w:r>
      <w:r>
        <w:rPr>
          <w:rFonts w:cs="Arial"/>
          <w:szCs w:val="20"/>
          <w:lang w:val="sl-SI"/>
        </w:rPr>
        <w:t xml:space="preserve">ustrezno </w:t>
      </w:r>
      <w:r w:rsidR="00687C2F">
        <w:rPr>
          <w:rFonts w:cs="Arial"/>
          <w:szCs w:val="20"/>
          <w:lang w:val="sl-SI"/>
        </w:rPr>
        <w:t>uresničevanje nacionalne strategije</w:t>
      </w:r>
      <w:r>
        <w:rPr>
          <w:rFonts w:cs="Arial"/>
          <w:szCs w:val="20"/>
          <w:lang w:val="sl-SI"/>
        </w:rPr>
        <w:t>,</w:t>
      </w:r>
      <w:r w:rsidR="00687C2F">
        <w:rPr>
          <w:rFonts w:cs="Arial"/>
          <w:szCs w:val="20"/>
          <w:lang w:val="sl-SI"/>
        </w:rPr>
        <w:t xml:space="preserve"> vključno z evalvacij</w:t>
      </w:r>
      <w:r>
        <w:rPr>
          <w:rFonts w:cs="Arial"/>
          <w:szCs w:val="20"/>
          <w:lang w:val="sl-SI"/>
        </w:rPr>
        <w:t>ami</w:t>
      </w:r>
      <w:r w:rsidR="00687C2F">
        <w:rPr>
          <w:rFonts w:cs="Arial"/>
          <w:szCs w:val="20"/>
          <w:lang w:val="sl-SI"/>
        </w:rPr>
        <w:t xml:space="preserve"> posameznih ukrepov. Na</w:t>
      </w:r>
      <w:r>
        <w:rPr>
          <w:rFonts w:cs="Arial"/>
          <w:szCs w:val="20"/>
          <w:lang w:val="sl-SI"/>
        </w:rPr>
        <w:t xml:space="preserve"> podlagi podatkov in raziskav bo Na</w:t>
      </w:r>
      <w:r w:rsidR="00687C2F">
        <w:rPr>
          <w:rFonts w:cs="Arial"/>
          <w:szCs w:val="20"/>
          <w:lang w:val="sl-SI"/>
        </w:rPr>
        <w:t xml:space="preserve">cionalni center za demenco pripravljal strokovne ocene in predloge za politične odločevalce na področju obvladovanja demence. Delo </w:t>
      </w:r>
      <w:r>
        <w:rPr>
          <w:rFonts w:cs="Arial"/>
          <w:szCs w:val="20"/>
          <w:lang w:val="sl-SI"/>
        </w:rPr>
        <w:t>N</w:t>
      </w:r>
      <w:r w:rsidR="00687C2F">
        <w:rPr>
          <w:rFonts w:cs="Arial"/>
          <w:szCs w:val="20"/>
          <w:lang w:val="sl-SI"/>
        </w:rPr>
        <w:t xml:space="preserve">acionalnega centra za demenco bo podpirala mreža tako imenovanih </w:t>
      </w:r>
      <w:r w:rsidR="00667928">
        <w:rPr>
          <w:rFonts w:cs="Arial"/>
          <w:szCs w:val="20"/>
          <w:lang w:val="sl-SI"/>
        </w:rPr>
        <w:t xml:space="preserve">regijskih </w:t>
      </w:r>
      <w:r w:rsidR="00687C2F">
        <w:rPr>
          <w:rFonts w:cs="Arial"/>
          <w:szCs w:val="20"/>
          <w:lang w:val="sl-SI"/>
        </w:rPr>
        <w:t xml:space="preserve">spominskih centrov, ki bodo delovali v različnih </w:t>
      </w:r>
      <w:r w:rsidR="00667928">
        <w:rPr>
          <w:rFonts w:cs="Arial"/>
          <w:szCs w:val="20"/>
          <w:lang w:val="sl-SI"/>
        </w:rPr>
        <w:t xml:space="preserve">zdravstvenih </w:t>
      </w:r>
      <w:r w:rsidR="00687C2F">
        <w:rPr>
          <w:rFonts w:cs="Arial"/>
          <w:szCs w:val="20"/>
          <w:lang w:val="sl-SI"/>
        </w:rPr>
        <w:t>regijah ter tako omogočili prebivalcem ustrezno diagnostiko in obravnavo v bližini njihovega doma. Nacionalni center za demenco in spominski centri se bodo povezovali z drugimi službami, zlasti s področja nevrologije, psihiatrije, družinske medicine, psihologije, psihoterapije</w:t>
      </w:r>
      <w:r w:rsidR="00667928">
        <w:rPr>
          <w:rFonts w:cs="Arial"/>
          <w:szCs w:val="20"/>
          <w:lang w:val="sl-SI"/>
        </w:rPr>
        <w:t xml:space="preserve"> in</w:t>
      </w:r>
      <w:r w:rsidR="00687C2F">
        <w:rPr>
          <w:rFonts w:cs="Arial"/>
          <w:szCs w:val="20"/>
          <w:lang w:val="sl-SI"/>
        </w:rPr>
        <w:t xml:space="preserve"> socialnega varstva, saj </w:t>
      </w:r>
      <w:r>
        <w:rPr>
          <w:rFonts w:cs="Arial"/>
          <w:szCs w:val="20"/>
          <w:lang w:val="sl-SI"/>
        </w:rPr>
        <w:t xml:space="preserve">ne </w:t>
      </w:r>
      <w:r w:rsidR="00687C2F">
        <w:rPr>
          <w:rFonts w:cs="Arial"/>
          <w:szCs w:val="20"/>
          <w:lang w:val="sl-SI"/>
        </w:rPr>
        <w:t xml:space="preserve">gre </w:t>
      </w:r>
      <w:r>
        <w:rPr>
          <w:rFonts w:cs="Arial"/>
          <w:szCs w:val="20"/>
          <w:lang w:val="sl-SI"/>
        </w:rPr>
        <w:t xml:space="preserve">za prenos obstoječih dejavnosti, ampak gre </w:t>
      </w:r>
      <w:r w:rsidR="00687C2F">
        <w:rPr>
          <w:rFonts w:cs="Arial"/>
          <w:szCs w:val="20"/>
          <w:lang w:val="sl-SI"/>
        </w:rPr>
        <w:t xml:space="preserve">za vzpostavitev dodatnih </w:t>
      </w:r>
      <w:r>
        <w:rPr>
          <w:rFonts w:cs="Arial"/>
          <w:szCs w:val="20"/>
          <w:lang w:val="sl-SI"/>
        </w:rPr>
        <w:t xml:space="preserve">struktur in </w:t>
      </w:r>
      <w:r w:rsidR="00687C2F">
        <w:rPr>
          <w:rFonts w:cs="Arial"/>
          <w:szCs w:val="20"/>
          <w:lang w:val="sl-SI"/>
        </w:rPr>
        <w:t>dejavnosti za osebe z demenco in njihove svojce</w:t>
      </w:r>
      <w:r>
        <w:rPr>
          <w:rFonts w:cs="Arial"/>
          <w:szCs w:val="20"/>
          <w:lang w:val="sl-SI"/>
        </w:rPr>
        <w:t>, ki bodo</w:t>
      </w:r>
      <w:r w:rsidR="00687C2F">
        <w:rPr>
          <w:rFonts w:cs="Arial"/>
          <w:szCs w:val="20"/>
          <w:lang w:val="sl-SI"/>
        </w:rPr>
        <w:t xml:space="preserve"> dopolni</w:t>
      </w:r>
      <w:r>
        <w:rPr>
          <w:rFonts w:cs="Arial"/>
          <w:szCs w:val="20"/>
          <w:lang w:val="sl-SI"/>
        </w:rPr>
        <w:t>le</w:t>
      </w:r>
      <w:r w:rsidR="00687C2F">
        <w:rPr>
          <w:rFonts w:cs="Arial"/>
          <w:szCs w:val="20"/>
          <w:lang w:val="sl-SI"/>
        </w:rPr>
        <w:t xml:space="preserve"> obstoječe strukture izvajalcev.</w:t>
      </w:r>
    </w:p>
    <w:p w14:paraId="1A04C991" w14:textId="44B589DB" w:rsidR="0055373D" w:rsidRDefault="0055373D" w:rsidP="000A60D5">
      <w:pPr>
        <w:jc w:val="both"/>
        <w:rPr>
          <w:rFonts w:cs="Arial"/>
          <w:szCs w:val="20"/>
          <w:lang w:val="sl-SI"/>
        </w:rPr>
      </w:pPr>
    </w:p>
    <w:p w14:paraId="037669A8" w14:textId="3D07AEBE" w:rsidR="0055373D" w:rsidRPr="00885BD1" w:rsidRDefault="0055373D" w:rsidP="000A60D5">
      <w:pPr>
        <w:jc w:val="both"/>
        <w:rPr>
          <w:rFonts w:cs="Arial"/>
          <w:szCs w:val="20"/>
          <w:lang w:val="sl-SI"/>
        </w:rPr>
      </w:pPr>
      <w:r>
        <w:rPr>
          <w:rFonts w:cs="Arial"/>
          <w:szCs w:val="20"/>
          <w:lang w:val="sl-SI"/>
        </w:rPr>
        <w:t>Strategija z akcijskim načrtom opredeli konkretne ukrepe, nosilce in izvajalce ukrepov, časovnico, finančni vir in kazalnike, s katerimi se bo vsako leto izvajala redna evalvacija implementacije, najmanj vsakih pet let se bo izvedla tudi eksterna evalvacija implementacije Strategije. Akcijski načrti se pripravijo za obdobje od dve do pet let in so priloga Strategije. Prvi akcijski načrt se pripravi za obdobje dveh let in sprejme istočasno kot Strategija.</w:t>
      </w:r>
    </w:p>
    <w:p w14:paraId="67292FCD" w14:textId="6AC77C92" w:rsidR="001B2CEF" w:rsidRPr="00EF0DE7" w:rsidRDefault="001B2CEF" w:rsidP="00667928">
      <w:pPr>
        <w:spacing w:line="276" w:lineRule="auto"/>
        <w:jc w:val="both"/>
        <w:rPr>
          <w:rStyle w:val="NaslovZnak"/>
          <w:rFonts w:ascii="Arial" w:eastAsiaTheme="majorEastAsia" w:hAnsi="Arial" w:cs="Arial"/>
          <w:b w:val="0"/>
          <w:bCs w:val="0"/>
          <w:color w:val="2F5496" w:themeColor="accent1" w:themeShade="BF"/>
          <w:sz w:val="20"/>
          <w:szCs w:val="20"/>
          <w:lang w:val="sl-SI"/>
        </w:rPr>
      </w:pPr>
      <w:r w:rsidRPr="00EF0DE7">
        <w:rPr>
          <w:rStyle w:val="NaslovZnak"/>
          <w:rFonts w:ascii="Arial" w:eastAsiaTheme="majorEastAsia" w:hAnsi="Arial" w:cs="Arial"/>
          <w:b w:val="0"/>
          <w:bCs w:val="0"/>
          <w:sz w:val="20"/>
          <w:szCs w:val="20"/>
          <w:lang w:val="sl-SI"/>
        </w:rPr>
        <w:br w:type="page"/>
      </w:r>
    </w:p>
    <w:p w14:paraId="2EA8C09A" w14:textId="3C6052F4" w:rsidR="008B5B1B" w:rsidRPr="00885BD1" w:rsidRDefault="00947D36" w:rsidP="00E546B0">
      <w:pPr>
        <w:pStyle w:val="Naslov1"/>
      </w:pPr>
      <w:bookmarkStart w:id="63" w:name="_Toc117692311"/>
      <w:r w:rsidRPr="007A7DB3">
        <w:rPr>
          <w:rStyle w:val="NaslovZnak"/>
          <w:rFonts w:ascii="Arial" w:eastAsiaTheme="majorEastAsia" w:hAnsi="Arial" w:cs="Arial"/>
          <w:b w:val="0"/>
          <w:bCs w:val="0"/>
          <w:sz w:val="24"/>
          <w:szCs w:val="24"/>
          <w:lang w:val="sl-SI"/>
        </w:rPr>
        <w:lastRenderedPageBreak/>
        <w:t>9</w:t>
      </w:r>
      <w:r w:rsidR="008B5B1B" w:rsidRPr="007A7DB3">
        <w:rPr>
          <w:rStyle w:val="NaslovZnak"/>
          <w:rFonts w:ascii="Arial" w:eastAsiaTheme="majorEastAsia" w:hAnsi="Arial" w:cs="Arial"/>
          <w:b w:val="0"/>
          <w:bCs w:val="0"/>
          <w:sz w:val="24"/>
          <w:szCs w:val="24"/>
          <w:lang w:val="sl-SI"/>
        </w:rPr>
        <w:t>.</w:t>
      </w:r>
      <w:r w:rsidR="008B5B1B" w:rsidRPr="00885BD1">
        <w:rPr>
          <w:rStyle w:val="NaslovZnak"/>
          <w:rFonts w:ascii="Arial" w:eastAsiaTheme="majorEastAsia" w:hAnsi="Arial" w:cs="Arial"/>
          <w:sz w:val="24"/>
          <w:szCs w:val="24"/>
          <w:lang w:val="sl-SI"/>
        </w:rPr>
        <w:t xml:space="preserve"> </w:t>
      </w:r>
      <w:r w:rsidR="00DB2B59" w:rsidRPr="00885BD1">
        <w:rPr>
          <w:rStyle w:val="NaslovZnak"/>
          <w:rFonts w:ascii="Arial" w:eastAsiaTheme="majorEastAsia" w:hAnsi="Arial" w:cs="Arial"/>
          <w:b w:val="0"/>
          <w:bCs w:val="0"/>
          <w:sz w:val="24"/>
          <w:szCs w:val="24"/>
          <w:lang w:val="sl-SI"/>
        </w:rPr>
        <w:t>POJMOVNIK</w:t>
      </w:r>
      <w:bookmarkEnd w:id="63"/>
      <w:r w:rsidR="00DB2B59" w:rsidRPr="00885BD1">
        <w:rPr>
          <w:b/>
          <w:bCs/>
        </w:rPr>
        <w:t xml:space="preserve"> </w:t>
      </w:r>
    </w:p>
    <w:p w14:paraId="1809A4A3" w14:textId="4E80A651" w:rsidR="008B5B1B" w:rsidRDefault="00BB0E9E" w:rsidP="00BB0E9E">
      <w:pPr>
        <w:jc w:val="both"/>
        <w:rPr>
          <w:lang w:val="sl-SI"/>
        </w:rPr>
      </w:pPr>
      <w:r>
        <w:rPr>
          <w:lang w:val="sl-SI"/>
        </w:rPr>
        <w:t xml:space="preserve">V kolikor kateri pojem ni pojasnjen v tem poglavju, se za razumevanje te Strategija smiselno uporablja pojmovnik </w:t>
      </w:r>
      <w:r w:rsidRPr="00BB0E9E">
        <w:rPr>
          <w:lang w:val="sl-SI"/>
        </w:rPr>
        <w:t>The Global Dementia Observatory Reference Guide. Geneva, Switzerland: World Health Organization; 2018. Licence: CC BY-NC-SA 3.0 IGO</w:t>
      </w:r>
      <w:r w:rsidR="00667928">
        <w:rPr>
          <w:rStyle w:val="Sprotnaopomba-sklic"/>
          <w:lang w:val="sl-SI"/>
        </w:rPr>
        <w:footnoteReference w:id="38"/>
      </w:r>
      <w:r>
        <w:rPr>
          <w:lang w:val="sl-SI"/>
        </w:rPr>
        <w:t>.</w:t>
      </w:r>
      <w:r w:rsidR="00667928">
        <w:rPr>
          <w:lang w:val="sl-SI"/>
        </w:rPr>
        <w:t xml:space="preserve"> </w:t>
      </w:r>
    </w:p>
    <w:p w14:paraId="7C6E9793" w14:textId="77777777" w:rsidR="00BB0E9E" w:rsidRPr="00885BD1" w:rsidRDefault="00BB0E9E" w:rsidP="00AE78FF">
      <w:pPr>
        <w:rPr>
          <w:lang w:val="sl-SI"/>
        </w:rPr>
      </w:pPr>
    </w:p>
    <w:p w14:paraId="16DB892A" w14:textId="77777777" w:rsidR="00215C71" w:rsidRDefault="00215C71" w:rsidP="00215C71">
      <w:pPr>
        <w:jc w:val="both"/>
        <w:rPr>
          <w:rFonts w:cs="Arial"/>
          <w:szCs w:val="20"/>
          <w:lang w:val="sl-SI"/>
        </w:rPr>
      </w:pPr>
      <w:r w:rsidRPr="00215C71">
        <w:rPr>
          <w:rFonts w:cs="Arial"/>
          <w:b/>
          <w:bCs/>
          <w:szCs w:val="20"/>
          <w:lang w:val="sl-SI"/>
        </w:rPr>
        <w:t>Center za krepitev zdravja:</w:t>
      </w:r>
      <w:r w:rsidRPr="00215C71">
        <w:rPr>
          <w:rFonts w:cs="Arial"/>
          <w:szCs w:val="20"/>
          <w:lang w:val="sl-SI"/>
        </w:rPr>
        <w:t xml:space="preserve"> </w:t>
      </w:r>
    </w:p>
    <w:p w14:paraId="2485DFDC" w14:textId="253C56D2" w:rsidR="00215C71" w:rsidRDefault="00215C71" w:rsidP="00215C71">
      <w:pPr>
        <w:jc w:val="both"/>
        <w:rPr>
          <w:rFonts w:cs="Arial"/>
          <w:szCs w:val="20"/>
          <w:lang w:val="sl-SI"/>
        </w:rPr>
      </w:pPr>
      <w:r w:rsidRPr="00215C71">
        <w:rPr>
          <w:rFonts w:cs="Arial"/>
          <w:szCs w:val="20"/>
          <w:lang w:val="sl-SI"/>
        </w:rPr>
        <w:t>Centri za krepitev zdravja</w:t>
      </w:r>
      <w:r>
        <w:rPr>
          <w:rFonts w:cs="Arial"/>
          <w:szCs w:val="20"/>
          <w:lang w:val="sl-SI"/>
        </w:rPr>
        <w:t xml:space="preserve"> </w:t>
      </w:r>
      <w:r w:rsidRPr="00215C71">
        <w:rPr>
          <w:rFonts w:cs="Arial"/>
          <w:szCs w:val="20"/>
          <w:lang w:val="sl-SI"/>
        </w:rPr>
        <w:t>(CKZ) so samostojne organizacijske enote v zdravstvenih</w:t>
      </w:r>
      <w:r>
        <w:rPr>
          <w:rFonts w:cs="Arial"/>
          <w:szCs w:val="20"/>
          <w:lang w:val="sl-SI"/>
        </w:rPr>
        <w:t xml:space="preserve"> </w:t>
      </w:r>
      <w:r w:rsidRPr="00215C71">
        <w:rPr>
          <w:rFonts w:cs="Arial"/>
          <w:szCs w:val="20"/>
          <w:lang w:val="sl-SI"/>
        </w:rPr>
        <w:t>domovih. CKZ izvajajo program za krepitev zdravja (skupinske delavnice in individualna svetovanja za dolgotrajno spremembo življenjskih navad, ki bodo vodile v boljše</w:t>
      </w:r>
      <w:r>
        <w:rPr>
          <w:rFonts w:cs="Arial"/>
          <w:szCs w:val="20"/>
          <w:lang w:val="sl-SI"/>
        </w:rPr>
        <w:t xml:space="preserve"> </w:t>
      </w:r>
      <w:r w:rsidRPr="00215C71">
        <w:rPr>
          <w:rFonts w:cs="Arial"/>
          <w:szCs w:val="20"/>
          <w:lang w:val="sl-SI"/>
        </w:rPr>
        <w:t>počutje in zdravje) ter aktivnosti za krepitev zdravja in</w:t>
      </w:r>
      <w:r>
        <w:rPr>
          <w:rFonts w:cs="Arial"/>
          <w:szCs w:val="20"/>
          <w:lang w:val="sl-SI"/>
        </w:rPr>
        <w:t xml:space="preserve"> </w:t>
      </w:r>
      <w:r w:rsidRPr="00215C71">
        <w:rPr>
          <w:rFonts w:cs="Arial"/>
          <w:szCs w:val="20"/>
          <w:lang w:val="sl-SI"/>
        </w:rPr>
        <w:t>zmanjševanje neenakosti v zdravju v lokalnem okolju</w:t>
      </w:r>
      <w:r>
        <w:rPr>
          <w:rFonts w:cs="Arial"/>
          <w:szCs w:val="20"/>
          <w:lang w:val="sl-SI"/>
        </w:rPr>
        <w:t xml:space="preserve">. </w:t>
      </w:r>
    </w:p>
    <w:p w14:paraId="2A915A27" w14:textId="77777777" w:rsidR="00215C71" w:rsidRDefault="00215C71" w:rsidP="00215C71">
      <w:pPr>
        <w:jc w:val="both"/>
        <w:rPr>
          <w:rFonts w:cs="Arial"/>
          <w:b/>
          <w:bCs/>
          <w:szCs w:val="20"/>
          <w:lang w:val="sl-SI"/>
        </w:rPr>
      </w:pPr>
      <w:r w:rsidRPr="00215C71">
        <w:rPr>
          <w:rFonts w:cs="Arial"/>
          <w:b/>
          <w:bCs/>
          <w:szCs w:val="20"/>
          <w:lang w:val="sl-SI"/>
        </w:rPr>
        <w:t xml:space="preserve">Destigmatizacija: </w:t>
      </w:r>
    </w:p>
    <w:p w14:paraId="7D21B2B9" w14:textId="64C40365" w:rsidR="00215C71" w:rsidRPr="00215C71" w:rsidRDefault="00215C71" w:rsidP="00215C71">
      <w:pPr>
        <w:jc w:val="both"/>
        <w:rPr>
          <w:rFonts w:cs="Arial"/>
          <w:szCs w:val="20"/>
          <w:lang w:val="sl-SI"/>
        </w:rPr>
      </w:pPr>
      <w:r w:rsidRPr="00215C71">
        <w:rPr>
          <w:rFonts w:cs="Arial"/>
          <w:szCs w:val="20"/>
          <w:lang w:val="sl-SI"/>
        </w:rPr>
        <w:t>Proces oziroma aktivnost, ki ciljano deluje v smeri zmanjševanja stigme določenih zdravstvenih oziroma bolezenskih stanj. Destigmatizacija</w:t>
      </w:r>
      <w:r>
        <w:rPr>
          <w:rFonts w:cs="Arial"/>
          <w:szCs w:val="20"/>
          <w:lang w:val="sl-SI"/>
        </w:rPr>
        <w:t xml:space="preserve"> </w:t>
      </w:r>
      <w:r w:rsidRPr="00215C71">
        <w:rPr>
          <w:rFonts w:cs="Arial"/>
          <w:szCs w:val="20"/>
          <w:lang w:val="sl-SI"/>
        </w:rPr>
        <w:t>vpliva na povečano zavedanje problema in njegovo večjo</w:t>
      </w:r>
      <w:r>
        <w:rPr>
          <w:rFonts w:cs="Arial"/>
          <w:szCs w:val="20"/>
          <w:lang w:val="sl-SI"/>
        </w:rPr>
        <w:t xml:space="preserve"> </w:t>
      </w:r>
      <w:r w:rsidRPr="00215C71">
        <w:rPr>
          <w:rFonts w:cs="Arial"/>
          <w:szCs w:val="20"/>
          <w:lang w:val="sl-SI"/>
        </w:rPr>
        <w:t>sprejemljivost.</w:t>
      </w:r>
    </w:p>
    <w:p w14:paraId="314366DE" w14:textId="77777777" w:rsidR="00215C71" w:rsidRDefault="00215C71" w:rsidP="00215C71">
      <w:pPr>
        <w:jc w:val="both"/>
        <w:rPr>
          <w:rFonts w:cs="Arial"/>
          <w:b/>
          <w:bCs/>
          <w:szCs w:val="20"/>
          <w:lang w:val="sl-SI"/>
        </w:rPr>
      </w:pPr>
      <w:r w:rsidRPr="00215C71">
        <w:rPr>
          <w:rFonts w:cs="Arial"/>
          <w:b/>
          <w:bCs/>
          <w:szCs w:val="20"/>
          <w:lang w:val="sl-SI"/>
        </w:rPr>
        <w:t xml:space="preserve">Dolgotrajna oskrba: </w:t>
      </w:r>
    </w:p>
    <w:p w14:paraId="5A62ED8D" w14:textId="301956EF" w:rsidR="00215C71" w:rsidRDefault="00215C71" w:rsidP="00215C71">
      <w:pPr>
        <w:jc w:val="both"/>
        <w:rPr>
          <w:rFonts w:cs="Arial"/>
          <w:b/>
          <w:bCs/>
          <w:szCs w:val="20"/>
          <w:lang w:val="sl-SI"/>
        </w:rPr>
      </w:pPr>
      <w:r w:rsidRPr="00215C71">
        <w:rPr>
          <w:rFonts w:cs="Arial"/>
          <w:szCs w:val="20"/>
          <w:lang w:val="sl-SI"/>
        </w:rPr>
        <w:t>Dolgotrajna oskrba je niz storitev, ki jih potrebujejo ljudje z zmanjšano stopnjo telesnih</w:t>
      </w:r>
      <w:r>
        <w:rPr>
          <w:rFonts w:cs="Arial"/>
          <w:szCs w:val="20"/>
          <w:lang w:val="sl-SI"/>
        </w:rPr>
        <w:t xml:space="preserve"> </w:t>
      </w:r>
      <w:r w:rsidRPr="00215C71">
        <w:rPr>
          <w:rFonts w:cs="Arial"/>
          <w:szCs w:val="20"/>
          <w:lang w:val="sl-SI"/>
        </w:rPr>
        <w:t>in kognitivnih sposobnosti ter so posledično v daljšem</w:t>
      </w:r>
      <w:r>
        <w:rPr>
          <w:rFonts w:cs="Arial"/>
          <w:szCs w:val="20"/>
          <w:lang w:val="sl-SI"/>
        </w:rPr>
        <w:t xml:space="preserve"> </w:t>
      </w:r>
      <w:r w:rsidRPr="00215C71">
        <w:rPr>
          <w:rFonts w:cs="Arial"/>
          <w:szCs w:val="20"/>
          <w:lang w:val="sl-SI"/>
        </w:rPr>
        <w:t>časovnem obdobju odvisni od pomoči pri izvajanju osnovnih oziroma podpornih dnevnih opravil. V prihodnosti bo</w:t>
      </w:r>
      <w:r>
        <w:rPr>
          <w:rFonts w:cs="Arial"/>
          <w:szCs w:val="20"/>
          <w:lang w:val="sl-SI"/>
        </w:rPr>
        <w:t xml:space="preserve"> </w:t>
      </w:r>
      <w:r w:rsidRPr="00215C71">
        <w:rPr>
          <w:rFonts w:cs="Arial"/>
          <w:szCs w:val="20"/>
          <w:lang w:val="sl-SI"/>
        </w:rPr>
        <w:t>to vedno večji izziv, saj se populacija stara, poleg tega</w:t>
      </w:r>
      <w:r>
        <w:rPr>
          <w:rFonts w:cs="Arial"/>
          <w:szCs w:val="20"/>
          <w:lang w:val="sl-SI"/>
        </w:rPr>
        <w:t xml:space="preserve"> </w:t>
      </w:r>
      <w:r w:rsidRPr="00215C71">
        <w:rPr>
          <w:rFonts w:cs="Arial"/>
          <w:szCs w:val="20"/>
          <w:lang w:val="sl-SI"/>
        </w:rPr>
        <w:t>trendi kažejo, da se bo ta populacija srečevala z oviranostjo in bo torej potrebovala podporo pri temeljnih dnevnih aktivnostih</w:t>
      </w:r>
      <w:r w:rsidRPr="00215C71">
        <w:rPr>
          <w:rFonts w:cs="Arial"/>
          <w:b/>
          <w:bCs/>
          <w:szCs w:val="20"/>
          <w:lang w:val="sl-SI"/>
        </w:rPr>
        <w:t>.</w:t>
      </w:r>
    </w:p>
    <w:p w14:paraId="6816EDFC" w14:textId="01CE175D" w:rsidR="005C057A" w:rsidRPr="00215054" w:rsidRDefault="008B5B1B" w:rsidP="00215C71">
      <w:pPr>
        <w:jc w:val="both"/>
        <w:rPr>
          <w:rFonts w:cs="Arial"/>
          <w:b/>
          <w:bCs/>
          <w:szCs w:val="20"/>
          <w:lang w:val="sl-SI"/>
        </w:rPr>
      </w:pPr>
      <w:r w:rsidRPr="00215054">
        <w:rPr>
          <w:rFonts w:cs="Arial"/>
          <w:b/>
          <w:bCs/>
          <w:szCs w:val="20"/>
          <w:lang w:val="sl-SI"/>
        </w:rPr>
        <w:t>Demenca</w:t>
      </w:r>
      <w:r w:rsidR="00303FB1">
        <w:rPr>
          <w:rFonts w:cs="Arial"/>
          <w:b/>
          <w:bCs/>
          <w:szCs w:val="20"/>
          <w:lang w:val="sl-SI"/>
        </w:rPr>
        <w:t>:</w:t>
      </w:r>
    </w:p>
    <w:p w14:paraId="5D31528B" w14:textId="438AAD58" w:rsidR="00215054" w:rsidRPr="00215054" w:rsidRDefault="00215054" w:rsidP="001E5C2E">
      <w:pPr>
        <w:jc w:val="both"/>
        <w:rPr>
          <w:rFonts w:cs="Arial"/>
          <w:szCs w:val="20"/>
          <w:lang w:val="sl-SI"/>
        </w:rPr>
      </w:pPr>
      <w:r w:rsidRPr="00215054">
        <w:rPr>
          <w:rFonts w:cs="Arial"/>
          <w:szCs w:val="20"/>
          <w:lang w:val="sl-SI"/>
        </w:rPr>
        <w:t>Z izrazom demenca opisujemo napredujoče in novonastalo bolezensko stanje, ki se kaže z motnjami spomina, mišljenja, orientacije, prepoznavanja, razumevanja, govornega izražanja, presoje, vedenja, zaznavanja in čustvovanja, ki omejuje posameznikove dnevne aktivnosti in vodi v potrebo po zagotavljanju pomoči s strani druge osebe</w:t>
      </w:r>
      <w:r w:rsidR="00716346">
        <w:rPr>
          <w:rFonts w:cs="Arial"/>
          <w:szCs w:val="20"/>
          <w:lang w:val="sl-SI"/>
        </w:rPr>
        <w:t>.</w:t>
      </w:r>
    </w:p>
    <w:p w14:paraId="3218BA53" w14:textId="29D0AFB1" w:rsidR="001E5C2E" w:rsidRPr="009E2B9C" w:rsidRDefault="001E5C2E" w:rsidP="001E5C2E">
      <w:pPr>
        <w:jc w:val="both"/>
        <w:rPr>
          <w:rFonts w:cs="Arial"/>
          <w:b/>
          <w:bCs/>
          <w:szCs w:val="20"/>
          <w:lang w:val="sl-SI"/>
        </w:rPr>
      </w:pPr>
      <w:r w:rsidRPr="009E2B9C">
        <w:rPr>
          <w:rFonts w:cs="Arial"/>
          <w:b/>
          <w:bCs/>
          <w:szCs w:val="20"/>
          <w:lang w:val="sl-SI"/>
        </w:rPr>
        <w:t>Integracija definicija</w:t>
      </w:r>
      <w:r w:rsidR="009E2B9C" w:rsidRPr="009E2B9C">
        <w:rPr>
          <w:rFonts w:cs="Arial"/>
          <w:b/>
          <w:bCs/>
          <w:szCs w:val="20"/>
          <w:lang w:val="sl-SI"/>
        </w:rPr>
        <w:t>:</w:t>
      </w:r>
    </w:p>
    <w:p w14:paraId="02C0B1BD" w14:textId="50F3FE75" w:rsidR="009E2B9C" w:rsidRPr="00885BD1" w:rsidRDefault="009E2B9C" w:rsidP="001E5C2E">
      <w:pPr>
        <w:jc w:val="both"/>
        <w:rPr>
          <w:rFonts w:cs="Arial"/>
          <w:szCs w:val="20"/>
          <w:lang w:val="sl-SI"/>
        </w:rPr>
      </w:pPr>
      <w:r w:rsidRPr="009E2B9C">
        <w:rPr>
          <w:rFonts w:cs="Arial"/>
          <w:szCs w:val="20"/>
          <w:lang w:val="sl-SI"/>
        </w:rPr>
        <w:t xml:space="preserve">Integracija je </w:t>
      </w:r>
      <w:r w:rsidR="00126426">
        <w:rPr>
          <w:rFonts w:cs="Arial"/>
          <w:szCs w:val="20"/>
          <w:lang w:val="sl-SI"/>
        </w:rPr>
        <w:t xml:space="preserve">povezovanje na </w:t>
      </w:r>
      <w:r w:rsidRPr="009E2B9C">
        <w:rPr>
          <w:rFonts w:cs="Arial"/>
          <w:szCs w:val="20"/>
          <w:lang w:val="sl-SI"/>
        </w:rPr>
        <w:t>horizontaln</w:t>
      </w:r>
      <w:r w:rsidR="00126426">
        <w:rPr>
          <w:rFonts w:cs="Arial"/>
          <w:szCs w:val="20"/>
          <w:lang w:val="sl-SI"/>
        </w:rPr>
        <w:t>i</w:t>
      </w:r>
      <w:r w:rsidRPr="009E2B9C">
        <w:rPr>
          <w:rFonts w:cs="Arial"/>
          <w:szCs w:val="20"/>
          <w:lang w:val="sl-SI"/>
        </w:rPr>
        <w:t xml:space="preserve"> na isti stopnji ali vertikaln</w:t>
      </w:r>
      <w:r w:rsidR="00126426">
        <w:rPr>
          <w:rFonts w:cs="Arial"/>
          <w:szCs w:val="20"/>
          <w:lang w:val="sl-SI"/>
        </w:rPr>
        <w:t>i</w:t>
      </w:r>
      <w:r w:rsidRPr="009E2B9C">
        <w:rPr>
          <w:rFonts w:cs="Arial"/>
          <w:szCs w:val="20"/>
          <w:lang w:val="sl-SI"/>
        </w:rPr>
        <w:t xml:space="preserve"> na zaporedni stopnja</w:t>
      </w:r>
      <w:r w:rsidR="00126426">
        <w:rPr>
          <w:rFonts w:cs="Arial"/>
          <w:szCs w:val="20"/>
          <w:lang w:val="sl-SI"/>
        </w:rPr>
        <w:t>.</w:t>
      </w:r>
      <w:r w:rsidRPr="009E2B9C">
        <w:rPr>
          <w:rFonts w:cs="Arial"/>
          <w:szCs w:val="20"/>
          <w:lang w:val="sl-SI"/>
        </w:rPr>
        <w:t xml:space="preserve"> V povezavi s storitvami pomeni </w:t>
      </w:r>
      <w:r w:rsidR="00126426">
        <w:rPr>
          <w:rFonts w:cs="Arial"/>
          <w:szCs w:val="20"/>
          <w:lang w:val="sl-SI"/>
        </w:rPr>
        <w:t xml:space="preserve">povezovanje na mikro, makro in mezo ravni. </w:t>
      </w:r>
      <w:r w:rsidR="00126426" w:rsidRPr="009E2B9C">
        <w:rPr>
          <w:rFonts w:cs="Arial"/>
          <w:szCs w:val="20"/>
          <w:lang w:val="sl-SI"/>
        </w:rPr>
        <w:t>I</w:t>
      </w:r>
      <w:r w:rsidRPr="009E2B9C">
        <w:rPr>
          <w:rFonts w:cs="Arial"/>
          <w:szCs w:val="20"/>
          <w:lang w:val="sl-SI"/>
        </w:rPr>
        <w:t>ntegracija</w:t>
      </w:r>
      <w:r w:rsidR="00126426">
        <w:rPr>
          <w:rFonts w:cs="Arial"/>
          <w:szCs w:val="20"/>
          <w:lang w:val="sl-SI"/>
        </w:rPr>
        <w:t xml:space="preserve"> </w:t>
      </w:r>
      <w:r w:rsidRPr="009E2B9C">
        <w:rPr>
          <w:rFonts w:cs="Arial"/>
          <w:szCs w:val="20"/>
          <w:lang w:val="sl-SI"/>
        </w:rPr>
        <w:t>vzpostavitev kombinacij storitev, ki zagotavljajo popolnost in harmonijo</w:t>
      </w:r>
      <w:r w:rsidR="00126426">
        <w:rPr>
          <w:rFonts w:cs="Arial"/>
          <w:szCs w:val="20"/>
          <w:lang w:val="sl-SI"/>
        </w:rPr>
        <w:t xml:space="preserve"> glede na </w:t>
      </w:r>
      <w:r w:rsidR="0051124C">
        <w:rPr>
          <w:rFonts w:cs="Arial"/>
          <w:szCs w:val="20"/>
          <w:lang w:val="sl-SI"/>
        </w:rPr>
        <w:t xml:space="preserve">potrebe </w:t>
      </w:r>
      <w:r w:rsidR="00126426">
        <w:rPr>
          <w:rFonts w:cs="Arial"/>
          <w:szCs w:val="20"/>
          <w:lang w:val="sl-SI"/>
        </w:rPr>
        <w:t>posameznika</w:t>
      </w:r>
      <w:r w:rsidR="005576B0">
        <w:rPr>
          <w:rFonts w:cs="Arial"/>
          <w:szCs w:val="20"/>
          <w:lang w:val="sl-SI"/>
        </w:rPr>
        <w:t xml:space="preserve">, v </w:t>
      </w:r>
      <w:r w:rsidRPr="009E2B9C">
        <w:rPr>
          <w:rFonts w:cs="Arial"/>
          <w:szCs w:val="20"/>
          <w:lang w:val="sl-SI"/>
        </w:rPr>
        <w:t xml:space="preserve">svojem bistvu predstavlja fizično, duševno in socialno povezovanje posameznika z njegovim okoljem. S povečevanjem povezanosti oziroma integriranosti se povečuje opravljanje funkcij in vsakodnevnih vlog. </w:t>
      </w:r>
      <w:r w:rsidR="005576B0">
        <w:rPr>
          <w:rFonts w:cs="Arial"/>
          <w:szCs w:val="20"/>
          <w:lang w:val="sl-SI"/>
        </w:rPr>
        <w:t>I</w:t>
      </w:r>
      <w:r w:rsidRPr="009E2B9C">
        <w:rPr>
          <w:rFonts w:cs="Arial"/>
          <w:szCs w:val="20"/>
          <w:lang w:val="sl-SI"/>
        </w:rPr>
        <w:t xml:space="preserve">ntegrirano oskrbo </w:t>
      </w:r>
      <w:r w:rsidR="005576B0" w:rsidRPr="009E2B9C">
        <w:rPr>
          <w:rFonts w:cs="Arial"/>
          <w:szCs w:val="20"/>
          <w:lang w:val="sl-SI"/>
        </w:rPr>
        <w:t xml:space="preserve">je mogoče </w:t>
      </w:r>
      <w:r w:rsidRPr="009E2B9C">
        <w:rPr>
          <w:rFonts w:cs="Arial"/>
          <w:szCs w:val="20"/>
          <w:lang w:val="sl-SI"/>
        </w:rPr>
        <w:t>razumeti kot odgovor na razdrobljeno zagotavljanje zdravstvenih in socialnih storitev, kar se kaže kot problem v številnih zdravstvenih sistemih.</w:t>
      </w:r>
    </w:p>
    <w:p w14:paraId="7BF68A51" w14:textId="5A44CF59" w:rsidR="001E5C2E" w:rsidRDefault="009E2B9C" w:rsidP="001E5C2E">
      <w:pPr>
        <w:jc w:val="both"/>
        <w:rPr>
          <w:rFonts w:cs="Arial"/>
          <w:b/>
          <w:bCs/>
          <w:szCs w:val="20"/>
          <w:lang w:val="sl-SI"/>
        </w:rPr>
      </w:pPr>
      <w:r w:rsidRPr="009E2B9C">
        <w:rPr>
          <w:rFonts w:cs="Arial"/>
          <w:b/>
          <w:bCs/>
          <w:szCs w:val="20"/>
          <w:lang w:val="sl-SI"/>
        </w:rPr>
        <w:t>M</w:t>
      </w:r>
      <w:r w:rsidR="001E5C2E" w:rsidRPr="009E2B9C">
        <w:rPr>
          <w:rFonts w:cs="Arial"/>
          <w:b/>
          <w:bCs/>
          <w:szCs w:val="20"/>
          <w:lang w:val="sl-SI"/>
        </w:rPr>
        <w:t>ultidisciplinarni</w:t>
      </w:r>
      <w:r w:rsidRPr="009E2B9C">
        <w:rPr>
          <w:rFonts w:cs="Arial"/>
          <w:b/>
          <w:bCs/>
          <w:szCs w:val="20"/>
          <w:lang w:val="sl-SI"/>
        </w:rPr>
        <w:t xml:space="preserve"> </w:t>
      </w:r>
      <w:r w:rsidR="001E5C2E" w:rsidRPr="009E2B9C">
        <w:rPr>
          <w:rFonts w:cs="Arial"/>
          <w:b/>
          <w:bCs/>
          <w:szCs w:val="20"/>
          <w:lang w:val="sl-SI"/>
        </w:rPr>
        <w:t>pristop</w:t>
      </w:r>
      <w:r>
        <w:rPr>
          <w:rFonts w:cs="Arial"/>
          <w:b/>
          <w:bCs/>
          <w:szCs w:val="20"/>
          <w:lang w:val="sl-SI"/>
        </w:rPr>
        <w:t>:</w:t>
      </w:r>
    </w:p>
    <w:p w14:paraId="0C2BA46B" w14:textId="77777777" w:rsidR="00215054" w:rsidRDefault="005576B0" w:rsidP="005576B0">
      <w:pPr>
        <w:jc w:val="both"/>
        <w:rPr>
          <w:rFonts w:cs="Arial"/>
          <w:szCs w:val="20"/>
          <w:lang w:val="sl-SI"/>
        </w:rPr>
      </w:pPr>
      <w:r>
        <w:rPr>
          <w:rFonts w:cs="Arial"/>
          <w:szCs w:val="20"/>
          <w:lang w:val="sl-SI"/>
        </w:rPr>
        <w:t>M</w:t>
      </w:r>
      <w:r w:rsidRPr="005576B0">
        <w:rPr>
          <w:rFonts w:cs="Arial"/>
          <w:szCs w:val="20"/>
          <w:lang w:val="sl-SI"/>
        </w:rPr>
        <w:t>ultidisciplinarn</w:t>
      </w:r>
      <w:r>
        <w:rPr>
          <w:rFonts w:cs="Arial"/>
          <w:szCs w:val="20"/>
          <w:lang w:val="sl-SI"/>
        </w:rPr>
        <w:t xml:space="preserve">i </w:t>
      </w:r>
      <w:r w:rsidR="00215054">
        <w:rPr>
          <w:rFonts w:cs="Arial"/>
          <w:szCs w:val="20"/>
          <w:lang w:val="sl-SI"/>
        </w:rPr>
        <w:t xml:space="preserve">pristop je </w:t>
      </w:r>
      <w:r w:rsidRPr="005576B0">
        <w:rPr>
          <w:rFonts w:cs="Arial"/>
          <w:szCs w:val="20"/>
          <w:lang w:val="sl-SI"/>
        </w:rPr>
        <w:t>združevanje ali vključevanje več akademskih disciplin ali strokovnih specializacij v pristop</w:t>
      </w:r>
      <w:r w:rsidR="00215054">
        <w:rPr>
          <w:rFonts w:cs="Arial"/>
          <w:szCs w:val="20"/>
          <w:lang w:val="sl-SI"/>
        </w:rPr>
        <w:t>u</w:t>
      </w:r>
      <w:r w:rsidRPr="005576B0">
        <w:rPr>
          <w:rFonts w:cs="Arial"/>
          <w:szCs w:val="20"/>
          <w:lang w:val="sl-SI"/>
        </w:rPr>
        <w:t xml:space="preserve"> k </w:t>
      </w:r>
      <w:r w:rsidR="00215054">
        <w:rPr>
          <w:rFonts w:cs="Arial"/>
          <w:szCs w:val="20"/>
          <w:lang w:val="sl-SI"/>
        </w:rPr>
        <w:t>obravnavanemu primeru</w:t>
      </w:r>
      <w:r w:rsidRPr="005576B0">
        <w:rPr>
          <w:rFonts w:cs="Arial"/>
          <w:szCs w:val="20"/>
          <w:lang w:val="sl-SI"/>
        </w:rPr>
        <w:t xml:space="preserve"> ali problemu</w:t>
      </w:r>
      <w:r w:rsidR="00215054">
        <w:rPr>
          <w:rFonts w:cs="Arial"/>
          <w:szCs w:val="20"/>
          <w:lang w:val="sl-SI"/>
        </w:rPr>
        <w:t>.</w:t>
      </w:r>
    </w:p>
    <w:p w14:paraId="1FA7BDB6" w14:textId="77777777" w:rsidR="00215C71" w:rsidRDefault="00215C71" w:rsidP="00215C71">
      <w:pPr>
        <w:jc w:val="both"/>
        <w:rPr>
          <w:rFonts w:cs="Arial"/>
          <w:b/>
          <w:bCs/>
          <w:szCs w:val="20"/>
          <w:lang w:val="sl-SI"/>
        </w:rPr>
      </w:pPr>
      <w:r w:rsidRPr="00215C71">
        <w:rPr>
          <w:rFonts w:cs="Arial"/>
          <w:b/>
          <w:bCs/>
          <w:szCs w:val="20"/>
          <w:lang w:val="sl-SI"/>
        </w:rPr>
        <w:t xml:space="preserve">Nevladna organizacija: </w:t>
      </w:r>
    </w:p>
    <w:p w14:paraId="5EDAB5A9" w14:textId="4B3CC7E5" w:rsidR="00215C71" w:rsidRPr="00215C71" w:rsidRDefault="00215C71" w:rsidP="00215C71">
      <w:pPr>
        <w:jc w:val="both"/>
        <w:rPr>
          <w:rFonts w:cs="Arial"/>
          <w:szCs w:val="20"/>
          <w:lang w:val="sl-SI"/>
        </w:rPr>
      </w:pPr>
      <w:r w:rsidRPr="00215C71">
        <w:rPr>
          <w:rFonts w:cs="Arial"/>
          <w:szCs w:val="20"/>
          <w:lang w:val="sl-SI"/>
        </w:rPr>
        <w:t>Društvo, ki je od pristojnega ministrstva pridobilo status društva v javnem interesu v skladu z Zakonom o društvih (Uradni list RS, št. 64/11 – UPB) ali status humanitarne</w:t>
      </w:r>
      <w:r>
        <w:rPr>
          <w:rFonts w:cs="Arial"/>
          <w:szCs w:val="20"/>
          <w:lang w:val="sl-SI"/>
        </w:rPr>
        <w:t xml:space="preserve"> </w:t>
      </w:r>
      <w:r w:rsidRPr="00215C71">
        <w:rPr>
          <w:rFonts w:cs="Arial"/>
          <w:szCs w:val="20"/>
          <w:lang w:val="sl-SI"/>
        </w:rPr>
        <w:t>organizacije na podlagi Zakona o humanitarnih organizacijah (Uradni list RS, št. 98/03 in 61/06 – ZDru-1).</w:t>
      </w:r>
    </w:p>
    <w:p w14:paraId="322BC1D3" w14:textId="77777777" w:rsidR="00734319" w:rsidRDefault="00215C71" w:rsidP="00215C71">
      <w:pPr>
        <w:jc w:val="both"/>
        <w:rPr>
          <w:rFonts w:cs="Arial"/>
          <w:b/>
          <w:bCs/>
          <w:szCs w:val="20"/>
          <w:lang w:val="sl-SI"/>
        </w:rPr>
      </w:pPr>
      <w:r w:rsidRPr="00215C71">
        <w:rPr>
          <w:rFonts w:cs="Arial"/>
          <w:b/>
          <w:bCs/>
          <w:szCs w:val="20"/>
          <w:lang w:val="sl-SI"/>
        </w:rPr>
        <w:t xml:space="preserve">Stigma: </w:t>
      </w:r>
    </w:p>
    <w:p w14:paraId="0E0A07C4" w14:textId="2170FC10" w:rsidR="005576B0" w:rsidRPr="00734319" w:rsidRDefault="00215C71" w:rsidP="00215C71">
      <w:pPr>
        <w:jc w:val="both"/>
        <w:rPr>
          <w:rFonts w:cs="Arial"/>
          <w:szCs w:val="20"/>
          <w:lang w:val="sl-SI"/>
        </w:rPr>
      </w:pPr>
      <w:r w:rsidRPr="00734319">
        <w:rPr>
          <w:rFonts w:cs="Arial"/>
          <w:szCs w:val="20"/>
          <w:lang w:val="sl-SI"/>
        </w:rPr>
        <w:t>Stigma</w:t>
      </w:r>
      <w:r w:rsidR="00734319" w:rsidRPr="00734319">
        <w:rPr>
          <w:rFonts w:cs="Arial"/>
          <w:szCs w:val="20"/>
          <w:lang w:val="sl-SI"/>
        </w:rPr>
        <w:t xml:space="preserve"> </w:t>
      </w:r>
      <w:r w:rsidRPr="00734319">
        <w:rPr>
          <w:rFonts w:cs="Arial"/>
          <w:szCs w:val="20"/>
          <w:lang w:val="sl-SI"/>
        </w:rPr>
        <w:t>je negativno označevanje (etiketiranje) posameznika</w:t>
      </w:r>
      <w:r w:rsidR="00734319" w:rsidRPr="00734319">
        <w:rPr>
          <w:rFonts w:cs="Arial"/>
          <w:szCs w:val="20"/>
          <w:lang w:val="sl-SI"/>
        </w:rPr>
        <w:t xml:space="preserve"> </w:t>
      </w:r>
      <w:r w:rsidRPr="00734319">
        <w:rPr>
          <w:rFonts w:cs="Arial"/>
          <w:szCs w:val="20"/>
          <w:lang w:val="sl-SI"/>
        </w:rPr>
        <w:t>zaradi njegovih lastnosti ali stanja (na primer bolezni),</w:t>
      </w:r>
      <w:r w:rsidR="00734319" w:rsidRPr="00734319">
        <w:rPr>
          <w:rFonts w:cs="Arial"/>
          <w:szCs w:val="20"/>
          <w:lang w:val="sl-SI"/>
        </w:rPr>
        <w:t xml:space="preserve"> </w:t>
      </w:r>
      <w:r w:rsidRPr="00734319">
        <w:rPr>
          <w:rFonts w:cs="Arial"/>
          <w:szCs w:val="20"/>
          <w:lang w:val="sl-SI"/>
        </w:rPr>
        <w:t>ki ga loči od drugih ljudi. Kadar je posameznik označen,</w:t>
      </w:r>
      <w:r w:rsidR="00734319" w:rsidRPr="00734319">
        <w:rPr>
          <w:rFonts w:cs="Arial"/>
          <w:szCs w:val="20"/>
          <w:lang w:val="sl-SI"/>
        </w:rPr>
        <w:t xml:space="preserve"> </w:t>
      </w:r>
      <w:r w:rsidRPr="00734319">
        <w:rPr>
          <w:rFonts w:cs="Arial"/>
          <w:szCs w:val="20"/>
          <w:lang w:val="sl-SI"/>
        </w:rPr>
        <w:t>stigmatiziran zaradi svoje bolezni, ga okolica ne dojema</w:t>
      </w:r>
      <w:r w:rsidR="00734319" w:rsidRPr="00734319">
        <w:rPr>
          <w:rFonts w:cs="Arial"/>
          <w:szCs w:val="20"/>
          <w:lang w:val="sl-SI"/>
        </w:rPr>
        <w:t xml:space="preserve"> </w:t>
      </w:r>
      <w:r w:rsidRPr="00734319">
        <w:rPr>
          <w:rFonts w:cs="Arial"/>
          <w:szCs w:val="20"/>
          <w:lang w:val="sl-SI"/>
        </w:rPr>
        <w:t>več kot posameznika, ampak kot pripadnika skupine, ki je</w:t>
      </w:r>
      <w:r w:rsidR="00734319" w:rsidRPr="00734319">
        <w:rPr>
          <w:rFonts w:cs="Arial"/>
          <w:szCs w:val="20"/>
          <w:lang w:val="sl-SI"/>
        </w:rPr>
        <w:t xml:space="preserve"> </w:t>
      </w:r>
      <w:r w:rsidRPr="00734319">
        <w:rPr>
          <w:rFonts w:cs="Arial"/>
          <w:szCs w:val="20"/>
          <w:lang w:val="sl-SI"/>
        </w:rPr>
        <w:t>običajno podvržena stereotipom. Stigma je sestavljena iz</w:t>
      </w:r>
      <w:r w:rsidR="00734319" w:rsidRPr="00734319">
        <w:rPr>
          <w:rFonts w:cs="Arial"/>
          <w:szCs w:val="20"/>
          <w:lang w:val="sl-SI"/>
        </w:rPr>
        <w:t xml:space="preserve"> </w:t>
      </w:r>
      <w:r w:rsidRPr="00734319">
        <w:rPr>
          <w:rFonts w:cs="Arial"/>
          <w:szCs w:val="20"/>
          <w:lang w:val="sl-SI"/>
        </w:rPr>
        <w:t>(i) stereotipov (pozitivna ali negativna družbena mnenja o</w:t>
      </w:r>
      <w:r w:rsidR="00734319" w:rsidRPr="00734319">
        <w:rPr>
          <w:rFonts w:cs="Arial"/>
          <w:szCs w:val="20"/>
          <w:lang w:val="sl-SI"/>
        </w:rPr>
        <w:t xml:space="preserve"> </w:t>
      </w:r>
      <w:r w:rsidRPr="00734319">
        <w:rPr>
          <w:rFonts w:cs="Arial"/>
          <w:szCs w:val="20"/>
          <w:lang w:val="sl-SI"/>
        </w:rPr>
        <w:t>določeni skupini ljudi), (ii) predsodkov (miselni in čustveni odzivi na stereotipe) in (iii) diskriminacije (vedenjski</w:t>
      </w:r>
      <w:r w:rsidR="00734319" w:rsidRPr="00734319">
        <w:rPr>
          <w:rFonts w:cs="Arial"/>
          <w:szCs w:val="20"/>
          <w:lang w:val="sl-SI"/>
        </w:rPr>
        <w:t xml:space="preserve"> </w:t>
      </w:r>
      <w:r w:rsidRPr="00734319">
        <w:rPr>
          <w:rFonts w:cs="Arial"/>
          <w:szCs w:val="20"/>
          <w:lang w:val="sl-SI"/>
        </w:rPr>
        <w:t>odziv na predsodke). Poznamo več vrst diskriminacije,</w:t>
      </w:r>
      <w:r w:rsidR="00734319" w:rsidRPr="00734319">
        <w:rPr>
          <w:rFonts w:cs="Arial"/>
          <w:szCs w:val="20"/>
          <w:lang w:val="sl-SI"/>
        </w:rPr>
        <w:t xml:space="preserve"> </w:t>
      </w:r>
      <w:r w:rsidRPr="00734319">
        <w:rPr>
          <w:rFonts w:cs="Arial"/>
          <w:szCs w:val="20"/>
          <w:lang w:val="sl-SI"/>
        </w:rPr>
        <w:lastRenderedPageBreak/>
        <w:t>najpogostejše so označevanje s strani bližnjih, strokovnih</w:t>
      </w:r>
      <w:r w:rsidR="00734319" w:rsidRPr="00734319">
        <w:rPr>
          <w:rFonts w:cs="Arial"/>
          <w:szCs w:val="20"/>
          <w:lang w:val="sl-SI"/>
        </w:rPr>
        <w:t xml:space="preserve"> </w:t>
      </w:r>
      <w:r w:rsidRPr="00734319">
        <w:rPr>
          <w:rFonts w:cs="Arial"/>
          <w:szCs w:val="20"/>
          <w:lang w:val="sl-SI"/>
        </w:rPr>
        <w:t>služb, prijateljev in na področju zaposlovanja. Samostigmatizacija je ponotranjena stigma, ki se kaže v izgubi</w:t>
      </w:r>
      <w:r w:rsidR="00734319" w:rsidRPr="00734319">
        <w:rPr>
          <w:rFonts w:cs="Arial"/>
          <w:szCs w:val="20"/>
          <w:lang w:val="sl-SI"/>
        </w:rPr>
        <w:t xml:space="preserve"> </w:t>
      </w:r>
      <w:r w:rsidRPr="00734319">
        <w:rPr>
          <w:rFonts w:cs="Arial"/>
          <w:szCs w:val="20"/>
          <w:lang w:val="sl-SI"/>
        </w:rPr>
        <w:t>samospoštovanja.</w:t>
      </w:r>
    </w:p>
    <w:p w14:paraId="5DE577BE" w14:textId="472F9DD2" w:rsidR="00215C71" w:rsidRDefault="00215C71" w:rsidP="00215C71">
      <w:pPr>
        <w:jc w:val="both"/>
        <w:rPr>
          <w:rFonts w:cs="Arial"/>
          <w:b/>
          <w:bCs/>
          <w:szCs w:val="20"/>
          <w:lang w:val="sl-SI"/>
        </w:rPr>
      </w:pPr>
    </w:p>
    <w:p w14:paraId="7D57DC82" w14:textId="77777777" w:rsidR="005C057A" w:rsidRPr="00885BD1" w:rsidRDefault="005C057A" w:rsidP="00CD4BC8">
      <w:pPr>
        <w:jc w:val="both"/>
        <w:rPr>
          <w:rFonts w:cs="Arial"/>
          <w:szCs w:val="20"/>
          <w:lang w:val="sl-SI"/>
        </w:rPr>
      </w:pPr>
    </w:p>
    <w:p w14:paraId="13B2DD5B" w14:textId="4265B802" w:rsidR="0080474A" w:rsidRPr="00885BD1" w:rsidRDefault="0080474A" w:rsidP="00215C71">
      <w:pPr>
        <w:jc w:val="both"/>
        <w:rPr>
          <w:rStyle w:val="Intenzivenpoudarek"/>
          <w:b/>
          <w:bCs/>
          <w:i w:val="0"/>
          <w:iCs w:val="0"/>
          <w:sz w:val="22"/>
          <w:szCs w:val="22"/>
          <w:lang w:val="sl-SI"/>
        </w:rPr>
      </w:pPr>
      <w:r w:rsidRPr="00885BD1">
        <w:rPr>
          <w:rStyle w:val="Intenzivenpoudarek"/>
          <w:b/>
          <w:bCs/>
          <w:i w:val="0"/>
          <w:iCs w:val="0"/>
          <w:sz w:val="22"/>
          <w:szCs w:val="22"/>
          <w:lang w:val="sl-SI"/>
        </w:rPr>
        <w:br w:type="page"/>
      </w:r>
    </w:p>
    <w:p w14:paraId="4707B98F" w14:textId="548F9513" w:rsidR="005C057A" w:rsidRPr="00C42E72" w:rsidRDefault="00947D36" w:rsidP="00E546B0">
      <w:pPr>
        <w:pStyle w:val="Naslov1"/>
        <w:rPr>
          <w:rStyle w:val="Intenzivenpoudarek"/>
          <w:i w:val="0"/>
          <w:iCs w:val="0"/>
          <w:color w:val="2F5496" w:themeColor="accent1" w:themeShade="BF"/>
        </w:rPr>
      </w:pPr>
      <w:bookmarkStart w:id="64" w:name="_Toc117692312"/>
      <w:r>
        <w:rPr>
          <w:rStyle w:val="Intenzivenpoudarek"/>
          <w:i w:val="0"/>
          <w:iCs w:val="0"/>
          <w:color w:val="2F5496" w:themeColor="accent1" w:themeShade="BF"/>
        </w:rPr>
        <w:lastRenderedPageBreak/>
        <w:t>10</w:t>
      </w:r>
      <w:r w:rsidR="005C057A" w:rsidRPr="00C42E72">
        <w:rPr>
          <w:rStyle w:val="Intenzivenpoudarek"/>
          <w:i w:val="0"/>
          <w:iCs w:val="0"/>
          <w:color w:val="2F5496" w:themeColor="accent1" w:themeShade="BF"/>
        </w:rPr>
        <w:t xml:space="preserve"> </w:t>
      </w:r>
      <w:r w:rsidR="00DB2B59" w:rsidRPr="00C42E72">
        <w:rPr>
          <w:rStyle w:val="Intenzivenpoudarek"/>
          <w:i w:val="0"/>
          <w:iCs w:val="0"/>
          <w:color w:val="2F5496" w:themeColor="accent1" w:themeShade="BF"/>
        </w:rPr>
        <w:t>LITERATURA</w:t>
      </w:r>
      <w:bookmarkEnd w:id="64"/>
    </w:p>
    <w:p w14:paraId="0E666B1C" w14:textId="77777777" w:rsidR="005C057A" w:rsidRPr="00885BD1" w:rsidRDefault="005C057A" w:rsidP="005C057A">
      <w:pPr>
        <w:jc w:val="both"/>
        <w:rPr>
          <w:rFonts w:cs="Arial"/>
          <w:szCs w:val="20"/>
          <w:lang w:val="sl-SI"/>
        </w:rPr>
      </w:pPr>
    </w:p>
    <w:p w14:paraId="0A27CD0B" w14:textId="7F4BCBEF" w:rsidR="005C057A" w:rsidRPr="00215054" w:rsidRDefault="005C057A" w:rsidP="00215054">
      <w:pPr>
        <w:pStyle w:val="Odstavekseznama"/>
        <w:numPr>
          <w:ilvl w:val="0"/>
          <w:numId w:val="53"/>
        </w:numPr>
        <w:jc w:val="both"/>
        <w:rPr>
          <w:rFonts w:ascii="Arial" w:hAnsi="Arial" w:cs="Arial"/>
          <w:sz w:val="20"/>
          <w:szCs w:val="20"/>
        </w:rPr>
      </w:pPr>
      <w:r w:rsidRPr="00215054">
        <w:rPr>
          <w:rFonts w:ascii="Arial" w:hAnsi="Arial" w:cs="Arial"/>
          <w:sz w:val="20"/>
          <w:szCs w:val="20"/>
        </w:rPr>
        <w:t>Darovec J., Kogoj A., Kores Plesničar B., et al. Smernice za obravnavo pacientov z demenco. VICEVERSA, 2013.</w:t>
      </w:r>
    </w:p>
    <w:p w14:paraId="19DB9A72" w14:textId="77777777" w:rsidR="00621F89" w:rsidRPr="00215054" w:rsidRDefault="00621F89" w:rsidP="00215054">
      <w:pPr>
        <w:jc w:val="both"/>
        <w:rPr>
          <w:rFonts w:cs="Arial"/>
          <w:szCs w:val="20"/>
        </w:rPr>
      </w:pPr>
    </w:p>
    <w:p w14:paraId="2DFF5FFE" w14:textId="49C56339" w:rsidR="00621F89" w:rsidRPr="00215054" w:rsidRDefault="00621F89" w:rsidP="00215054">
      <w:pPr>
        <w:pStyle w:val="Odstavekseznama"/>
        <w:numPr>
          <w:ilvl w:val="0"/>
          <w:numId w:val="53"/>
        </w:numPr>
        <w:jc w:val="both"/>
        <w:rPr>
          <w:rFonts w:ascii="Arial" w:hAnsi="Arial" w:cs="Arial"/>
          <w:sz w:val="20"/>
          <w:szCs w:val="20"/>
        </w:rPr>
      </w:pPr>
      <w:r w:rsidRPr="00215054">
        <w:rPr>
          <w:rFonts w:ascii="Arial" w:hAnsi="Arial" w:cs="Arial"/>
          <w:sz w:val="20"/>
          <w:szCs w:val="20"/>
        </w:rPr>
        <w:t xml:space="preserve">Dementia: assessment, management and support for people living with dementia and their carers NICE guideline [NG97]Published: 20 June 2018, </w:t>
      </w:r>
      <w:hyperlink r:id="rId11" w:history="1">
        <w:r w:rsidRPr="00215054">
          <w:rPr>
            <w:rStyle w:val="Hiperpovezava"/>
            <w:rFonts w:ascii="Arial" w:hAnsi="Arial" w:cs="Arial"/>
            <w:sz w:val="20"/>
            <w:szCs w:val="20"/>
          </w:rPr>
          <w:t>https://www.nice.org.uk/guidance/ng97</w:t>
        </w:r>
      </w:hyperlink>
      <w:r w:rsidRPr="00215054">
        <w:rPr>
          <w:rFonts w:ascii="Arial" w:hAnsi="Arial" w:cs="Arial"/>
          <w:sz w:val="20"/>
          <w:szCs w:val="20"/>
        </w:rPr>
        <w:t xml:space="preserve">. </w:t>
      </w:r>
      <w:r w:rsidR="00BD7730">
        <w:rPr>
          <w:rFonts w:ascii="Arial" w:hAnsi="Arial" w:cs="Arial"/>
          <w:sz w:val="20"/>
          <w:szCs w:val="20"/>
        </w:rPr>
        <w:t>(e-vir, dostop 20.10.2022)</w:t>
      </w:r>
    </w:p>
    <w:p w14:paraId="2FCF4634" w14:textId="77777777" w:rsidR="00605B34" w:rsidRPr="00215054" w:rsidRDefault="00605B34" w:rsidP="00215054">
      <w:pPr>
        <w:jc w:val="both"/>
        <w:rPr>
          <w:rFonts w:cs="Arial"/>
          <w:szCs w:val="20"/>
        </w:rPr>
      </w:pPr>
    </w:p>
    <w:p w14:paraId="4B52AE47" w14:textId="6ACEDB6A" w:rsidR="00605B34" w:rsidRPr="00215054" w:rsidRDefault="00605B34" w:rsidP="00215054">
      <w:pPr>
        <w:pStyle w:val="Odstavekseznama"/>
        <w:numPr>
          <w:ilvl w:val="0"/>
          <w:numId w:val="53"/>
        </w:numPr>
        <w:jc w:val="both"/>
        <w:rPr>
          <w:rFonts w:ascii="Arial" w:hAnsi="Arial" w:cs="Arial"/>
          <w:sz w:val="20"/>
          <w:szCs w:val="20"/>
        </w:rPr>
      </w:pPr>
      <w:r w:rsidRPr="00215054">
        <w:rPr>
          <w:rFonts w:ascii="Arial" w:hAnsi="Arial" w:cs="Arial"/>
          <w:sz w:val="20"/>
          <w:szCs w:val="20"/>
        </w:rPr>
        <w:t>Eisenmann Y, Golla H, Schmidt H, Voltz R, Perrar KM. Palliative Care in Advanced Dementia. Front Psychiatry (2020); 11:699. doi: 10.3389/fpsyt.2020.00699.</w:t>
      </w:r>
      <w:r w:rsidR="00C164AB" w:rsidRPr="00215054">
        <w:rPr>
          <w:rFonts w:ascii="Arial" w:hAnsi="Arial" w:cs="Arial"/>
          <w:sz w:val="20"/>
          <w:szCs w:val="20"/>
        </w:rPr>
        <w:t xml:space="preserve"> Lancet Public Health 2022, Published Online, January 6, 2022. </w:t>
      </w:r>
      <w:hyperlink r:id="rId12" w:history="1">
        <w:r w:rsidR="00C164AB" w:rsidRPr="00215054">
          <w:rPr>
            <w:rStyle w:val="Hiperpovezava"/>
            <w:rFonts w:ascii="Arial" w:hAnsi="Arial" w:cs="Arial"/>
            <w:sz w:val="20"/>
            <w:szCs w:val="20"/>
          </w:rPr>
          <w:t>https://doi.org/10.1016/S2468-2667(21)00249-8</w:t>
        </w:r>
      </w:hyperlink>
      <w:r w:rsidR="00C164AB" w:rsidRPr="00215054">
        <w:rPr>
          <w:rFonts w:ascii="Arial" w:hAnsi="Arial" w:cs="Arial"/>
          <w:sz w:val="20"/>
          <w:szCs w:val="20"/>
        </w:rPr>
        <w:t xml:space="preserve">  (e-vir, dostop 13.1.2022)</w:t>
      </w:r>
    </w:p>
    <w:p w14:paraId="1CC458D6" w14:textId="77777777" w:rsidR="00C164AB" w:rsidRPr="00215054" w:rsidRDefault="00C164AB" w:rsidP="00215054">
      <w:pPr>
        <w:jc w:val="both"/>
        <w:rPr>
          <w:rFonts w:cs="Arial"/>
          <w:szCs w:val="20"/>
        </w:rPr>
      </w:pPr>
    </w:p>
    <w:p w14:paraId="242AB2DD" w14:textId="219D5F87" w:rsidR="004D13F7" w:rsidRPr="00215054" w:rsidRDefault="004D13F7" w:rsidP="00215054">
      <w:pPr>
        <w:pStyle w:val="Odstavekseznama"/>
        <w:numPr>
          <w:ilvl w:val="0"/>
          <w:numId w:val="53"/>
        </w:numPr>
        <w:jc w:val="both"/>
        <w:rPr>
          <w:rFonts w:ascii="Arial" w:hAnsi="Arial" w:cs="Arial"/>
          <w:sz w:val="20"/>
          <w:szCs w:val="20"/>
        </w:rPr>
      </w:pPr>
      <w:r w:rsidRPr="00215054">
        <w:rPr>
          <w:rFonts w:ascii="Arial" w:hAnsi="Arial" w:cs="Arial"/>
          <w:sz w:val="20"/>
          <w:szCs w:val="20"/>
        </w:rPr>
        <w:t>Enočlanska gospodinjstva 21.   https://www.stat.si/StatWeb/News/Index/9973 (e-</w:t>
      </w:r>
      <w:r w:rsidR="00BD7730">
        <w:rPr>
          <w:rFonts w:ascii="Arial" w:hAnsi="Arial" w:cs="Arial"/>
          <w:sz w:val="20"/>
          <w:szCs w:val="20"/>
        </w:rPr>
        <w:t xml:space="preserve">vir, </w:t>
      </w:r>
      <w:r w:rsidRPr="00215054">
        <w:rPr>
          <w:rFonts w:ascii="Arial" w:hAnsi="Arial" w:cs="Arial"/>
          <w:sz w:val="20"/>
          <w:szCs w:val="20"/>
        </w:rPr>
        <w:t>dostop 14.1.2022)</w:t>
      </w:r>
    </w:p>
    <w:p w14:paraId="3933F448" w14:textId="77777777" w:rsidR="00C164AB" w:rsidRPr="00215054" w:rsidRDefault="00C164AB" w:rsidP="00215054">
      <w:pPr>
        <w:jc w:val="both"/>
        <w:rPr>
          <w:rFonts w:cs="Arial"/>
          <w:szCs w:val="20"/>
          <w:lang w:val="it-IT"/>
        </w:rPr>
      </w:pPr>
    </w:p>
    <w:p w14:paraId="7A7D6FB9" w14:textId="0FA5BABD" w:rsidR="00C164AB" w:rsidRPr="00215054" w:rsidRDefault="00C164AB" w:rsidP="00215054">
      <w:pPr>
        <w:pStyle w:val="Odstavekseznama"/>
        <w:numPr>
          <w:ilvl w:val="0"/>
          <w:numId w:val="53"/>
        </w:numPr>
        <w:jc w:val="both"/>
        <w:rPr>
          <w:rFonts w:ascii="Arial" w:hAnsi="Arial" w:cs="Arial"/>
          <w:sz w:val="20"/>
          <w:szCs w:val="20"/>
        </w:rPr>
      </w:pPr>
      <w:r w:rsidRPr="00215054">
        <w:rPr>
          <w:rFonts w:ascii="Arial" w:hAnsi="Arial" w:cs="Arial"/>
          <w:sz w:val="20"/>
          <w:szCs w:val="20"/>
        </w:rPr>
        <w:t>Estimation of the global prevalence of dementia in 2019 and forecasted prevalence in 2050: an analysis for the Global Burden of Disease Study 2019</w:t>
      </w:r>
    </w:p>
    <w:p w14:paraId="243FF2A3" w14:textId="77777777" w:rsidR="00605B34" w:rsidRPr="00215054" w:rsidRDefault="00605B34" w:rsidP="00215054">
      <w:pPr>
        <w:jc w:val="both"/>
        <w:rPr>
          <w:rFonts w:cs="Arial"/>
          <w:szCs w:val="20"/>
        </w:rPr>
      </w:pPr>
    </w:p>
    <w:p w14:paraId="3D407FA0" w14:textId="48284DC0" w:rsidR="00955EAB" w:rsidRPr="00215054" w:rsidRDefault="00605B34" w:rsidP="00215054">
      <w:pPr>
        <w:pStyle w:val="Odstavekseznama"/>
        <w:numPr>
          <w:ilvl w:val="0"/>
          <w:numId w:val="53"/>
        </w:numPr>
        <w:jc w:val="both"/>
        <w:rPr>
          <w:rFonts w:ascii="Arial" w:hAnsi="Arial" w:cs="Arial"/>
          <w:sz w:val="20"/>
          <w:szCs w:val="20"/>
        </w:rPr>
      </w:pPr>
      <w:r w:rsidRPr="00215054">
        <w:rPr>
          <w:rFonts w:ascii="Arial" w:hAnsi="Arial" w:cs="Arial"/>
          <w:sz w:val="20"/>
          <w:szCs w:val="20"/>
        </w:rPr>
        <w:t xml:space="preserve">Frederiksen KS, Cooper C, Frisoni GB, Frölich L, Georges J, Kramberger MG et al.: A European Academy of Neurology guideline on medical management issues in dementia. Eur J Neurol(2020); 27: 1805-1820. </w:t>
      </w:r>
    </w:p>
    <w:p w14:paraId="01683565" w14:textId="77777777" w:rsidR="00E6375F" w:rsidRPr="00215054" w:rsidRDefault="00E6375F" w:rsidP="00215054">
      <w:pPr>
        <w:jc w:val="both"/>
        <w:rPr>
          <w:rFonts w:cs="Arial"/>
          <w:szCs w:val="20"/>
        </w:rPr>
      </w:pPr>
    </w:p>
    <w:p w14:paraId="4D3B924B" w14:textId="628C7A66" w:rsidR="00E6375F" w:rsidRPr="00215054" w:rsidRDefault="00E6375F" w:rsidP="00215054">
      <w:pPr>
        <w:pStyle w:val="Odstavekseznama"/>
        <w:numPr>
          <w:ilvl w:val="0"/>
          <w:numId w:val="53"/>
        </w:numPr>
        <w:jc w:val="both"/>
        <w:rPr>
          <w:rFonts w:ascii="Arial" w:hAnsi="Arial" w:cs="Arial"/>
          <w:sz w:val="20"/>
          <w:szCs w:val="20"/>
        </w:rPr>
      </w:pPr>
      <w:r w:rsidRPr="00215054">
        <w:rPr>
          <w:rFonts w:ascii="Arial" w:hAnsi="Arial" w:cs="Arial"/>
          <w:sz w:val="20"/>
          <w:szCs w:val="20"/>
        </w:rPr>
        <w:t xml:space="preserve">Glasgow Declaration 2014 | Alzheimer Europe, </w:t>
      </w:r>
      <w:hyperlink r:id="rId13" w:history="1">
        <w:r w:rsidRPr="00215054">
          <w:rPr>
            <w:rStyle w:val="Hiperpovezava"/>
            <w:rFonts w:ascii="Arial" w:hAnsi="Arial" w:cs="Arial"/>
            <w:sz w:val="20"/>
            <w:szCs w:val="20"/>
          </w:rPr>
          <w:t>https://www.alzheimer-europe.org/policy/campaign/glasgow-declaration-2014</w:t>
        </w:r>
      </w:hyperlink>
      <w:r w:rsidRPr="00215054">
        <w:rPr>
          <w:rFonts w:ascii="Arial" w:hAnsi="Arial" w:cs="Arial"/>
          <w:sz w:val="20"/>
          <w:szCs w:val="20"/>
        </w:rPr>
        <w:t xml:space="preserve"> (</w:t>
      </w:r>
      <w:r w:rsidR="00BD7730">
        <w:rPr>
          <w:rFonts w:ascii="Arial" w:hAnsi="Arial" w:cs="Arial"/>
          <w:sz w:val="20"/>
          <w:szCs w:val="20"/>
        </w:rPr>
        <w:t xml:space="preserve">e-vir,  </w:t>
      </w:r>
      <w:r w:rsidRPr="00215054">
        <w:rPr>
          <w:rFonts w:ascii="Arial" w:hAnsi="Arial" w:cs="Arial"/>
          <w:sz w:val="20"/>
          <w:szCs w:val="20"/>
        </w:rPr>
        <w:t>dostop 11.2.2022)</w:t>
      </w:r>
    </w:p>
    <w:p w14:paraId="6E6CF563" w14:textId="77777777" w:rsidR="00955EAB" w:rsidRPr="00215054" w:rsidRDefault="00955EAB" w:rsidP="00215054">
      <w:pPr>
        <w:jc w:val="both"/>
        <w:rPr>
          <w:rFonts w:cs="Arial"/>
          <w:szCs w:val="20"/>
        </w:rPr>
      </w:pPr>
    </w:p>
    <w:p w14:paraId="67B8D8ED" w14:textId="3A05A963" w:rsidR="00605B34" w:rsidRPr="00215054" w:rsidRDefault="00955EAB" w:rsidP="00215054">
      <w:pPr>
        <w:pStyle w:val="Odstavekseznama"/>
        <w:numPr>
          <w:ilvl w:val="0"/>
          <w:numId w:val="53"/>
        </w:numPr>
        <w:jc w:val="both"/>
        <w:rPr>
          <w:rFonts w:ascii="Arial" w:hAnsi="Arial" w:cs="Arial"/>
          <w:sz w:val="20"/>
          <w:szCs w:val="20"/>
        </w:rPr>
      </w:pPr>
      <w:r w:rsidRPr="00215054">
        <w:rPr>
          <w:rFonts w:ascii="Arial" w:hAnsi="Arial" w:cs="Arial"/>
          <w:sz w:val="20"/>
          <w:szCs w:val="20"/>
        </w:rPr>
        <w:t>Global action plan on the public health response to dementia 2017–2025 ISBN 978-92-4-151348-7 © World Health Organization, 2017.</w:t>
      </w:r>
    </w:p>
    <w:p w14:paraId="652E4034" w14:textId="77777777" w:rsidR="00EE3C46" w:rsidRPr="00215054" w:rsidRDefault="00EE3C46" w:rsidP="00215054">
      <w:pPr>
        <w:jc w:val="both"/>
        <w:rPr>
          <w:rFonts w:cs="Arial"/>
          <w:szCs w:val="20"/>
        </w:rPr>
      </w:pPr>
    </w:p>
    <w:p w14:paraId="47EE5E3D" w14:textId="0BC3636B" w:rsidR="00EE3C46" w:rsidRPr="00215054" w:rsidRDefault="00EE3C46" w:rsidP="00215054">
      <w:pPr>
        <w:pStyle w:val="Odstavekseznama"/>
        <w:numPr>
          <w:ilvl w:val="0"/>
          <w:numId w:val="53"/>
        </w:numPr>
        <w:jc w:val="both"/>
        <w:rPr>
          <w:rFonts w:ascii="Arial" w:hAnsi="Arial" w:cs="Arial"/>
          <w:sz w:val="20"/>
          <w:szCs w:val="20"/>
        </w:rPr>
      </w:pPr>
      <w:r w:rsidRPr="00215054">
        <w:rPr>
          <w:rFonts w:ascii="Arial" w:hAnsi="Arial" w:cs="Arial"/>
          <w:sz w:val="20"/>
          <w:szCs w:val="20"/>
        </w:rPr>
        <w:t>Global Dementia Observatory, WHO</w:t>
      </w:r>
    </w:p>
    <w:p w14:paraId="65270BA3" w14:textId="77777777" w:rsidR="00605B34" w:rsidRPr="00215054" w:rsidRDefault="00605B34" w:rsidP="00215054">
      <w:pPr>
        <w:jc w:val="both"/>
        <w:rPr>
          <w:rFonts w:cs="Arial"/>
          <w:szCs w:val="20"/>
        </w:rPr>
      </w:pPr>
    </w:p>
    <w:p w14:paraId="4926C886" w14:textId="25F92851" w:rsidR="004D13F7" w:rsidRPr="00CA5340" w:rsidRDefault="004D13F7" w:rsidP="00215054">
      <w:pPr>
        <w:pStyle w:val="Odstavekseznama"/>
        <w:numPr>
          <w:ilvl w:val="0"/>
          <w:numId w:val="53"/>
        </w:numPr>
        <w:jc w:val="both"/>
        <w:rPr>
          <w:rStyle w:val="Hiperpovezava"/>
          <w:rFonts w:ascii="Arial" w:hAnsi="Arial" w:cs="Arial"/>
          <w:color w:val="auto"/>
          <w:sz w:val="20"/>
          <w:szCs w:val="20"/>
          <w:u w:val="none"/>
        </w:rPr>
      </w:pPr>
      <w:r w:rsidRPr="00215054">
        <w:rPr>
          <w:rFonts w:ascii="Arial" w:hAnsi="Arial" w:cs="Arial"/>
          <w:sz w:val="20"/>
          <w:szCs w:val="20"/>
        </w:rPr>
        <w:t xml:space="preserve">Gospodinjstva in družine, Slovenija, 1. januar 2021, Statistični urad Republike Slovenije </w:t>
      </w:r>
      <w:hyperlink r:id="rId14" w:history="1">
        <w:r w:rsidR="00605B34" w:rsidRPr="00215054">
          <w:rPr>
            <w:rStyle w:val="Hiperpovezava"/>
            <w:rFonts w:ascii="Arial" w:hAnsi="Arial" w:cs="Arial"/>
            <w:sz w:val="20"/>
            <w:szCs w:val="20"/>
          </w:rPr>
          <w:t>https://www.stat.si/StatWeb/News/Index/9973</w:t>
        </w:r>
      </w:hyperlink>
      <w:r w:rsidR="00BD7730">
        <w:rPr>
          <w:rStyle w:val="Hiperpovezava"/>
          <w:rFonts w:ascii="Arial" w:hAnsi="Arial" w:cs="Arial"/>
          <w:sz w:val="20"/>
          <w:szCs w:val="20"/>
        </w:rPr>
        <w:t xml:space="preserve">  </w:t>
      </w:r>
      <w:r w:rsidR="00BD7730" w:rsidRPr="00BD7730">
        <w:rPr>
          <w:rStyle w:val="Hiperpovezava"/>
          <w:rFonts w:ascii="Arial" w:hAnsi="Arial" w:cs="Arial"/>
          <w:sz w:val="20"/>
          <w:szCs w:val="20"/>
        </w:rPr>
        <w:t>(e- vir</w:t>
      </w:r>
      <w:r w:rsidR="00BD7730">
        <w:rPr>
          <w:rStyle w:val="Hiperpovezava"/>
          <w:rFonts w:ascii="Arial" w:hAnsi="Arial" w:cs="Arial"/>
          <w:sz w:val="20"/>
          <w:szCs w:val="20"/>
        </w:rPr>
        <w:t>,</w:t>
      </w:r>
      <w:r w:rsidR="00BD7730" w:rsidRPr="00BD7730">
        <w:rPr>
          <w:rStyle w:val="Hiperpovezava"/>
          <w:rFonts w:ascii="Arial" w:hAnsi="Arial" w:cs="Arial"/>
          <w:sz w:val="20"/>
          <w:szCs w:val="20"/>
        </w:rPr>
        <w:t xml:space="preserve"> dostop 14.1.2022)</w:t>
      </w:r>
    </w:p>
    <w:p w14:paraId="24DFA7B3" w14:textId="77777777" w:rsidR="00CA5340" w:rsidRPr="00CA5340" w:rsidRDefault="00CA5340" w:rsidP="00CA5340">
      <w:pPr>
        <w:pStyle w:val="Odstavekseznama"/>
        <w:rPr>
          <w:rStyle w:val="Hiperpovezava"/>
          <w:rFonts w:ascii="Arial" w:hAnsi="Arial" w:cs="Arial"/>
          <w:color w:val="auto"/>
          <w:sz w:val="20"/>
          <w:szCs w:val="20"/>
          <w:u w:val="none"/>
        </w:rPr>
      </w:pPr>
    </w:p>
    <w:p w14:paraId="68725ADD" w14:textId="093A8B28" w:rsidR="004C2406" w:rsidRPr="00CA5340" w:rsidRDefault="003D1C3B" w:rsidP="004F6AE3">
      <w:pPr>
        <w:pStyle w:val="Odstavekseznama"/>
        <w:numPr>
          <w:ilvl w:val="0"/>
          <w:numId w:val="53"/>
        </w:numPr>
        <w:jc w:val="both"/>
        <w:rPr>
          <w:rStyle w:val="Hiperpovezava"/>
          <w:rFonts w:cs="Arial"/>
          <w:color w:val="auto"/>
          <w:szCs w:val="20"/>
          <w:u w:val="none"/>
        </w:rPr>
      </w:pPr>
      <w:hyperlink r:id="rId15" w:history="1">
        <w:r w:rsidR="00BD7730" w:rsidRPr="00834188">
          <w:rPr>
            <w:rStyle w:val="Hiperpovezava"/>
            <w:rFonts w:ascii="Arial" w:hAnsi="Arial" w:cs="Arial"/>
            <w:sz w:val="20"/>
            <w:szCs w:val="20"/>
          </w:rPr>
          <w:t>https://www.thegoodcaregroup.com/news/recognising-role-specialist-dementia-nurse-community/</w:t>
        </w:r>
      </w:hyperlink>
      <w:r w:rsidR="00BD7730">
        <w:rPr>
          <w:rStyle w:val="Hiperpovezava"/>
          <w:rFonts w:ascii="Arial" w:hAnsi="Arial" w:cs="Arial"/>
          <w:color w:val="auto"/>
          <w:sz w:val="20"/>
          <w:szCs w:val="20"/>
          <w:u w:val="none"/>
        </w:rPr>
        <w:t xml:space="preserve"> (e-vir, dostop 20.10.2022)</w:t>
      </w:r>
    </w:p>
    <w:p w14:paraId="6A2A00EC" w14:textId="77777777" w:rsidR="004C2406" w:rsidRPr="00CA5340" w:rsidRDefault="004C2406" w:rsidP="00215054">
      <w:pPr>
        <w:jc w:val="both"/>
        <w:rPr>
          <w:rStyle w:val="Hiperpovezava"/>
          <w:rFonts w:cs="Arial"/>
          <w:color w:val="auto"/>
          <w:szCs w:val="20"/>
          <w:u w:val="none"/>
          <w:lang w:val="sl-SI"/>
        </w:rPr>
      </w:pPr>
    </w:p>
    <w:p w14:paraId="48D47DFB" w14:textId="1EF2B2E1" w:rsidR="009200C4" w:rsidRPr="00BD7730" w:rsidRDefault="009200C4" w:rsidP="00215054">
      <w:pPr>
        <w:pStyle w:val="Odstavekseznama"/>
        <w:numPr>
          <w:ilvl w:val="0"/>
          <w:numId w:val="53"/>
        </w:numPr>
        <w:jc w:val="both"/>
        <w:rPr>
          <w:rStyle w:val="Hiperpovezava"/>
          <w:rFonts w:ascii="Arial" w:hAnsi="Arial" w:cs="Arial"/>
          <w:color w:val="auto"/>
          <w:sz w:val="20"/>
          <w:szCs w:val="20"/>
          <w:u w:val="none"/>
        </w:rPr>
      </w:pPr>
      <w:r w:rsidRPr="00215054">
        <w:rPr>
          <w:rStyle w:val="Hiperpovezava"/>
          <w:rFonts w:ascii="Arial" w:hAnsi="Arial" w:cs="Arial"/>
          <w:color w:val="auto"/>
          <w:sz w:val="20"/>
          <w:szCs w:val="20"/>
          <w:u w:val="none"/>
        </w:rPr>
        <w:t>Intercultural dementia care for health and social care providers: a guide (Alzheimer Europe, 2020), Policy briefing on intercultural care and support for people with dementia and their informal carers/supporters (Alzheimer Europe, 2020)</w:t>
      </w:r>
    </w:p>
    <w:p w14:paraId="002C718F" w14:textId="77777777" w:rsidR="003715EC" w:rsidRPr="00215054" w:rsidRDefault="003715EC" w:rsidP="00215054">
      <w:pPr>
        <w:jc w:val="both"/>
        <w:rPr>
          <w:rStyle w:val="Hiperpovezava"/>
          <w:rFonts w:cs="Arial"/>
          <w:color w:val="auto"/>
          <w:szCs w:val="20"/>
          <w:u w:val="none"/>
        </w:rPr>
      </w:pPr>
    </w:p>
    <w:p w14:paraId="7D92B4BB" w14:textId="259A787E" w:rsidR="003715EC" w:rsidRPr="00215054" w:rsidRDefault="003715EC" w:rsidP="00215054">
      <w:pPr>
        <w:pStyle w:val="Odstavekseznama"/>
        <w:numPr>
          <w:ilvl w:val="0"/>
          <w:numId w:val="53"/>
        </w:numPr>
        <w:jc w:val="both"/>
        <w:rPr>
          <w:rStyle w:val="Hiperpovezava"/>
          <w:rFonts w:ascii="Arial" w:hAnsi="Arial" w:cs="Arial"/>
          <w:color w:val="auto"/>
          <w:sz w:val="20"/>
          <w:szCs w:val="20"/>
          <w:u w:val="none"/>
        </w:rPr>
      </w:pPr>
      <w:r w:rsidRPr="00215054">
        <w:rPr>
          <w:rStyle w:val="Hiperpovezava"/>
          <w:rFonts w:ascii="Arial" w:hAnsi="Arial" w:cs="Arial"/>
          <w:color w:val="auto"/>
          <w:sz w:val="20"/>
          <w:szCs w:val="20"/>
          <w:u w:val="none"/>
        </w:rPr>
        <w:t xml:space="preserve">Letni program statističnih raziskovanj za 2020 </w:t>
      </w:r>
      <w:r w:rsidRPr="00215054">
        <w:rPr>
          <w:rFonts w:ascii="Arial" w:hAnsi="Arial" w:cs="Arial"/>
          <w:sz w:val="20"/>
          <w:szCs w:val="20"/>
        </w:rPr>
        <w:t>(LPSR)</w:t>
      </w:r>
      <w:r w:rsidRPr="00215054">
        <w:rPr>
          <w:rStyle w:val="Hiperpovezava"/>
          <w:rFonts w:ascii="Arial" w:hAnsi="Arial" w:cs="Arial"/>
          <w:color w:val="auto"/>
          <w:sz w:val="20"/>
          <w:szCs w:val="20"/>
          <w:u w:val="none"/>
        </w:rPr>
        <w:t xml:space="preserve"> (velja od 1. 1. 2020 do 31. 12. 2020). Uradni list RS, št. 68/19 in 106/20.</w:t>
      </w:r>
    </w:p>
    <w:p w14:paraId="692D36BD" w14:textId="77777777" w:rsidR="00605B34" w:rsidRPr="00215054" w:rsidRDefault="00605B34" w:rsidP="00215054">
      <w:pPr>
        <w:jc w:val="both"/>
        <w:rPr>
          <w:rFonts w:cs="Arial"/>
          <w:szCs w:val="20"/>
        </w:rPr>
      </w:pPr>
    </w:p>
    <w:p w14:paraId="20932A6E" w14:textId="77777777" w:rsidR="003B5D1C" w:rsidRPr="00215054" w:rsidRDefault="00605B34" w:rsidP="00215054">
      <w:pPr>
        <w:pStyle w:val="Odstavekseznama"/>
        <w:numPr>
          <w:ilvl w:val="0"/>
          <w:numId w:val="53"/>
        </w:numPr>
        <w:jc w:val="both"/>
        <w:rPr>
          <w:rFonts w:ascii="Arial" w:hAnsi="Arial" w:cs="Arial"/>
          <w:sz w:val="20"/>
          <w:szCs w:val="20"/>
        </w:rPr>
      </w:pPr>
      <w:r w:rsidRPr="00215054">
        <w:rPr>
          <w:rFonts w:ascii="Arial" w:hAnsi="Arial" w:cs="Arial"/>
          <w:sz w:val="20"/>
          <w:szCs w:val="20"/>
        </w:rPr>
        <w:lastRenderedPageBreak/>
        <w:t>Livingston G, Huntley J, Sommerlad A, Ames D, Ballard C, Banerjee S. Dementia prevention, intervention, and care: 2020 report of the Lancet Commission. Lancet (2020); 396(10248):413-446. doi: 10.1016/S0140-6736(20)30367-6. Epub 2020 Jul 30. PMID: 32738937; PMCID: PMC7392084.</w:t>
      </w:r>
      <w:r w:rsidR="003B5D1C" w:rsidRPr="00215054">
        <w:rPr>
          <w:rFonts w:ascii="Arial" w:hAnsi="Arial" w:cs="Arial"/>
          <w:sz w:val="20"/>
          <w:szCs w:val="20"/>
        </w:rPr>
        <w:t xml:space="preserve"> </w:t>
      </w:r>
    </w:p>
    <w:p w14:paraId="5B986C54" w14:textId="77777777" w:rsidR="003B5D1C" w:rsidRPr="00215054" w:rsidRDefault="003B5D1C" w:rsidP="00215054">
      <w:pPr>
        <w:jc w:val="both"/>
        <w:rPr>
          <w:rFonts w:cs="Arial"/>
          <w:szCs w:val="20"/>
        </w:rPr>
      </w:pPr>
    </w:p>
    <w:p w14:paraId="706EEAA3" w14:textId="231D717A" w:rsidR="00DA083C" w:rsidRDefault="00DA083C" w:rsidP="00215054">
      <w:pPr>
        <w:pStyle w:val="Odstavekseznama"/>
        <w:numPr>
          <w:ilvl w:val="0"/>
          <w:numId w:val="53"/>
        </w:numPr>
        <w:jc w:val="both"/>
        <w:rPr>
          <w:rFonts w:ascii="Arial" w:hAnsi="Arial" w:cs="Arial"/>
          <w:sz w:val="20"/>
          <w:szCs w:val="20"/>
        </w:rPr>
      </w:pPr>
      <w:r w:rsidRPr="00DA083C">
        <w:rPr>
          <w:rFonts w:ascii="Arial" w:hAnsi="Arial" w:cs="Arial"/>
          <w:sz w:val="20"/>
          <w:szCs w:val="20"/>
        </w:rPr>
        <w:t>Lovrečič B. (ur), Lovrečič M. (ur). Spremljanje demence v Sloveniji: epidemiološki in drugi vidiki.  Ljubljana: Založba ZRC, 2021. https://doi.org/10.3986/9789610505785, https://omp.zrc-sazu.si/zalozba/catalog/view/1970/8123/1513-2, DOI: 10.3986/9789610505785</w:t>
      </w:r>
      <w:r w:rsidR="00BD7730">
        <w:rPr>
          <w:rFonts w:ascii="Arial" w:hAnsi="Arial" w:cs="Arial"/>
          <w:sz w:val="20"/>
          <w:szCs w:val="20"/>
        </w:rPr>
        <w:t xml:space="preserve"> (e-vir, dostop 20.10.2022)</w:t>
      </w:r>
    </w:p>
    <w:p w14:paraId="6A2C7389" w14:textId="77777777" w:rsidR="00DA083C" w:rsidRPr="00DA083C" w:rsidRDefault="00DA083C" w:rsidP="00DA083C">
      <w:pPr>
        <w:pStyle w:val="Odstavekseznama"/>
        <w:rPr>
          <w:rFonts w:ascii="Arial" w:hAnsi="Arial" w:cs="Arial"/>
          <w:sz w:val="20"/>
          <w:szCs w:val="20"/>
        </w:rPr>
      </w:pPr>
    </w:p>
    <w:p w14:paraId="1C8C6ED8" w14:textId="2166664A" w:rsidR="003715EC" w:rsidRPr="00215054" w:rsidRDefault="003B5D1C" w:rsidP="00215054">
      <w:pPr>
        <w:pStyle w:val="Odstavekseznama"/>
        <w:numPr>
          <w:ilvl w:val="0"/>
          <w:numId w:val="53"/>
        </w:numPr>
        <w:jc w:val="both"/>
        <w:rPr>
          <w:rFonts w:ascii="Arial" w:hAnsi="Arial" w:cs="Arial"/>
          <w:sz w:val="20"/>
          <w:szCs w:val="20"/>
        </w:rPr>
      </w:pPr>
      <w:r w:rsidRPr="00215054">
        <w:rPr>
          <w:rFonts w:ascii="Arial" w:hAnsi="Arial" w:cs="Arial"/>
          <w:sz w:val="20"/>
          <w:szCs w:val="20"/>
        </w:rPr>
        <w:t xml:space="preserve">Ministrstvo za zdravje RS. Strategija obvladovanja demence v Sloveniji do leta 2020. 2016. </w:t>
      </w:r>
    </w:p>
    <w:p w14:paraId="5285235E" w14:textId="77777777" w:rsidR="003715EC" w:rsidRPr="00215054" w:rsidRDefault="003715EC" w:rsidP="00215054">
      <w:pPr>
        <w:jc w:val="both"/>
        <w:rPr>
          <w:rFonts w:cs="Arial"/>
          <w:szCs w:val="20"/>
        </w:rPr>
      </w:pPr>
    </w:p>
    <w:p w14:paraId="5522CCB0" w14:textId="0D1B0B2F" w:rsidR="00D061DF" w:rsidRPr="00215054" w:rsidRDefault="003715EC" w:rsidP="00215054">
      <w:pPr>
        <w:pStyle w:val="Odstavekseznama"/>
        <w:numPr>
          <w:ilvl w:val="0"/>
          <w:numId w:val="53"/>
        </w:numPr>
        <w:jc w:val="both"/>
        <w:rPr>
          <w:rFonts w:ascii="Arial" w:hAnsi="Arial" w:cs="Arial"/>
          <w:sz w:val="20"/>
          <w:szCs w:val="20"/>
        </w:rPr>
      </w:pPr>
      <w:r w:rsidRPr="00215054">
        <w:rPr>
          <w:rFonts w:ascii="Arial" w:hAnsi="Arial" w:cs="Arial"/>
          <w:sz w:val="20"/>
          <w:szCs w:val="20"/>
        </w:rPr>
        <w:t>Nacionalna raziskava poročilo za Slovenijo, 2015, (ZDUS: IO1)</w:t>
      </w:r>
    </w:p>
    <w:p w14:paraId="33F1D77E" w14:textId="77777777" w:rsidR="005C057A" w:rsidRPr="00215054" w:rsidRDefault="005C057A" w:rsidP="00215054">
      <w:pPr>
        <w:jc w:val="both"/>
        <w:rPr>
          <w:rFonts w:cs="Arial"/>
          <w:szCs w:val="20"/>
          <w:lang w:val="it-IT"/>
        </w:rPr>
      </w:pPr>
    </w:p>
    <w:p w14:paraId="540F602D" w14:textId="4D80B475" w:rsidR="00BD7730" w:rsidRPr="00BD7730" w:rsidRDefault="005C057A" w:rsidP="00BD7730">
      <w:pPr>
        <w:pStyle w:val="Odstavekseznama"/>
        <w:numPr>
          <w:ilvl w:val="0"/>
          <w:numId w:val="53"/>
        </w:numPr>
        <w:jc w:val="both"/>
        <w:rPr>
          <w:rFonts w:cs="Arial"/>
          <w:szCs w:val="20"/>
          <w:lang w:val="en-US"/>
        </w:rPr>
      </w:pPr>
      <w:r w:rsidRPr="00BD7730">
        <w:rPr>
          <w:rFonts w:ascii="Arial" w:hAnsi="Arial" w:cs="Arial"/>
          <w:sz w:val="20"/>
          <w:szCs w:val="20"/>
        </w:rPr>
        <w:t xml:space="preserve">National Institute for Health and Care Excellence (2018). Dementia: assessment, management and support for people living with dementia and their carers. https://www.nice.org.uk/guidance/ng97 </w:t>
      </w:r>
      <w:r w:rsidR="00BD7730">
        <w:rPr>
          <w:rFonts w:ascii="Arial" w:hAnsi="Arial" w:cs="Arial"/>
          <w:sz w:val="20"/>
          <w:szCs w:val="20"/>
        </w:rPr>
        <w:t>(e-vir, dostop 20. 10. 2022)</w:t>
      </w:r>
    </w:p>
    <w:p w14:paraId="64C426BF" w14:textId="77777777" w:rsidR="00BD7730" w:rsidRPr="00BD7730" w:rsidRDefault="00BD7730" w:rsidP="00BD7730">
      <w:pPr>
        <w:pStyle w:val="Odstavekseznama"/>
        <w:jc w:val="both"/>
        <w:rPr>
          <w:rFonts w:cs="Arial"/>
          <w:szCs w:val="20"/>
          <w:lang w:val="en-US"/>
        </w:rPr>
      </w:pPr>
    </w:p>
    <w:p w14:paraId="0EC72EDB" w14:textId="5FC65177" w:rsidR="001267E4" w:rsidRPr="00215054" w:rsidRDefault="00605B34" w:rsidP="00215054">
      <w:pPr>
        <w:pStyle w:val="Odstavekseznama"/>
        <w:numPr>
          <w:ilvl w:val="0"/>
          <w:numId w:val="53"/>
        </w:numPr>
        <w:jc w:val="both"/>
        <w:rPr>
          <w:rFonts w:ascii="Arial" w:hAnsi="Arial" w:cs="Arial"/>
          <w:sz w:val="20"/>
          <w:szCs w:val="20"/>
        </w:rPr>
      </w:pPr>
      <w:r w:rsidRPr="00215054">
        <w:rPr>
          <w:rFonts w:ascii="Arial" w:hAnsi="Arial" w:cs="Arial"/>
          <w:sz w:val="20"/>
          <w:szCs w:val="20"/>
        </w:rPr>
        <w:t xml:space="preserve">National Institute for Health and Care Excellence (2020). Dementia, disability and frailty in later life: mid-life approaches to delay or prevent onset. Available at: https://pathways.nice.org.uk/pathways/dementia-disability-and-frailty-in-later-life-mid-life-approaches-to-delay-or-prevent-onset </w:t>
      </w:r>
      <w:r w:rsidR="00BD7730">
        <w:rPr>
          <w:rFonts w:ascii="Arial" w:hAnsi="Arial" w:cs="Arial"/>
          <w:sz w:val="20"/>
          <w:szCs w:val="20"/>
        </w:rPr>
        <w:t xml:space="preserve"> (e-vir, dostop 20. 10. 2022)</w:t>
      </w:r>
    </w:p>
    <w:p w14:paraId="0A5D4155" w14:textId="77777777" w:rsidR="001267E4" w:rsidRPr="00215054" w:rsidRDefault="001267E4" w:rsidP="00215054">
      <w:pPr>
        <w:jc w:val="both"/>
        <w:rPr>
          <w:rFonts w:cs="Arial"/>
          <w:szCs w:val="20"/>
        </w:rPr>
      </w:pPr>
    </w:p>
    <w:p w14:paraId="5789250A" w14:textId="654DD90B" w:rsidR="001267E4" w:rsidRPr="00BD7730" w:rsidRDefault="001267E4" w:rsidP="00BD7730">
      <w:pPr>
        <w:pStyle w:val="Odstavekseznama"/>
        <w:numPr>
          <w:ilvl w:val="0"/>
          <w:numId w:val="53"/>
        </w:numPr>
        <w:rPr>
          <w:rFonts w:ascii="Arial" w:hAnsi="Arial" w:cs="Arial"/>
          <w:sz w:val="20"/>
          <w:szCs w:val="20"/>
        </w:rPr>
      </w:pPr>
      <w:r w:rsidRPr="00BD7730">
        <w:rPr>
          <w:rFonts w:cs="Arial"/>
          <w:szCs w:val="20"/>
        </w:rPr>
        <w:t xml:space="preserve">NICE </w:t>
      </w:r>
      <w:r w:rsidR="00DA083C" w:rsidRPr="00BD7730">
        <w:rPr>
          <w:rFonts w:cs="Arial"/>
          <w:szCs w:val="20"/>
        </w:rPr>
        <w:t>D</w:t>
      </w:r>
      <w:r w:rsidRPr="00BD7730">
        <w:rPr>
          <w:rFonts w:cs="Arial"/>
          <w:szCs w:val="20"/>
        </w:rPr>
        <w:t xml:space="preserve">ementia </w:t>
      </w:r>
      <w:r w:rsidR="00DA083C" w:rsidRPr="00BD7730">
        <w:rPr>
          <w:rFonts w:cs="Arial"/>
          <w:szCs w:val="20"/>
        </w:rPr>
        <w:t>G</w:t>
      </w:r>
      <w:r w:rsidRPr="00BD7730">
        <w:rPr>
          <w:rFonts w:cs="Arial"/>
          <w:szCs w:val="20"/>
        </w:rPr>
        <w:t>uideline</w:t>
      </w:r>
      <w:r w:rsidR="00BD7730">
        <w:rPr>
          <w:rFonts w:cs="Arial"/>
          <w:szCs w:val="20"/>
        </w:rPr>
        <w:t>. Dostopno na:</w:t>
      </w:r>
      <w:r w:rsidR="00BD7730" w:rsidRPr="00BD7730">
        <w:t xml:space="preserve"> </w:t>
      </w:r>
      <w:r w:rsidR="00BD7730" w:rsidRPr="00BD7730">
        <w:rPr>
          <w:rFonts w:ascii="Arial" w:hAnsi="Arial" w:cs="Arial"/>
          <w:sz w:val="20"/>
          <w:szCs w:val="20"/>
        </w:rPr>
        <w:t>https://www.guidelines.co.uk/mental-health/nice-dementia-guideline/454244.article 03/07/2018</w:t>
      </w:r>
      <w:r w:rsidR="00BD7730">
        <w:rPr>
          <w:rFonts w:ascii="Arial" w:hAnsi="Arial" w:cs="Arial"/>
          <w:sz w:val="20"/>
          <w:szCs w:val="20"/>
        </w:rPr>
        <w:t xml:space="preserve"> (e-vir, dostop 20.10.2022)</w:t>
      </w:r>
    </w:p>
    <w:p w14:paraId="445DC8DE" w14:textId="77777777" w:rsidR="005C057A" w:rsidRPr="00BD7730" w:rsidRDefault="005C057A" w:rsidP="00215054">
      <w:pPr>
        <w:jc w:val="both"/>
        <w:rPr>
          <w:rFonts w:cs="Arial"/>
          <w:szCs w:val="20"/>
          <w:lang w:val="it-IT"/>
        </w:rPr>
      </w:pPr>
    </w:p>
    <w:p w14:paraId="178755A3" w14:textId="035DD390" w:rsidR="00481F49" w:rsidRPr="00215054" w:rsidRDefault="005C057A" w:rsidP="00215054">
      <w:pPr>
        <w:pStyle w:val="Odstavekseznama"/>
        <w:numPr>
          <w:ilvl w:val="0"/>
          <w:numId w:val="53"/>
        </w:numPr>
        <w:jc w:val="both"/>
        <w:rPr>
          <w:rFonts w:ascii="Arial" w:hAnsi="Arial" w:cs="Arial"/>
          <w:sz w:val="20"/>
          <w:szCs w:val="20"/>
        </w:rPr>
      </w:pPr>
      <w:r w:rsidRPr="00215054">
        <w:rPr>
          <w:rFonts w:ascii="Arial" w:hAnsi="Arial" w:cs="Arial"/>
          <w:sz w:val="20"/>
          <w:szCs w:val="20"/>
        </w:rPr>
        <w:t>Senderovich H, Retnasothie S. A systematic review of the integration of palliative care in dementia management. Palliative and Supportive Care (2020); 18(4): 495-506.</w:t>
      </w:r>
    </w:p>
    <w:p w14:paraId="64E249CE" w14:textId="77777777" w:rsidR="00C94E0B" w:rsidRPr="00215054" w:rsidRDefault="00C94E0B" w:rsidP="00215054">
      <w:pPr>
        <w:jc w:val="both"/>
        <w:rPr>
          <w:rFonts w:cs="Arial"/>
          <w:szCs w:val="20"/>
        </w:rPr>
      </w:pPr>
    </w:p>
    <w:p w14:paraId="66700EA2" w14:textId="7CE7BFF1" w:rsidR="00D061DF" w:rsidRPr="00215054" w:rsidRDefault="004D13F7" w:rsidP="00215054">
      <w:pPr>
        <w:pStyle w:val="Odstavekseznama"/>
        <w:numPr>
          <w:ilvl w:val="0"/>
          <w:numId w:val="53"/>
        </w:numPr>
        <w:jc w:val="both"/>
        <w:rPr>
          <w:rFonts w:ascii="Arial" w:hAnsi="Arial" w:cs="Arial"/>
          <w:bCs/>
          <w:sz w:val="20"/>
          <w:szCs w:val="20"/>
        </w:rPr>
      </w:pPr>
      <w:r w:rsidRPr="00215054">
        <w:rPr>
          <w:rFonts w:ascii="Arial" w:hAnsi="Arial" w:cs="Arial"/>
          <w:sz w:val="20"/>
          <w:szCs w:val="20"/>
        </w:rPr>
        <w:t>Resolucija o nacionalnem planu zdravstvenega varstva 2016–2025 »Skupaj za družbo zdravja« (Uradni list RS, št. 25/16)</w:t>
      </w:r>
    </w:p>
    <w:p w14:paraId="18FC24B4" w14:textId="77777777" w:rsidR="00D061DF" w:rsidRPr="00215054" w:rsidRDefault="00D061DF" w:rsidP="00215054">
      <w:pPr>
        <w:jc w:val="both"/>
        <w:rPr>
          <w:rFonts w:cs="Arial"/>
          <w:bCs/>
          <w:szCs w:val="20"/>
        </w:rPr>
      </w:pPr>
    </w:p>
    <w:p w14:paraId="3898D79E" w14:textId="77777777" w:rsidR="00481F49" w:rsidRPr="00215054" w:rsidRDefault="004D13F7" w:rsidP="00215054">
      <w:pPr>
        <w:pStyle w:val="Odstavekseznama"/>
        <w:numPr>
          <w:ilvl w:val="0"/>
          <w:numId w:val="53"/>
        </w:numPr>
        <w:jc w:val="both"/>
        <w:rPr>
          <w:rFonts w:ascii="Arial" w:hAnsi="Arial" w:cs="Arial"/>
          <w:bCs/>
          <w:sz w:val="20"/>
          <w:szCs w:val="20"/>
        </w:rPr>
      </w:pPr>
      <w:r w:rsidRPr="00215054">
        <w:rPr>
          <w:rFonts w:ascii="Arial" w:hAnsi="Arial" w:cs="Arial"/>
          <w:sz w:val="20"/>
          <w:szCs w:val="20"/>
        </w:rPr>
        <w:t>Resolucija o nacionalnem programu duševnega zdravja 2018−2028 (Uradni list RS, št. 24/18)</w:t>
      </w:r>
      <w:bookmarkStart w:id="65" w:name="_Toc93476503"/>
      <w:r w:rsidR="00481F49" w:rsidRPr="00215054">
        <w:rPr>
          <w:rFonts w:ascii="Arial" w:hAnsi="Arial" w:cs="Arial"/>
          <w:bCs/>
          <w:sz w:val="20"/>
          <w:szCs w:val="20"/>
        </w:rPr>
        <w:t xml:space="preserve"> </w:t>
      </w:r>
    </w:p>
    <w:p w14:paraId="5A949A72" w14:textId="77777777" w:rsidR="00481F49" w:rsidRPr="00215054" w:rsidRDefault="00481F49" w:rsidP="00215054">
      <w:pPr>
        <w:jc w:val="both"/>
        <w:rPr>
          <w:rFonts w:cs="Arial"/>
          <w:bCs/>
          <w:szCs w:val="20"/>
        </w:rPr>
      </w:pPr>
    </w:p>
    <w:p w14:paraId="2EDA9653" w14:textId="0F431378" w:rsidR="00481F49" w:rsidRPr="00215054" w:rsidRDefault="00481F49" w:rsidP="00215054">
      <w:pPr>
        <w:pStyle w:val="Odstavekseznama"/>
        <w:numPr>
          <w:ilvl w:val="0"/>
          <w:numId w:val="53"/>
        </w:numPr>
        <w:jc w:val="both"/>
        <w:rPr>
          <w:rFonts w:ascii="Arial" w:hAnsi="Arial" w:cs="Arial"/>
          <w:bCs/>
          <w:sz w:val="20"/>
          <w:szCs w:val="20"/>
        </w:rPr>
      </w:pPr>
      <w:r w:rsidRPr="00215054">
        <w:rPr>
          <w:rFonts w:ascii="Arial" w:hAnsi="Arial" w:cs="Arial"/>
          <w:bCs/>
          <w:sz w:val="20"/>
          <w:szCs w:val="20"/>
        </w:rPr>
        <w:t>Resolucija o nacionalnem programu socialnega varstva za obdobje 2013-2020 (ReNPSV13–20), Uradni list RS, št. 39/13.</w:t>
      </w:r>
    </w:p>
    <w:p w14:paraId="50472FFC" w14:textId="77777777" w:rsidR="00C94E0B" w:rsidRPr="00215054" w:rsidRDefault="00C94E0B" w:rsidP="00215054">
      <w:pPr>
        <w:jc w:val="both"/>
        <w:rPr>
          <w:rFonts w:cs="Arial"/>
          <w:bCs/>
          <w:szCs w:val="20"/>
        </w:rPr>
      </w:pPr>
    </w:p>
    <w:p w14:paraId="6F243B28" w14:textId="20ED366E" w:rsidR="007E4F2E" w:rsidRPr="00FA6402" w:rsidRDefault="00FA6402" w:rsidP="00511172">
      <w:pPr>
        <w:pStyle w:val="Odstavekseznama"/>
        <w:numPr>
          <w:ilvl w:val="0"/>
          <w:numId w:val="53"/>
        </w:numPr>
        <w:jc w:val="both"/>
        <w:rPr>
          <w:rFonts w:ascii="Arial" w:hAnsi="Arial" w:cs="Arial"/>
          <w:bCs/>
          <w:sz w:val="20"/>
          <w:szCs w:val="20"/>
        </w:rPr>
      </w:pPr>
      <w:r w:rsidRPr="00FA6402">
        <w:rPr>
          <w:rFonts w:ascii="Arial" w:hAnsi="Arial" w:cs="Arial"/>
          <w:bCs/>
          <w:sz w:val="20"/>
          <w:szCs w:val="20"/>
        </w:rPr>
        <w:t xml:space="preserve">Resolucija o nacionalnem programu socialnega varstva za obdobje 2022–2030 (ReNPSV 22-30), Uradni list RS, št. 49/22. </w:t>
      </w:r>
    </w:p>
    <w:p w14:paraId="14161694" w14:textId="77777777" w:rsidR="00FA6402" w:rsidRPr="00FA6402" w:rsidRDefault="00FA6402" w:rsidP="00FA6402">
      <w:pPr>
        <w:pStyle w:val="Odstavekseznama"/>
        <w:rPr>
          <w:rFonts w:ascii="Arial" w:hAnsi="Arial" w:cs="Arial"/>
          <w:bCs/>
          <w:color w:val="FF0000"/>
          <w:sz w:val="20"/>
          <w:szCs w:val="20"/>
        </w:rPr>
      </w:pPr>
    </w:p>
    <w:p w14:paraId="474DF0A7" w14:textId="77777777" w:rsidR="00FA6402" w:rsidRPr="00FA6402" w:rsidRDefault="00FA6402" w:rsidP="00FA6402">
      <w:pPr>
        <w:pStyle w:val="Odstavekseznama"/>
        <w:jc w:val="both"/>
        <w:rPr>
          <w:rFonts w:ascii="Arial" w:hAnsi="Arial" w:cs="Arial"/>
          <w:bCs/>
          <w:color w:val="FF0000"/>
          <w:sz w:val="20"/>
          <w:szCs w:val="20"/>
        </w:rPr>
      </w:pPr>
    </w:p>
    <w:p w14:paraId="56023F64" w14:textId="7EF5404A" w:rsidR="003715EC" w:rsidRDefault="007E4F2E" w:rsidP="00215054">
      <w:pPr>
        <w:pStyle w:val="Odstavekseznama"/>
        <w:numPr>
          <w:ilvl w:val="0"/>
          <w:numId w:val="53"/>
        </w:numPr>
        <w:jc w:val="both"/>
        <w:rPr>
          <w:rFonts w:ascii="Arial" w:hAnsi="Arial" w:cs="Arial"/>
          <w:bCs/>
          <w:color w:val="000000" w:themeColor="text1"/>
          <w:sz w:val="20"/>
          <w:szCs w:val="20"/>
        </w:rPr>
      </w:pPr>
      <w:r w:rsidRPr="007E4F2E">
        <w:rPr>
          <w:rFonts w:ascii="Arial" w:hAnsi="Arial" w:cs="Arial"/>
          <w:bCs/>
          <w:color w:val="000000" w:themeColor="text1"/>
          <w:sz w:val="20"/>
          <w:szCs w:val="20"/>
        </w:rPr>
        <w:t>CDC. Updated Guidelines for Evaluating Public Health Surveillance Systems. MMWR 2001;50 (No RR-13)</w:t>
      </w:r>
      <w:bookmarkEnd w:id="65"/>
    </w:p>
    <w:p w14:paraId="4D5F166A" w14:textId="77777777" w:rsidR="007E4F2E" w:rsidRPr="007E4F2E" w:rsidRDefault="007E4F2E" w:rsidP="007E4F2E">
      <w:pPr>
        <w:pStyle w:val="Odstavekseznama"/>
        <w:rPr>
          <w:rFonts w:ascii="Arial" w:hAnsi="Arial" w:cs="Arial"/>
          <w:bCs/>
          <w:color w:val="000000" w:themeColor="text1"/>
          <w:sz w:val="20"/>
          <w:szCs w:val="20"/>
        </w:rPr>
      </w:pPr>
    </w:p>
    <w:p w14:paraId="21B0592F" w14:textId="357D165E" w:rsidR="007E4F2E" w:rsidRDefault="007E4F2E" w:rsidP="00215054">
      <w:pPr>
        <w:pStyle w:val="Odstavekseznama"/>
        <w:numPr>
          <w:ilvl w:val="0"/>
          <w:numId w:val="53"/>
        </w:numPr>
        <w:jc w:val="both"/>
        <w:rPr>
          <w:rFonts w:ascii="Arial" w:hAnsi="Arial" w:cs="Arial"/>
          <w:bCs/>
          <w:color w:val="000000" w:themeColor="text1"/>
          <w:sz w:val="20"/>
          <w:szCs w:val="20"/>
        </w:rPr>
      </w:pPr>
      <w:r w:rsidRPr="007E4F2E">
        <w:rPr>
          <w:rFonts w:ascii="Arial" w:hAnsi="Arial" w:cs="Arial"/>
          <w:bCs/>
          <w:color w:val="000000" w:themeColor="text1"/>
          <w:sz w:val="20"/>
          <w:szCs w:val="20"/>
        </w:rPr>
        <w:t>Uredba (EU) št. 1260/2013 Evropskega parlamenta in Sveta o evropski demografski statistiki z dne 20. novembra 2013 (CELEX: 32013R1260).</w:t>
      </w:r>
    </w:p>
    <w:p w14:paraId="1CD6AC88" w14:textId="77777777" w:rsidR="00D061DF" w:rsidRPr="00215054" w:rsidRDefault="00D061DF" w:rsidP="00215054">
      <w:pPr>
        <w:jc w:val="both"/>
        <w:rPr>
          <w:rFonts w:cs="Arial"/>
          <w:szCs w:val="20"/>
          <w:lang w:val="it-IT"/>
        </w:rPr>
      </w:pPr>
    </w:p>
    <w:p w14:paraId="1BE36F8D" w14:textId="77777777" w:rsidR="00D507AA" w:rsidRPr="00215054" w:rsidRDefault="004D13F7" w:rsidP="00215054">
      <w:pPr>
        <w:pStyle w:val="Odstavekseznama"/>
        <w:numPr>
          <w:ilvl w:val="0"/>
          <w:numId w:val="53"/>
        </w:numPr>
        <w:jc w:val="both"/>
        <w:rPr>
          <w:rFonts w:ascii="Arial" w:hAnsi="Arial" w:cs="Arial"/>
          <w:bCs/>
          <w:sz w:val="20"/>
          <w:szCs w:val="20"/>
        </w:rPr>
      </w:pPr>
      <w:r w:rsidRPr="00215054">
        <w:rPr>
          <w:rFonts w:ascii="Arial" w:hAnsi="Arial" w:cs="Arial"/>
          <w:sz w:val="20"/>
          <w:szCs w:val="20"/>
        </w:rPr>
        <w:t>Uredba (ES) št. 1338/2008 Evropskega parlamenta in sveta z dne 16. decembra 2008 o statističnih podatkih Skupnosti v zvezi z javnim zdravjem ter zdravjem in varnostjo pri delu</w:t>
      </w:r>
      <w:r w:rsidR="00D507AA" w:rsidRPr="00215054">
        <w:rPr>
          <w:rFonts w:ascii="Arial" w:hAnsi="Arial" w:cs="Arial"/>
          <w:bCs/>
          <w:sz w:val="20"/>
          <w:szCs w:val="20"/>
        </w:rPr>
        <w:t>.</w:t>
      </w:r>
    </w:p>
    <w:p w14:paraId="7F3B315D" w14:textId="77777777" w:rsidR="00D507AA" w:rsidRPr="00215054" w:rsidRDefault="00D507AA" w:rsidP="00215054">
      <w:pPr>
        <w:jc w:val="both"/>
        <w:rPr>
          <w:rFonts w:cs="Arial"/>
          <w:bCs/>
          <w:szCs w:val="20"/>
          <w:lang w:val="it-IT"/>
        </w:rPr>
      </w:pPr>
    </w:p>
    <w:p w14:paraId="2A68CF2D" w14:textId="2BD1A4AB" w:rsidR="00D507AA" w:rsidRPr="00215054" w:rsidRDefault="00D507AA" w:rsidP="00215054">
      <w:pPr>
        <w:pStyle w:val="Odstavekseznama"/>
        <w:numPr>
          <w:ilvl w:val="0"/>
          <w:numId w:val="53"/>
        </w:numPr>
        <w:jc w:val="both"/>
        <w:rPr>
          <w:rFonts w:ascii="Arial" w:hAnsi="Arial" w:cs="Arial"/>
          <w:bCs/>
          <w:sz w:val="20"/>
          <w:szCs w:val="20"/>
        </w:rPr>
      </w:pPr>
      <w:r w:rsidRPr="00215054">
        <w:rPr>
          <w:rFonts w:ascii="Arial" w:hAnsi="Arial" w:cs="Arial"/>
          <w:bCs/>
          <w:sz w:val="20"/>
          <w:szCs w:val="20"/>
        </w:rPr>
        <w:t xml:space="preserve">Zavod za zdravstveno zavarovanje Slovenije - Splošni dogovori in aneksi. </w:t>
      </w:r>
      <w:hyperlink r:id="rId16" w:history="1">
        <w:r w:rsidR="00BD7730" w:rsidRPr="00834188">
          <w:rPr>
            <w:rStyle w:val="Hiperpovezava"/>
            <w:rFonts w:ascii="Arial" w:hAnsi="Arial" w:cs="Arial"/>
            <w:bCs/>
            <w:sz w:val="20"/>
            <w:szCs w:val="20"/>
          </w:rPr>
          <w:t>https://partner.zzzs.si/wps/portal/portali/aizv/</w:t>
        </w:r>
      </w:hyperlink>
      <w:r w:rsidR="00BD7730">
        <w:rPr>
          <w:rFonts w:ascii="Arial" w:hAnsi="Arial" w:cs="Arial"/>
          <w:bCs/>
          <w:sz w:val="20"/>
          <w:szCs w:val="20"/>
        </w:rPr>
        <w:t xml:space="preserve"> (e-vir, dostop 20.10.2022)</w:t>
      </w:r>
    </w:p>
    <w:p w14:paraId="57E234B0" w14:textId="77777777" w:rsidR="00D061DF" w:rsidRPr="00BD7730" w:rsidRDefault="00D061DF" w:rsidP="00215054">
      <w:pPr>
        <w:jc w:val="both"/>
        <w:rPr>
          <w:rFonts w:cs="Arial"/>
          <w:szCs w:val="20"/>
          <w:lang w:val="it-IT"/>
        </w:rPr>
      </w:pPr>
    </w:p>
    <w:p w14:paraId="01885AED" w14:textId="59B0FB5C" w:rsidR="00B327EF" w:rsidRPr="00215054" w:rsidRDefault="004D13F7" w:rsidP="00215054">
      <w:pPr>
        <w:pStyle w:val="Odstavekseznama"/>
        <w:numPr>
          <w:ilvl w:val="0"/>
          <w:numId w:val="53"/>
        </w:numPr>
        <w:jc w:val="both"/>
        <w:rPr>
          <w:rFonts w:ascii="Arial" w:hAnsi="Arial" w:cs="Arial"/>
          <w:bCs/>
          <w:sz w:val="20"/>
          <w:szCs w:val="20"/>
        </w:rPr>
      </w:pPr>
      <w:r w:rsidRPr="00215054">
        <w:rPr>
          <w:rFonts w:ascii="Arial" w:hAnsi="Arial" w:cs="Arial"/>
          <w:sz w:val="20"/>
          <w:szCs w:val="20"/>
        </w:rPr>
        <w:t xml:space="preserve">Zakon o dolgotrajni oskrbi </w:t>
      </w:r>
      <w:r w:rsidR="00B327EF" w:rsidRPr="00215054">
        <w:rPr>
          <w:rFonts w:ascii="Arial" w:hAnsi="Arial" w:cs="Arial"/>
          <w:sz w:val="20"/>
          <w:szCs w:val="20"/>
        </w:rPr>
        <w:t xml:space="preserve">(ZDOsk). </w:t>
      </w:r>
      <w:r w:rsidRPr="00215054">
        <w:rPr>
          <w:rFonts w:ascii="Arial" w:hAnsi="Arial" w:cs="Arial"/>
          <w:sz w:val="20"/>
          <w:szCs w:val="20"/>
        </w:rPr>
        <w:t>Uradni list RS, št. 196/21</w:t>
      </w:r>
      <w:r w:rsidR="00B327EF" w:rsidRPr="00215054">
        <w:rPr>
          <w:rFonts w:ascii="Arial" w:hAnsi="Arial" w:cs="Arial"/>
          <w:sz w:val="20"/>
          <w:szCs w:val="20"/>
        </w:rPr>
        <w:t xml:space="preserve">. </w:t>
      </w:r>
    </w:p>
    <w:p w14:paraId="793DF9B2" w14:textId="77777777" w:rsidR="003715EC" w:rsidRPr="00215054" w:rsidRDefault="003715EC" w:rsidP="00215054">
      <w:pPr>
        <w:jc w:val="both"/>
        <w:rPr>
          <w:rFonts w:cs="Arial"/>
          <w:bCs/>
          <w:szCs w:val="20"/>
        </w:rPr>
      </w:pPr>
    </w:p>
    <w:p w14:paraId="7879C36F" w14:textId="77777777" w:rsidR="008D0D1A" w:rsidRPr="00215054" w:rsidRDefault="003715EC" w:rsidP="00215054">
      <w:pPr>
        <w:pStyle w:val="Odstavekseznama"/>
        <w:numPr>
          <w:ilvl w:val="0"/>
          <w:numId w:val="53"/>
        </w:numPr>
        <w:jc w:val="both"/>
        <w:rPr>
          <w:rFonts w:ascii="Arial" w:hAnsi="Arial" w:cs="Arial"/>
          <w:sz w:val="20"/>
          <w:szCs w:val="20"/>
        </w:rPr>
      </w:pPr>
      <w:r w:rsidRPr="00215054">
        <w:rPr>
          <w:rFonts w:ascii="Arial" w:hAnsi="Arial" w:cs="Arial"/>
          <w:bCs/>
          <w:sz w:val="20"/>
          <w:szCs w:val="20"/>
        </w:rPr>
        <w:t xml:space="preserve">Zakon o državni statistiki </w:t>
      </w:r>
      <w:bookmarkStart w:id="66" w:name="_Hlk93565170"/>
      <w:r w:rsidRPr="00215054">
        <w:rPr>
          <w:rFonts w:ascii="Arial" w:hAnsi="Arial" w:cs="Arial"/>
          <w:bCs/>
          <w:sz w:val="20"/>
          <w:szCs w:val="20"/>
        </w:rPr>
        <w:t>(ZDSta)</w:t>
      </w:r>
      <w:bookmarkEnd w:id="66"/>
      <w:r w:rsidRPr="00215054">
        <w:rPr>
          <w:rFonts w:ascii="Arial" w:hAnsi="Arial" w:cs="Arial"/>
          <w:bCs/>
          <w:sz w:val="20"/>
          <w:szCs w:val="20"/>
        </w:rPr>
        <w:t>. Uradni list RS, št. 45/95 in 9/01.</w:t>
      </w:r>
    </w:p>
    <w:p w14:paraId="724B60A6" w14:textId="77777777" w:rsidR="008D0D1A" w:rsidRPr="00215054" w:rsidRDefault="008D0D1A" w:rsidP="00215054">
      <w:pPr>
        <w:jc w:val="both"/>
        <w:rPr>
          <w:rFonts w:cs="Arial"/>
          <w:szCs w:val="20"/>
        </w:rPr>
      </w:pPr>
    </w:p>
    <w:p w14:paraId="6A36FF52" w14:textId="5DF0FE60" w:rsidR="002A7A07" w:rsidRPr="00215054" w:rsidRDefault="00B327EF" w:rsidP="00215054">
      <w:pPr>
        <w:pStyle w:val="Odstavekseznama"/>
        <w:numPr>
          <w:ilvl w:val="0"/>
          <w:numId w:val="53"/>
        </w:numPr>
        <w:jc w:val="both"/>
        <w:rPr>
          <w:rFonts w:ascii="Arial" w:hAnsi="Arial" w:cs="Arial"/>
          <w:sz w:val="20"/>
          <w:szCs w:val="20"/>
        </w:rPr>
      </w:pPr>
      <w:r w:rsidRPr="00215054">
        <w:rPr>
          <w:rFonts w:ascii="Arial" w:hAnsi="Arial" w:cs="Arial"/>
          <w:sz w:val="20"/>
          <w:szCs w:val="20"/>
        </w:rPr>
        <w:t>Zakon o duševnem zdravju (ZDZdr). (Uradni list RS, št. 77/08, 46/15 – odl. US in 44/19 – odl. US.</w:t>
      </w:r>
      <w:bookmarkStart w:id="67" w:name="_Toc93476505"/>
    </w:p>
    <w:p w14:paraId="1DF9F1E2" w14:textId="77777777" w:rsidR="006C3ABF" w:rsidRPr="00215054" w:rsidRDefault="006C3ABF" w:rsidP="00215054">
      <w:pPr>
        <w:pStyle w:val="Odstavekseznama"/>
        <w:jc w:val="both"/>
        <w:rPr>
          <w:rFonts w:ascii="Arial" w:hAnsi="Arial" w:cs="Arial"/>
          <w:sz w:val="20"/>
          <w:szCs w:val="20"/>
        </w:rPr>
      </w:pPr>
    </w:p>
    <w:p w14:paraId="015B8E08" w14:textId="1ACFEA05" w:rsidR="006C3ABF" w:rsidRDefault="006C3ABF" w:rsidP="00215054">
      <w:pPr>
        <w:pStyle w:val="Odstavekseznama"/>
        <w:numPr>
          <w:ilvl w:val="0"/>
          <w:numId w:val="53"/>
        </w:numPr>
        <w:jc w:val="both"/>
        <w:rPr>
          <w:rFonts w:ascii="Arial" w:hAnsi="Arial" w:cs="Arial"/>
          <w:sz w:val="20"/>
          <w:szCs w:val="20"/>
        </w:rPr>
      </w:pPr>
      <w:r w:rsidRPr="00215054">
        <w:rPr>
          <w:rFonts w:ascii="Arial" w:hAnsi="Arial" w:cs="Arial"/>
          <w:sz w:val="20"/>
          <w:szCs w:val="20"/>
        </w:rPr>
        <w:t>Zakon o ratifikaciji Konvencije o pravicah invalidov in Izbirnega protokola h Konvenciji o pravicah invalidov (Uradni list RS – Mednarodne pogodbe, št. 10/08)</w:t>
      </w:r>
    </w:p>
    <w:p w14:paraId="11F94551" w14:textId="77777777" w:rsidR="007E4F2E" w:rsidRPr="007E4F2E" w:rsidRDefault="007E4F2E" w:rsidP="007E4F2E">
      <w:pPr>
        <w:pStyle w:val="Odstavekseznama"/>
        <w:rPr>
          <w:rFonts w:ascii="Arial" w:hAnsi="Arial" w:cs="Arial"/>
          <w:sz w:val="20"/>
          <w:szCs w:val="20"/>
        </w:rPr>
      </w:pPr>
    </w:p>
    <w:p w14:paraId="35517B70" w14:textId="11FFDB66" w:rsidR="007E4F2E" w:rsidRDefault="007E4F2E" w:rsidP="00215054">
      <w:pPr>
        <w:pStyle w:val="Odstavekseznama"/>
        <w:numPr>
          <w:ilvl w:val="0"/>
          <w:numId w:val="53"/>
        </w:numPr>
        <w:jc w:val="both"/>
        <w:rPr>
          <w:rFonts w:ascii="Arial" w:hAnsi="Arial" w:cs="Arial"/>
          <w:sz w:val="20"/>
          <w:szCs w:val="20"/>
        </w:rPr>
      </w:pPr>
      <w:r w:rsidRPr="007E4F2E">
        <w:rPr>
          <w:rFonts w:ascii="Arial" w:hAnsi="Arial" w:cs="Arial"/>
          <w:sz w:val="20"/>
          <w:szCs w:val="20"/>
        </w:rPr>
        <w:t>Zakon o zbirkah podatkov s področja zdravstvenega varstva (ZZPPZ). Uradni list RS, št. 65/00, 47/15, 31/18 in 152/20 – ZZUOOP.</w:t>
      </w:r>
    </w:p>
    <w:p w14:paraId="09341BD6" w14:textId="77777777" w:rsidR="007E4F2E" w:rsidRPr="007E4F2E" w:rsidRDefault="007E4F2E" w:rsidP="007E4F2E">
      <w:pPr>
        <w:pStyle w:val="Odstavekseznama"/>
        <w:rPr>
          <w:rFonts w:ascii="Arial" w:hAnsi="Arial" w:cs="Arial"/>
          <w:sz w:val="20"/>
          <w:szCs w:val="20"/>
        </w:rPr>
      </w:pPr>
    </w:p>
    <w:p w14:paraId="1F90986C" w14:textId="39A864D2" w:rsidR="007E4F2E" w:rsidRPr="00215054" w:rsidRDefault="007E4F2E" w:rsidP="00215054">
      <w:pPr>
        <w:pStyle w:val="Odstavekseznama"/>
        <w:numPr>
          <w:ilvl w:val="0"/>
          <w:numId w:val="53"/>
        </w:numPr>
        <w:jc w:val="both"/>
        <w:rPr>
          <w:rFonts w:ascii="Arial" w:hAnsi="Arial" w:cs="Arial"/>
          <w:sz w:val="20"/>
          <w:szCs w:val="20"/>
        </w:rPr>
      </w:pPr>
      <w:r w:rsidRPr="007E4F2E">
        <w:rPr>
          <w:rFonts w:ascii="Arial" w:hAnsi="Arial" w:cs="Arial"/>
          <w:sz w:val="20"/>
          <w:szCs w:val="20"/>
        </w:rPr>
        <w:t>Zdravniško poročilo o umrli osebi (DEM-UMR). Podatkovna zbirka NIJZ 46</w:t>
      </w:r>
    </w:p>
    <w:bookmarkEnd w:id="67"/>
    <w:p w14:paraId="4D971DBD" w14:textId="77777777" w:rsidR="008D0D1A" w:rsidRPr="00215054" w:rsidRDefault="008D0D1A" w:rsidP="00215054">
      <w:pPr>
        <w:jc w:val="both"/>
        <w:rPr>
          <w:rFonts w:cs="Arial"/>
          <w:szCs w:val="20"/>
          <w:lang w:val="sl-SI"/>
        </w:rPr>
      </w:pPr>
    </w:p>
    <w:p w14:paraId="6C3F45DB" w14:textId="27815893" w:rsidR="00605B34" w:rsidRPr="00215054" w:rsidRDefault="00605B34" w:rsidP="00215054">
      <w:pPr>
        <w:pStyle w:val="Odstavekseznama"/>
        <w:numPr>
          <w:ilvl w:val="0"/>
          <w:numId w:val="53"/>
        </w:numPr>
        <w:jc w:val="both"/>
        <w:rPr>
          <w:rFonts w:ascii="Arial" w:hAnsi="Arial" w:cs="Arial"/>
          <w:sz w:val="20"/>
          <w:szCs w:val="20"/>
        </w:rPr>
      </w:pPr>
      <w:r w:rsidRPr="00215054">
        <w:rPr>
          <w:rFonts w:ascii="Arial" w:hAnsi="Arial" w:cs="Arial"/>
          <w:sz w:val="20"/>
          <w:szCs w:val="20"/>
        </w:rPr>
        <w:t>Zdravstveni statistični letopis Slovenije, (e-vir)  https://www.nijz.si/sl/nijz/revije/</w:t>
      </w:r>
      <w:bookmarkStart w:id="68" w:name="_Hlk93392382"/>
      <w:r w:rsidRPr="00215054">
        <w:rPr>
          <w:rFonts w:ascii="Arial" w:hAnsi="Arial" w:cs="Arial"/>
          <w:sz w:val="20"/>
          <w:szCs w:val="20"/>
        </w:rPr>
        <w:t xml:space="preserve">zdravstveni-statisticni-letopis-slovenije </w:t>
      </w:r>
      <w:bookmarkEnd w:id="68"/>
      <w:r w:rsidRPr="00215054">
        <w:rPr>
          <w:rFonts w:ascii="Arial" w:hAnsi="Arial" w:cs="Arial"/>
          <w:sz w:val="20"/>
          <w:szCs w:val="20"/>
        </w:rPr>
        <w:t>(dostop 14.1.2022)</w:t>
      </w:r>
    </w:p>
    <w:p w14:paraId="4E24D55E" w14:textId="31796070" w:rsidR="005C057A" w:rsidRPr="00215054" w:rsidRDefault="005C057A" w:rsidP="00215054">
      <w:pPr>
        <w:jc w:val="both"/>
        <w:rPr>
          <w:rFonts w:cs="Arial"/>
          <w:szCs w:val="20"/>
          <w:lang w:val="it-IT"/>
        </w:rPr>
      </w:pPr>
    </w:p>
    <w:p w14:paraId="3AF27409" w14:textId="0799648D" w:rsidR="00AF6747" w:rsidRPr="00215054" w:rsidRDefault="005C057A" w:rsidP="00215054">
      <w:pPr>
        <w:pStyle w:val="Odstavekseznama"/>
        <w:numPr>
          <w:ilvl w:val="0"/>
          <w:numId w:val="53"/>
        </w:numPr>
        <w:jc w:val="both"/>
        <w:rPr>
          <w:rFonts w:ascii="Arial" w:hAnsi="Arial" w:cs="Arial"/>
          <w:sz w:val="20"/>
          <w:szCs w:val="20"/>
        </w:rPr>
      </w:pPr>
      <w:r w:rsidRPr="00215054">
        <w:rPr>
          <w:rFonts w:ascii="Arial" w:hAnsi="Arial" w:cs="Arial"/>
          <w:sz w:val="20"/>
          <w:szCs w:val="20"/>
        </w:rPr>
        <w:t>World Health Organization. (‎2018)‎. The global dementia observatory reference guide. World Health Organization. https://apps.who.int/iris/handle/10665/272669. License: CC BY-NC-SA 3.0 IGO</w:t>
      </w:r>
      <w:r w:rsidR="00BD7730">
        <w:rPr>
          <w:rFonts w:ascii="Arial" w:hAnsi="Arial" w:cs="Arial"/>
          <w:sz w:val="20"/>
          <w:szCs w:val="20"/>
        </w:rPr>
        <w:t xml:space="preserve"> (e-vir, dostop 20.10.2022)</w:t>
      </w:r>
    </w:p>
    <w:p w14:paraId="6B941BD1" w14:textId="77777777" w:rsidR="004D1566" w:rsidRPr="00215054" w:rsidRDefault="004D1566" w:rsidP="00215054">
      <w:pPr>
        <w:jc w:val="both"/>
        <w:rPr>
          <w:rFonts w:cs="Arial"/>
          <w:szCs w:val="20"/>
        </w:rPr>
      </w:pPr>
    </w:p>
    <w:p w14:paraId="33EB792A" w14:textId="478A59FF" w:rsidR="004D1566" w:rsidRPr="00215054" w:rsidRDefault="004D1566" w:rsidP="00215054">
      <w:pPr>
        <w:pStyle w:val="Odstavekseznama"/>
        <w:numPr>
          <w:ilvl w:val="0"/>
          <w:numId w:val="53"/>
        </w:numPr>
        <w:jc w:val="both"/>
        <w:rPr>
          <w:rFonts w:ascii="Arial" w:hAnsi="Arial" w:cs="Arial"/>
          <w:sz w:val="20"/>
          <w:szCs w:val="20"/>
        </w:rPr>
      </w:pPr>
      <w:r w:rsidRPr="00215054">
        <w:rPr>
          <w:rFonts w:ascii="Arial" w:hAnsi="Arial" w:cs="Arial"/>
          <w:sz w:val="20"/>
          <w:szCs w:val="20"/>
        </w:rPr>
        <w:t>Zakonom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in 196/21 – ZDOsk; v nadaljnjem besedilu: ZZVZZ)</w:t>
      </w:r>
    </w:p>
    <w:p w14:paraId="087D4E55" w14:textId="77777777" w:rsidR="004D13F7" w:rsidRPr="00215054" w:rsidRDefault="004D13F7" w:rsidP="00215054">
      <w:pPr>
        <w:jc w:val="both"/>
        <w:rPr>
          <w:rFonts w:cs="Arial"/>
          <w:szCs w:val="20"/>
        </w:rPr>
      </w:pPr>
    </w:p>
    <w:p w14:paraId="6CACD53C" w14:textId="2B12D523" w:rsidR="004D13F7" w:rsidRPr="00215054" w:rsidRDefault="003D1C3B" w:rsidP="00215054">
      <w:pPr>
        <w:pStyle w:val="Odstavekseznama"/>
        <w:numPr>
          <w:ilvl w:val="0"/>
          <w:numId w:val="53"/>
        </w:numPr>
        <w:jc w:val="both"/>
        <w:rPr>
          <w:rFonts w:ascii="Arial" w:hAnsi="Arial" w:cs="Arial"/>
          <w:sz w:val="20"/>
          <w:szCs w:val="20"/>
          <w:lang w:val="it-IT"/>
        </w:rPr>
      </w:pPr>
      <w:hyperlink r:id="rId17" w:history="1">
        <w:r w:rsidR="0096198C" w:rsidRPr="00215054">
          <w:rPr>
            <w:rStyle w:val="Hiperpovezava"/>
            <w:rFonts w:ascii="Arial" w:hAnsi="Arial" w:cs="Arial"/>
            <w:sz w:val="20"/>
            <w:szCs w:val="20"/>
            <w:lang w:val="it-IT"/>
          </w:rPr>
          <w:t>https://edemenca.si/kaksno-je-stanje-glede-demence-po-svetu-in-v-sloveniji</w:t>
        </w:r>
      </w:hyperlink>
      <w:r w:rsidR="00FA1D4C" w:rsidRPr="00215054">
        <w:rPr>
          <w:rFonts w:ascii="Arial" w:hAnsi="Arial" w:cs="Arial"/>
          <w:sz w:val="20"/>
          <w:szCs w:val="20"/>
          <w:lang w:val="it-IT"/>
        </w:rPr>
        <w:t xml:space="preserve"> (e vir, dostop 13. 1. 2022</w:t>
      </w:r>
      <w:r w:rsidR="004D13F7" w:rsidRPr="00215054">
        <w:rPr>
          <w:rFonts w:ascii="Arial" w:hAnsi="Arial" w:cs="Arial"/>
          <w:sz w:val="20"/>
          <w:szCs w:val="20"/>
          <w:lang w:val="it-IT"/>
        </w:rPr>
        <w:t>)</w:t>
      </w:r>
    </w:p>
    <w:p w14:paraId="46934C09" w14:textId="77777777" w:rsidR="00FA1D4C" w:rsidRPr="00215054" w:rsidRDefault="00FA1D4C" w:rsidP="00215054">
      <w:pPr>
        <w:jc w:val="both"/>
        <w:rPr>
          <w:rFonts w:cs="Arial"/>
          <w:szCs w:val="20"/>
          <w:lang w:val="it-IT"/>
        </w:rPr>
      </w:pPr>
    </w:p>
    <w:p w14:paraId="4F696DDC" w14:textId="0C9620D2" w:rsidR="00FA1D4C" w:rsidRPr="00215054" w:rsidRDefault="003D1C3B" w:rsidP="00215054">
      <w:pPr>
        <w:pStyle w:val="Odstavekseznama"/>
        <w:numPr>
          <w:ilvl w:val="0"/>
          <w:numId w:val="53"/>
        </w:numPr>
        <w:jc w:val="both"/>
        <w:rPr>
          <w:rFonts w:ascii="Arial" w:hAnsi="Arial" w:cs="Arial"/>
          <w:sz w:val="20"/>
          <w:szCs w:val="20"/>
          <w:lang w:val="it-IT"/>
        </w:rPr>
      </w:pPr>
      <w:hyperlink r:id="rId18" w:history="1">
        <w:r w:rsidR="0096198C" w:rsidRPr="00215054">
          <w:rPr>
            <w:rStyle w:val="Hiperpovezava"/>
            <w:rFonts w:ascii="Arial" w:hAnsi="Arial" w:cs="Arial"/>
            <w:sz w:val="20"/>
            <w:szCs w:val="20"/>
            <w:lang w:val="it-IT"/>
          </w:rPr>
          <w:t>https://www.stat.si/StatWeb/News/Index/9973</w:t>
        </w:r>
      </w:hyperlink>
      <w:r w:rsidR="00FA1D4C" w:rsidRPr="00215054">
        <w:rPr>
          <w:rFonts w:ascii="Arial" w:hAnsi="Arial" w:cs="Arial"/>
          <w:sz w:val="20"/>
          <w:szCs w:val="20"/>
          <w:lang w:val="it-IT"/>
        </w:rPr>
        <w:t xml:space="preserve">  (e-vir, dostop 14.1.2022)</w:t>
      </w:r>
    </w:p>
    <w:p w14:paraId="7BFA8E7E" w14:textId="1DDFCCB0" w:rsidR="00FA1D4C" w:rsidRPr="00215054" w:rsidRDefault="00FA1D4C" w:rsidP="00215054">
      <w:pPr>
        <w:jc w:val="both"/>
        <w:rPr>
          <w:rFonts w:cs="Arial"/>
          <w:szCs w:val="20"/>
          <w:lang w:val="it-IT"/>
        </w:rPr>
      </w:pPr>
    </w:p>
    <w:p w14:paraId="56397248" w14:textId="2DBC3BA1" w:rsidR="00FA1D4C" w:rsidRPr="00215054" w:rsidRDefault="00FA1D4C" w:rsidP="00215054">
      <w:pPr>
        <w:pStyle w:val="Odstavekseznama"/>
        <w:numPr>
          <w:ilvl w:val="0"/>
          <w:numId w:val="53"/>
        </w:numPr>
        <w:jc w:val="both"/>
        <w:rPr>
          <w:rFonts w:ascii="Arial" w:hAnsi="Arial" w:cs="Arial"/>
          <w:sz w:val="20"/>
          <w:szCs w:val="20"/>
        </w:rPr>
      </w:pPr>
      <w:bookmarkStart w:id="69" w:name="_Hlk93476167"/>
      <w:r w:rsidRPr="00215054">
        <w:rPr>
          <w:rFonts w:ascii="Arial" w:hAnsi="Arial" w:cs="Arial"/>
          <w:sz w:val="20"/>
          <w:szCs w:val="20"/>
        </w:rPr>
        <w:t>Nacionalna raziskava poročilo za Slovenijo, 2015</w:t>
      </w:r>
    </w:p>
    <w:p w14:paraId="2A472E4C" w14:textId="4A760422" w:rsidR="005C057A" w:rsidRPr="00215054" w:rsidRDefault="005C057A" w:rsidP="00215054">
      <w:pPr>
        <w:jc w:val="both"/>
        <w:rPr>
          <w:rStyle w:val="Naslov1Znak"/>
          <w:szCs w:val="20"/>
          <w:lang w:val="it-IT"/>
        </w:rPr>
      </w:pPr>
      <w:bookmarkStart w:id="70" w:name="_Toc62108578"/>
      <w:bookmarkStart w:id="71" w:name="_Toc62108606"/>
      <w:bookmarkEnd w:id="69"/>
    </w:p>
    <w:bookmarkEnd w:id="70"/>
    <w:bookmarkEnd w:id="71"/>
    <w:p w14:paraId="3BAC5F52" w14:textId="1DE80388" w:rsidR="005C057A" w:rsidRPr="00215054" w:rsidRDefault="005C057A" w:rsidP="00F55F91">
      <w:pPr>
        <w:pStyle w:val="Odstavekseznama"/>
        <w:jc w:val="both"/>
        <w:rPr>
          <w:rStyle w:val="Naslov1Znak"/>
          <w:sz w:val="20"/>
          <w:szCs w:val="20"/>
          <w:lang w:val="it-IT"/>
        </w:rPr>
      </w:pPr>
    </w:p>
    <w:sectPr w:rsidR="005C057A" w:rsidRPr="00215054" w:rsidSect="007B233B">
      <w:headerReference w:type="even" r:id="rId19"/>
      <w:headerReference w:type="default" r:id="rId20"/>
      <w:footerReference w:type="even" r:id="rId21"/>
      <w:footerReference w:type="default" r:id="rId22"/>
      <w:headerReference w:type="first" r:id="rId23"/>
      <w:footerReference w:type="first" r:id="rId2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D635" w14:textId="77777777" w:rsidR="00EB7C70" w:rsidRDefault="00EB7C70">
      <w:r>
        <w:separator/>
      </w:r>
    </w:p>
  </w:endnote>
  <w:endnote w:type="continuationSeparator" w:id="0">
    <w:p w14:paraId="7725A698" w14:textId="77777777" w:rsidR="00EB7C70" w:rsidRDefault="00EB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A2DF" w14:textId="77777777" w:rsidR="00F10B8A" w:rsidRDefault="00F10B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04114"/>
      <w:docPartObj>
        <w:docPartGallery w:val="Page Numbers (Bottom of Page)"/>
        <w:docPartUnique/>
      </w:docPartObj>
    </w:sdtPr>
    <w:sdtEndPr/>
    <w:sdtContent>
      <w:p w14:paraId="217D058B" w14:textId="37084083" w:rsidR="00885BD1" w:rsidRDefault="00885BD1">
        <w:pPr>
          <w:pStyle w:val="Noga"/>
          <w:jc w:val="center"/>
        </w:pPr>
        <w:r>
          <w:fldChar w:fldCharType="begin"/>
        </w:r>
        <w:r>
          <w:instrText>PAGE   \* MERGEFORMAT</w:instrText>
        </w:r>
        <w:r>
          <w:fldChar w:fldCharType="separate"/>
        </w:r>
        <w:r w:rsidR="0045505F" w:rsidRPr="0045505F">
          <w:rPr>
            <w:noProof/>
            <w:lang w:val="sl-SI"/>
          </w:rPr>
          <w:t>39</w:t>
        </w:r>
        <w:r>
          <w:fldChar w:fldCharType="end"/>
        </w:r>
      </w:p>
    </w:sdtContent>
  </w:sdt>
  <w:p w14:paraId="7987B126" w14:textId="77777777" w:rsidR="00885BD1" w:rsidRDefault="00885BD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41C2" w14:textId="77777777" w:rsidR="00F10B8A" w:rsidRDefault="00F10B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3581" w14:textId="77777777" w:rsidR="00EB7C70" w:rsidRDefault="00EB7C70">
      <w:r>
        <w:separator/>
      </w:r>
    </w:p>
  </w:footnote>
  <w:footnote w:type="continuationSeparator" w:id="0">
    <w:p w14:paraId="081F3F2C" w14:textId="77777777" w:rsidR="00EB7C70" w:rsidRDefault="00EB7C70">
      <w:r>
        <w:continuationSeparator/>
      </w:r>
    </w:p>
  </w:footnote>
  <w:footnote w:id="1">
    <w:p w14:paraId="006630F4" w14:textId="19C82F86" w:rsidR="00DA083C" w:rsidRPr="00DA083C" w:rsidRDefault="00DA083C">
      <w:pPr>
        <w:pStyle w:val="Sprotnaopomba-besedilo"/>
        <w:rPr>
          <w:sz w:val="18"/>
          <w:szCs w:val="18"/>
          <w:lang w:val="sl-SI"/>
        </w:rPr>
      </w:pPr>
      <w:r>
        <w:rPr>
          <w:rStyle w:val="Sprotnaopomba-sklic"/>
        </w:rPr>
        <w:footnoteRef/>
      </w:r>
      <w:r>
        <w:t xml:space="preserve"> </w:t>
      </w:r>
      <w:r w:rsidRPr="00DA083C">
        <w:rPr>
          <w:sz w:val="18"/>
          <w:szCs w:val="18"/>
        </w:rPr>
        <w:t>Lovrečič B (ur), Lovrečič M (ur). Spremljanje demence v Sloveniji, Epidemiološki in drugi vidiki, ZRC SAZU, 2021, str. https://doi.org/10.3986/9789610505785, https://omp.zrc-sazu.si/zalozba/catalog/view/1970/8123/1513-2, DOI: 10.3986/9789610505785.</w:t>
      </w:r>
    </w:p>
  </w:footnote>
  <w:footnote w:id="2">
    <w:p w14:paraId="27821772" w14:textId="77777777" w:rsidR="00885BD1" w:rsidRPr="000C6B0F" w:rsidRDefault="00885BD1" w:rsidP="00E20F95">
      <w:pPr>
        <w:pStyle w:val="Sprotnaopomba-besedilo"/>
        <w:rPr>
          <w:sz w:val="18"/>
          <w:szCs w:val="18"/>
        </w:rPr>
      </w:pPr>
      <w:r w:rsidRPr="00DA083C">
        <w:rPr>
          <w:rStyle w:val="Sprotnaopomba-sklic"/>
          <w:sz w:val="18"/>
          <w:szCs w:val="18"/>
        </w:rPr>
        <w:footnoteRef/>
      </w:r>
      <w:r w:rsidRPr="00DA083C">
        <w:rPr>
          <w:sz w:val="18"/>
          <w:szCs w:val="18"/>
        </w:rPr>
        <w:t xml:space="preserve"> Prince M, Wimo A, Guerchet M, Ali GC, Wu Yutzu, Prina M. World Alzheimer Report 2015. The global impact of dementia: an analysis of prevalence, incidence, cost and trends. London: Alzheimer’s Disease International; 2015.</w:t>
      </w:r>
    </w:p>
  </w:footnote>
  <w:footnote w:id="3">
    <w:p w14:paraId="44CA375F" w14:textId="77777777" w:rsidR="00885BD1" w:rsidRPr="000C6B0F" w:rsidRDefault="00885BD1" w:rsidP="00E20F95">
      <w:pPr>
        <w:pStyle w:val="Sprotnaopomba-besedilo"/>
        <w:rPr>
          <w:sz w:val="18"/>
          <w:szCs w:val="18"/>
        </w:rPr>
      </w:pPr>
      <w:r w:rsidRPr="000C6B0F">
        <w:rPr>
          <w:rStyle w:val="Sprotnaopomba-sklic"/>
          <w:sz w:val="18"/>
          <w:szCs w:val="18"/>
        </w:rPr>
        <w:footnoteRef/>
      </w:r>
      <w:r w:rsidRPr="000C6B0F">
        <w:rPr>
          <w:sz w:val="18"/>
          <w:szCs w:val="18"/>
        </w:rPr>
        <w:t xml:space="preserve"> https://www.euro.who.int/en/health-topics/noncommunicable-diseases/mental-health/areas-of-work/dementia</w:t>
      </w:r>
    </w:p>
  </w:footnote>
  <w:footnote w:id="4">
    <w:p w14:paraId="6B93E7DD" w14:textId="77777777" w:rsidR="00885BD1" w:rsidRPr="0058600C" w:rsidRDefault="00885BD1" w:rsidP="00E20F95">
      <w:pPr>
        <w:pStyle w:val="Sprotnaopomba-besedilo"/>
        <w:rPr>
          <w:sz w:val="18"/>
          <w:szCs w:val="18"/>
        </w:rPr>
      </w:pPr>
      <w:r w:rsidRPr="0058600C">
        <w:rPr>
          <w:rStyle w:val="Sprotnaopomba-sklic"/>
          <w:sz w:val="18"/>
          <w:szCs w:val="18"/>
        </w:rPr>
        <w:footnoteRef/>
      </w:r>
      <w:r w:rsidRPr="0058600C">
        <w:rPr>
          <w:sz w:val="18"/>
          <w:szCs w:val="18"/>
        </w:rPr>
        <w:t xml:space="preserve"> Global action plan on the public health response to dementia 2017–2025 ISBN 978-92-4-151348-7 © World Health Organization, 2017.</w:t>
      </w:r>
    </w:p>
  </w:footnote>
  <w:footnote w:id="5">
    <w:p w14:paraId="6AB62386" w14:textId="2A948E19" w:rsidR="00885BD1" w:rsidRPr="00E6375F" w:rsidRDefault="00885BD1" w:rsidP="00E6375F">
      <w:pPr>
        <w:pStyle w:val="Sprotnaopomba-besedilo"/>
        <w:rPr>
          <w:sz w:val="18"/>
          <w:szCs w:val="18"/>
        </w:rPr>
      </w:pPr>
      <w:r>
        <w:rPr>
          <w:rStyle w:val="Sprotnaopomba-sklic"/>
        </w:rPr>
        <w:footnoteRef/>
      </w:r>
      <w:r>
        <w:t xml:space="preserve"> </w:t>
      </w:r>
      <w:r w:rsidRPr="00E6375F">
        <w:rPr>
          <w:sz w:val="18"/>
          <w:szCs w:val="18"/>
        </w:rPr>
        <w:t xml:space="preserve">Glasgow Declaration 2014 | Alzheimer Europe, </w:t>
      </w:r>
      <w:hyperlink r:id="rId1" w:history="1">
        <w:r w:rsidRPr="00AD65CD">
          <w:rPr>
            <w:rStyle w:val="Hiperpovezava"/>
            <w:sz w:val="18"/>
            <w:szCs w:val="18"/>
          </w:rPr>
          <w:t>https://www.alzheimer-europe.org/policy/campaign/glasgow-declaration-2014</w:t>
        </w:r>
      </w:hyperlink>
      <w:r>
        <w:rPr>
          <w:sz w:val="18"/>
          <w:szCs w:val="18"/>
        </w:rPr>
        <w:t xml:space="preserve"> je bila sprejeta </w:t>
      </w:r>
      <w:r w:rsidRPr="00C1155B">
        <w:rPr>
          <w:sz w:val="18"/>
          <w:szCs w:val="18"/>
        </w:rPr>
        <w:t>20. oktobra 2014</w:t>
      </w:r>
      <w:r>
        <w:rPr>
          <w:sz w:val="18"/>
          <w:szCs w:val="18"/>
        </w:rPr>
        <w:t xml:space="preserve"> v sodelovanju s</w:t>
      </w:r>
      <w:r w:rsidRPr="00C1155B">
        <w:rPr>
          <w:sz w:val="18"/>
          <w:szCs w:val="18"/>
        </w:rPr>
        <w:t xml:space="preserve"> delegati 26 članic Alzheimer Europe</w:t>
      </w:r>
      <w:r>
        <w:rPr>
          <w:sz w:val="18"/>
          <w:szCs w:val="18"/>
        </w:rPr>
        <w:t xml:space="preserve">. </w:t>
      </w:r>
    </w:p>
  </w:footnote>
  <w:footnote w:id="6">
    <w:p w14:paraId="1F6471AD" w14:textId="77777777" w:rsidR="00885BD1" w:rsidRPr="0058600C" w:rsidRDefault="00885BD1" w:rsidP="00FB3AC2">
      <w:pPr>
        <w:pStyle w:val="Sprotnaopomba-besedilo"/>
        <w:jc w:val="both"/>
        <w:rPr>
          <w:sz w:val="18"/>
          <w:szCs w:val="18"/>
        </w:rPr>
      </w:pPr>
      <w:r w:rsidRPr="0058600C">
        <w:rPr>
          <w:rStyle w:val="Sprotnaopomba-sklic"/>
          <w:sz w:val="18"/>
          <w:szCs w:val="18"/>
        </w:rPr>
        <w:footnoteRef/>
      </w:r>
      <w:r w:rsidRPr="0058600C">
        <w:rPr>
          <w:sz w:val="18"/>
          <w:szCs w:val="18"/>
        </w:rPr>
        <w:t xml:space="preserve"> Loy CT, Schofield PR, Turner AM, Kwok JBJ. Genetics of dementia. Lancet. 2014;383(9919):828-40. doi:http://dx.doi.org/10.1016/ S0140-6736(13)60630-3</w:t>
      </w:r>
    </w:p>
  </w:footnote>
  <w:footnote w:id="7">
    <w:p w14:paraId="208769AE" w14:textId="210030E1" w:rsidR="00885BD1" w:rsidRPr="005304A9" w:rsidRDefault="00885BD1" w:rsidP="00FB3AC2">
      <w:pPr>
        <w:pStyle w:val="Sprotnaopomba-besedilo"/>
        <w:jc w:val="both"/>
        <w:rPr>
          <w:sz w:val="18"/>
          <w:szCs w:val="18"/>
          <w:lang w:val="sl-SI"/>
        </w:rPr>
      </w:pPr>
      <w:r w:rsidRPr="00E20F95">
        <w:rPr>
          <w:rStyle w:val="Sprotnaopomba-sklic"/>
          <w:sz w:val="18"/>
          <w:szCs w:val="18"/>
        </w:rPr>
        <w:footnoteRef/>
      </w:r>
      <w:r w:rsidRPr="00E20F95">
        <w:rPr>
          <w:sz w:val="18"/>
          <w:szCs w:val="18"/>
        </w:rPr>
        <w:t xml:space="preserve"> </w:t>
      </w:r>
      <w:r w:rsidRPr="00FB3AC2">
        <w:rPr>
          <w:sz w:val="18"/>
          <w:szCs w:val="18"/>
          <w:lang w:val="sl-SI"/>
        </w:rPr>
        <w:t>V Sloveniji je 1. januarja 2021 živelo 2.108.977 prebivalcev, od tega je 20,19 % prebivalcev starejših od 65 let in 5,44 % prebivalcev starejših od 80 let. Ocenjuje se, da bo do leta 2030 v Sloveniji živelo 2.079.967 prebivalcev, starejših od 65 let 25 % prebivalcev, starejših od 80 let pa 6,8 %. V naslednjih desetletjih se bo pomembno spremenila starostna sestava prebivalstva Slovenije.</w:t>
      </w:r>
    </w:p>
  </w:footnote>
  <w:footnote w:id="8">
    <w:p w14:paraId="3CA65E84" w14:textId="1022B8A0" w:rsidR="00885BD1" w:rsidRPr="007B711A" w:rsidRDefault="00885BD1" w:rsidP="00FB3AC2">
      <w:pPr>
        <w:pStyle w:val="Sprotnaopomba-besedilo"/>
        <w:jc w:val="both"/>
        <w:rPr>
          <w:sz w:val="18"/>
          <w:szCs w:val="18"/>
          <w:lang w:val="sl-SI"/>
        </w:rPr>
      </w:pPr>
      <w:r w:rsidRPr="005304A9">
        <w:rPr>
          <w:rStyle w:val="Sprotnaopomba-sklic"/>
          <w:sz w:val="18"/>
          <w:szCs w:val="18"/>
        </w:rPr>
        <w:footnoteRef/>
      </w:r>
      <w:r w:rsidRPr="005304A9">
        <w:rPr>
          <w:sz w:val="18"/>
          <w:szCs w:val="18"/>
          <w:lang w:val="sl-SI"/>
        </w:rPr>
        <w:t xml:space="preserve"> </w:t>
      </w:r>
      <w:r w:rsidRPr="00FB3AC2">
        <w:rPr>
          <w:sz w:val="18"/>
          <w:szCs w:val="18"/>
          <w:lang w:val="sl-SI"/>
        </w:rPr>
        <w:t>Enočlanskih gospodinjstev je bilo 292.301 kar pomeni vsako tretje (34 %) gospodinjstvo. Do starosti 63 let so prevladovala enočlanska gospodinjstva moških, od starosti 64 let naprej enočlanska ženska gospodinjstva. Ženske, ki so živele same, so bile stare povprečno 64,7 leta in so bile povprečno 13,4 leta starejše od moških v enočlanskih gospodinjstvih. Gospodinjstva in družine, Slovenija, 1. januar 2021, Statistični urad Republike Slovenije (e- dostop 14.1.2022) https://www</w:t>
      </w:r>
      <w:r w:rsidRPr="007B711A">
        <w:rPr>
          <w:sz w:val="18"/>
          <w:szCs w:val="18"/>
          <w:lang w:val="sl-SI"/>
        </w:rPr>
        <w:t>.stat.si/StatWeb/News/Index/9973</w:t>
      </w:r>
    </w:p>
  </w:footnote>
  <w:footnote w:id="9">
    <w:p w14:paraId="41F9F9A8" w14:textId="1804D7B0" w:rsidR="00885BD1" w:rsidRPr="00FB3AC2" w:rsidRDefault="00885BD1">
      <w:pPr>
        <w:pStyle w:val="Sprotnaopomba-besedilo"/>
        <w:rPr>
          <w:sz w:val="18"/>
          <w:szCs w:val="18"/>
          <w:lang w:val="sl-SI"/>
        </w:rPr>
      </w:pPr>
      <w:r w:rsidRPr="00FB3AC2">
        <w:rPr>
          <w:rStyle w:val="Sprotnaopomba-sklic"/>
          <w:sz w:val="18"/>
          <w:szCs w:val="18"/>
        </w:rPr>
        <w:footnoteRef/>
      </w:r>
      <w:r w:rsidRPr="00FB3AC2">
        <w:rPr>
          <w:sz w:val="18"/>
          <w:szCs w:val="18"/>
          <w:lang w:val="sl-SI"/>
        </w:rPr>
        <w:t xml:space="preserve"> https://www.stat.si/StatWeb/News/Index/9973 (e-dostop 14.1.2022)</w:t>
      </w:r>
    </w:p>
  </w:footnote>
  <w:footnote w:id="10">
    <w:p w14:paraId="33F5B95E" w14:textId="77777777" w:rsidR="00885BD1" w:rsidRPr="00AA303A" w:rsidRDefault="00885BD1" w:rsidP="00AA303A">
      <w:pPr>
        <w:pStyle w:val="Sprotnaopomba-besedilo"/>
        <w:jc w:val="both"/>
        <w:rPr>
          <w:sz w:val="18"/>
          <w:szCs w:val="18"/>
          <w:lang w:val="sl-SI"/>
        </w:rPr>
      </w:pPr>
      <w:r w:rsidRPr="001F25EB">
        <w:rPr>
          <w:rStyle w:val="Sprotnaopomba-sklic"/>
          <w:sz w:val="18"/>
          <w:szCs w:val="18"/>
        </w:rPr>
        <w:footnoteRef/>
      </w:r>
      <w:r w:rsidRPr="00AA303A">
        <w:rPr>
          <w:sz w:val="18"/>
          <w:szCs w:val="18"/>
          <w:lang w:val="sl-SI"/>
        </w:rPr>
        <w:t xml:space="preserve"> Vir: https://edemenca.si/kaksno-je-stanje-glede-demence-po-svetu-in-v-sloveniji</w:t>
      </w:r>
    </w:p>
  </w:footnote>
  <w:footnote w:id="11">
    <w:p w14:paraId="4784BF08" w14:textId="18D6FF5D" w:rsidR="00885BD1" w:rsidRPr="00835ADB" w:rsidRDefault="00885BD1" w:rsidP="003669FA">
      <w:pPr>
        <w:jc w:val="both"/>
        <w:rPr>
          <w:sz w:val="18"/>
          <w:szCs w:val="18"/>
        </w:rPr>
      </w:pPr>
      <w:r w:rsidRPr="001F25EB">
        <w:rPr>
          <w:rStyle w:val="Sprotnaopomba-sklic"/>
          <w:sz w:val="18"/>
          <w:szCs w:val="18"/>
        </w:rPr>
        <w:footnoteRef/>
      </w:r>
      <w:r w:rsidRPr="001F25EB">
        <w:rPr>
          <w:sz w:val="18"/>
          <w:szCs w:val="18"/>
        </w:rPr>
        <w:t xml:space="preserve"> </w:t>
      </w:r>
      <w:r w:rsidRPr="001F25EB">
        <w:rPr>
          <w:rFonts w:cs="Arial"/>
          <w:sz w:val="18"/>
          <w:szCs w:val="18"/>
          <w:lang w:val="sl-SI"/>
        </w:rPr>
        <w:t xml:space="preserve">Lancet Public Health 2022, Published Online, January 6, 2022 </w:t>
      </w:r>
      <w:hyperlink r:id="rId2" w:history="1">
        <w:r w:rsidRPr="00576152">
          <w:rPr>
            <w:rStyle w:val="Hiperpovezava"/>
            <w:rFonts w:cs="Arial"/>
            <w:sz w:val="18"/>
            <w:szCs w:val="18"/>
            <w:lang w:val="sl-SI"/>
          </w:rPr>
          <w:t>https://doi.org/10.1016/S2468-2667(21)00249-8</w:t>
        </w:r>
      </w:hyperlink>
      <w:r>
        <w:rPr>
          <w:rFonts w:cs="Arial"/>
          <w:sz w:val="18"/>
          <w:szCs w:val="18"/>
          <w:lang w:val="sl-SI"/>
        </w:rPr>
        <w:t xml:space="preserve">, </w:t>
      </w:r>
      <w:r w:rsidRPr="00452458">
        <w:rPr>
          <w:rFonts w:cs="Arial"/>
          <w:sz w:val="18"/>
          <w:szCs w:val="18"/>
          <w:lang w:val="sl-SI"/>
        </w:rPr>
        <w:t xml:space="preserve">podatki in projekcijami za 2050: ocenjujejo, da je v Sloveniji 43 038 (36 793 do 50 186) </w:t>
      </w:r>
      <w:r w:rsidRPr="00835ADB">
        <w:rPr>
          <w:rFonts w:cs="Arial"/>
          <w:sz w:val="18"/>
          <w:szCs w:val="18"/>
          <w:lang w:val="sl-SI"/>
        </w:rPr>
        <w:t>ljudi z demenco in v letu 2050 predvidevajo, da jih bo 84 735 (med 69 330 in 101 544).</w:t>
      </w:r>
    </w:p>
  </w:footnote>
  <w:footnote w:id="12">
    <w:p w14:paraId="4AA17DD5" w14:textId="77777777" w:rsidR="00885BD1" w:rsidRPr="00835ADB" w:rsidRDefault="00885BD1" w:rsidP="00AA303A">
      <w:pPr>
        <w:pStyle w:val="Sprotnaopomba-besedilo"/>
        <w:jc w:val="both"/>
        <w:rPr>
          <w:sz w:val="18"/>
          <w:szCs w:val="18"/>
          <w:lang w:val="it-IT"/>
        </w:rPr>
      </w:pPr>
      <w:r w:rsidRPr="00835ADB">
        <w:rPr>
          <w:rStyle w:val="Sprotnaopomba-sklic"/>
          <w:sz w:val="18"/>
          <w:szCs w:val="18"/>
        </w:rPr>
        <w:footnoteRef/>
      </w:r>
      <w:r w:rsidRPr="00835ADB">
        <w:rPr>
          <w:sz w:val="18"/>
          <w:szCs w:val="18"/>
          <w:lang w:val="it-IT"/>
        </w:rPr>
        <w:t xml:space="preserve"> </w:t>
      </w:r>
      <w:r w:rsidRPr="00835ADB">
        <w:rPr>
          <w:rFonts w:cs="Arial"/>
          <w:sz w:val="18"/>
          <w:szCs w:val="18"/>
          <w:lang w:val="sl-SI"/>
        </w:rPr>
        <w:t>Nacionalna raziskava poročilo za Slovenijo, 2015</w:t>
      </w:r>
    </w:p>
  </w:footnote>
  <w:footnote w:id="13">
    <w:p w14:paraId="1608C34A" w14:textId="1E026F07" w:rsidR="00885BD1" w:rsidRPr="00C82654" w:rsidRDefault="00885BD1">
      <w:pPr>
        <w:pStyle w:val="Sprotnaopomba-besedilo"/>
        <w:rPr>
          <w:sz w:val="18"/>
          <w:szCs w:val="18"/>
          <w:lang w:val="it-IT"/>
        </w:rPr>
      </w:pPr>
      <w:r w:rsidRPr="001949D7">
        <w:rPr>
          <w:rStyle w:val="Sprotnaopomba-sklic"/>
          <w:sz w:val="18"/>
          <w:szCs w:val="18"/>
        </w:rPr>
        <w:footnoteRef/>
      </w:r>
      <w:r w:rsidRPr="00C82654">
        <w:rPr>
          <w:sz w:val="18"/>
          <w:szCs w:val="18"/>
          <w:lang w:val="it-IT"/>
        </w:rPr>
        <w:t xml:space="preserve"> Glavno priporočilo Alzheimer Europe (AE) in Alzheimer's Disease International (ADI) je osveščanje, kar bo pripomoglo k pravočasni obravnavi in pravočasni ureditvi dostopa do storitev.</w:t>
      </w:r>
    </w:p>
  </w:footnote>
  <w:footnote w:id="14">
    <w:p w14:paraId="5A35C68E" w14:textId="3598EE4F" w:rsidR="00885BD1" w:rsidRPr="004E577C" w:rsidRDefault="00885BD1">
      <w:pPr>
        <w:pStyle w:val="Sprotnaopomba-besedilo"/>
        <w:rPr>
          <w:sz w:val="18"/>
          <w:szCs w:val="18"/>
          <w:lang w:val="it-IT"/>
        </w:rPr>
      </w:pPr>
      <w:r w:rsidRPr="00F445E4">
        <w:rPr>
          <w:rStyle w:val="Sprotnaopomba-sklic"/>
          <w:sz w:val="18"/>
          <w:szCs w:val="18"/>
        </w:rPr>
        <w:footnoteRef/>
      </w:r>
      <w:r w:rsidRPr="004E577C">
        <w:rPr>
          <w:sz w:val="18"/>
          <w:szCs w:val="18"/>
          <w:lang w:val="it-IT"/>
        </w:rPr>
        <w:t xml:space="preserve"> Zakonom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in 196/21 – ZDOsk; v nadaljnjem besedilu: ZZVZZ)</w:t>
      </w:r>
    </w:p>
  </w:footnote>
  <w:footnote w:id="15">
    <w:p w14:paraId="4EE54F12" w14:textId="1AFF8817" w:rsidR="00885BD1" w:rsidRPr="004E577C" w:rsidRDefault="00885BD1">
      <w:pPr>
        <w:pStyle w:val="Sprotnaopomba-besedilo"/>
        <w:rPr>
          <w:sz w:val="18"/>
          <w:szCs w:val="18"/>
          <w:lang w:val="it-IT"/>
        </w:rPr>
      </w:pPr>
      <w:r w:rsidRPr="00F445E4">
        <w:rPr>
          <w:rStyle w:val="Sprotnaopomba-sklic"/>
          <w:sz w:val="18"/>
          <w:szCs w:val="18"/>
        </w:rPr>
        <w:footnoteRef/>
      </w:r>
      <w:r w:rsidRPr="004E577C">
        <w:rPr>
          <w:sz w:val="18"/>
          <w:szCs w:val="18"/>
          <w:lang w:val="it-IT"/>
        </w:rPr>
        <w:t xml:space="preserve"> Resolucija o nacionalnem programu duševnega zdravja 2018−2028 (Uradni list RS, št. 24/18)</w:t>
      </w:r>
    </w:p>
  </w:footnote>
  <w:footnote w:id="16">
    <w:p w14:paraId="27F0D1C9" w14:textId="0376D8BB" w:rsidR="00885BD1" w:rsidRPr="004E577C" w:rsidRDefault="00885BD1">
      <w:pPr>
        <w:pStyle w:val="Sprotnaopomba-besedilo"/>
        <w:rPr>
          <w:sz w:val="18"/>
          <w:szCs w:val="18"/>
          <w:lang w:val="it-IT"/>
        </w:rPr>
      </w:pPr>
      <w:r w:rsidRPr="00F445E4">
        <w:rPr>
          <w:rStyle w:val="Sprotnaopomba-sklic"/>
          <w:sz w:val="18"/>
          <w:szCs w:val="18"/>
        </w:rPr>
        <w:footnoteRef/>
      </w:r>
      <w:r w:rsidRPr="004E577C">
        <w:rPr>
          <w:sz w:val="18"/>
          <w:szCs w:val="18"/>
          <w:lang w:val="it-IT"/>
        </w:rPr>
        <w:t xml:space="preserve"> Resolucija o nacionalnem planu zdravstvenega varstva 2016–2025 »Skupaj za družbo zdravja« (Uradni list RS, št. 25/16)</w:t>
      </w:r>
    </w:p>
  </w:footnote>
  <w:footnote w:id="17">
    <w:p w14:paraId="3AEBE8F9" w14:textId="32F824DF" w:rsidR="00885BD1" w:rsidRPr="002A7A07" w:rsidRDefault="00885BD1">
      <w:pPr>
        <w:pStyle w:val="Sprotnaopomba-besedilo"/>
        <w:rPr>
          <w:sz w:val="18"/>
          <w:szCs w:val="18"/>
          <w:lang w:val="it-IT"/>
        </w:rPr>
      </w:pPr>
      <w:r w:rsidRPr="002A7A07">
        <w:rPr>
          <w:rStyle w:val="Sprotnaopomba-sklic"/>
          <w:sz w:val="18"/>
          <w:szCs w:val="18"/>
        </w:rPr>
        <w:footnoteRef/>
      </w:r>
      <w:r w:rsidRPr="002A7A07">
        <w:rPr>
          <w:sz w:val="18"/>
          <w:szCs w:val="18"/>
          <w:lang w:val="it-IT"/>
        </w:rPr>
        <w:t xml:space="preserve"> </w:t>
      </w:r>
      <w:r w:rsidR="00FA6402" w:rsidRPr="00FA6402">
        <w:rPr>
          <w:sz w:val="18"/>
          <w:szCs w:val="18"/>
          <w:lang w:val="it-IT"/>
        </w:rPr>
        <w:t>Resolucija o nacionalnem programu socialnega varstva za obdobje 2022–2030 (ReNPSV 22-30, Uradni list RS, št. 49/22)</w:t>
      </w:r>
    </w:p>
  </w:footnote>
  <w:footnote w:id="18">
    <w:p w14:paraId="757CA718" w14:textId="42503FC2" w:rsidR="00885BD1" w:rsidRPr="002A7A07" w:rsidRDefault="00885BD1">
      <w:pPr>
        <w:pStyle w:val="Sprotnaopomba-besedilo"/>
        <w:rPr>
          <w:lang w:val="it-IT"/>
        </w:rPr>
      </w:pPr>
      <w:r w:rsidRPr="002A7A07">
        <w:rPr>
          <w:rStyle w:val="Sprotnaopomba-sklic"/>
          <w:sz w:val="18"/>
          <w:szCs w:val="18"/>
        </w:rPr>
        <w:footnoteRef/>
      </w:r>
      <w:r w:rsidRPr="002A7A07">
        <w:rPr>
          <w:sz w:val="18"/>
          <w:szCs w:val="18"/>
          <w:lang w:val="it-IT"/>
        </w:rPr>
        <w:t xml:space="preserve"> Zakon o ratifikaciji Konvencije o pravicah invalidov in Izbirnega protokola h Konvenciji o pravicah invalidov</w:t>
      </w:r>
      <w:r>
        <w:rPr>
          <w:sz w:val="18"/>
          <w:szCs w:val="18"/>
          <w:lang w:val="it-IT"/>
        </w:rPr>
        <w:t xml:space="preserve">, </w:t>
      </w:r>
      <w:r w:rsidRPr="002A7A07">
        <w:rPr>
          <w:sz w:val="18"/>
          <w:szCs w:val="18"/>
          <w:lang w:val="it-IT"/>
        </w:rPr>
        <w:t>Uradni list RS – Mednarodne pogodbe, št. 10/08</w:t>
      </w:r>
      <w:r>
        <w:rPr>
          <w:sz w:val="18"/>
          <w:szCs w:val="18"/>
          <w:lang w:val="it-IT"/>
        </w:rPr>
        <w:t>.</w:t>
      </w:r>
    </w:p>
  </w:footnote>
  <w:footnote w:id="19">
    <w:p w14:paraId="612CD0B0" w14:textId="70E26A68" w:rsidR="00885BD1" w:rsidRPr="00EE3C46" w:rsidRDefault="00885BD1">
      <w:pPr>
        <w:pStyle w:val="Sprotnaopomba-besedilo"/>
        <w:rPr>
          <w:sz w:val="18"/>
          <w:szCs w:val="18"/>
        </w:rPr>
      </w:pPr>
      <w:r>
        <w:rPr>
          <w:rStyle w:val="Sprotnaopomba-sklic"/>
        </w:rPr>
        <w:footnoteRef/>
      </w:r>
      <w:r w:rsidRPr="00EE3C46">
        <w:t xml:space="preserve"> </w:t>
      </w:r>
      <w:r w:rsidRPr="00EE3C46">
        <w:rPr>
          <w:sz w:val="18"/>
          <w:szCs w:val="18"/>
        </w:rPr>
        <w:t>Global Dementia Observatory, WHO</w:t>
      </w:r>
    </w:p>
  </w:footnote>
  <w:footnote w:id="20">
    <w:p w14:paraId="199FE3BF" w14:textId="5B9978F2" w:rsidR="00885BD1" w:rsidRPr="00EE3C46" w:rsidRDefault="00885BD1">
      <w:pPr>
        <w:pStyle w:val="Sprotnaopomba-besedilo"/>
        <w:rPr>
          <w:sz w:val="18"/>
          <w:szCs w:val="18"/>
          <w:lang w:val="sl-SI"/>
        </w:rPr>
      </w:pPr>
      <w:r>
        <w:rPr>
          <w:rStyle w:val="Sprotnaopomba-sklic"/>
        </w:rPr>
        <w:footnoteRef/>
      </w:r>
      <w:r>
        <w:t xml:space="preserve"> </w:t>
      </w:r>
      <w:r w:rsidRPr="00EE3C46">
        <w:rPr>
          <w:sz w:val="18"/>
          <w:szCs w:val="18"/>
        </w:rPr>
        <w:t>Global action plan on the public health response to dementia 2017-2025, WHO</w:t>
      </w:r>
    </w:p>
  </w:footnote>
  <w:footnote w:id="21">
    <w:p w14:paraId="5DB789E8" w14:textId="2A5E7BAC" w:rsidR="00885BD1" w:rsidRPr="006C2D1F" w:rsidRDefault="00885BD1">
      <w:pPr>
        <w:pStyle w:val="Sprotnaopomba-besedilo"/>
        <w:rPr>
          <w:lang w:val="sl-SI"/>
        </w:rPr>
      </w:pPr>
      <w:r>
        <w:rPr>
          <w:rStyle w:val="Sprotnaopomba-sklic"/>
        </w:rPr>
        <w:footnoteRef/>
      </w:r>
      <w:r w:rsidRPr="006C2D1F">
        <w:rPr>
          <w:lang w:val="sl-SI"/>
        </w:rPr>
        <w:t xml:space="preserve"> </w:t>
      </w:r>
      <w:bookmarkStart w:id="22" w:name="_Hlk94685725"/>
      <w:r w:rsidRPr="00481F49">
        <w:rPr>
          <w:rFonts w:cs="Arial"/>
          <w:sz w:val="18"/>
          <w:szCs w:val="18"/>
          <w:lang w:val="sl-SI"/>
        </w:rPr>
        <w:t>Resolucija o nacionalnem programu socialnega varstva za obdobje   2013-2020</w:t>
      </w:r>
      <w:r>
        <w:rPr>
          <w:rFonts w:cs="Arial"/>
          <w:sz w:val="18"/>
          <w:szCs w:val="18"/>
          <w:lang w:val="sl-SI"/>
        </w:rPr>
        <w:t xml:space="preserve"> </w:t>
      </w:r>
      <w:r w:rsidRPr="00481F49">
        <w:rPr>
          <w:rFonts w:cs="Arial"/>
          <w:sz w:val="18"/>
          <w:szCs w:val="18"/>
          <w:lang w:val="sl-SI"/>
        </w:rPr>
        <w:t>(ReNPSV13–20)</w:t>
      </w:r>
      <w:r>
        <w:rPr>
          <w:rFonts w:cs="Arial"/>
          <w:sz w:val="18"/>
          <w:szCs w:val="18"/>
          <w:lang w:val="sl-SI"/>
        </w:rPr>
        <w:t xml:space="preserve">, </w:t>
      </w:r>
      <w:r w:rsidRPr="00481F49">
        <w:rPr>
          <w:rFonts w:cs="Arial"/>
          <w:sz w:val="18"/>
          <w:szCs w:val="18"/>
          <w:lang w:val="sl-SI"/>
        </w:rPr>
        <w:t>Uradni list RS, št. 39/13</w:t>
      </w:r>
      <w:r>
        <w:rPr>
          <w:rFonts w:cs="Arial"/>
          <w:sz w:val="18"/>
          <w:szCs w:val="18"/>
          <w:lang w:val="sl-SI"/>
        </w:rPr>
        <w:t>.</w:t>
      </w:r>
      <w:bookmarkEnd w:id="22"/>
    </w:p>
  </w:footnote>
  <w:footnote w:id="22">
    <w:p w14:paraId="145ED6F4" w14:textId="3042574B" w:rsidR="009200C4" w:rsidRPr="009200C4" w:rsidRDefault="009200C4">
      <w:pPr>
        <w:pStyle w:val="Sprotnaopomba-besedilo"/>
      </w:pPr>
      <w:r>
        <w:rPr>
          <w:rStyle w:val="Sprotnaopomba-sklic"/>
        </w:rPr>
        <w:footnoteRef/>
      </w:r>
      <w:r w:rsidRPr="009200C4">
        <w:t>Intercultural dementia care for health and social care providers: a guide (Alzheimer Europe, 2020), Policy briefing on intercultural care and support for people with dementia and their informal carers/supporters (Alzheimer Europe, 2020)</w:t>
      </w:r>
      <w:r>
        <w:t xml:space="preserve"> </w:t>
      </w:r>
    </w:p>
  </w:footnote>
  <w:footnote w:id="23">
    <w:p w14:paraId="42DA2EB5" w14:textId="4E090FD1" w:rsidR="00885BD1" w:rsidRPr="002054CD" w:rsidRDefault="00885BD1">
      <w:pPr>
        <w:pStyle w:val="Sprotnaopomba-besedilo"/>
        <w:rPr>
          <w:sz w:val="18"/>
          <w:szCs w:val="18"/>
          <w:lang w:val="sl-SI"/>
        </w:rPr>
      </w:pPr>
      <w:r>
        <w:rPr>
          <w:rStyle w:val="Sprotnaopomba-sklic"/>
        </w:rPr>
        <w:footnoteRef/>
      </w:r>
      <w:r>
        <w:t xml:space="preserve"> </w:t>
      </w:r>
      <w:r w:rsidRPr="002054CD">
        <w:rPr>
          <w:sz w:val="18"/>
          <w:szCs w:val="18"/>
        </w:rPr>
        <w:t xml:space="preserve">CDC. </w:t>
      </w:r>
      <w:r w:rsidRPr="002054CD">
        <w:rPr>
          <w:sz w:val="18"/>
          <w:szCs w:val="18"/>
          <w:lang w:val="sl-SI"/>
        </w:rPr>
        <w:t>Updated Guidelines for Evaluating Public Health Surveillance Systems. MMWR 2001;50 (No RR-13)</w:t>
      </w:r>
    </w:p>
  </w:footnote>
  <w:footnote w:id="24">
    <w:p w14:paraId="225BCC86" w14:textId="0DD411E7" w:rsidR="00885BD1" w:rsidRPr="0058600C" w:rsidRDefault="00885BD1">
      <w:pPr>
        <w:pStyle w:val="Sprotnaopomba-besedilo"/>
        <w:rPr>
          <w:lang w:val="sl-SI"/>
        </w:rPr>
      </w:pPr>
      <w:r w:rsidRPr="0058600C">
        <w:rPr>
          <w:rStyle w:val="Sprotnaopomba-sklic"/>
          <w:sz w:val="18"/>
          <w:szCs w:val="18"/>
          <w:lang w:val="sl-SI"/>
        </w:rPr>
        <w:footnoteRef/>
      </w:r>
      <w:r w:rsidRPr="0058600C">
        <w:rPr>
          <w:sz w:val="18"/>
          <w:szCs w:val="18"/>
          <w:lang w:val="sl-SI"/>
        </w:rPr>
        <w:t xml:space="preserve"> </w:t>
      </w:r>
      <w:bookmarkStart w:id="32" w:name="_Hlk93041707"/>
      <w:r w:rsidRPr="0058600C">
        <w:rPr>
          <w:sz w:val="18"/>
          <w:szCs w:val="18"/>
          <w:lang w:val="sl-SI"/>
        </w:rPr>
        <w:t>Zakon o zbirkah podatkov s področja zdravstvenega varstva (ZZPPZ). Uradni list RS, št. 65/00, 47/15, 31/18 in 152/20 – ZZUOOP</w:t>
      </w:r>
      <w:bookmarkEnd w:id="32"/>
      <w:r w:rsidRPr="0058600C">
        <w:rPr>
          <w:sz w:val="18"/>
          <w:szCs w:val="18"/>
          <w:lang w:val="sl-SI"/>
        </w:rPr>
        <w:t>.</w:t>
      </w:r>
    </w:p>
  </w:footnote>
  <w:footnote w:id="25">
    <w:p w14:paraId="00DA48E2" w14:textId="33917F7A" w:rsidR="00947ADB" w:rsidRPr="002A7BD1" w:rsidRDefault="00947ADB" w:rsidP="00947ADB">
      <w:pPr>
        <w:pStyle w:val="Sprotnaopomba-besedilo"/>
        <w:jc w:val="both"/>
        <w:rPr>
          <w:sz w:val="18"/>
          <w:szCs w:val="18"/>
          <w:lang w:val="sl-SI"/>
        </w:rPr>
      </w:pPr>
      <w:r>
        <w:rPr>
          <w:rStyle w:val="Sprotnaopomba-sklic"/>
        </w:rPr>
        <w:footnoteRef/>
      </w:r>
      <w:r w:rsidRPr="00947ADB">
        <w:rPr>
          <w:lang w:val="sl-SI"/>
        </w:rPr>
        <w:t xml:space="preserve"> </w:t>
      </w:r>
      <w:r w:rsidRPr="00947ADB">
        <w:rPr>
          <w:sz w:val="18"/>
          <w:szCs w:val="18"/>
          <w:lang w:val="sl-SI"/>
        </w:rPr>
        <w:t xml:space="preserve">V letu 2019 so patronažne medicinske sestre obravnavale 1.570 varovancev z duševnimi in vedenjskimi motnjami (F00-F99), kar predstavlja 2,7% deleža obiskov in 1.612 bolnikov vodenih pod bolezni živčevja (G00-G99), kar predstavlja 2,7% deleža obiskov (e-vir Zdravstveni statistični letopis Slovenije, </w:t>
      </w:r>
      <w:r w:rsidRPr="002A7BD1">
        <w:rPr>
          <w:sz w:val="18"/>
          <w:szCs w:val="18"/>
          <w:lang w:val="sl-SI"/>
        </w:rPr>
        <w:t>2019</w:t>
      </w:r>
      <w:r w:rsidR="002A7BD1">
        <w:rPr>
          <w:sz w:val="18"/>
          <w:szCs w:val="18"/>
          <w:lang w:val="sl-SI"/>
        </w:rPr>
        <w:t xml:space="preserve">. </w:t>
      </w:r>
      <w:hyperlink r:id="rId3" w:history="1">
        <w:r w:rsidRPr="002A7BD1">
          <w:rPr>
            <w:rStyle w:val="Hiperpovezava"/>
            <w:sz w:val="18"/>
            <w:szCs w:val="18"/>
            <w:lang w:val="sl-SI"/>
          </w:rPr>
          <w:t>https://www.nijz.si/sl/nijz/revije/zdravstveni-statisticni-letopis-slovenije</w:t>
        </w:r>
      </w:hyperlink>
      <w:r w:rsidRPr="002A7BD1">
        <w:rPr>
          <w:sz w:val="18"/>
          <w:szCs w:val="18"/>
          <w:lang w:val="sl-SI"/>
        </w:rPr>
        <w:t xml:space="preserve"> (dostop 14.</w:t>
      </w:r>
      <w:r w:rsidR="00A33072" w:rsidRPr="002A7BD1">
        <w:rPr>
          <w:sz w:val="18"/>
          <w:szCs w:val="18"/>
          <w:lang w:val="sl-SI"/>
        </w:rPr>
        <w:t xml:space="preserve"> </w:t>
      </w:r>
      <w:r w:rsidRPr="002A7BD1">
        <w:rPr>
          <w:sz w:val="18"/>
          <w:szCs w:val="18"/>
          <w:lang w:val="sl-SI"/>
        </w:rPr>
        <w:t>1.</w:t>
      </w:r>
      <w:r w:rsidR="00A33072" w:rsidRPr="002A7BD1">
        <w:rPr>
          <w:sz w:val="18"/>
          <w:szCs w:val="18"/>
          <w:lang w:val="sl-SI"/>
        </w:rPr>
        <w:t xml:space="preserve"> </w:t>
      </w:r>
      <w:r w:rsidRPr="002A7BD1">
        <w:rPr>
          <w:sz w:val="18"/>
          <w:szCs w:val="18"/>
          <w:lang w:val="sl-SI"/>
        </w:rPr>
        <w:t>2022)</w:t>
      </w:r>
    </w:p>
  </w:footnote>
  <w:footnote w:id="26">
    <w:p w14:paraId="379BB8CA" w14:textId="29F9A2F1" w:rsidR="00326FDC" w:rsidRPr="00326FDC" w:rsidRDefault="00326FDC" w:rsidP="00326FDC">
      <w:pPr>
        <w:pStyle w:val="Sprotnaopomba-besedilo"/>
        <w:jc w:val="both"/>
        <w:rPr>
          <w:sz w:val="18"/>
          <w:szCs w:val="18"/>
          <w:lang w:val="sl-SI"/>
        </w:rPr>
      </w:pPr>
      <w:r w:rsidRPr="00326FDC">
        <w:rPr>
          <w:rStyle w:val="Sprotnaopomba-sklic"/>
          <w:sz w:val="18"/>
          <w:szCs w:val="18"/>
        </w:rPr>
        <w:footnoteRef/>
      </w:r>
      <w:r w:rsidRPr="00326FDC">
        <w:rPr>
          <w:sz w:val="18"/>
          <w:szCs w:val="18"/>
          <w:lang w:val="sl-SI"/>
        </w:rPr>
        <w:t xml:space="preserve"> Sindrom demence je v cca. osemdesetih odstotkih primerov posledica nevrodegenerativne bolezni možganov, v ostalih primerih pa gre za potencialno reverzibilno stanje druge etiologije. Klinični znaki bolezni, ki vodi v sindrom demence so raznoliki, njihovo prepoznavanje in interpretacija pa zahteva usmerjeno in poglobljeno znanje s področja nevroanatomije in nevropatologije, genetike, idr., ki ga specialist nevrolog in/ali psihiater ustrezno umesti v kontekst posameznikove klinične slike, individualnih značilnosti in pridruženih bolezni. Tudi etiološko razlikovanje med posameznimi tipi demence je marsikdaj težavno, še posebno v začetnih stadijih kognitivnega upada (subjektivna kognitivna pritožba in blaga kognitivna motnja) in v začetnem stadiju demence. V zgodnji fazi bolezni je potrebna poglobljena nevrološka in/ali psihiatrična diagnostična obravnava in spremljanje, tako z vidika opredelitve diagnoze, prognoze kot tudi vpliva na </w:t>
      </w:r>
      <w:r w:rsidR="00F22F09">
        <w:rPr>
          <w:sz w:val="18"/>
          <w:szCs w:val="18"/>
          <w:lang w:val="sl-SI"/>
        </w:rPr>
        <w:t>kakovost</w:t>
      </w:r>
      <w:r w:rsidRPr="00326FDC">
        <w:rPr>
          <w:sz w:val="18"/>
          <w:szCs w:val="18"/>
          <w:lang w:val="sl-SI"/>
        </w:rPr>
        <w:t xml:space="preserve"> življenja posameznika, njegove družine in predvsem ekonomskega in socialnega bremena na  družbo kot celoto.</w:t>
      </w:r>
    </w:p>
  </w:footnote>
  <w:footnote w:id="27">
    <w:p w14:paraId="69863EA9" w14:textId="140C6671" w:rsidR="00326FDC" w:rsidRPr="00326FDC" w:rsidRDefault="00326FDC" w:rsidP="00326FDC">
      <w:pPr>
        <w:pStyle w:val="Sprotnaopomba-besedilo"/>
        <w:jc w:val="both"/>
        <w:rPr>
          <w:sz w:val="18"/>
          <w:szCs w:val="18"/>
          <w:lang w:val="sl-SI"/>
        </w:rPr>
      </w:pPr>
      <w:r w:rsidRPr="00326FDC">
        <w:rPr>
          <w:rStyle w:val="Sprotnaopomba-sklic"/>
          <w:sz w:val="18"/>
          <w:szCs w:val="18"/>
        </w:rPr>
        <w:footnoteRef/>
      </w:r>
      <w:r w:rsidRPr="00326FDC">
        <w:rPr>
          <w:sz w:val="18"/>
          <w:szCs w:val="18"/>
          <w:lang w:val="sl-SI"/>
        </w:rPr>
        <w:t xml:space="preserve"> Osnovna dejavnost centra je specialistična sekundarna in terciarna timska obravnava bolnikov z zgodnjimi fazami kognitivnega upada, ki še ne dosegajo stopnje demence in  z demencami, ki so atipične, reverzibilne, hitro potekajoče in/ali ki se javljajo pri mlajših bolnikih ali so pridružene drugim nevrološkim (predvsem nevrodegenerativnimi) obolenjem.</w:t>
      </w:r>
    </w:p>
  </w:footnote>
  <w:footnote w:id="28">
    <w:p w14:paraId="4D77D5AB" w14:textId="55F11A54" w:rsidR="00326FDC" w:rsidRDefault="00326FDC" w:rsidP="00326FDC">
      <w:pPr>
        <w:pStyle w:val="Sprotnaopomba-besedilo"/>
        <w:jc w:val="both"/>
        <w:rPr>
          <w:sz w:val="18"/>
          <w:szCs w:val="18"/>
          <w:lang w:val="sl-SI"/>
        </w:rPr>
      </w:pPr>
      <w:r w:rsidRPr="00326FDC">
        <w:rPr>
          <w:rStyle w:val="Sprotnaopomba-sklic"/>
          <w:sz w:val="18"/>
          <w:szCs w:val="18"/>
        </w:rPr>
        <w:footnoteRef/>
      </w:r>
      <w:r w:rsidRPr="00326FDC">
        <w:rPr>
          <w:sz w:val="18"/>
          <w:szCs w:val="18"/>
          <w:lang w:val="sl-SI"/>
        </w:rPr>
        <w:t xml:space="preserve"> Gre za rutinski multidisciplinarni način dela (nevrologi, psihiatri, klinični psihologi, nevroradiolog, specializirana diplomirana medicinska sestra, socialni delavec, klinični logoped, delovni terapevt, fizioterapevt). V likvorskem laboratoriju na Kliničnem oddelku za bolezni živčevja Nevrološke klinike UKC Ljubljana je vzpostavljena standardizirana in na evropskem nivoju harmonizirana analiza likvorskih biomarkerjev demence in rutinska uporaba funkcijskih in naprednih strukturnih slikovnih metod v diagnostiki demenc v okviru UKC Ljubljana. Likvorsko analizo biomarkerjev demence in osnovne ter nekatere napredne metode slikanja možganov se izvajajo tudi v okviru subspecialne nevrološke kognitivne ambulantne in hospitalne obravnave v UKC Maribor.</w:t>
      </w:r>
    </w:p>
    <w:p w14:paraId="322F8C86" w14:textId="68E02555" w:rsidR="00DF468B" w:rsidRPr="00F554ED" w:rsidRDefault="00DF468B" w:rsidP="00F554ED">
      <w:pPr>
        <w:pStyle w:val="Sprotnaopomba-besedilo"/>
        <w:jc w:val="both"/>
        <w:rPr>
          <w:sz w:val="18"/>
          <w:szCs w:val="18"/>
          <w:lang w:val="sl-SI"/>
        </w:rPr>
      </w:pPr>
      <w:r w:rsidRPr="00DF468B">
        <w:rPr>
          <w:sz w:val="18"/>
          <w:szCs w:val="18"/>
          <w:lang w:val="sl-SI"/>
        </w:rPr>
        <w:t>V okviru slovenske nevrološke stroke je za bolnike s kognitivnimi motnjami kadrovska multidisciplinarna sestava zaenkrat zagotovljena in financirana le v CKM v UKC Ljubljana in žal le v zelo majhnem deležu (2 specialista nevrologa, 1 specialist psihiater, 1 diplomirana medicinska sestra, 1 klinični psiholog, 1 administrativni delavec) v celoti posvečena delu z bolniki s kognitivnimi motnjami. Delovne naloge in obveznosti večine članov multidisciplinarnega tima zapolnjujejo delovne obveznosti na drugih področjih rutinskega in specialističnega nevrološkega dela.</w:t>
      </w:r>
    </w:p>
  </w:footnote>
  <w:footnote w:id="29">
    <w:p w14:paraId="5EE20071" w14:textId="765AD451" w:rsidR="00B75357" w:rsidRPr="005F1B11" w:rsidRDefault="00B75357" w:rsidP="005F1B11">
      <w:pPr>
        <w:pStyle w:val="Sprotnaopomba-besedilo"/>
        <w:jc w:val="both"/>
        <w:rPr>
          <w:sz w:val="18"/>
          <w:szCs w:val="18"/>
          <w:lang w:val="sl-SI"/>
        </w:rPr>
      </w:pPr>
      <w:r>
        <w:rPr>
          <w:rStyle w:val="Sprotnaopomba-sklic"/>
        </w:rPr>
        <w:footnoteRef/>
      </w:r>
      <w:r w:rsidRPr="00B75357">
        <w:rPr>
          <w:lang w:val="sl-SI"/>
        </w:rPr>
        <w:t xml:space="preserve"> </w:t>
      </w:r>
      <w:r w:rsidRPr="005F1B11">
        <w:rPr>
          <w:sz w:val="18"/>
          <w:szCs w:val="18"/>
          <w:lang w:val="sl-SI"/>
        </w:rPr>
        <w:t>V socialnovarstvenih institucijah je bilo v letu 2020 zaposlenih 3671 zdravstvenih delavcev za izvajanje zdravstvene dejavnosti, ki je v letu 2018 skrbelo za 21.969 oseb (19.296 oseb v DSO, 1560 oseb v posebnih zavodih za odrasle in 1113 oseb v delovno varstvenih centrih (MDDSZ)</w:t>
      </w:r>
    </w:p>
  </w:footnote>
  <w:footnote w:id="30">
    <w:p w14:paraId="62A4FD78" w14:textId="415CA3AB" w:rsidR="00885BD1" w:rsidRPr="00C55468" w:rsidRDefault="00885BD1" w:rsidP="005F1B11">
      <w:pPr>
        <w:pStyle w:val="Sprotnaopomba-besedilo"/>
        <w:jc w:val="both"/>
        <w:rPr>
          <w:sz w:val="18"/>
          <w:szCs w:val="18"/>
          <w:lang w:val="sl-SI"/>
        </w:rPr>
      </w:pPr>
      <w:r w:rsidRPr="005F1B11">
        <w:rPr>
          <w:rStyle w:val="Sprotnaopomba-sklic"/>
          <w:sz w:val="18"/>
          <w:szCs w:val="18"/>
        </w:rPr>
        <w:footnoteRef/>
      </w:r>
      <w:r w:rsidRPr="005F1B11">
        <w:rPr>
          <w:sz w:val="18"/>
          <w:szCs w:val="18"/>
          <w:lang w:val="sl-SI"/>
        </w:rPr>
        <w:t xml:space="preserve"> V DSO je bilo konec leta 2020 zaposlenih 13.033 delavcev, za socialnovarstvene storitve 6.757, za</w:t>
      </w:r>
      <w:r w:rsidRPr="00C55468">
        <w:rPr>
          <w:sz w:val="18"/>
          <w:szCs w:val="18"/>
          <w:lang w:val="sl-SI"/>
        </w:rPr>
        <w:t xml:space="preserve"> zdravstveno varstvene storitve 5.575, za druge dejavnosti pa 701 delavcev.</w:t>
      </w:r>
    </w:p>
  </w:footnote>
  <w:footnote w:id="31">
    <w:p w14:paraId="0E3C3740" w14:textId="0CD3B8F2" w:rsidR="00885BD1" w:rsidRPr="00105E45" w:rsidRDefault="00885BD1" w:rsidP="002A7BD1">
      <w:pPr>
        <w:pStyle w:val="Sprotnaopomba-besedilo"/>
        <w:jc w:val="both"/>
        <w:rPr>
          <w:sz w:val="18"/>
          <w:szCs w:val="18"/>
          <w:lang w:val="sl-SI"/>
        </w:rPr>
      </w:pPr>
      <w:r w:rsidRPr="00105E45">
        <w:rPr>
          <w:rStyle w:val="Sprotnaopomba-sklic"/>
          <w:sz w:val="18"/>
          <w:szCs w:val="18"/>
          <w:lang w:val="sl-SI"/>
        </w:rPr>
        <w:footnoteRef/>
      </w:r>
      <w:r w:rsidRPr="00105E45">
        <w:rPr>
          <w:sz w:val="18"/>
          <w:szCs w:val="18"/>
          <w:lang w:val="sl-SI"/>
        </w:rPr>
        <w:t xml:space="preserve"> Iz</w:t>
      </w:r>
      <w:r>
        <w:rPr>
          <w:sz w:val="18"/>
          <w:szCs w:val="18"/>
          <w:lang w:val="sl-SI"/>
        </w:rPr>
        <w:t>v</w:t>
      </w:r>
      <w:r w:rsidRPr="00105E45">
        <w:rPr>
          <w:sz w:val="18"/>
          <w:szCs w:val="18"/>
          <w:lang w:val="sl-SI"/>
        </w:rPr>
        <w:t>ajalci skupnostnih storitev so centri za duševno zdravje odraslih (z mobilnimi timi), skupnostna psihiatrija in patronažne sestre (zdravstveno varstvo), ambulantne storitve, CSD, pomoč na domu, storitve, ki se izvajajo v lokalnem okolju, svojci, in dnevno varstvo ter začasne namestitve.</w:t>
      </w:r>
    </w:p>
  </w:footnote>
  <w:footnote w:id="32">
    <w:p w14:paraId="29AF440C" w14:textId="7CF447CF" w:rsidR="005D42FB" w:rsidRPr="005D42FB" w:rsidRDefault="005D42FB" w:rsidP="002A7BD1">
      <w:pPr>
        <w:pStyle w:val="Sprotnaopomba-besedilo"/>
        <w:jc w:val="both"/>
        <w:rPr>
          <w:sz w:val="18"/>
          <w:szCs w:val="18"/>
          <w:lang w:val="sl-SI"/>
        </w:rPr>
      </w:pPr>
      <w:r w:rsidRPr="005D42FB">
        <w:rPr>
          <w:rStyle w:val="Sprotnaopomba-sklic"/>
          <w:sz w:val="18"/>
          <w:szCs w:val="18"/>
        </w:rPr>
        <w:footnoteRef/>
      </w:r>
      <w:r w:rsidRPr="005D42FB">
        <w:rPr>
          <w:sz w:val="18"/>
          <w:szCs w:val="18"/>
          <w:lang w:val="sl-SI"/>
        </w:rPr>
        <w:t xml:space="preserve"> Po ocenah je obseg neformalne oskrbe ocenjen na približno 82 milijard ur, 71% teh ur pa zagotavljajo ženske. V skoraj vseh državah EU več kot 50 % oskrbovalcev, mlajših od 65 let, kombinira zaposlitev zaradi potreb oskrbe bolnika doma. Razsežnost razlik med spoloma je še posebej pomembna, saj se večinoma ženske odrekajo plačanim delovnim mestom ali skrajšujejo delovni čas za izpolnjevanje skrbnega varstva doma. Po podatkih samo 50 % žensk, ki so neformalne oskrbovalke, lahko dela polni delavni čas v Evropi.</w:t>
      </w:r>
    </w:p>
  </w:footnote>
  <w:footnote w:id="33">
    <w:p w14:paraId="05EC9272" w14:textId="0FB09399" w:rsidR="00885BD1" w:rsidRPr="00E518DE" w:rsidRDefault="00885BD1" w:rsidP="002A7BD1">
      <w:pPr>
        <w:pStyle w:val="Sprotnaopomba-besedilo"/>
        <w:jc w:val="both"/>
        <w:rPr>
          <w:lang w:val="sl-SI"/>
        </w:rPr>
      </w:pPr>
      <w:r w:rsidRPr="00E518DE">
        <w:rPr>
          <w:rStyle w:val="Sprotnaopomba-sklic"/>
        </w:rPr>
        <w:footnoteRef/>
      </w:r>
      <w:r w:rsidRPr="00E87C20">
        <w:rPr>
          <w:lang w:val="sl-SI"/>
        </w:rPr>
        <w:t xml:space="preserve"> </w:t>
      </w:r>
      <w:r w:rsidRPr="00E518DE">
        <w:rPr>
          <w:rFonts w:cs="Arial"/>
          <w:sz w:val="18"/>
          <w:szCs w:val="18"/>
          <w:lang w:val="sl-SI"/>
        </w:rPr>
        <w:t>Po ocenah mag. Ksenije Ramovš in Inštituta Antona Trstenjaka je v Sloveniji že sedaj več kot 30.000 oseb, ki prejemajo neformalno pomoč na domu.</w:t>
      </w:r>
    </w:p>
  </w:footnote>
  <w:footnote w:id="34">
    <w:p w14:paraId="37B83D0F" w14:textId="27948775" w:rsidR="00621F89" w:rsidRPr="000E6CE7" w:rsidRDefault="00621F89" w:rsidP="000E6CE7">
      <w:pPr>
        <w:pStyle w:val="Brezrazmikov"/>
        <w:rPr>
          <w:sz w:val="18"/>
          <w:szCs w:val="18"/>
        </w:rPr>
      </w:pPr>
      <w:r w:rsidRPr="009F7B6C">
        <w:rPr>
          <w:rStyle w:val="Sprotnaopomba-sklic"/>
          <w:sz w:val="18"/>
          <w:szCs w:val="18"/>
        </w:rPr>
        <w:footnoteRef/>
      </w:r>
      <w:r w:rsidRPr="000E6CE7">
        <w:rPr>
          <w:sz w:val="18"/>
          <w:szCs w:val="18"/>
        </w:rPr>
        <w:t>Dementia: assessment, management and support for people living with dementia and their carers NICE guideline [NG97]</w:t>
      </w:r>
      <w:r w:rsidR="002A7BD1">
        <w:rPr>
          <w:sz w:val="18"/>
          <w:szCs w:val="18"/>
        </w:rPr>
        <w:t xml:space="preserve"> </w:t>
      </w:r>
      <w:r w:rsidRPr="000E6CE7">
        <w:rPr>
          <w:sz w:val="18"/>
          <w:szCs w:val="18"/>
        </w:rPr>
        <w:t xml:space="preserve">Published: 20 June 2018, </w:t>
      </w:r>
      <w:hyperlink r:id="rId4" w:history="1">
        <w:r w:rsidRPr="000E6CE7">
          <w:rPr>
            <w:sz w:val="18"/>
            <w:szCs w:val="18"/>
          </w:rPr>
          <w:t>https://www.nice.org.uk/guidance/ng97</w:t>
        </w:r>
      </w:hyperlink>
    </w:p>
  </w:footnote>
  <w:footnote w:id="35">
    <w:p w14:paraId="5B59140C" w14:textId="587434D5" w:rsidR="00885BD1" w:rsidRPr="008711BF" w:rsidRDefault="00885BD1" w:rsidP="007F12AA">
      <w:pPr>
        <w:pStyle w:val="Sprotnaopomba-besedilo"/>
        <w:rPr>
          <w:sz w:val="18"/>
          <w:szCs w:val="18"/>
          <w:lang w:val="sl-SI"/>
        </w:rPr>
      </w:pPr>
      <w:r w:rsidRPr="008711BF">
        <w:rPr>
          <w:rStyle w:val="Sprotnaopomba-sklic"/>
          <w:sz w:val="18"/>
          <w:szCs w:val="18"/>
        </w:rPr>
        <w:footnoteRef/>
      </w:r>
      <w:r w:rsidRPr="008711BF">
        <w:rPr>
          <w:sz w:val="18"/>
          <w:szCs w:val="18"/>
          <w:lang w:val="sl-SI"/>
        </w:rPr>
        <w:t xml:space="preserve"> V Univerzitetni psihiatrični kliniki Ljubljana so trenutno veljavne oz. v uporabi: </w:t>
      </w:r>
    </w:p>
    <w:p w14:paraId="03630507" w14:textId="77777777" w:rsidR="00885BD1" w:rsidRPr="008711BF" w:rsidRDefault="00885BD1" w:rsidP="007F12AA">
      <w:pPr>
        <w:pStyle w:val="Sprotnaopomba-besedilo"/>
        <w:rPr>
          <w:sz w:val="18"/>
          <w:szCs w:val="18"/>
          <w:lang w:val="sl-SI"/>
        </w:rPr>
      </w:pPr>
      <w:r w:rsidRPr="008711BF">
        <w:rPr>
          <w:sz w:val="18"/>
          <w:szCs w:val="18"/>
          <w:lang w:val="sl-SI"/>
        </w:rPr>
        <w:t>ꟷ</w:t>
      </w:r>
      <w:r w:rsidRPr="008711BF">
        <w:rPr>
          <w:sz w:val="18"/>
          <w:szCs w:val="18"/>
          <w:lang w:val="sl-SI"/>
        </w:rPr>
        <w:tab/>
        <w:t xml:space="preserve">Klinična pot za obravnavo bolnika z demenco (v dnevni oskrbi); </w:t>
      </w:r>
    </w:p>
    <w:p w14:paraId="08C489E7" w14:textId="77777777" w:rsidR="00885BD1" w:rsidRPr="008711BF" w:rsidRDefault="00885BD1" w:rsidP="007F12AA">
      <w:pPr>
        <w:pStyle w:val="Sprotnaopomba-besedilo"/>
        <w:rPr>
          <w:sz w:val="18"/>
          <w:szCs w:val="18"/>
          <w:lang w:val="sl-SI"/>
        </w:rPr>
      </w:pPr>
      <w:r w:rsidRPr="008711BF">
        <w:rPr>
          <w:sz w:val="18"/>
          <w:szCs w:val="18"/>
          <w:lang w:val="sl-SI"/>
        </w:rPr>
        <w:t>ꟷ</w:t>
      </w:r>
      <w:r w:rsidRPr="008711BF">
        <w:rPr>
          <w:sz w:val="18"/>
          <w:szCs w:val="18"/>
          <w:lang w:val="sl-SI"/>
        </w:rPr>
        <w:tab/>
        <w:t xml:space="preserve">Klinična pot: Začetna ocena tveganja za demenco ob sprejemu, </w:t>
      </w:r>
    </w:p>
    <w:p w14:paraId="76EB2AC5" w14:textId="77777777" w:rsidR="00885BD1" w:rsidRPr="008711BF" w:rsidRDefault="00885BD1" w:rsidP="007F12AA">
      <w:pPr>
        <w:pStyle w:val="Sprotnaopomba-besedilo"/>
        <w:rPr>
          <w:sz w:val="18"/>
          <w:szCs w:val="18"/>
          <w:lang w:val="sl-SI"/>
        </w:rPr>
      </w:pPr>
      <w:r w:rsidRPr="008711BF">
        <w:rPr>
          <w:sz w:val="18"/>
          <w:szCs w:val="18"/>
          <w:lang w:val="sl-SI"/>
        </w:rPr>
        <w:t>ꟷ</w:t>
      </w:r>
      <w:r w:rsidRPr="008711BF">
        <w:rPr>
          <w:sz w:val="18"/>
          <w:szCs w:val="18"/>
          <w:lang w:val="sl-SI"/>
        </w:rPr>
        <w:tab/>
        <w:t xml:space="preserve">Klinična pot za pregled starostnika v gerontopsihiatrični obravnavi ter </w:t>
      </w:r>
    </w:p>
    <w:p w14:paraId="36D4CF30" w14:textId="77777777" w:rsidR="00885BD1" w:rsidRPr="008711BF" w:rsidRDefault="00885BD1" w:rsidP="007F12AA">
      <w:pPr>
        <w:pStyle w:val="Sprotnaopomba-besedilo"/>
        <w:rPr>
          <w:sz w:val="18"/>
          <w:szCs w:val="18"/>
          <w:lang w:val="sl-SI"/>
        </w:rPr>
      </w:pPr>
      <w:r w:rsidRPr="008711BF">
        <w:rPr>
          <w:sz w:val="18"/>
          <w:szCs w:val="18"/>
          <w:lang w:val="sl-SI"/>
        </w:rPr>
        <w:t>ꟷ</w:t>
      </w:r>
      <w:r w:rsidRPr="008711BF">
        <w:rPr>
          <w:sz w:val="18"/>
          <w:szCs w:val="18"/>
          <w:lang w:val="sl-SI"/>
        </w:rPr>
        <w:tab/>
        <w:t>Klinična pot krhkost.</w:t>
      </w:r>
    </w:p>
    <w:p w14:paraId="1D1D3596" w14:textId="77777777" w:rsidR="00885BD1" w:rsidRPr="008711BF" w:rsidRDefault="00885BD1" w:rsidP="007F12AA">
      <w:pPr>
        <w:pStyle w:val="Sprotnaopomba-besedilo"/>
        <w:rPr>
          <w:sz w:val="18"/>
          <w:szCs w:val="18"/>
          <w:lang w:val="sl-SI"/>
        </w:rPr>
      </w:pPr>
      <w:r w:rsidRPr="008711BF">
        <w:rPr>
          <w:sz w:val="18"/>
          <w:szCs w:val="18"/>
          <w:lang w:val="sl-SI"/>
        </w:rPr>
        <w:t xml:space="preserve">Na nevrološki kliniki Univerzitetnega kliničnega centra Ljubljana pa: </w:t>
      </w:r>
    </w:p>
    <w:p w14:paraId="049D8A78" w14:textId="77777777" w:rsidR="00885BD1" w:rsidRPr="008711BF" w:rsidRDefault="00885BD1" w:rsidP="007F12AA">
      <w:pPr>
        <w:pStyle w:val="Sprotnaopomba-besedilo"/>
        <w:rPr>
          <w:sz w:val="18"/>
          <w:szCs w:val="18"/>
          <w:lang w:val="sl-SI"/>
        </w:rPr>
      </w:pPr>
      <w:r w:rsidRPr="008711BF">
        <w:rPr>
          <w:sz w:val="18"/>
          <w:szCs w:val="18"/>
          <w:lang w:val="sl-SI"/>
        </w:rPr>
        <w:t>ꟷ</w:t>
      </w:r>
      <w:r w:rsidRPr="008711BF">
        <w:rPr>
          <w:sz w:val="18"/>
          <w:szCs w:val="18"/>
          <w:lang w:val="sl-SI"/>
        </w:rPr>
        <w:tab/>
        <w:t xml:space="preserve">Klinična pot obravnave bolnika z blago kognitivno motnjo ter </w:t>
      </w:r>
    </w:p>
    <w:p w14:paraId="0B05EA8F" w14:textId="2AD5E24E" w:rsidR="00885BD1" w:rsidRPr="007F12AA" w:rsidRDefault="00885BD1" w:rsidP="007F12AA">
      <w:pPr>
        <w:pStyle w:val="Sprotnaopomba-besedilo"/>
        <w:rPr>
          <w:lang w:val="sl-SI"/>
        </w:rPr>
      </w:pPr>
      <w:r w:rsidRPr="008711BF">
        <w:rPr>
          <w:sz w:val="18"/>
          <w:szCs w:val="18"/>
          <w:lang w:val="sl-SI"/>
        </w:rPr>
        <w:t>ꟷ</w:t>
      </w:r>
      <w:r w:rsidRPr="008711BF">
        <w:rPr>
          <w:sz w:val="18"/>
          <w:szCs w:val="18"/>
          <w:lang w:val="sl-SI"/>
        </w:rPr>
        <w:tab/>
        <w:t>Klinična pot obravnave bolnika z demenco.</w:t>
      </w:r>
    </w:p>
  </w:footnote>
  <w:footnote w:id="36">
    <w:p w14:paraId="64FCEA79" w14:textId="0ED449BB" w:rsidR="00CA5340" w:rsidRPr="00CA5340" w:rsidRDefault="00CA5340" w:rsidP="00CA5340">
      <w:pPr>
        <w:spacing w:line="288" w:lineRule="auto"/>
        <w:jc w:val="both"/>
        <w:rPr>
          <w:rFonts w:eastAsia="Calibri" w:cs="Arial"/>
          <w:sz w:val="18"/>
          <w:szCs w:val="18"/>
          <w:lang w:val="sl-SI"/>
        </w:rPr>
      </w:pPr>
      <w:r>
        <w:rPr>
          <w:rStyle w:val="Sprotnaopomba-sklic"/>
        </w:rPr>
        <w:footnoteRef/>
      </w:r>
      <w:r w:rsidRPr="00CA5340">
        <w:rPr>
          <w:lang w:val="sl-SI"/>
        </w:rPr>
        <w:t xml:space="preserve"> </w:t>
      </w:r>
      <w:hyperlink r:id="rId5" w:history="1">
        <w:r w:rsidRPr="00312681">
          <w:rPr>
            <w:rStyle w:val="Hiperpovezava"/>
            <w:rFonts w:eastAsia="Calibri" w:cs="Arial"/>
            <w:sz w:val="18"/>
            <w:szCs w:val="18"/>
            <w:lang w:val="sl-SI"/>
          </w:rPr>
          <w:t>https://www.thegoodcaregroup.com/news/recognising-role-specialist-dementia-nurse-community/</w:t>
        </w:r>
      </w:hyperlink>
      <w:r>
        <w:rPr>
          <w:rFonts w:eastAsia="Calibri" w:cs="Arial"/>
          <w:sz w:val="18"/>
          <w:szCs w:val="18"/>
          <w:lang w:val="sl-SI"/>
        </w:rPr>
        <w:t xml:space="preserve"> </w:t>
      </w:r>
      <w:r w:rsidRPr="00CA5340">
        <w:rPr>
          <w:rFonts w:eastAsia="Calibri" w:cs="Arial"/>
          <w:sz w:val="18"/>
          <w:szCs w:val="18"/>
          <w:lang w:val="sl-SI"/>
        </w:rPr>
        <w:t>Becoming a specialist dementia nurse requires additional post-registration training in the specialism area. The nurse should also, ideally, have at least two years practice experience in dementia care. Usually, people working as a specialist dementia nurse will also hold a registered mental health nursing qualification. Most NHS specialist nursing roles will also demand degree level qualifications, as well as expecting the nurse to be working towards a Masters in their specialism. As a practicing specialist dementia nurse there are so many routes to take, because dementia crosses all fields of medicine.</w:t>
      </w:r>
    </w:p>
    <w:p w14:paraId="36321BB2" w14:textId="55BBFD92" w:rsidR="00CA5340" w:rsidRPr="00CA5340" w:rsidRDefault="00CA5340">
      <w:pPr>
        <w:pStyle w:val="Sprotnaopomba-besedilo"/>
        <w:rPr>
          <w:lang w:val="sl-SI"/>
        </w:rPr>
      </w:pPr>
    </w:p>
  </w:footnote>
  <w:footnote w:id="37">
    <w:p w14:paraId="06D78E41" w14:textId="298497BB" w:rsidR="007A6F7E" w:rsidRPr="007A6F7E" w:rsidRDefault="007A6F7E">
      <w:pPr>
        <w:pStyle w:val="Sprotnaopomba-besedilo"/>
        <w:rPr>
          <w:sz w:val="18"/>
          <w:szCs w:val="18"/>
          <w:lang w:val="sl-SI"/>
        </w:rPr>
      </w:pPr>
      <w:r w:rsidRPr="007A6F7E">
        <w:rPr>
          <w:rStyle w:val="Sprotnaopomba-sklic"/>
          <w:sz w:val="18"/>
          <w:szCs w:val="18"/>
        </w:rPr>
        <w:footnoteRef/>
      </w:r>
      <w:r w:rsidRPr="007A6F7E">
        <w:rPr>
          <w:sz w:val="18"/>
          <w:szCs w:val="18"/>
          <w:lang w:val="sl-SI"/>
        </w:rPr>
        <w:t xml:space="preserve"> The EU Joint Programme – Neurodegenerative Disease Research (JPND)</w:t>
      </w:r>
    </w:p>
  </w:footnote>
  <w:footnote w:id="38">
    <w:p w14:paraId="38796318" w14:textId="167186EA" w:rsidR="00667928" w:rsidRPr="00050469" w:rsidRDefault="00667928">
      <w:pPr>
        <w:pStyle w:val="Sprotnaopomba-besedilo"/>
        <w:rPr>
          <w:sz w:val="18"/>
          <w:szCs w:val="18"/>
          <w:lang w:val="sl-SI"/>
        </w:rPr>
      </w:pPr>
      <w:r>
        <w:rPr>
          <w:rStyle w:val="Sprotnaopomba-sklic"/>
        </w:rPr>
        <w:footnoteRef/>
      </w:r>
      <w:r w:rsidRPr="00667928">
        <w:rPr>
          <w:lang w:val="sl-SI"/>
        </w:rPr>
        <w:t xml:space="preserve"> </w:t>
      </w:r>
      <w:r w:rsidRPr="00050469">
        <w:rPr>
          <w:sz w:val="18"/>
          <w:szCs w:val="18"/>
          <w:lang w:val="sl-SI"/>
        </w:rPr>
        <w:t>The Global Dementia Observatory Reference Guide. Geneva, Switzerland: World Health Organization; 2018.</w:t>
      </w:r>
      <w:r w:rsidR="00B868CA">
        <w:rPr>
          <w:sz w:val="18"/>
          <w:szCs w:val="18"/>
          <w:lang w:val="sl-SI"/>
        </w:rPr>
        <w:t xml:space="preserve"> 26.10.2022 dostopno na:</w:t>
      </w:r>
      <w:r w:rsidR="00050469" w:rsidRPr="00050469">
        <w:rPr>
          <w:sz w:val="18"/>
          <w:szCs w:val="18"/>
          <w:lang w:val="sl-SI"/>
        </w:rPr>
        <w:t xml:space="preserve"> </w:t>
      </w:r>
      <w:hyperlink r:id="rId6" w:history="1">
        <w:r w:rsidR="00050469" w:rsidRPr="00050469">
          <w:rPr>
            <w:rStyle w:val="Hiperpovezava"/>
            <w:sz w:val="18"/>
            <w:szCs w:val="18"/>
            <w:lang w:val="sl-SI"/>
          </w:rPr>
          <w:t>https://apps.who.int/iris/handle/10665/272669</w:t>
        </w:r>
      </w:hyperlink>
      <w:r w:rsidR="00050469" w:rsidRPr="00050469">
        <w:rPr>
          <w:sz w:val="18"/>
          <w:szCs w:val="18"/>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7B6D" w14:textId="071F4F3D" w:rsidR="00F10B8A" w:rsidRDefault="003D1C3B">
    <w:pPr>
      <w:pStyle w:val="Glava"/>
    </w:pPr>
    <w:r>
      <w:rPr>
        <w:noProof/>
      </w:rPr>
      <w:pict w14:anchorId="4DC12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57954" o:spid="_x0000_s1026" type="#_x0000_t136" style="position:absolute;margin-left:0;margin-top:0;width:490.1pt;height:108.9pt;rotation:315;z-index:-251654656;mso-position-horizontal:center;mso-position-horizontal-relative:margin;mso-position-vertical:center;mso-position-vertical-relative:margin" o:allowincell="f" fillcolor="silver" stroked="f">
          <v:fill opacity=".5"/>
          <v:textpath style="font-family:&quot;Arial&quot;;font-size:1pt" string="PREDLO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C498" w14:textId="2E630A66" w:rsidR="00885BD1" w:rsidRPr="00110CBD" w:rsidRDefault="003D1C3B" w:rsidP="007D75CF">
    <w:pPr>
      <w:pStyle w:val="Glava"/>
      <w:spacing w:line="240" w:lineRule="exact"/>
      <w:rPr>
        <w:rFonts w:ascii="Republika" w:hAnsi="Republika"/>
        <w:sz w:val="16"/>
      </w:rPr>
    </w:pPr>
    <w:r>
      <w:rPr>
        <w:noProof/>
      </w:rPr>
      <w:pict w14:anchorId="22BC5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57955" o:spid="_x0000_s1027" type="#_x0000_t136" style="position:absolute;margin-left:0;margin-top:0;width:490.1pt;height:108.9pt;rotation:315;z-index:-251652608;mso-position-horizontal:center;mso-position-horizontal-relative:margin;mso-position-vertical:center;mso-position-vertical-relative:margin" o:allowincell="f" fillcolor="silver" stroked="f">
          <v:fill opacity=".5"/>
          <v:textpath style="font-family:&quot;Arial&quot;;font-size:1pt" string="PREDLO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5BFC" w14:textId="79990EFA" w:rsidR="00885BD1" w:rsidRPr="008F3500" w:rsidRDefault="003D1C3B" w:rsidP="00665D7B">
    <w:pPr>
      <w:pStyle w:val="Glava"/>
      <w:tabs>
        <w:tab w:val="clear" w:pos="4320"/>
        <w:tab w:val="clear" w:pos="8640"/>
        <w:tab w:val="left" w:pos="5112"/>
      </w:tabs>
      <w:spacing w:before="120" w:line="240" w:lineRule="exact"/>
      <w:jc w:val="center"/>
      <w:rPr>
        <w:rFonts w:cs="Arial"/>
        <w:sz w:val="16"/>
        <w:lang w:val="sl-SI"/>
      </w:rPr>
    </w:pPr>
    <w:r>
      <w:rPr>
        <w:noProof/>
      </w:rPr>
      <w:pict w14:anchorId="08532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57953" o:spid="_x0000_s1025" type="#_x0000_t136" style="position:absolute;left:0;text-align:left;margin-left:0;margin-top:0;width:490.1pt;height:108.9pt;rotation:315;z-index:-251656704;mso-position-horizontal:center;mso-position-horizontal-relative:margin;mso-position-vertical:center;mso-position-vertical-relative:margin" o:allowincell="f" fillcolor="silver" stroked="f">
          <v:fill opacity=".5"/>
          <v:textpath style="font-family:&quot;Arial&quot;;font-size:1pt" string="PREDLOG"/>
          <w10:wrap anchorx="margin" anchory="margin"/>
        </v:shape>
      </w:pict>
    </w:r>
    <w:r w:rsidR="00885BD1">
      <w:rPr>
        <w:noProof/>
        <w:lang w:val="sl-SI" w:eastAsia="sl-SI"/>
      </w:rPr>
      <w:drawing>
        <wp:anchor distT="0" distB="0" distL="114300" distR="114300" simplePos="0" relativeHeight="251657728" behindDoc="0" locked="0" layoutInCell="1" allowOverlap="1" wp14:anchorId="30E142B9" wp14:editId="09B6BBA5">
          <wp:simplePos x="0" y="0"/>
          <wp:positionH relativeFrom="page">
            <wp:posOffset>1443990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3C87D" w14:textId="77777777" w:rsidR="00885BD1" w:rsidRPr="008F3500" w:rsidRDefault="00885BD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2B6"/>
    <w:multiLevelType w:val="hybridMultilevel"/>
    <w:tmpl w:val="D72441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C05547"/>
    <w:multiLevelType w:val="hybridMultilevel"/>
    <w:tmpl w:val="7E3A1416"/>
    <w:lvl w:ilvl="0" w:tplc="19D68FA6">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7AD2F94"/>
    <w:multiLevelType w:val="hybridMultilevel"/>
    <w:tmpl w:val="C442A21A"/>
    <w:lvl w:ilvl="0" w:tplc="D8AE441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DA040F"/>
    <w:multiLevelType w:val="hybridMultilevel"/>
    <w:tmpl w:val="AED6B8EC"/>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153857"/>
    <w:multiLevelType w:val="hybridMultilevel"/>
    <w:tmpl w:val="41FA77FE"/>
    <w:lvl w:ilvl="0" w:tplc="5B682C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492D15"/>
    <w:multiLevelType w:val="hybridMultilevel"/>
    <w:tmpl w:val="62CC8F1E"/>
    <w:lvl w:ilvl="0" w:tplc="97729E9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C71B14"/>
    <w:multiLevelType w:val="hybridMultilevel"/>
    <w:tmpl w:val="91FC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B1F71"/>
    <w:multiLevelType w:val="hybridMultilevel"/>
    <w:tmpl w:val="0B0AD9AE"/>
    <w:lvl w:ilvl="0" w:tplc="5B682C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583B03"/>
    <w:multiLevelType w:val="hybridMultilevel"/>
    <w:tmpl w:val="63C85E00"/>
    <w:lvl w:ilvl="0" w:tplc="5B682C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3E2021"/>
    <w:multiLevelType w:val="hybridMultilevel"/>
    <w:tmpl w:val="B80C2C32"/>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DC6638"/>
    <w:multiLevelType w:val="hybridMultilevel"/>
    <w:tmpl w:val="8816543C"/>
    <w:lvl w:ilvl="0" w:tplc="FC32978E">
      <w:numFmt w:val="bullet"/>
      <w:lvlText w:val="ꟷ"/>
      <w:lvlJc w:val="left"/>
      <w:pPr>
        <w:ind w:left="1080" w:hanging="360"/>
      </w:pPr>
      <w:rPr>
        <w:rFonts w:ascii="Calibri" w:eastAsia="Times New Roman" w:hAnsi="Calibri" w:hint="default"/>
      </w:rPr>
    </w:lvl>
    <w:lvl w:ilvl="1" w:tplc="19D68FA6">
      <w:numFmt w:val="bullet"/>
      <w:lvlText w:val="•"/>
      <w:lvlJc w:val="left"/>
      <w:pPr>
        <w:ind w:left="2160" w:hanging="720"/>
      </w:pPr>
      <w:rPr>
        <w:rFonts w:ascii="Arial" w:eastAsia="Calibri"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D9D4732"/>
    <w:multiLevelType w:val="hybridMultilevel"/>
    <w:tmpl w:val="8B744330"/>
    <w:lvl w:ilvl="0" w:tplc="4CD864D4">
      <w:start w:val="9"/>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10337C5"/>
    <w:multiLevelType w:val="hybridMultilevel"/>
    <w:tmpl w:val="58E257B8"/>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36080F"/>
    <w:multiLevelType w:val="hybridMultilevel"/>
    <w:tmpl w:val="ACB2A9A8"/>
    <w:lvl w:ilvl="0" w:tplc="FC32978E">
      <w:numFmt w:val="bullet"/>
      <w:lvlText w:val="ꟷ"/>
      <w:lvlJc w:val="left"/>
      <w:pPr>
        <w:ind w:left="1068" w:hanging="360"/>
      </w:pPr>
      <w:rPr>
        <w:rFonts w:ascii="Calibri" w:eastAsia="Times New Roman"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27337AC8"/>
    <w:multiLevelType w:val="hybridMultilevel"/>
    <w:tmpl w:val="5908F76C"/>
    <w:lvl w:ilvl="0" w:tplc="FC32978E">
      <w:numFmt w:val="bullet"/>
      <w:lvlText w:val="ꟷ"/>
      <w:lvlJc w:val="left"/>
      <w:pPr>
        <w:ind w:left="144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28A74FE0"/>
    <w:multiLevelType w:val="hybridMultilevel"/>
    <w:tmpl w:val="0936CF88"/>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ED159E"/>
    <w:multiLevelType w:val="hybridMultilevel"/>
    <w:tmpl w:val="1108B7B0"/>
    <w:lvl w:ilvl="0" w:tplc="FC32978E">
      <w:numFmt w:val="bullet"/>
      <w:lvlText w:val="ꟷ"/>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2B0B792C"/>
    <w:multiLevelType w:val="hybridMultilevel"/>
    <w:tmpl w:val="E2208352"/>
    <w:lvl w:ilvl="0" w:tplc="5B682C76">
      <w:start w:val="1"/>
      <w:numFmt w:val="bullet"/>
      <w:lvlText w:val=""/>
      <w:lvlJc w:val="left"/>
      <w:pPr>
        <w:ind w:left="720" w:hanging="360"/>
      </w:pPr>
      <w:rPr>
        <w:rFonts w:ascii="Symbol" w:hAnsi="Symbol" w:hint="default"/>
      </w:rPr>
    </w:lvl>
    <w:lvl w:ilvl="1" w:tplc="5B682C7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CA24E6"/>
    <w:multiLevelType w:val="hybridMultilevel"/>
    <w:tmpl w:val="126AB9A4"/>
    <w:lvl w:ilvl="0" w:tplc="FC32978E">
      <w:numFmt w:val="bullet"/>
      <w:lvlText w:val="ꟷ"/>
      <w:lvlJc w:val="left"/>
      <w:pPr>
        <w:ind w:left="1068" w:hanging="360"/>
      </w:pPr>
      <w:rPr>
        <w:rFonts w:ascii="Calibri" w:eastAsia="Times New Roman" w:hAnsi="Calibri" w:hint="default"/>
      </w:rPr>
    </w:lvl>
    <w:lvl w:ilvl="1" w:tplc="FC32978E">
      <w:numFmt w:val="bullet"/>
      <w:lvlText w:val="ꟷ"/>
      <w:lvlJc w:val="left"/>
      <w:pPr>
        <w:ind w:left="1788" w:hanging="360"/>
      </w:pPr>
      <w:rPr>
        <w:rFonts w:ascii="Calibri" w:eastAsia="Times New Roman" w:hAnsi="Calibri"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2D670E19"/>
    <w:multiLevelType w:val="hybridMultilevel"/>
    <w:tmpl w:val="6A70D2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10D768B"/>
    <w:multiLevelType w:val="hybridMultilevel"/>
    <w:tmpl w:val="0D8C1EB2"/>
    <w:lvl w:ilvl="0" w:tplc="FC32978E">
      <w:numFmt w:val="bullet"/>
      <w:lvlText w:val="ꟷ"/>
      <w:lvlJc w:val="left"/>
      <w:pPr>
        <w:ind w:left="1068" w:hanging="360"/>
      </w:pPr>
      <w:rPr>
        <w:rFonts w:ascii="Calibri" w:eastAsia="Times New Roman"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314279A8"/>
    <w:multiLevelType w:val="hybridMultilevel"/>
    <w:tmpl w:val="0616FB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1B7970"/>
    <w:multiLevelType w:val="multilevel"/>
    <w:tmpl w:val="FE06C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AD44D8"/>
    <w:multiLevelType w:val="hybridMultilevel"/>
    <w:tmpl w:val="B964A34C"/>
    <w:lvl w:ilvl="0" w:tplc="FC32978E">
      <w:numFmt w:val="bullet"/>
      <w:lvlText w:val="ꟷ"/>
      <w:lvlJc w:val="left"/>
      <w:pPr>
        <w:ind w:left="1440" w:hanging="360"/>
      </w:pPr>
      <w:rPr>
        <w:rFonts w:ascii="Calibri" w:eastAsia="Times New Roman"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36F64B74"/>
    <w:multiLevelType w:val="hybridMultilevel"/>
    <w:tmpl w:val="BCEE8184"/>
    <w:lvl w:ilvl="0" w:tplc="FC32978E">
      <w:numFmt w:val="bullet"/>
      <w:lvlText w:val="ꟷ"/>
      <w:lvlJc w:val="left"/>
      <w:pPr>
        <w:ind w:left="720" w:hanging="360"/>
      </w:pPr>
      <w:rPr>
        <w:rFonts w:ascii="Calibri" w:eastAsia="Times New Roman" w:hAnsi="Calibri" w:hint="default"/>
      </w:rPr>
    </w:lvl>
    <w:lvl w:ilvl="1" w:tplc="5B682C7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471D67"/>
    <w:multiLevelType w:val="hybridMultilevel"/>
    <w:tmpl w:val="75CA23A2"/>
    <w:lvl w:ilvl="0" w:tplc="FC32978E">
      <w:numFmt w:val="bullet"/>
      <w:lvlText w:val="ꟷ"/>
      <w:lvlJc w:val="left"/>
      <w:pPr>
        <w:ind w:left="1068" w:hanging="360"/>
      </w:pPr>
      <w:rPr>
        <w:rFonts w:ascii="Calibri" w:eastAsia="Times New Roman"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3CDA4A98"/>
    <w:multiLevelType w:val="hybridMultilevel"/>
    <w:tmpl w:val="C966F13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40F82315"/>
    <w:multiLevelType w:val="multilevel"/>
    <w:tmpl w:val="188882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6B78F1"/>
    <w:multiLevelType w:val="hybridMultilevel"/>
    <w:tmpl w:val="25E64EE8"/>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28354C"/>
    <w:multiLevelType w:val="hybridMultilevel"/>
    <w:tmpl w:val="D1A408CC"/>
    <w:lvl w:ilvl="0" w:tplc="5B682C76">
      <w:start w:val="1"/>
      <w:numFmt w:val="bullet"/>
      <w:lvlText w:val=""/>
      <w:lvlJc w:val="left"/>
      <w:pPr>
        <w:ind w:left="720" w:hanging="360"/>
      </w:pPr>
      <w:rPr>
        <w:rFonts w:ascii="Symbol" w:hAnsi="Symbol" w:hint="default"/>
      </w:rPr>
    </w:lvl>
    <w:lvl w:ilvl="1" w:tplc="5B682C7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3734A78"/>
    <w:multiLevelType w:val="hybridMultilevel"/>
    <w:tmpl w:val="5B9E16CE"/>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57440F8"/>
    <w:multiLevelType w:val="hybridMultilevel"/>
    <w:tmpl w:val="6470BC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6F43449"/>
    <w:multiLevelType w:val="hybridMultilevel"/>
    <w:tmpl w:val="18AE43DA"/>
    <w:lvl w:ilvl="0" w:tplc="5B682C7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7F536E6"/>
    <w:multiLevelType w:val="hybridMultilevel"/>
    <w:tmpl w:val="990CF158"/>
    <w:lvl w:ilvl="0" w:tplc="FC32978E">
      <w:numFmt w:val="bullet"/>
      <w:lvlText w:val="ꟷ"/>
      <w:lvlJc w:val="left"/>
      <w:pPr>
        <w:ind w:left="1068" w:hanging="360"/>
      </w:pPr>
      <w:rPr>
        <w:rFonts w:ascii="Calibri" w:eastAsia="Times New Roman" w:hAnsi="Calibri"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4C7F702D"/>
    <w:multiLevelType w:val="hybridMultilevel"/>
    <w:tmpl w:val="8EE2D950"/>
    <w:lvl w:ilvl="0" w:tplc="5B682C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05523F2"/>
    <w:multiLevelType w:val="hybridMultilevel"/>
    <w:tmpl w:val="81C60AF4"/>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B53BA0"/>
    <w:multiLevelType w:val="hybridMultilevel"/>
    <w:tmpl w:val="68BA3BFC"/>
    <w:lvl w:ilvl="0" w:tplc="FC32978E">
      <w:numFmt w:val="bullet"/>
      <w:lvlText w:val="ꟷ"/>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CDC30A9"/>
    <w:multiLevelType w:val="hybridMultilevel"/>
    <w:tmpl w:val="115C551C"/>
    <w:lvl w:ilvl="0" w:tplc="BD9C7BF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FE17C8"/>
    <w:multiLevelType w:val="hybridMultilevel"/>
    <w:tmpl w:val="093C94BA"/>
    <w:lvl w:ilvl="0" w:tplc="42422B7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51C3FBB"/>
    <w:multiLevelType w:val="hybridMultilevel"/>
    <w:tmpl w:val="6C741A20"/>
    <w:lvl w:ilvl="0" w:tplc="FC32978E">
      <w:numFmt w:val="bullet"/>
      <w:lvlText w:val="ꟷ"/>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562A98"/>
    <w:multiLevelType w:val="hybridMultilevel"/>
    <w:tmpl w:val="70E2E9E8"/>
    <w:lvl w:ilvl="0" w:tplc="5B682C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B3D41C4"/>
    <w:multiLevelType w:val="hybridMultilevel"/>
    <w:tmpl w:val="845C4A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00C5043"/>
    <w:multiLevelType w:val="hybridMultilevel"/>
    <w:tmpl w:val="AC1A0B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06B1783"/>
    <w:multiLevelType w:val="hybridMultilevel"/>
    <w:tmpl w:val="540E20FE"/>
    <w:lvl w:ilvl="0" w:tplc="5B682C7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EE3AC5"/>
    <w:multiLevelType w:val="hybridMultilevel"/>
    <w:tmpl w:val="9E5253BE"/>
    <w:lvl w:ilvl="0" w:tplc="19D68FA6">
      <w:numFmt w:val="bullet"/>
      <w:lvlText w:val="•"/>
      <w:lvlJc w:val="left"/>
      <w:pPr>
        <w:ind w:left="1080" w:hanging="360"/>
      </w:pPr>
      <w:rPr>
        <w:rFonts w:ascii="Arial" w:eastAsia="Calibri" w:hAnsi="Arial" w:cs="Arial" w:hint="default"/>
      </w:rPr>
    </w:lvl>
    <w:lvl w:ilvl="1" w:tplc="5B682C76">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754234A9"/>
    <w:multiLevelType w:val="hybridMultilevel"/>
    <w:tmpl w:val="057CDF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55F7CF0"/>
    <w:multiLevelType w:val="hybridMultilevel"/>
    <w:tmpl w:val="190E868C"/>
    <w:lvl w:ilvl="0" w:tplc="0D2828CC">
      <w:start w:val="1"/>
      <w:numFmt w:val="decimal"/>
      <w:lvlText w:val="%1."/>
      <w:lvlJc w:val="left"/>
      <w:pPr>
        <w:ind w:left="720" w:hanging="360"/>
      </w:pPr>
      <w:rPr>
        <w:lang w:val="it-I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96F5CA1"/>
    <w:multiLevelType w:val="hybridMultilevel"/>
    <w:tmpl w:val="A962BE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C05117C"/>
    <w:multiLevelType w:val="hybridMultilevel"/>
    <w:tmpl w:val="D15088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F0535B7"/>
    <w:multiLevelType w:val="multilevel"/>
    <w:tmpl w:val="F6E2DA6A"/>
    <w:lvl w:ilvl="0">
      <w:start w:val="2"/>
      <w:numFmt w:val="decimal"/>
      <w:lvlText w:val="%1"/>
      <w:lvlJc w:val="left"/>
      <w:pPr>
        <w:ind w:left="720" w:hanging="360"/>
      </w:pPr>
      <w:rPr>
        <w:rFonts w:hint="default"/>
        <w:b/>
        <w:bCs/>
      </w:rPr>
    </w:lvl>
    <w:lvl w:ilvl="1">
      <w:start w:val="3"/>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28"/>
  </w:num>
  <w:num w:numId="3">
    <w:abstractNumId w:val="48"/>
  </w:num>
  <w:num w:numId="4">
    <w:abstractNumId w:val="9"/>
  </w:num>
  <w:num w:numId="5">
    <w:abstractNumId w:val="45"/>
  </w:num>
  <w:num w:numId="6">
    <w:abstractNumId w:val="41"/>
  </w:num>
  <w:num w:numId="7">
    <w:abstractNumId w:val="47"/>
  </w:num>
  <w:num w:numId="8">
    <w:abstractNumId w:val="35"/>
  </w:num>
  <w:num w:numId="9">
    <w:abstractNumId w:val="26"/>
  </w:num>
  <w:num w:numId="10">
    <w:abstractNumId w:val="2"/>
  </w:num>
  <w:num w:numId="11">
    <w:abstractNumId w:val="5"/>
  </w:num>
  <w:num w:numId="12">
    <w:abstractNumId w:val="37"/>
  </w:num>
  <w:num w:numId="13">
    <w:abstractNumId w:val="31"/>
  </w:num>
  <w:num w:numId="14">
    <w:abstractNumId w:val="42"/>
  </w:num>
  <w:num w:numId="15">
    <w:abstractNumId w:val="49"/>
  </w:num>
  <w:num w:numId="16">
    <w:abstractNumId w:val="22"/>
  </w:num>
  <w:num w:numId="17">
    <w:abstractNumId w:val="3"/>
  </w:num>
  <w:num w:numId="18">
    <w:abstractNumId w:val="12"/>
  </w:num>
  <w:num w:numId="19">
    <w:abstractNumId w:val="30"/>
  </w:num>
  <w:num w:numId="20">
    <w:abstractNumId w:val="6"/>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3"/>
  </w:num>
  <w:num w:numId="30">
    <w:abstractNumId w:val="20"/>
  </w:num>
  <w:num w:numId="31">
    <w:abstractNumId w:val="16"/>
  </w:num>
  <w:num w:numId="32">
    <w:abstractNumId w:val="23"/>
  </w:num>
  <w:num w:numId="33">
    <w:abstractNumId w:val="14"/>
  </w:num>
  <w:num w:numId="34">
    <w:abstractNumId w:val="25"/>
  </w:num>
  <w:num w:numId="35">
    <w:abstractNumId w:val="18"/>
  </w:num>
  <w:num w:numId="36">
    <w:abstractNumId w:val="10"/>
  </w:num>
  <w:num w:numId="37">
    <w:abstractNumId w:val="33"/>
  </w:num>
  <w:num w:numId="38">
    <w:abstractNumId w:val="11"/>
  </w:num>
  <w:num w:numId="39">
    <w:abstractNumId w:val="15"/>
  </w:num>
  <w:num w:numId="40">
    <w:abstractNumId w:val="39"/>
  </w:num>
  <w:num w:numId="41">
    <w:abstractNumId w:val="24"/>
  </w:num>
  <w:num w:numId="42">
    <w:abstractNumId w:val="4"/>
  </w:num>
  <w:num w:numId="43">
    <w:abstractNumId w:val="40"/>
  </w:num>
  <w:num w:numId="44">
    <w:abstractNumId w:val="34"/>
  </w:num>
  <w:num w:numId="45">
    <w:abstractNumId w:val="32"/>
  </w:num>
  <w:num w:numId="46">
    <w:abstractNumId w:val="17"/>
  </w:num>
  <w:num w:numId="47">
    <w:abstractNumId w:val="43"/>
  </w:num>
  <w:num w:numId="48">
    <w:abstractNumId w:val="29"/>
  </w:num>
  <w:num w:numId="49">
    <w:abstractNumId w:val="1"/>
  </w:num>
  <w:num w:numId="50">
    <w:abstractNumId w:val="7"/>
  </w:num>
  <w:num w:numId="51">
    <w:abstractNumId w:val="44"/>
  </w:num>
  <w:num w:numId="52">
    <w:abstractNumId w:val="46"/>
  </w:num>
  <w:num w:numId="53">
    <w:abstractNumId w:val="19"/>
  </w:num>
  <w:num w:numId="54">
    <w:abstractNumId w:val="8"/>
  </w:num>
  <w:num w:numId="55">
    <w:abstractNumId w:val="21"/>
  </w:num>
  <w:num w:numId="56">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20"/>
    <w:rsid w:val="00000651"/>
    <w:rsid w:val="00015141"/>
    <w:rsid w:val="000152FD"/>
    <w:rsid w:val="00023A88"/>
    <w:rsid w:val="00025625"/>
    <w:rsid w:val="00031307"/>
    <w:rsid w:val="00033ABC"/>
    <w:rsid w:val="0003565F"/>
    <w:rsid w:val="0004453A"/>
    <w:rsid w:val="00046A0A"/>
    <w:rsid w:val="000473D4"/>
    <w:rsid w:val="000478F4"/>
    <w:rsid w:val="00050469"/>
    <w:rsid w:val="0005106C"/>
    <w:rsid w:val="000530CD"/>
    <w:rsid w:val="0005354E"/>
    <w:rsid w:val="00054A7F"/>
    <w:rsid w:val="000662DA"/>
    <w:rsid w:val="0006642B"/>
    <w:rsid w:val="00066A18"/>
    <w:rsid w:val="0007192E"/>
    <w:rsid w:val="00072EAA"/>
    <w:rsid w:val="00074665"/>
    <w:rsid w:val="0008120D"/>
    <w:rsid w:val="0008243B"/>
    <w:rsid w:val="000831DD"/>
    <w:rsid w:val="00084247"/>
    <w:rsid w:val="00091DA2"/>
    <w:rsid w:val="000933E5"/>
    <w:rsid w:val="00097D69"/>
    <w:rsid w:val="000A00B7"/>
    <w:rsid w:val="000A60D5"/>
    <w:rsid w:val="000A7238"/>
    <w:rsid w:val="000B4374"/>
    <w:rsid w:val="000B4520"/>
    <w:rsid w:val="000C3F29"/>
    <w:rsid w:val="000C6B0F"/>
    <w:rsid w:val="000D72C7"/>
    <w:rsid w:val="000E0CD7"/>
    <w:rsid w:val="000E15CA"/>
    <w:rsid w:val="000E6CE7"/>
    <w:rsid w:val="000F0408"/>
    <w:rsid w:val="000F26FD"/>
    <w:rsid w:val="001017F1"/>
    <w:rsid w:val="00101D4E"/>
    <w:rsid w:val="00105E45"/>
    <w:rsid w:val="0011493F"/>
    <w:rsid w:val="00115893"/>
    <w:rsid w:val="001164AD"/>
    <w:rsid w:val="00126162"/>
    <w:rsid w:val="00126426"/>
    <w:rsid w:val="001267E4"/>
    <w:rsid w:val="00131217"/>
    <w:rsid w:val="001357B2"/>
    <w:rsid w:val="00137D32"/>
    <w:rsid w:val="00143169"/>
    <w:rsid w:val="00150261"/>
    <w:rsid w:val="00151096"/>
    <w:rsid w:val="00152F5A"/>
    <w:rsid w:val="00153310"/>
    <w:rsid w:val="001545E7"/>
    <w:rsid w:val="00155A76"/>
    <w:rsid w:val="00156FC2"/>
    <w:rsid w:val="00157DD8"/>
    <w:rsid w:val="00160E78"/>
    <w:rsid w:val="001709F3"/>
    <w:rsid w:val="0017478F"/>
    <w:rsid w:val="0018762B"/>
    <w:rsid w:val="00187B20"/>
    <w:rsid w:val="0019315F"/>
    <w:rsid w:val="001949D7"/>
    <w:rsid w:val="001A28F3"/>
    <w:rsid w:val="001A2BF7"/>
    <w:rsid w:val="001A311F"/>
    <w:rsid w:val="001B04C1"/>
    <w:rsid w:val="001B2CEF"/>
    <w:rsid w:val="001B3CA1"/>
    <w:rsid w:val="001B6D93"/>
    <w:rsid w:val="001C5177"/>
    <w:rsid w:val="001D0560"/>
    <w:rsid w:val="001D37BC"/>
    <w:rsid w:val="001D6AA4"/>
    <w:rsid w:val="001D7E15"/>
    <w:rsid w:val="001E00E2"/>
    <w:rsid w:val="001E0599"/>
    <w:rsid w:val="001E0F11"/>
    <w:rsid w:val="001E3BD3"/>
    <w:rsid w:val="001E5C2E"/>
    <w:rsid w:val="001E778A"/>
    <w:rsid w:val="001F1DF5"/>
    <w:rsid w:val="001F205E"/>
    <w:rsid w:val="001F25EB"/>
    <w:rsid w:val="001F44F3"/>
    <w:rsid w:val="001F4DBD"/>
    <w:rsid w:val="00202083"/>
    <w:rsid w:val="00202A77"/>
    <w:rsid w:val="002054CD"/>
    <w:rsid w:val="00205663"/>
    <w:rsid w:val="00207C2B"/>
    <w:rsid w:val="00207F9A"/>
    <w:rsid w:val="00210234"/>
    <w:rsid w:val="002103A5"/>
    <w:rsid w:val="002105B8"/>
    <w:rsid w:val="002144BD"/>
    <w:rsid w:val="00215054"/>
    <w:rsid w:val="00215C71"/>
    <w:rsid w:val="00217D69"/>
    <w:rsid w:val="00221B0D"/>
    <w:rsid w:val="00221F4E"/>
    <w:rsid w:val="002242E7"/>
    <w:rsid w:val="0022547F"/>
    <w:rsid w:val="00232660"/>
    <w:rsid w:val="00242A44"/>
    <w:rsid w:val="00246D59"/>
    <w:rsid w:val="00246EAD"/>
    <w:rsid w:val="00247A99"/>
    <w:rsid w:val="00252B97"/>
    <w:rsid w:val="0025411C"/>
    <w:rsid w:val="00257017"/>
    <w:rsid w:val="00261539"/>
    <w:rsid w:val="00271CE5"/>
    <w:rsid w:val="00273413"/>
    <w:rsid w:val="0027694A"/>
    <w:rsid w:val="00280D7F"/>
    <w:rsid w:val="00281409"/>
    <w:rsid w:val="00281B20"/>
    <w:rsid w:val="00282020"/>
    <w:rsid w:val="00283FA3"/>
    <w:rsid w:val="00285980"/>
    <w:rsid w:val="002911CB"/>
    <w:rsid w:val="00297076"/>
    <w:rsid w:val="002A2B69"/>
    <w:rsid w:val="002A5F2F"/>
    <w:rsid w:val="002A7A07"/>
    <w:rsid w:val="002A7BD1"/>
    <w:rsid w:val="002B048C"/>
    <w:rsid w:val="002B0C7A"/>
    <w:rsid w:val="002B38DB"/>
    <w:rsid w:val="002B3EC5"/>
    <w:rsid w:val="002B7218"/>
    <w:rsid w:val="002C2EEC"/>
    <w:rsid w:val="002C4C61"/>
    <w:rsid w:val="002E239F"/>
    <w:rsid w:val="002E4BDE"/>
    <w:rsid w:val="00301073"/>
    <w:rsid w:val="00303FB1"/>
    <w:rsid w:val="0030448C"/>
    <w:rsid w:val="00310743"/>
    <w:rsid w:val="00316911"/>
    <w:rsid w:val="00316CCD"/>
    <w:rsid w:val="00326FDC"/>
    <w:rsid w:val="00342C1B"/>
    <w:rsid w:val="00353117"/>
    <w:rsid w:val="003579A9"/>
    <w:rsid w:val="003636BF"/>
    <w:rsid w:val="003650C1"/>
    <w:rsid w:val="003669FA"/>
    <w:rsid w:val="00366C93"/>
    <w:rsid w:val="00371442"/>
    <w:rsid w:val="003715EC"/>
    <w:rsid w:val="00373C20"/>
    <w:rsid w:val="003764AC"/>
    <w:rsid w:val="00381972"/>
    <w:rsid w:val="00382573"/>
    <w:rsid w:val="003845B4"/>
    <w:rsid w:val="00387B1A"/>
    <w:rsid w:val="00387FA2"/>
    <w:rsid w:val="003902FF"/>
    <w:rsid w:val="00390F93"/>
    <w:rsid w:val="00392B0A"/>
    <w:rsid w:val="003A1BA9"/>
    <w:rsid w:val="003A20A6"/>
    <w:rsid w:val="003A58FE"/>
    <w:rsid w:val="003A5BF5"/>
    <w:rsid w:val="003B278D"/>
    <w:rsid w:val="003B5D1C"/>
    <w:rsid w:val="003C0334"/>
    <w:rsid w:val="003C5EE5"/>
    <w:rsid w:val="003C7E4E"/>
    <w:rsid w:val="003D1C3B"/>
    <w:rsid w:val="003D4144"/>
    <w:rsid w:val="003D7E6D"/>
    <w:rsid w:val="003E1C74"/>
    <w:rsid w:val="003E5BAA"/>
    <w:rsid w:val="003F1935"/>
    <w:rsid w:val="003F7749"/>
    <w:rsid w:val="00400502"/>
    <w:rsid w:val="00402801"/>
    <w:rsid w:val="00414623"/>
    <w:rsid w:val="00414E02"/>
    <w:rsid w:val="00415FDA"/>
    <w:rsid w:val="00420D0F"/>
    <w:rsid w:val="004233E6"/>
    <w:rsid w:val="00432226"/>
    <w:rsid w:val="00434318"/>
    <w:rsid w:val="00444C5B"/>
    <w:rsid w:val="00446F5A"/>
    <w:rsid w:val="00452458"/>
    <w:rsid w:val="00452E56"/>
    <w:rsid w:val="0045505F"/>
    <w:rsid w:val="00455892"/>
    <w:rsid w:val="00464C21"/>
    <w:rsid w:val="004652FA"/>
    <w:rsid w:val="004655F8"/>
    <w:rsid w:val="004657EE"/>
    <w:rsid w:val="00471044"/>
    <w:rsid w:val="00472FBB"/>
    <w:rsid w:val="00475251"/>
    <w:rsid w:val="004757B7"/>
    <w:rsid w:val="00481F49"/>
    <w:rsid w:val="00484E02"/>
    <w:rsid w:val="00492C68"/>
    <w:rsid w:val="004A003B"/>
    <w:rsid w:val="004A360E"/>
    <w:rsid w:val="004B2F5E"/>
    <w:rsid w:val="004B33F4"/>
    <w:rsid w:val="004B3EA7"/>
    <w:rsid w:val="004B5999"/>
    <w:rsid w:val="004B7C11"/>
    <w:rsid w:val="004C2406"/>
    <w:rsid w:val="004C41E2"/>
    <w:rsid w:val="004C4234"/>
    <w:rsid w:val="004D13F7"/>
    <w:rsid w:val="004D1566"/>
    <w:rsid w:val="004D5FCC"/>
    <w:rsid w:val="004D7F75"/>
    <w:rsid w:val="004E0C14"/>
    <w:rsid w:val="004E0C71"/>
    <w:rsid w:val="004E1395"/>
    <w:rsid w:val="004E563C"/>
    <w:rsid w:val="004E577C"/>
    <w:rsid w:val="004F15D0"/>
    <w:rsid w:val="0050208F"/>
    <w:rsid w:val="00507084"/>
    <w:rsid w:val="005107E8"/>
    <w:rsid w:val="0051124C"/>
    <w:rsid w:val="005141F6"/>
    <w:rsid w:val="00525D27"/>
    <w:rsid w:val="00526246"/>
    <w:rsid w:val="005265BC"/>
    <w:rsid w:val="00526FE2"/>
    <w:rsid w:val="00527BA4"/>
    <w:rsid w:val="005304A9"/>
    <w:rsid w:val="00532A8D"/>
    <w:rsid w:val="0053476D"/>
    <w:rsid w:val="00535EB9"/>
    <w:rsid w:val="00537584"/>
    <w:rsid w:val="00540728"/>
    <w:rsid w:val="00543C86"/>
    <w:rsid w:val="005442F9"/>
    <w:rsid w:val="005452CB"/>
    <w:rsid w:val="005454CC"/>
    <w:rsid w:val="00545746"/>
    <w:rsid w:val="00546733"/>
    <w:rsid w:val="00550191"/>
    <w:rsid w:val="005507BF"/>
    <w:rsid w:val="0055165D"/>
    <w:rsid w:val="0055371C"/>
    <w:rsid w:val="0055373D"/>
    <w:rsid w:val="005576B0"/>
    <w:rsid w:val="00562C9D"/>
    <w:rsid w:val="00567106"/>
    <w:rsid w:val="005679B7"/>
    <w:rsid w:val="00567E4B"/>
    <w:rsid w:val="00573B4B"/>
    <w:rsid w:val="00580833"/>
    <w:rsid w:val="005835B7"/>
    <w:rsid w:val="0058600C"/>
    <w:rsid w:val="00592494"/>
    <w:rsid w:val="005A0C07"/>
    <w:rsid w:val="005A0C20"/>
    <w:rsid w:val="005A12DB"/>
    <w:rsid w:val="005A67FD"/>
    <w:rsid w:val="005B2866"/>
    <w:rsid w:val="005B751F"/>
    <w:rsid w:val="005C057A"/>
    <w:rsid w:val="005C4320"/>
    <w:rsid w:val="005C464D"/>
    <w:rsid w:val="005C6962"/>
    <w:rsid w:val="005D0CBF"/>
    <w:rsid w:val="005D328F"/>
    <w:rsid w:val="005D42FB"/>
    <w:rsid w:val="005D6A97"/>
    <w:rsid w:val="005E1D3C"/>
    <w:rsid w:val="005E21D2"/>
    <w:rsid w:val="005F04A5"/>
    <w:rsid w:val="005F1B11"/>
    <w:rsid w:val="00601A35"/>
    <w:rsid w:val="00605B34"/>
    <w:rsid w:val="006061DB"/>
    <w:rsid w:val="00610F05"/>
    <w:rsid w:val="006207D9"/>
    <w:rsid w:val="006209A4"/>
    <w:rsid w:val="00621F89"/>
    <w:rsid w:val="00621FAE"/>
    <w:rsid w:val="00625AE6"/>
    <w:rsid w:val="00632253"/>
    <w:rsid w:val="00634C1F"/>
    <w:rsid w:val="00642714"/>
    <w:rsid w:val="00642895"/>
    <w:rsid w:val="006455CE"/>
    <w:rsid w:val="00645CEE"/>
    <w:rsid w:val="006475E8"/>
    <w:rsid w:val="00654476"/>
    <w:rsid w:val="0065540A"/>
    <w:rsid w:val="00655841"/>
    <w:rsid w:val="00665D7B"/>
    <w:rsid w:val="00666416"/>
    <w:rsid w:val="00667928"/>
    <w:rsid w:val="0067024C"/>
    <w:rsid w:val="00671A21"/>
    <w:rsid w:val="0068239D"/>
    <w:rsid w:val="00687C2F"/>
    <w:rsid w:val="00690AFD"/>
    <w:rsid w:val="0069194C"/>
    <w:rsid w:val="006945BD"/>
    <w:rsid w:val="006A4306"/>
    <w:rsid w:val="006B03EA"/>
    <w:rsid w:val="006B1984"/>
    <w:rsid w:val="006B4A17"/>
    <w:rsid w:val="006B4A1C"/>
    <w:rsid w:val="006B6767"/>
    <w:rsid w:val="006C293D"/>
    <w:rsid w:val="006C2D1F"/>
    <w:rsid w:val="006C3ABF"/>
    <w:rsid w:val="006C3B50"/>
    <w:rsid w:val="006C4249"/>
    <w:rsid w:val="006C5FF9"/>
    <w:rsid w:val="006C63C8"/>
    <w:rsid w:val="006D0E78"/>
    <w:rsid w:val="006E27BE"/>
    <w:rsid w:val="006E3E47"/>
    <w:rsid w:val="006E6D81"/>
    <w:rsid w:val="006E7EE5"/>
    <w:rsid w:val="006F2FFF"/>
    <w:rsid w:val="006F79B3"/>
    <w:rsid w:val="00701517"/>
    <w:rsid w:val="00701B7C"/>
    <w:rsid w:val="00703EB9"/>
    <w:rsid w:val="0070679D"/>
    <w:rsid w:val="00707033"/>
    <w:rsid w:val="007123E5"/>
    <w:rsid w:val="00715A45"/>
    <w:rsid w:val="00716346"/>
    <w:rsid w:val="00720E7C"/>
    <w:rsid w:val="00724B80"/>
    <w:rsid w:val="00731243"/>
    <w:rsid w:val="00732BA3"/>
    <w:rsid w:val="00732CEB"/>
    <w:rsid w:val="00733017"/>
    <w:rsid w:val="00734319"/>
    <w:rsid w:val="00734863"/>
    <w:rsid w:val="0073512A"/>
    <w:rsid w:val="00737E12"/>
    <w:rsid w:val="00741950"/>
    <w:rsid w:val="00741F30"/>
    <w:rsid w:val="0074255D"/>
    <w:rsid w:val="00743B5B"/>
    <w:rsid w:val="00744A0D"/>
    <w:rsid w:val="00750AC5"/>
    <w:rsid w:val="00751ECC"/>
    <w:rsid w:val="0075411E"/>
    <w:rsid w:val="007652EF"/>
    <w:rsid w:val="00766FDF"/>
    <w:rsid w:val="00770F4E"/>
    <w:rsid w:val="0077213D"/>
    <w:rsid w:val="00783310"/>
    <w:rsid w:val="007843AE"/>
    <w:rsid w:val="00797D2B"/>
    <w:rsid w:val="007A0729"/>
    <w:rsid w:val="007A4A6D"/>
    <w:rsid w:val="007A6F7E"/>
    <w:rsid w:val="007A7DB3"/>
    <w:rsid w:val="007B233B"/>
    <w:rsid w:val="007B4866"/>
    <w:rsid w:val="007B711A"/>
    <w:rsid w:val="007C1E1C"/>
    <w:rsid w:val="007C75BA"/>
    <w:rsid w:val="007D1BCF"/>
    <w:rsid w:val="007D3DB4"/>
    <w:rsid w:val="007D4C9E"/>
    <w:rsid w:val="007D75CF"/>
    <w:rsid w:val="007E0440"/>
    <w:rsid w:val="007E22A0"/>
    <w:rsid w:val="007E244B"/>
    <w:rsid w:val="007E4F2E"/>
    <w:rsid w:val="007E511C"/>
    <w:rsid w:val="007E5E7D"/>
    <w:rsid w:val="007E6DC5"/>
    <w:rsid w:val="007E796A"/>
    <w:rsid w:val="007F12AA"/>
    <w:rsid w:val="007F3201"/>
    <w:rsid w:val="007F5ADC"/>
    <w:rsid w:val="0080474A"/>
    <w:rsid w:val="00817612"/>
    <w:rsid w:val="00827EAF"/>
    <w:rsid w:val="00834DA1"/>
    <w:rsid w:val="00835ADB"/>
    <w:rsid w:val="00842522"/>
    <w:rsid w:val="00844BAB"/>
    <w:rsid w:val="008477F4"/>
    <w:rsid w:val="00847DE1"/>
    <w:rsid w:val="00853F26"/>
    <w:rsid w:val="00854352"/>
    <w:rsid w:val="008555A6"/>
    <w:rsid w:val="0086013D"/>
    <w:rsid w:val="008711BF"/>
    <w:rsid w:val="00874E9F"/>
    <w:rsid w:val="00875866"/>
    <w:rsid w:val="00875C84"/>
    <w:rsid w:val="0088043C"/>
    <w:rsid w:val="00882A36"/>
    <w:rsid w:val="0088398D"/>
    <w:rsid w:val="00884889"/>
    <w:rsid w:val="00885BD1"/>
    <w:rsid w:val="00887382"/>
    <w:rsid w:val="00890186"/>
    <w:rsid w:val="008906C9"/>
    <w:rsid w:val="00893440"/>
    <w:rsid w:val="00893B90"/>
    <w:rsid w:val="00897921"/>
    <w:rsid w:val="008B193E"/>
    <w:rsid w:val="008B5B1B"/>
    <w:rsid w:val="008B68D3"/>
    <w:rsid w:val="008C5738"/>
    <w:rsid w:val="008D04F0"/>
    <w:rsid w:val="008D0D1A"/>
    <w:rsid w:val="008E2C62"/>
    <w:rsid w:val="008E7FAE"/>
    <w:rsid w:val="008F3500"/>
    <w:rsid w:val="008F7610"/>
    <w:rsid w:val="008F76F6"/>
    <w:rsid w:val="009006E1"/>
    <w:rsid w:val="0090307A"/>
    <w:rsid w:val="0090420F"/>
    <w:rsid w:val="009060A4"/>
    <w:rsid w:val="00906C5F"/>
    <w:rsid w:val="009109E6"/>
    <w:rsid w:val="009200C4"/>
    <w:rsid w:val="009232FE"/>
    <w:rsid w:val="00924E3C"/>
    <w:rsid w:val="00925309"/>
    <w:rsid w:val="009412D1"/>
    <w:rsid w:val="00946F31"/>
    <w:rsid w:val="00947ADB"/>
    <w:rsid w:val="00947D36"/>
    <w:rsid w:val="00955EAB"/>
    <w:rsid w:val="009575CD"/>
    <w:rsid w:val="00960580"/>
    <w:rsid w:val="009612BB"/>
    <w:rsid w:val="0096198C"/>
    <w:rsid w:val="00965570"/>
    <w:rsid w:val="00967A28"/>
    <w:rsid w:val="00973541"/>
    <w:rsid w:val="00973643"/>
    <w:rsid w:val="009776E7"/>
    <w:rsid w:val="009813E5"/>
    <w:rsid w:val="009835E6"/>
    <w:rsid w:val="00991E24"/>
    <w:rsid w:val="009A002A"/>
    <w:rsid w:val="009A0226"/>
    <w:rsid w:val="009B6002"/>
    <w:rsid w:val="009B7048"/>
    <w:rsid w:val="009B7A28"/>
    <w:rsid w:val="009C041D"/>
    <w:rsid w:val="009C1A41"/>
    <w:rsid w:val="009C740A"/>
    <w:rsid w:val="009D5B01"/>
    <w:rsid w:val="009D753E"/>
    <w:rsid w:val="009E00AA"/>
    <w:rsid w:val="009E2B9C"/>
    <w:rsid w:val="009E50C1"/>
    <w:rsid w:val="009E6FBC"/>
    <w:rsid w:val="009F0385"/>
    <w:rsid w:val="009F5111"/>
    <w:rsid w:val="009F581F"/>
    <w:rsid w:val="009F7B6C"/>
    <w:rsid w:val="00A10920"/>
    <w:rsid w:val="00A11EEF"/>
    <w:rsid w:val="00A125C5"/>
    <w:rsid w:val="00A15D64"/>
    <w:rsid w:val="00A23B42"/>
    <w:rsid w:val="00A2451C"/>
    <w:rsid w:val="00A259DC"/>
    <w:rsid w:val="00A31350"/>
    <w:rsid w:val="00A33072"/>
    <w:rsid w:val="00A35D47"/>
    <w:rsid w:val="00A409F2"/>
    <w:rsid w:val="00A501A2"/>
    <w:rsid w:val="00A65EE7"/>
    <w:rsid w:val="00A70133"/>
    <w:rsid w:val="00A770A6"/>
    <w:rsid w:val="00A7788D"/>
    <w:rsid w:val="00A813B1"/>
    <w:rsid w:val="00A91290"/>
    <w:rsid w:val="00A93024"/>
    <w:rsid w:val="00A94469"/>
    <w:rsid w:val="00A95315"/>
    <w:rsid w:val="00A964C4"/>
    <w:rsid w:val="00AA1865"/>
    <w:rsid w:val="00AA26E1"/>
    <w:rsid w:val="00AA2C40"/>
    <w:rsid w:val="00AA303A"/>
    <w:rsid w:val="00AB035F"/>
    <w:rsid w:val="00AB36C4"/>
    <w:rsid w:val="00AB7D50"/>
    <w:rsid w:val="00AC1A74"/>
    <w:rsid w:val="00AC32B2"/>
    <w:rsid w:val="00AC3584"/>
    <w:rsid w:val="00AC3CD8"/>
    <w:rsid w:val="00AD5C06"/>
    <w:rsid w:val="00AD642A"/>
    <w:rsid w:val="00AD7E84"/>
    <w:rsid w:val="00AE5906"/>
    <w:rsid w:val="00AE78FF"/>
    <w:rsid w:val="00AF1A0E"/>
    <w:rsid w:val="00AF2250"/>
    <w:rsid w:val="00AF6747"/>
    <w:rsid w:val="00B02E28"/>
    <w:rsid w:val="00B03805"/>
    <w:rsid w:val="00B056B3"/>
    <w:rsid w:val="00B07CF5"/>
    <w:rsid w:val="00B17141"/>
    <w:rsid w:val="00B202F6"/>
    <w:rsid w:val="00B31575"/>
    <w:rsid w:val="00B327EF"/>
    <w:rsid w:val="00B36D0E"/>
    <w:rsid w:val="00B5647E"/>
    <w:rsid w:val="00B60D1C"/>
    <w:rsid w:val="00B631B4"/>
    <w:rsid w:val="00B75357"/>
    <w:rsid w:val="00B76240"/>
    <w:rsid w:val="00B80D96"/>
    <w:rsid w:val="00B831F8"/>
    <w:rsid w:val="00B839A5"/>
    <w:rsid w:val="00B84305"/>
    <w:rsid w:val="00B8547D"/>
    <w:rsid w:val="00B868CA"/>
    <w:rsid w:val="00B86F84"/>
    <w:rsid w:val="00B94813"/>
    <w:rsid w:val="00B95236"/>
    <w:rsid w:val="00BA3694"/>
    <w:rsid w:val="00BA4568"/>
    <w:rsid w:val="00BA4D70"/>
    <w:rsid w:val="00BB02FC"/>
    <w:rsid w:val="00BB05AE"/>
    <w:rsid w:val="00BB0D89"/>
    <w:rsid w:val="00BB0E9E"/>
    <w:rsid w:val="00BB440B"/>
    <w:rsid w:val="00BC2B90"/>
    <w:rsid w:val="00BC522E"/>
    <w:rsid w:val="00BC58B4"/>
    <w:rsid w:val="00BC7C26"/>
    <w:rsid w:val="00BD0978"/>
    <w:rsid w:val="00BD3CD1"/>
    <w:rsid w:val="00BD7730"/>
    <w:rsid w:val="00BE029C"/>
    <w:rsid w:val="00BE6BD9"/>
    <w:rsid w:val="00BF27B7"/>
    <w:rsid w:val="00BF59CC"/>
    <w:rsid w:val="00C075D8"/>
    <w:rsid w:val="00C1155B"/>
    <w:rsid w:val="00C1187F"/>
    <w:rsid w:val="00C164AB"/>
    <w:rsid w:val="00C250D5"/>
    <w:rsid w:val="00C31BA3"/>
    <w:rsid w:val="00C325AA"/>
    <w:rsid w:val="00C339B5"/>
    <w:rsid w:val="00C33A83"/>
    <w:rsid w:val="00C33B4C"/>
    <w:rsid w:val="00C35666"/>
    <w:rsid w:val="00C36C5B"/>
    <w:rsid w:val="00C3713D"/>
    <w:rsid w:val="00C40142"/>
    <w:rsid w:val="00C40313"/>
    <w:rsid w:val="00C409DD"/>
    <w:rsid w:val="00C41763"/>
    <w:rsid w:val="00C41DF2"/>
    <w:rsid w:val="00C42E72"/>
    <w:rsid w:val="00C43B1E"/>
    <w:rsid w:val="00C46D33"/>
    <w:rsid w:val="00C51555"/>
    <w:rsid w:val="00C51DE1"/>
    <w:rsid w:val="00C54B67"/>
    <w:rsid w:val="00C55468"/>
    <w:rsid w:val="00C62E69"/>
    <w:rsid w:val="00C64F3D"/>
    <w:rsid w:val="00C655BB"/>
    <w:rsid w:val="00C65955"/>
    <w:rsid w:val="00C70836"/>
    <w:rsid w:val="00C7736E"/>
    <w:rsid w:val="00C776E3"/>
    <w:rsid w:val="00C8002F"/>
    <w:rsid w:val="00C82654"/>
    <w:rsid w:val="00C82667"/>
    <w:rsid w:val="00C841D5"/>
    <w:rsid w:val="00C84F5C"/>
    <w:rsid w:val="00C90092"/>
    <w:rsid w:val="00C92898"/>
    <w:rsid w:val="00C93C47"/>
    <w:rsid w:val="00C9406A"/>
    <w:rsid w:val="00C94567"/>
    <w:rsid w:val="00C94E0B"/>
    <w:rsid w:val="00C96F44"/>
    <w:rsid w:val="00CA3C17"/>
    <w:rsid w:val="00CA4340"/>
    <w:rsid w:val="00CA5025"/>
    <w:rsid w:val="00CA5340"/>
    <w:rsid w:val="00CB7422"/>
    <w:rsid w:val="00CB7832"/>
    <w:rsid w:val="00CC7758"/>
    <w:rsid w:val="00CD4BC8"/>
    <w:rsid w:val="00CD7425"/>
    <w:rsid w:val="00CD76AC"/>
    <w:rsid w:val="00CE1F51"/>
    <w:rsid w:val="00CE41F2"/>
    <w:rsid w:val="00CE5238"/>
    <w:rsid w:val="00CE7514"/>
    <w:rsid w:val="00CF14FC"/>
    <w:rsid w:val="00CF2526"/>
    <w:rsid w:val="00CF26E4"/>
    <w:rsid w:val="00CF2D45"/>
    <w:rsid w:val="00D00428"/>
    <w:rsid w:val="00D026F7"/>
    <w:rsid w:val="00D061DF"/>
    <w:rsid w:val="00D06EEF"/>
    <w:rsid w:val="00D077D2"/>
    <w:rsid w:val="00D100D7"/>
    <w:rsid w:val="00D12D8A"/>
    <w:rsid w:val="00D20598"/>
    <w:rsid w:val="00D20946"/>
    <w:rsid w:val="00D248DE"/>
    <w:rsid w:val="00D254C8"/>
    <w:rsid w:val="00D37F81"/>
    <w:rsid w:val="00D507AA"/>
    <w:rsid w:val="00D61AA1"/>
    <w:rsid w:val="00D625E2"/>
    <w:rsid w:val="00D631B6"/>
    <w:rsid w:val="00D652C6"/>
    <w:rsid w:val="00D70468"/>
    <w:rsid w:val="00D7113D"/>
    <w:rsid w:val="00D7602F"/>
    <w:rsid w:val="00D76146"/>
    <w:rsid w:val="00D7680D"/>
    <w:rsid w:val="00D8269D"/>
    <w:rsid w:val="00D84962"/>
    <w:rsid w:val="00D8542D"/>
    <w:rsid w:val="00D879FF"/>
    <w:rsid w:val="00D87D8F"/>
    <w:rsid w:val="00D93D68"/>
    <w:rsid w:val="00D94F5D"/>
    <w:rsid w:val="00D9743B"/>
    <w:rsid w:val="00D97755"/>
    <w:rsid w:val="00DA083C"/>
    <w:rsid w:val="00DA1902"/>
    <w:rsid w:val="00DA210B"/>
    <w:rsid w:val="00DB0F86"/>
    <w:rsid w:val="00DB148E"/>
    <w:rsid w:val="00DB2B59"/>
    <w:rsid w:val="00DB2E8B"/>
    <w:rsid w:val="00DB4E49"/>
    <w:rsid w:val="00DB528F"/>
    <w:rsid w:val="00DB6869"/>
    <w:rsid w:val="00DB7C7C"/>
    <w:rsid w:val="00DC066E"/>
    <w:rsid w:val="00DC6A71"/>
    <w:rsid w:val="00DC7635"/>
    <w:rsid w:val="00DD0AB4"/>
    <w:rsid w:val="00DD15AA"/>
    <w:rsid w:val="00DD3354"/>
    <w:rsid w:val="00DE2AED"/>
    <w:rsid w:val="00DE72E5"/>
    <w:rsid w:val="00DF468B"/>
    <w:rsid w:val="00DF4D6B"/>
    <w:rsid w:val="00DF6379"/>
    <w:rsid w:val="00DF721C"/>
    <w:rsid w:val="00DF795E"/>
    <w:rsid w:val="00DF7DEA"/>
    <w:rsid w:val="00E007CD"/>
    <w:rsid w:val="00E0357D"/>
    <w:rsid w:val="00E03EDD"/>
    <w:rsid w:val="00E04BCB"/>
    <w:rsid w:val="00E13B8A"/>
    <w:rsid w:val="00E178C5"/>
    <w:rsid w:val="00E20561"/>
    <w:rsid w:val="00E20F95"/>
    <w:rsid w:val="00E22DF0"/>
    <w:rsid w:val="00E25A0B"/>
    <w:rsid w:val="00E327CA"/>
    <w:rsid w:val="00E34ECC"/>
    <w:rsid w:val="00E376C7"/>
    <w:rsid w:val="00E443E3"/>
    <w:rsid w:val="00E46A19"/>
    <w:rsid w:val="00E518DE"/>
    <w:rsid w:val="00E546B0"/>
    <w:rsid w:val="00E552E3"/>
    <w:rsid w:val="00E55C24"/>
    <w:rsid w:val="00E609D8"/>
    <w:rsid w:val="00E62C2E"/>
    <w:rsid w:val="00E6325E"/>
    <w:rsid w:val="00E6375F"/>
    <w:rsid w:val="00E777B4"/>
    <w:rsid w:val="00E81935"/>
    <w:rsid w:val="00E8298B"/>
    <w:rsid w:val="00E87C20"/>
    <w:rsid w:val="00E91D2A"/>
    <w:rsid w:val="00E92B8F"/>
    <w:rsid w:val="00EA066C"/>
    <w:rsid w:val="00EB6D6E"/>
    <w:rsid w:val="00EB7C70"/>
    <w:rsid w:val="00EB7DEA"/>
    <w:rsid w:val="00EC27F0"/>
    <w:rsid w:val="00EC2B6E"/>
    <w:rsid w:val="00EC70B0"/>
    <w:rsid w:val="00ED0A78"/>
    <w:rsid w:val="00ED1C3E"/>
    <w:rsid w:val="00ED20B3"/>
    <w:rsid w:val="00ED5720"/>
    <w:rsid w:val="00EE0E20"/>
    <w:rsid w:val="00EE2864"/>
    <w:rsid w:val="00EE3C46"/>
    <w:rsid w:val="00EE47CC"/>
    <w:rsid w:val="00EE7271"/>
    <w:rsid w:val="00EE7654"/>
    <w:rsid w:val="00EF0D92"/>
    <w:rsid w:val="00EF0DE7"/>
    <w:rsid w:val="00EF1003"/>
    <w:rsid w:val="00EF2D53"/>
    <w:rsid w:val="00EF7961"/>
    <w:rsid w:val="00EF79A3"/>
    <w:rsid w:val="00F02FCF"/>
    <w:rsid w:val="00F03002"/>
    <w:rsid w:val="00F03620"/>
    <w:rsid w:val="00F03CC7"/>
    <w:rsid w:val="00F07E05"/>
    <w:rsid w:val="00F10B8A"/>
    <w:rsid w:val="00F11A80"/>
    <w:rsid w:val="00F17C1B"/>
    <w:rsid w:val="00F20CE2"/>
    <w:rsid w:val="00F22F09"/>
    <w:rsid w:val="00F230CC"/>
    <w:rsid w:val="00F240BB"/>
    <w:rsid w:val="00F312F4"/>
    <w:rsid w:val="00F31FA3"/>
    <w:rsid w:val="00F32F13"/>
    <w:rsid w:val="00F445E4"/>
    <w:rsid w:val="00F554ED"/>
    <w:rsid w:val="00F55F91"/>
    <w:rsid w:val="00F57FED"/>
    <w:rsid w:val="00F61931"/>
    <w:rsid w:val="00F63BEC"/>
    <w:rsid w:val="00F67D02"/>
    <w:rsid w:val="00F67D17"/>
    <w:rsid w:val="00F74A2A"/>
    <w:rsid w:val="00F7756E"/>
    <w:rsid w:val="00F80F29"/>
    <w:rsid w:val="00F81DD7"/>
    <w:rsid w:val="00F82CDA"/>
    <w:rsid w:val="00F94140"/>
    <w:rsid w:val="00F9534B"/>
    <w:rsid w:val="00F958F6"/>
    <w:rsid w:val="00FA10EC"/>
    <w:rsid w:val="00FA1D4C"/>
    <w:rsid w:val="00FA6402"/>
    <w:rsid w:val="00FA6699"/>
    <w:rsid w:val="00FA7BD1"/>
    <w:rsid w:val="00FB0BD8"/>
    <w:rsid w:val="00FB0E32"/>
    <w:rsid w:val="00FB2C79"/>
    <w:rsid w:val="00FB3AC2"/>
    <w:rsid w:val="00FB7131"/>
    <w:rsid w:val="00FB7E14"/>
    <w:rsid w:val="00FC2806"/>
    <w:rsid w:val="00FD0F9D"/>
    <w:rsid w:val="00FD3AD5"/>
    <w:rsid w:val="00FD3EBF"/>
    <w:rsid w:val="00FD67EB"/>
    <w:rsid w:val="00FD6A2C"/>
    <w:rsid w:val="00FE0B11"/>
    <w:rsid w:val="00FE397A"/>
    <w:rsid w:val="00FE3D49"/>
    <w:rsid w:val="00FE4542"/>
    <w:rsid w:val="00FE478E"/>
    <w:rsid w:val="00FE6591"/>
    <w:rsid w:val="00FF0E86"/>
    <w:rsid w:val="00FF2B5F"/>
    <w:rsid w:val="00FF3096"/>
    <w:rsid w:val="00FF423E"/>
    <w:rsid w:val="00FF52EC"/>
    <w:rsid w:val="00FF68BC"/>
    <w:rsid w:val="00FF7082"/>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91DE919"/>
  <w15:chartTrackingRefBased/>
  <w15:docId w15:val="{AE09003E-5772-4686-A50B-870A2305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22A0"/>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E546B0"/>
    <w:pPr>
      <w:keepNext/>
      <w:spacing w:before="240" w:after="60"/>
      <w:jc w:val="both"/>
      <w:outlineLvl w:val="0"/>
    </w:pPr>
    <w:rPr>
      <w:rFonts w:eastAsiaTheme="majorEastAsia" w:cs="Arial"/>
      <w:color w:val="2F5496" w:themeColor="accent1" w:themeShade="BF"/>
      <w:kern w:val="32"/>
      <w:sz w:val="24"/>
      <w:lang w:val="sl-SI" w:eastAsia="sl-SI"/>
    </w:rPr>
  </w:style>
  <w:style w:type="paragraph" w:styleId="Naslov2">
    <w:name w:val="heading 2"/>
    <w:basedOn w:val="Navaden"/>
    <w:next w:val="Navaden"/>
    <w:link w:val="Naslov2Znak"/>
    <w:uiPriority w:val="9"/>
    <w:semiHidden/>
    <w:unhideWhenUsed/>
    <w:qFormat/>
    <w:rsid w:val="005467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1E778A"/>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semiHidden/>
    <w:unhideWhenUsed/>
    <w:qFormat/>
    <w:rsid w:val="00546733"/>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54673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uiPriority w:val="9"/>
    <w:rsid w:val="00E546B0"/>
    <w:rPr>
      <w:rFonts w:ascii="Arial" w:eastAsiaTheme="majorEastAsia" w:hAnsi="Arial" w:cs="Arial"/>
      <w:color w:val="2F5496" w:themeColor="accent1" w:themeShade="BF"/>
      <w:kern w:val="32"/>
      <w:sz w:val="24"/>
      <w:szCs w:val="24"/>
    </w:rPr>
  </w:style>
  <w:style w:type="paragraph" w:styleId="Naslov">
    <w:name w:val="Title"/>
    <w:basedOn w:val="Navaden"/>
    <w:next w:val="Navaden"/>
    <w:link w:val="NaslovZnak"/>
    <w:uiPriority w:val="10"/>
    <w:qFormat/>
    <w:rsid w:val="00AF1A0E"/>
    <w:pPr>
      <w:spacing w:before="240" w:after="60"/>
      <w:jc w:val="center"/>
      <w:outlineLvl w:val="0"/>
    </w:pPr>
    <w:rPr>
      <w:rFonts w:ascii="Calibri Light" w:hAnsi="Calibri Light"/>
      <w:b/>
      <w:bCs/>
      <w:kern w:val="28"/>
      <w:sz w:val="32"/>
      <w:szCs w:val="32"/>
    </w:rPr>
  </w:style>
  <w:style w:type="character" w:customStyle="1" w:styleId="NaslovZnak">
    <w:name w:val="Naslov Znak"/>
    <w:link w:val="Naslov"/>
    <w:uiPriority w:val="10"/>
    <w:rsid w:val="00AF1A0E"/>
    <w:rPr>
      <w:rFonts w:ascii="Calibri Light" w:eastAsia="Times New Roman" w:hAnsi="Calibri Light" w:cs="Times New Roman"/>
      <w:b/>
      <w:bCs/>
      <w:kern w:val="28"/>
      <w:sz w:val="32"/>
      <w:szCs w:val="32"/>
      <w:lang w:val="en-US" w:eastAsia="en-US"/>
    </w:rPr>
  </w:style>
  <w:style w:type="paragraph" w:styleId="NaslovTOC">
    <w:name w:val="TOC Heading"/>
    <w:basedOn w:val="Naslov1"/>
    <w:next w:val="Navaden"/>
    <w:uiPriority w:val="39"/>
    <w:unhideWhenUsed/>
    <w:qFormat/>
    <w:rsid w:val="00AF1A0E"/>
    <w:pPr>
      <w:keepLines/>
      <w:spacing w:after="0" w:line="259" w:lineRule="auto"/>
      <w:outlineLvl w:val="9"/>
    </w:pPr>
    <w:rPr>
      <w:rFonts w:ascii="Calibri Light" w:hAnsi="Calibri Light"/>
      <w:b/>
      <w:color w:val="2F5496"/>
      <w:kern w:val="0"/>
      <w14:textFill>
        <w14:solidFill>
          <w14:srgbClr w14:val="2F5496">
            <w14:lumMod w14:val="75000"/>
          </w14:srgbClr>
        </w14:solidFill>
      </w14:textFill>
    </w:rPr>
  </w:style>
  <w:style w:type="paragraph" w:styleId="Kazalovsebine1">
    <w:name w:val="toc 1"/>
    <w:basedOn w:val="Navaden"/>
    <w:next w:val="Navaden"/>
    <w:autoRedefine/>
    <w:uiPriority w:val="39"/>
    <w:unhideWhenUsed/>
    <w:rsid w:val="00AF1A0E"/>
  </w:style>
  <w:style w:type="paragraph" w:styleId="Podnaslov">
    <w:name w:val="Subtitle"/>
    <w:basedOn w:val="Navaden"/>
    <w:next w:val="Navaden"/>
    <w:link w:val="PodnaslovZnak"/>
    <w:uiPriority w:val="11"/>
    <w:qFormat/>
    <w:rsid w:val="00AF1A0E"/>
    <w:pPr>
      <w:spacing w:after="60"/>
      <w:jc w:val="center"/>
      <w:outlineLvl w:val="1"/>
    </w:pPr>
    <w:rPr>
      <w:rFonts w:ascii="Calibri Light" w:hAnsi="Calibri Light"/>
      <w:sz w:val="24"/>
    </w:rPr>
  </w:style>
  <w:style w:type="character" w:customStyle="1" w:styleId="PodnaslovZnak">
    <w:name w:val="Podnaslov Znak"/>
    <w:link w:val="Podnaslov"/>
    <w:uiPriority w:val="11"/>
    <w:rsid w:val="00AF1A0E"/>
    <w:rPr>
      <w:rFonts w:ascii="Calibri Light" w:eastAsia="Times New Roman" w:hAnsi="Calibri Light" w:cs="Times New Roman"/>
      <w:sz w:val="24"/>
      <w:szCs w:val="24"/>
      <w:lang w:val="en-US" w:eastAsia="en-US"/>
    </w:rPr>
  </w:style>
  <w:style w:type="paragraph" w:styleId="Besedilooblaka">
    <w:name w:val="Balloon Text"/>
    <w:basedOn w:val="Navaden"/>
    <w:link w:val="BesedilooblakaZnak"/>
    <w:uiPriority w:val="99"/>
    <w:semiHidden/>
    <w:unhideWhenUsed/>
    <w:rsid w:val="004D5FC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5FCC"/>
    <w:rPr>
      <w:rFonts w:ascii="Segoe UI" w:hAnsi="Segoe UI" w:cs="Segoe UI"/>
      <w:sz w:val="18"/>
      <w:szCs w:val="18"/>
      <w:lang w:val="en-US" w:eastAsia="en-US"/>
    </w:rPr>
  </w:style>
  <w:style w:type="character" w:styleId="Pripombasklic">
    <w:name w:val="annotation reference"/>
    <w:basedOn w:val="Privzetapisavaodstavka"/>
    <w:uiPriority w:val="99"/>
    <w:semiHidden/>
    <w:unhideWhenUsed/>
    <w:rsid w:val="004D5FCC"/>
    <w:rPr>
      <w:sz w:val="16"/>
      <w:szCs w:val="16"/>
    </w:rPr>
  </w:style>
  <w:style w:type="paragraph" w:styleId="Pripombabesedilo">
    <w:name w:val="annotation text"/>
    <w:basedOn w:val="Navaden"/>
    <w:link w:val="PripombabesediloZnak"/>
    <w:uiPriority w:val="99"/>
    <w:unhideWhenUsed/>
    <w:rsid w:val="004D5FCC"/>
    <w:rPr>
      <w:szCs w:val="20"/>
    </w:rPr>
  </w:style>
  <w:style w:type="character" w:customStyle="1" w:styleId="PripombabesediloZnak">
    <w:name w:val="Pripomba – besedilo Znak"/>
    <w:basedOn w:val="Privzetapisavaodstavka"/>
    <w:link w:val="Pripombabesedilo"/>
    <w:uiPriority w:val="99"/>
    <w:rsid w:val="004D5FCC"/>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4D5FCC"/>
    <w:rPr>
      <w:b/>
      <w:bCs/>
    </w:rPr>
  </w:style>
  <w:style w:type="character" w:customStyle="1" w:styleId="ZadevapripombeZnak">
    <w:name w:val="Zadeva pripombe Znak"/>
    <w:basedOn w:val="PripombabesediloZnak"/>
    <w:link w:val="Zadevapripombe"/>
    <w:uiPriority w:val="99"/>
    <w:semiHidden/>
    <w:rsid w:val="004D5FCC"/>
    <w:rPr>
      <w:rFonts w:ascii="Arial" w:hAnsi="Arial"/>
      <w:b/>
      <w:bCs/>
      <w:lang w:val="en-US" w:eastAsia="en-US"/>
    </w:rPr>
  </w:style>
  <w:style w:type="paragraph" w:styleId="Kazalovsebine2">
    <w:name w:val="toc 2"/>
    <w:basedOn w:val="Navaden"/>
    <w:next w:val="Navaden"/>
    <w:autoRedefine/>
    <w:uiPriority w:val="39"/>
    <w:unhideWhenUsed/>
    <w:rsid w:val="004D5FCC"/>
    <w:pPr>
      <w:ind w:left="200"/>
    </w:pPr>
  </w:style>
  <w:style w:type="character" w:customStyle="1" w:styleId="Naslov4Znak">
    <w:name w:val="Naslov 4 Znak"/>
    <w:basedOn w:val="Privzetapisavaodstavka"/>
    <w:link w:val="Naslov4"/>
    <w:uiPriority w:val="9"/>
    <w:semiHidden/>
    <w:rsid w:val="00546733"/>
    <w:rPr>
      <w:rFonts w:asciiTheme="majorHAnsi" w:eastAsiaTheme="majorEastAsia" w:hAnsiTheme="majorHAnsi" w:cstheme="majorBidi"/>
      <w:i/>
      <w:iCs/>
      <w:color w:val="2F5496" w:themeColor="accent1" w:themeShade="BF"/>
      <w:szCs w:val="24"/>
      <w:lang w:val="en-US" w:eastAsia="en-US"/>
    </w:rPr>
  </w:style>
  <w:style w:type="character" w:customStyle="1" w:styleId="Naslov5Znak">
    <w:name w:val="Naslov 5 Znak"/>
    <w:basedOn w:val="Privzetapisavaodstavka"/>
    <w:link w:val="Naslov5"/>
    <w:uiPriority w:val="9"/>
    <w:semiHidden/>
    <w:rsid w:val="00546733"/>
    <w:rPr>
      <w:rFonts w:asciiTheme="majorHAnsi" w:eastAsiaTheme="majorEastAsia" w:hAnsiTheme="majorHAnsi" w:cstheme="majorBidi"/>
      <w:color w:val="2F5496" w:themeColor="accent1" w:themeShade="BF"/>
      <w:szCs w:val="24"/>
      <w:lang w:val="en-US" w:eastAsia="en-US"/>
    </w:rPr>
  </w:style>
  <w:style w:type="character" w:customStyle="1" w:styleId="Naslov2Znak">
    <w:name w:val="Naslov 2 Znak"/>
    <w:basedOn w:val="Privzetapisavaodstavka"/>
    <w:link w:val="Naslov2"/>
    <w:uiPriority w:val="9"/>
    <w:semiHidden/>
    <w:rsid w:val="00546733"/>
    <w:rPr>
      <w:rFonts w:asciiTheme="majorHAnsi" w:eastAsiaTheme="majorEastAsia" w:hAnsiTheme="majorHAnsi" w:cstheme="majorBidi"/>
      <w:color w:val="2F5496" w:themeColor="accent1" w:themeShade="BF"/>
      <w:sz w:val="26"/>
      <w:szCs w:val="26"/>
      <w:lang w:val="en-US" w:eastAsia="en-US"/>
    </w:rPr>
  </w:style>
  <w:style w:type="paragraph" w:styleId="Kazalovsebine4">
    <w:name w:val="toc 4"/>
    <w:basedOn w:val="Navaden"/>
    <w:next w:val="Navaden"/>
    <w:autoRedefine/>
    <w:uiPriority w:val="39"/>
    <w:unhideWhenUsed/>
    <w:rsid w:val="003C7E4E"/>
    <w:pPr>
      <w:spacing w:after="100"/>
      <w:ind w:left="600"/>
    </w:pPr>
  </w:style>
  <w:style w:type="paragraph" w:styleId="Kazalovsebine5">
    <w:name w:val="toc 5"/>
    <w:basedOn w:val="Navaden"/>
    <w:next w:val="Navaden"/>
    <w:autoRedefine/>
    <w:uiPriority w:val="39"/>
    <w:unhideWhenUsed/>
    <w:rsid w:val="003C7E4E"/>
    <w:pPr>
      <w:spacing w:after="100"/>
      <w:ind w:left="800"/>
    </w:pPr>
  </w:style>
  <w:style w:type="character" w:customStyle="1" w:styleId="Naslov3Znak">
    <w:name w:val="Naslov 3 Znak"/>
    <w:basedOn w:val="Privzetapisavaodstavka"/>
    <w:link w:val="Naslov3"/>
    <w:uiPriority w:val="9"/>
    <w:semiHidden/>
    <w:rsid w:val="001E778A"/>
    <w:rPr>
      <w:rFonts w:asciiTheme="majorHAnsi" w:eastAsiaTheme="majorEastAsia" w:hAnsiTheme="majorHAnsi" w:cstheme="majorBidi"/>
      <w:color w:val="1F3763" w:themeColor="accent1" w:themeShade="7F"/>
      <w:sz w:val="24"/>
      <w:szCs w:val="24"/>
      <w:lang w:val="en-US" w:eastAsia="en-US"/>
    </w:rPr>
  </w:style>
  <w:style w:type="paragraph" w:styleId="Kazalovsebine3">
    <w:name w:val="toc 3"/>
    <w:basedOn w:val="Navaden"/>
    <w:next w:val="Navaden"/>
    <w:autoRedefine/>
    <w:uiPriority w:val="39"/>
    <w:unhideWhenUsed/>
    <w:rsid w:val="001E778A"/>
    <w:pPr>
      <w:spacing w:after="100"/>
      <w:ind w:left="400"/>
    </w:pPr>
  </w:style>
  <w:style w:type="paragraph" w:styleId="Sprotnaopomba-besedilo">
    <w:name w:val="footnote text"/>
    <w:basedOn w:val="Navaden"/>
    <w:link w:val="Sprotnaopomba-besediloZnak"/>
    <w:uiPriority w:val="99"/>
    <w:semiHidden/>
    <w:unhideWhenUsed/>
    <w:rsid w:val="007E244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7E244B"/>
    <w:rPr>
      <w:rFonts w:ascii="Arial" w:hAnsi="Arial"/>
      <w:lang w:val="en-US" w:eastAsia="en-US"/>
    </w:rPr>
  </w:style>
  <w:style w:type="character" w:styleId="Sprotnaopomba-sklic">
    <w:name w:val="footnote reference"/>
    <w:basedOn w:val="Privzetapisavaodstavka"/>
    <w:uiPriority w:val="99"/>
    <w:semiHidden/>
    <w:unhideWhenUsed/>
    <w:rsid w:val="007E244B"/>
    <w:rPr>
      <w:vertAlign w:val="superscript"/>
    </w:rPr>
  </w:style>
  <w:style w:type="table" w:customStyle="1" w:styleId="Tabelamrea1">
    <w:name w:val="Tabela – mreža1"/>
    <w:basedOn w:val="Navadnatabela"/>
    <w:next w:val="Tabelamrea"/>
    <w:uiPriority w:val="39"/>
    <w:rsid w:val="00C41D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265BC"/>
    <w:pPr>
      <w:spacing w:after="160" w:line="259" w:lineRule="auto"/>
      <w:ind w:left="720"/>
      <w:contextualSpacing/>
    </w:pPr>
    <w:rPr>
      <w:rFonts w:asciiTheme="minorHAnsi" w:eastAsiaTheme="minorHAnsi" w:hAnsiTheme="minorHAnsi" w:cstheme="minorBidi"/>
      <w:sz w:val="22"/>
      <w:szCs w:val="22"/>
      <w:lang w:val="sl-SI"/>
    </w:rPr>
  </w:style>
  <w:style w:type="paragraph" w:styleId="Navadensplet">
    <w:name w:val="Normal (Web)"/>
    <w:basedOn w:val="Navaden"/>
    <w:uiPriority w:val="99"/>
    <w:unhideWhenUsed/>
    <w:rsid w:val="005265BC"/>
    <w:pPr>
      <w:spacing w:before="100" w:beforeAutospacing="1" w:after="100" w:afterAutospacing="1" w:line="240" w:lineRule="auto"/>
    </w:pPr>
    <w:rPr>
      <w:rFonts w:ascii="Times New Roman" w:hAnsi="Times New Roman"/>
      <w:sz w:val="24"/>
      <w:lang w:val="sl-SI" w:eastAsia="en-GB"/>
    </w:rPr>
  </w:style>
  <w:style w:type="character" w:customStyle="1" w:styleId="apple-converted-space">
    <w:name w:val="apple-converted-space"/>
    <w:basedOn w:val="Privzetapisavaodstavka"/>
    <w:rsid w:val="00D94F5D"/>
  </w:style>
  <w:style w:type="character" w:customStyle="1" w:styleId="Nerazreenaomemba1">
    <w:name w:val="Nerazrešena omemba1"/>
    <w:basedOn w:val="Privzetapisavaodstavka"/>
    <w:uiPriority w:val="99"/>
    <w:semiHidden/>
    <w:unhideWhenUsed/>
    <w:rsid w:val="00FE0B11"/>
    <w:rPr>
      <w:color w:val="605E5C"/>
      <w:shd w:val="clear" w:color="auto" w:fill="E1DFDD"/>
    </w:rPr>
  </w:style>
  <w:style w:type="character" w:styleId="Intenzivenpoudarek">
    <w:name w:val="Intense Emphasis"/>
    <w:basedOn w:val="Privzetapisavaodstavka"/>
    <w:uiPriority w:val="21"/>
    <w:qFormat/>
    <w:rsid w:val="00FE3D49"/>
    <w:rPr>
      <w:i/>
      <w:iCs/>
      <w:color w:val="4472C4" w:themeColor="accent1"/>
    </w:rPr>
  </w:style>
  <w:style w:type="character" w:customStyle="1" w:styleId="NogaZnak">
    <w:name w:val="Noga Znak"/>
    <w:basedOn w:val="Privzetapisavaodstavka"/>
    <w:link w:val="Noga"/>
    <w:uiPriority w:val="99"/>
    <w:rsid w:val="00415FDA"/>
    <w:rPr>
      <w:rFonts w:ascii="Arial" w:hAnsi="Arial"/>
      <w:szCs w:val="24"/>
      <w:lang w:val="en-US" w:eastAsia="en-US"/>
    </w:rPr>
  </w:style>
  <w:style w:type="character" w:styleId="Intenzivensklic">
    <w:name w:val="Intense Reference"/>
    <w:basedOn w:val="Privzetapisavaodstavka"/>
    <w:uiPriority w:val="32"/>
    <w:qFormat/>
    <w:rsid w:val="00AE78FF"/>
    <w:rPr>
      <w:b/>
      <w:bCs/>
      <w:smallCaps/>
      <w:color w:val="4472C4" w:themeColor="accent1"/>
      <w:spacing w:val="5"/>
    </w:rPr>
  </w:style>
  <w:style w:type="character" w:styleId="Neensklic">
    <w:name w:val="Subtle Reference"/>
    <w:basedOn w:val="Privzetapisavaodstavka"/>
    <w:uiPriority w:val="31"/>
    <w:qFormat/>
    <w:rsid w:val="0030448C"/>
    <w:rPr>
      <w:smallCaps/>
      <w:color w:val="5A5A5A" w:themeColor="text1" w:themeTint="A5"/>
    </w:rPr>
  </w:style>
  <w:style w:type="character" w:customStyle="1" w:styleId="ref-journal">
    <w:name w:val="ref-journal"/>
    <w:basedOn w:val="Privzetapisavaodstavka"/>
    <w:rsid w:val="00FF2B5F"/>
  </w:style>
  <w:style w:type="character" w:customStyle="1" w:styleId="ref-vol">
    <w:name w:val="ref-vol"/>
    <w:basedOn w:val="Privzetapisavaodstavka"/>
    <w:rsid w:val="00FF2B5F"/>
  </w:style>
  <w:style w:type="character" w:styleId="Nerazreenaomemba">
    <w:name w:val="Unresolved Mention"/>
    <w:basedOn w:val="Privzetapisavaodstavka"/>
    <w:uiPriority w:val="99"/>
    <w:semiHidden/>
    <w:unhideWhenUsed/>
    <w:rsid w:val="00621F89"/>
    <w:rPr>
      <w:color w:val="605E5C"/>
      <w:shd w:val="clear" w:color="auto" w:fill="E1DFDD"/>
    </w:rPr>
  </w:style>
  <w:style w:type="paragraph" w:styleId="Brezrazmikov">
    <w:name w:val="No Spacing"/>
    <w:uiPriority w:val="1"/>
    <w:qFormat/>
    <w:rsid w:val="000E6CE7"/>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1057">
      <w:bodyDiv w:val="1"/>
      <w:marLeft w:val="0"/>
      <w:marRight w:val="0"/>
      <w:marTop w:val="0"/>
      <w:marBottom w:val="0"/>
      <w:divBdr>
        <w:top w:val="none" w:sz="0" w:space="0" w:color="auto"/>
        <w:left w:val="none" w:sz="0" w:space="0" w:color="auto"/>
        <w:bottom w:val="none" w:sz="0" w:space="0" w:color="auto"/>
        <w:right w:val="none" w:sz="0" w:space="0" w:color="auto"/>
      </w:divBdr>
    </w:div>
    <w:div w:id="701396311">
      <w:bodyDiv w:val="1"/>
      <w:marLeft w:val="0"/>
      <w:marRight w:val="0"/>
      <w:marTop w:val="0"/>
      <w:marBottom w:val="0"/>
      <w:divBdr>
        <w:top w:val="none" w:sz="0" w:space="0" w:color="auto"/>
        <w:left w:val="none" w:sz="0" w:space="0" w:color="auto"/>
        <w:bottom w:val="none" w:sz="0" w:space="0" w:color="auto"/>
        <w:right w:val="none" w:sz="0" w:space="0" w:color="auto"/>
      </w:divBdr>
    </w:div>
    <w:div w:id="1042941871">
      <w:bodyDiv w:val="1"/>
      <w:marLeft w:val="0"/>
      <w:marRight w:val="0"/>
      <w:marTop w:val="0"/>
      <w:marBottom w:val="0"/>
      <w:divBdr>
        <w:top w:val="none" w:sz="0" w:space="0" w:color="auto"/>
        <w:left w:val="none" w:sz="0" w:space="0" w:color="auto"/>
        <w:bottom w:val="none" w:sz="0" w:space="0" w:color="auto"/>
        <w:right w:val="none" w:sz="0" w:space="0" w:color="auto"/>
      </w:divBdr>
      <w:divsChild>
        <w:div w:id="1065760647">
          <w:marLeft w:val="0"/>
          <w:marRight w:val="0"/>
          <w:marTop w:val="0"/>
          <w:marBottom w:val="0"/>
          <w:divBdr>
            <w:top w:val="none" w:sz="0" w:space="0" w:color="auto"/>
            <w:left w:val="none" w:sz="0" w:space="0" w:color="auto"/>
            <w:bottom w:val="none" w:sz="0" w:space="0" w:color="auto"/>
            <w:right w:val="none" w:sz="0" w:space="0" w:color="auto"/>
          </w:divBdr>
          <w:divsChild>
            <w:div w:id="10004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4422">
      <w:bodyDiv w:val="1"/>
      <w:marLeft w:val="0"/>
      <w:marRight w:val="0"/>
      <w:marTop w:val="945"/>
      <w:marBottom w:val="0"/>
      <w:divBdr>
        <w:top w:val="none" w:sz="0" w:space="0" w:color="auto"/>
        <w:left w:val="none" w:sz="0" w:space="0" w:color="auto"/>
        <w:bottom w:val="none" w:sz="0" w:space="0" w:color="auto"/>
        <w:right w:val="none" w:sz="0" w:space="0" w:color="auto"/>
      </w:divBdr>
      <w:divsChild>
        <w:div w:id="1048577480">
          <w:marLeft w:val="0"/>
          <w:marRight w:val="0"/>
          <w:marTop w:val="0"/>
          <w:marBottom w:val="0"/>
          <w:divBdr>
            <w:top w:val="none" w:sz="0" w:space="0" w:color="auto"/>
            <w:left w:val="none" w:sz="0" w:space="0" w:color="auto"/>
            <w:bottom w:val="none" w:sz="0" w:space="0" w:color="auto"/>
            <w:right w:val="none" w:sz="0" w:space="0" w:color="auto"/>
          </w:divBdr>
          <w:divsChild>
            <w:div w:id="1822113167">
              <w:marLeft w:val="0"/>
              <w:marRight w:val="0"/>
              <w:marTop w:val="0"/>
              <w:marBottom w:val="0"/>
              <w:divBdr>
                <w:top w:val="none" w:sz="0" w:space="0" w:color="auto"/>
                <w:left w:val="none" w:sz="0" w:space="0" w:color="auto"/>
                <w:bottom w:val="none" w:sz="0" w:space="0" w:color="auto"/>
                <w:right w:val="none" w:sz="0" w:space="0" w:color="auto"/>
              </w:divBdr>
              <w:divsChild>
                <w:div w:id="145710346">
                  <w:marLeft w:val="0"/>
                  <w:marRight w:val="0"/>
                  <w:marTop w:val="0"/>
                  <w:marBottom w:val="0"/>
                  <w:divBdr>
                    <w:top w:val="none" w:sz="0" w:space="0" w:color="auto"/>
                    <w:left w:val="none" w:sz="0" w:space="0" w:color="auto"/>
                    <w:bottom w:val="none" w:sz="0" w:space="0" w:color="auto"/>
                    <w:right w:val="none" w:sz="0" w:space="0" w:color="auto"/>
                  </w:divBdr>
                  <w:divsChild>
                    <w:div w:id="69233521">
                      <w:marLeft w:val="-225"/>
                      <w:marRight w:val="-225"/>
                      <w:marTop w:val="0"/>
                      <w:marBottom w:val="0"/>
                      <w:divBdr>
                        <w:top w:val="none" w:sz="0" w:space="0" w:color="auto"/>
                        <w:left w:val="none" w:sz="0" w:space="0" w:color="auto"/>
                        <w:bottom w:val="none" w:sz="0" w:space="0" w:color="auto"/>
                        <w:right w:val="none" w:sz="0" w:space="0" w:color="auto"/>
                      </w:divBdr>
                      <w:divsChild>
                        <w:div w:id="1287665598">
                          <w:marLeft w:val="0"/>
                          <w:marRight w:val="0"/>
                          <w:marTop w:val="0"/>
                          <w:marBottom w:val="0"/>
                          <w:divBdr>
                            <w:top w:val="none" w:sz="0" w:space="0" w:color="auto"/>
                            <w:left w:val="none" w:sz="0" w:space="0" w:color="auto"/>
                            <w:bottom w:val="none" w:sz="0" w:space="0" w:color="auto"/>
                            <w:right w:val="none" w:sz="0" w:space="0" w:color="auto"/>
                          </w:divBdr>
                          <w:divsChild>
                            <w:div w:id="180555969">
                              <w:marLeft w:val="-225"/>
                              <w:marRight w:val="-225"/>
                              <w:marTop w:val="0"/>
                              <w:marBottom w:val="0"/>
                              <w:divBdr>
                                <w:top w:val="none" w:sz="0" w:space="0" w:color="auto"/>
                                <w:left w:val="none" w:sz="0" w:space="0" w:color="auto"/>
                                <w:bottom w:val="none" w:sz="0" w:space="0" w:color="auto"/>
                                <w:right w:val="none" w:sz="0" w:space="0" w:color="auto"/>
                              </w:divBdr>
                              <w:divsChild>
                                <w:div w:id="1197355812">
                                  <w:marLeft w:val="0"/>
                                  <w:marRight w:val="0"/>
                                  <w:marTop w:val="0"/>
                                  <w:marBottom w:val="0"/>
                                  <w:divBdr>
                                    <w:top w:val="none" w:sz="0" w:space="0" w:color="auto"/>
                                    <w:left w:val="none" w:sz="0" w:space="0" w:color="auto"/>
                                    <w:bottom w:val="none" w:sz="0" w:space="0" w:color="auto"/>
                                    <w:right w:val="none" w:sz="0" w:space="0" w:color="auto"/>
                                  </w:divBdr>
                                  <w:divsChild>
                                    <w:div w:id="854075443">
                                      <w:marLeft w:val="0"/>
                                      <w:marRight w:val="0"/>
                                      <w:marTop w:val="720"/>
                                      <w:marBottom w:val="0"/>
                                      <w:divBdr>
                                        <w:top w:val="none" w:sz="0" w:space="0" w:color="auto"/>
                                        <w:left w:val="none" w:sz="0" w:space="0" w:color="auto"/>
                                        <w:bottom w:val="none" w:sz="0" w:space="0" w:color="auto"/>
                                        <w:right w:val="none" w:sz="0" w:space="0" w:color="auto"/>
                                      </w:divBdr>
                                      <w:divsChild>
                                        <w:div w:id="1598639147">
                                          <w:marLeft w:val="0"/>
                                          <w:marRight w:val="0"/>
                                          <w:marTop w:val="0"/>
                                          <w:marBottom w:val="0"/>
                                          <w:divBdr>
                                            <w:top w:val="none" w:sz="0" w:space="0" w:color="auto"/>
                                            <w:left w:val="none" w:sz="0" w:space="0" w:color="auto"/>
                                            <w:bottom w:val="none" w:sz="0" w:space="0" w:color="auto"/>
                                            <w:right w:val="none" w:sz="0" w:space="0" w:color="auto"/>
                                          </w:divBdr>
                                        </w:div>
                                        <w:div w:id="4771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359413">
      <w:bodyDiv w:val="1"/>
      <w:marLeft w:val="0"/>
      <w:marRight w:val="0"/>
      <w:marTop w:val="0"/>
      <w:marBottom w:val="0"/>
      <w:divBdr>
        <w:top w:val="none" w:sz="0" w:space="0" w:color="auto"/>
        <w:left w:val="none" w:sz="0" w:space="0" w:color="auto"/>
        <w:bottom w:val="none" w:sz="0" w:space="0" w:color="auto"/>
        <w:right w:val="none" w:sz="0" w:space="0" w:color="auto"/>
      </w:divBdr>
      <w:divsChild>
        <w:div w:id="1567911529">
          <w:marLeft w:val="0"/>
          <w:marRight w:val="0"/>
          <w:marTop w:val="0"/>
          <w:marBottom w:val="0"/>
          <w:divBdr>
            <w:top w:val="none" w:sz="0" w:space="0" w:color="auto"/>
            <w:left w:val="none" w:sz="0" w:space="0" w:color="auto"/>
            <w:bottom w:val="none" w:sz="0" w:space="0" w:color="auto"/>
            <w:right w:val="none" w:sz="0" w:space="0" w:color="auto"/>
          </w:divBdr>
          <w:divsChild>
            <w:div w:id="2006516535">
              <w:marLeft w:val="0"/>
              <w:marRight w:val="0"/>
              <w:marTop w:val="0"/>
              <w:marBottom w:val="0"/>
              <w:divBdr>
                <w:top w:val="none" w:sz="0" w:space="0" w:color="auto"/>
                <w:left w:val="none" w:sz="0" w:space="0" w:color="auto"/>
                <w:bottom w:val="none" w:sz="0" w:space="0" w:color="auto"/>
                <w:right w:val="none" w:sz="0" w:space="0" w:color="auto"/>
              </w:divBdr>
              <w:divsChild>
                <w:div w:id="1864586696">
                  <w:marLeft w:val="0"/>
                  <w:marRight w:val="0"/>
                  <w:marTop w:val="0"/>
                  <w:marBottom w:val="0"/>
                  <w:divBdr>
                    <w:top w:val="none" w:sz="0" w:space="0" w:color="auto"/>
                    <w:left w:val="none" w:sz="0" w:space="0" w:color="auto"/>
                    <w:bottom w:val="none" w:sz="0" w:space="0" w:color="auto"/>
                    <w:right w:val="none" w:sz="0" w:space="0" w:color="auto"/>
                  </w:divBdr>
                  <w:divsChild>
                    <w:div w:id="503399762">
                      <w:marLeft w:val="0"/>
                      <w:marRight w:val="0"/>
                      <w:marTop w:val="0"/>
                      <w:marBottom w:val="0"/>
                      <w:divBdr>
                        <w:top w:val="none" w:sz="0" w:space="0" w:color="auto"/>
                        <w:left w:val="none" w:sz="0" w:space="0" w:color="auto"/>
                        <w:bottom w:val="none" w:sz="0" w:space="0" w:color="auto"/>
                        <w:right w:val="none" w:sz="0" w:space="0" w:color="auto"/>
                      </w:divBdr>
                      <w:divsChild>
                        <w:div w:id="425269571">
                          <w:marLeft w:val="0"/>
                          <w:marRight w:val="0"/>
                          <w:marTop w:val="0"/>
                          <w:marBottom w:val="0"/>
                          <w:divBdr>
                            <w:top w:val="none" w:sz="0" w:space="0" w:color="auto"/>
                            <w:left w:val="none" w:sz="0" w:space="0" w:color="auto"/>
                            <w:bottom w:val="none" w:sz="0" w:space="0" w:color="auto"/>
                            <w:right w:val="none" w:sz="0" w:space="0" w:color="auto"/>
                          </w:divBdr>
                          <w:divsChild>
                            <w:div w:id="219634261">
                              <w:marLeft w:val="0"/>
                              <w:marRight w:val="0"/>
                              <w:marTop w:val="0"/>
                              <w:marBottom w:val="0"/>
                              <w:divBdr>
                                <w:top w:val="none" w:sz="0" w:space="0" w:color="auto"/>
                                <w:left w:val="none" w:sz="0" w:space="0" w:color="auto"/>
                                <w:bottom w:val="none" w:sz="0" w:space="0" w:color="auto"/>
                                <w:right w:val="none" w:sz="0" w:space="0" w:color="auto"/>
                              </w:divBdr>
                              <w:divsChild>
                                <w:div w:id="302078832">
                                  <w:marLeft w:val="0"/>
                                  <w:marRight w:val="0"/>
                                  <w:marTop w:val="0"/>
                                  <w:marBottom w:val="0"/>
                                  <w:divBdr>
                                    <w:top w:val="none" w:sz="0" w:space="0" w:color="auto"/>
                                    <w:left w:val="none" w:sz="0" w:space="0" w:color="auto"/>
                                    <w:bottom w:val="none" w:sz="0" w:space="0" w:color="auto"/>
                                    <w:right w:val="none" w:sz="0" w:space="0" w:color="auto"/>
                                  </w:divBdr>
                                  <w:divsChild>
                                    <w:div w:id="430130211">
                                      <w:marLeft w:val="0"/>
                                      <w:marRight w:val="0"/>
                                      <w:marTop w:val="0"/>
                                      <w:marBottom w:val="0"/>
                                      <w:divBdr>
                                        <w:top w:val="none" w:sz="0" w:space="0" w:color="auto"/>
                                        <w:left w:val="none" w:sz="0" w:space="0" w:color="auto"/>
                                        <w:bottom w:val="none" w:sz="0" w:space="0" w:color="auto"/>
                                        <w:right w:val="none" w:sz="0" w:space="0" w:color="auto"/>
                                      </w:divBdr>
                                      <w:divsChild>
                                        <w:div w:id="614023263">
                                          <w:marLeft w:val="0"/>
                                          <w:marRight w:val="0"/>
                                          <w:marTop w:val="0"/>
                                          <w:marBottom w:val="0"/>
                                          <w:divBdr>
                                            <w:top w:val="none" w:sz="0" w:space="0" w:color="auto"/>
                                            <w:left w:val="none" w:sz="0" w:space="0" w:color="auto"/>
                                            <w:bottom w:val="none" w:sz="0" w:space="0" w:color="auto"/>
                                            <w:right w:val="none" w:sz="0" w:space="0" w:color="auto"/>
                                          </w:divBdr>
                                          <w:divsChild>
                                            <w:div w:id="2043162198">
                                              <w:marLeft w:val="0"/>
                                              <w:marRight w:val="0"/>
                                              <w:marTop w:val="0"/>
                                              <w:marBottom w:val="0"/>
                                              <w:divBdr>
                                                <w:top w:val="none" w:sz="0" w:space="0" w:color="auto"/>
                                                <w:left w:val="none" w:sz="0" w:space="0" w:color="auto"/>
                                                <w:bottom w:val="none" w:sz="0" w:space="0" w:color="auto"/>
                                                <w:right w:val="none" w:sz="0" w:space="0" w:color="auto"/>
                                              </w:divBdr>
                                              <w:divsChild>
                                                <w:div w:id="1866557017">
                                                  <w:marLeft w:val="0"/>
                                                  <w:marRight w:val="0"/>
                                                  <w:marTop w:val="0"/>
                                                  <w:marBottom w:val="0"/>
                                                  <w:divBdr>
                                                    <w:top w:val="none" w:sz="0" w:space="0" w:color="auto"/>
                                                    <w:left w:val="none" w:sz="0" w:space="0" w:color="auto"/>
                                                    <w:bottom w:val="single" w:sz="6" w:space="0" w:color="DADCE0"/>
                                                    <w:right w:val="none" w:sz="0" w:space="0" w:color="auto"/>
                                                  </w:divBdr>
                                                  <w:divsChild>
                                                    <w:div w:id="1457872835">
                                                      <w:marLeft w:val="0"/>
                                                      <w:marRight w:val="0"/>
                                                      <w:marTop w:val="0"/>
                                                      <w:marBottom w:val="0"/>
                                                      <w:divBdr>
                                                        <w:top w:val="none" w:sz="0" w:space="0" w:color="auto"/>
                                                        <w:left w:val="none" w:sz="0" w:space="0" w:color="auto"/>
                                                        <w:bottom w:val="none" w:sz="0" w:space="0" w:color="auto"/>
                                                        <w:right w:val="none" w:sz="0" w:space="0" w:color="auto"/>
                                                      </w:divBdr>
                                                      <w:divsChild>
                                                        <w:div w:id="2118987391">
                                                          <w:marLeft w:val="0"/>
                                                          <w:marRight w:val="0"/>
                                                          <w:marTop w:val="0"/>
                                                          <w:marBottom w:val="0"/>
                                                          <w:divBdr>
                                                            <w:top w:val="none" w:sz="0" w:space="0" w:color="auto"/>
                                                            <w:left w:val="none" w:sz="0" w:space="0" w:color="auto"/>
                                                            <w:bottom w:val="none" w:sz="0" w:space="0" w:color="auto"/>
                                                            <w:right w:val="none" w:sz="0" w:space="0" w:color="auto"/>
                                                          </w:divBdr>
                                                        </w:div>
                                                        <w:div w:id="11316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4681">
                                                  <w:marLeft w:val="0"/>
                                                  <w:marRight w:val="0"/>
                                                  <w:marTop w:val="0"/>
                                                  <w:marBottom w:val="0"/>
                                                  <w:divBdr>
                                                    <w:top w:val="none" w:sz="0" w:space="0" w:color="auto"/>
                                                    <w:left w:val="none" w:sz="0" w:space="0" w:color="auto"/>
                                                    <w:bottom w:val="single" w:sz="6" w:space="0" w:color="DADCE0"/>
                                                    <w:right w:val="none" w:sz="0" w:space="0" w:color="auto"/>
                                                  </w:divBdr>
                                                  <w:divsChild>
                                                    <w:div w:id="743603945">
                                                      <w:marLeft w:val="0"/>
                                                      <w:marRight w:val="0"/>
                                                      <w:marTop w:val="0"/>
                                                      <w:marBottom w:val="0"/>
                                                      <w:divBdr>
                                                        <w:top w:val="none" w:sz="0" w:space="0" w:color="auto"/>
                                                        <w:left w:val="none" w:sz="0" w:space="0" w:color="auto"/>
                                                        <w:bottom w:val="none" w:sz="0" w:space="0" w:color="auto"/>
                                                        <w:right w:val="none" w:sz="0" w:space="0" w:color="auto"/>
                                                      </w:divBdr>
                                                      <w:divsChild>
                                                        <w:div w:id="2098362462">
                                                          <w:marLeft w:val="0"/>
                                                          <w:marRight w:val="0"/>
                                                          <w:marTop w:val="0"/>
                                                          <w:marBottom w:val="0"/>
                                                          <w:divBdr>
                                                            <w:top w:val="none" w:sz="0" w:space="0" w:color="auto"/>
                                                            <w:left w:val="none" w:sz="0" w:space="0" w:color="auto"/>
                                                            <w:bottom w:val="none" w:sz="0" w:space="0" w:color="auto"/>
                                                            <w:right w:val="none" w:sz="0" w:space="0" w:color="auto"/>
                                                          </w:divBdr>
                                                        </w:div>
                                                        <w:div w:id="119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89302">
                                                  <w:marLeft w:val="0"/>
                                                  <w:marRight w:val="0"/>
                                                  <w:marTop w:val="0"/>
                                                  <w:marBottom w:val="0"/>
                                                  <w:divBdr>
                                                    <w:top w:val="none" w:sz="0" w:space="0" w:color="auto"/>
                                                    <w:left w:val="none" w:sz="0" w:space="0" w:color="auto"/>
                                                    <w:bottom w:val="none" w:sz="0" w:space="0" w:color="auto"/>
                                                    <w:right w:val="none" w:sz="0" w:space="0" w:color="auto"/>
                                                  </w:divBdr>
                                                  <w:divsChild>
                                                    <w:div w:id="1275550378">
                                                      <w:marLeft w:val="0"/>
                                                      <w:marRight w:val="0"/>
                                                      <w:marTop w:val="0"/>
                                                      <w:marBottom w:val="0"/>
                                                      <w:divBdr>
                                                        <w:top w:val="none" w:sz="0" w:space="0" w:color="auto"/>
                                                        <w:left w:val="none" w:sz="0" w:space="0" w:color="auto"/>
                                                        <w:bottom w:val="none" w:sz="0" w:space="0" w:color="auto"/>
                                                        <w:right w:val="none" w:sz="0" w:space="0" w:color="auto"/>
                                                      </w:divBdr>
                                                      <w:divsChild>
                                                        <w:div w:id="777869743">
                                                          <w:marLeft w:val="0"/>
                                                          <w:marRight w:val="0"/>
                                                          <w:marTop w:val="0"/>
                                                          <w:marBottom w:val="0"/>
                                                          <w:divBdr>
                                                            <w:top w:val="none" w:sz="0" w:space="0" w:color="auto"/>
                                                            <w:left w:val="none" w:sz="0" w:space="0" w:color="auto"/>
                                                            <w:bottom w:val="none" w:sz="0" w:space="0" w:color="auto"/>
                                                            <w:right w:val="none" w:sz="0" w:space="0" w:color="auto"/>
                                                          </w:divBdr>
                                                        </w:div>
                                                        <w:div w:id="651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0652">
                                                  <w:marLeft w:val="0"/>
                                                  <w:marRight w:val="0"/>
                                                  <w:marTop w:val="0"/>
                                                  <w:marBottom w:val="0"/>
                                                  <w:divBdr>
                                                    <w:top w:val="none" w:sz="0" w:space="0" w:color="auto"/>
                                                    <w:left w:val="none" w:sz="0" w:space="0" w:color="auto"/>
                                                    <w:bottom w:val="none" w:sz="0" w:space="0" w:color="auto"/>
                                                    <w:right w:val="none" w:sz="0" w:space="0" w:color="auto"/>
                                                  </w:divBdr>
                                                  <w:divsChild>
                                                    <w:div w:id="2060786301">
                                                      <w:marLeft w:val="0"/>
                                                      <w:marRight w:val="0"/>
                                                      <w:marTop w:val="0"/>
                                                      <w:marBottom w:val="0"/>
                                                      <w:divBdr>
                                                        <w:top w:val="none" w:sz="0" w:space="0" w:color="auto"/>
                                                        <w:left w:val="none" w:sz="0" w:space="0" w:color="auto"/>
                                                        <w:bottom w:val="none" w:sz="0" w:space="0" w:color="auto"/>
                                                        <w:right w:val="none" w:sz="0" w:space="0" w:color="auto"/>
                                                      </w:divBdr>
                                                      <w:divsChild>
                                                        <w:div w:id="617104635">
                                                          <w:marLeft w:val="0"/>
                                                          <w:marRight w:val="0"/>
                                                          <w:marTop w:val="0"/>
                                                          <w:marBottom w:val="0"/>
                                                          <w:divBdr>
                                                            <w:top w:val="none" w:sz="0" w:space="0" w:color="auto"/>
                                                            <w:left w:val="none" w:sz="0" w:space="0" w:color="auto"/>
                                                            <w:bottom w:val="none" w:sz="0" w:space="0" w:color="auto"/>
                                                            <w:right w:val="none" w:sz="0" w:space="0" w:color="auto"/>
                                                          </w:divBdr>
                                                          <w:divsChild>
                                                            <w:div w:id="2023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zheimer-europe.org/policy/campaign/glasgow-declaration-2014" TargetMode="External"/><Relationship Id="rId18" Type="http://schemas.openxmlformats.org/officeDocument/2006/relationships/hyperlink" Target="https://www.stat.si/StatWeb/News/Index/997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S2468-2667(21)00249-8" TargetMode="External"/><Relationship Id="rId17" Type="http://schemas.openxmlformats.org/officeDocument/2006/relationships/hyperlink" Target="https://edemenca.si/kaksno-je-stanje-glede-demence-po-svetu-in-v-slovenij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rtner.zzzs.si/wps/portal/portali/aiz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9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hegoodcaregroup.com/news/recognising-role-specialist-dementia-nurse-community/"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tat.si/StatWeb/News/Index/9973"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ijz.si/sl/nijz/revije/zdravstveni-statisticni-letopis-slovenije" TargetMode="External"/><Relationship Id="rId2" Type="http://schemas.openxmlformats.org/officeDocument/2006/relationships/hyperlink" Target="https://doi.org/10.1016/S2468-2667(21)00249-8" TargetMode="External"/><Relationship Id="rId1" Type="http://schemas.openxmlformats.org/officeDocument/2006/relationships/hyperlink" Target="https://www.alzheimer-europe.org/policy/campaign/glasgow-declaration-2014" TargetMode="External"/><Relationship Id="rId6" Type="http://schemas.openxmlformats.org/officeDocument/2006/relationships/hyperlink" Target="https://apps.who.int/iris/handle/10665/272669" TargetMode="External"/><Relationship Id="rId5" Type="http://schemas.openxmlformats.org/officeDocument/2006/relationships/hyperlink" Target="https://www.thegoodcaregroup.com/news/recognising-role-specialist-dementia-nurse-community/" TargetMode="External"/><Relationship Id="rId4" Type="http://schemas.openxmlformats.org/officeDocument/2006/relationships/hyperlink" Target="https://www.nice.org.uk/guidance/ng9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balN25\AppData\Local\Microsoft\Windows\INetCache\IE\3D91LW57\MZ_SLO-predlogi%20dokumento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94C3A4-EE1D-4B29-BD98-8D354DFA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MZ_SLO-predlogi dokumentov</Template>
  <TotalTime>3</TotalTime>
  <Pages>42</Pages>
  <Words>13743</Words>
  <Characters>91122</Characters>
  <Application>Microsoft Office Word</Application>
  <DocSecurity>0</DocSecurity>
  <Lines>759</Lines>
  <Paragraphs>209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104656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Nadja Čobal</dc:creator>
  <cp:keywords/>
  <cp:lastModifiedBy>Irma Sterle Glaner</cp:lastModifiedBy>
  <cp:revision>3</cp:revision>
  <cp:lastPrinted>2022-11-02T14:56:00Z</cp:lastPrinted>
  <dcterms:created xsi:type="dcterms:W3CDTF">2022-11-02T14:55:00Z</dcterms:created>
  <dcterms:modified xsi:type="dcterms:W3CDTF">2022-11-02T14:57:00Z</dcterms:modified>
</cp:coreProperties>
</file>