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E1C4" w14:textId="77777777" w:rsidR="0005418F" w:rsidRDefault="0005418F">
      <w:pPr>
        <w:rPr>
          <w:b/>
          <w:bCs/>
        </w:rPr>
      </w:pPr>
    </w:p>
    <w:p w14:paraId="3E973234" w14:textId="0CC2F335" w:rsidR="000546EF" w:rsidRPr="002E1DE9" w:rsidRDefault="007F12B1" w:rsidP="0005418F">
      <w:pPr>
        <w:jc w:val="both"/>
        <w:rPr>
          <w:b/>
          <w:bCs/>
        </w:rPr>
      </w:pPr>
      <w:r w:rsidRPr="002E1DE9">
        <w:rPr>
          <w:b/>
          <w:bCs/>
        </w:rPr>
        <w:t>Vprašanje</w:t>
      </w:r>
      <w:r w:rsidR="0005418F">
        <w:rPr>
          <w:b/>
          <w:bCs/>
        </w:rPr>
        <w:t>:</w:t>
      </w:r>
    </w:p>
    <w:p w14:paraId="713EAE3D" w14:textId="09AC796B" w:rsidR="0005418F" w:rsidRPr="00673BB7" w:rsidRDefault="007F12B1" w:rsidP="0005418F">
      <w:pPr>
        <w:jc w:val="both"/>
      </w:pPr>
      <w:r>
        <w:t>A</w:t>
      </w:r>
      <w:r w:rsidRPr="007F12B1">
        <w:t>li je v sklopu B za financiranje monitorjev možno tudi povračilo stroška za nabave računalnikov tipa »vse v enem« AiOe – tudi kot delna poravnava za vrednost monitorja?</w:t>
      </w:r>
    </w:p>
    <w:p w14:paraId="53E6734B" w14:textId="1F7415F6" w:rsidR="007F12B1" w:rsidRPr="007F12B1" w:rsidRDefault="007F12B1" w:rsidP="0005418F">
      <w:pPr>
        <w:jc w:val="both"/>
      </w:pPr>
      <w:r w:rsidRPr="002E1DE9">
        <w:rPr>
          <w:b/>
          <w:bCs/>
        </w:rPr>
        <w:t>Odgovor:</w:t>
      </w:r>
      <w:r>
        <w:t xml:space="preserve"> Ministrstvo dopušča </w:t>
      </w:r>
      <w:r w:rsidR="002E1DE9">
        <w:t xml:space="preserve">v sklopu B </w:t>
      </w:r>
      <w:r>
        <w:t xml:space="preserve">tudi zahtevek za delno povračilo stroška za računalnike tipa </w:t>
      </w:r>
      <w:r w:rsidRPr="007F12B1">
        <w:t>»vse v enem« AiOe</w:t>
      </w:r>
      <w:r>
        <w:t xml:space="preserve">, pri čemer mora zaslon na </w:t>
      </w:r>
      <w:r w:rsidRPr="007F12B1">
        <w:t>AiOe</w:t>
      </w:r>
      <w:r>
        <w:t xml:space="preserve"> računalniku ustrezati minimalnim tehničnim pogojem, prijavitelj pa mora potrditi, da bo razliko do vrednosti celotne naprave poravnal sam. </w:t>
      </w:r>
      <w:r w:rsidR="002A0C64">
        <w:t xml:space="preserve">Hkrati velja, da en </w:t>
      </w:r>
      <w:r w:rsidR="002A0C64" w:rsidRPr="007F12B1">
        <w:t>AiOe</w:t>
      </w:r>
      <w:r w:rsidR="002A0C64">
        <w:t xml:space="preserve"> računalnik z zaslonom velikosti vsaj 23,8" šteje kot en zaslon (prijavitelj tako ne more npr. z enim </w:t>
      </w:r>
      <w:r w:rsidR="002A0C64" w:rsidRPr="007F12B1">
        <w:t>AiOe</w:t>
      </w:r>
      <w:r w:rsidR="002A0C64">
        <w:t xml:space="preserve"> računalnikom dobiti povrnitev za 5 zaslonov, ker računalnik po vrednosti dosega tako ceno, ostali »deli računalnika« (razen omenjenih v opremi) torej niso upravičen strošek v sklopu B. </w:t>
      </w:r>
    </w:p>
    <w:p w14:paraId="2D66E697" w14:textId="77777777" w:rsidR="007F12B1" w:rsidRDefault="007F12B1"/>
    <w:p w14:paraId="61A7D275" w14:textId="38526B0C" w:rsidR="00673BB7" w:rsidRPr="00673BB7" w:rsidRDefault="00673BB7" w:rsidP="00673BB7">
      <w:pPr>
        <w:jc w:val="both"/>
        <w:rPr>
          <w:b/>
          <w:bCs/>
        </w:rPr>
      </w:pPr>
      <w:r w:rsidRPr="002E1DE9">
        <w:rPr>
          <w:b/>
          <w:bCs/>
        </w:rPr>
        <w:t>Vprašanje</w:t>
      </w:r>
      <w:r>
        <w:rPr>
          <w:b/>
          <w:bCs/>
        </w:rPr>
        <w:t>:</w:t>
      </w:r>
    </w:p>
    <w:p w14:paraId="7EF97212" w14:textId="476F08AC" w:rsidR="00673BB7" w:rsidRPr="00673BB7" w:rsidRDefault="00673BB7" w:rsidP="00673BB7">
      <w:r>
        <w:t xml:space="preserve">Pri sklopu A je možno nabaviti večje število optičnih čitalcev, pri čemer je najvišji upravičeni strošek oziroma znesek sofinanciranja omejen na maksimalni znesek po </w:t>
      </w:r>
      <w:proofErr w:type="gramStart"/>
      <w:r>
        <w:t xml:space="preserve">JZZ  </w:t>
      </w:r>
      <w:proofErr w:type="gramEnd"/>
      <w:r>
        <w:t xml:space="preserve">iz priloge 1: OMEJITEV OPREME PO JZZ, ne glede na dejansko število nabavljenih optičnih čitalcev. Sprašujemo, ali je tudi pri sklopu B možno nabaviti večje število zaslonov, kot ustreza ocenjenemu številu iz priloge 1: OMEJITEV OPREME PO JZZ, </w:t>
      </w:r>
      <w:proofErr w:type="gramStart"/>
      <w:r>
        <w:t>v kolikor</w:t>
      </w:r>
      <w:proofErr w:type="gramEnd"/>
      <w:r>
        <w:t xml:space="preserve"> je skupna cena za zaslone omejena na maksimalni znesek po JZZ. V našem javnem zavodu imamo namreč po pogodbi iz javnega razpisa bistveno nižjo ceno zaslona, kot je predviden upravičen strošek za posamezen kos v razpisu Ministrstva za zdravje. </w:t>
      </w:r>
      <w:proofErr w:type="gramStart"/>
      <w:r>
        <w:t>V kolikor</w:t>
      </w:r>
      <w:proofErr w:type="gramEnd"/>
      <w:r>
        <w:t xml:space="preserve"> bi tudi pri nabavi zaslonov veljalo zgoraj navedeno pravilo iz sklopa A, bi lahko v resnici za enako višino sredstev lahko nabavili več zaslonov in s tem posodobili tudi starejše zaslone, ki jih trenutno še uporabljajo nekateri timi.</w:t>
      </w:r>
    </w:p>
    <w:p w14:paraId="4623552E" w14:textId="70802431" w:rsidR="00673BB7" w:rsidRDefault="00673BB7" w:rsidP="00673BB7">
      <w:r w:rsidRPr="00673BB7">
        <w:rPr>
          <w:b/>
          <w:bCs/>
        </w:rPr>
        <w:t xml:space="preserve">Odgovor: </w:t>
      </w:r>
      <w:r>
        <w:t>Ministrstvo dopušča nabavo večjega števila zaslonov pri upoštevanju minimalnih tehničnih pogojev ob pogoju, da gre pri nabavi preko navedenega števila zaslonov za zamenjavo iztrošene opreme (oprema izven garancijske in amortizacijske dobe), ki minimalnih tehničnih pogojev o javnem razpisu ne izpolnjuje. Pri tem velja omejitev, da maksimalno število zaslonov ne more presegati dvakratnika števila kadrov, ki se posameznemu JZZ priznajo (ob upoštevanju različne obravnave manjših in večjih zaslonov). JZZ, ki bo kandidiral za večje število zaslonov, mora prijavi dodati tudi izjavo, da gre pri nabavi zaslonov nad omejitvijo iz Priloge 1 za SKLOP B (Zasloni) za zamenjavo zaslonov izven garancijske in amortizacijske dobe, ki ne izpolnjuje minimalnih tehničnih pogojev, določenih v javnem razpisu.</w:t>
      </w:r>
    </w:p>
    <w:p w14:paraId="6ECF1F8F" w14:textId="77777777" w:rsidR="00673BB7" w:rsidRDefault="00673BB7" w:rsidP="00673BB7"/>
    <w:p w14:paraId="2A6D97E1" w14:textId="2AEB298E" w:rsidR="00673BB7" w:rsidRPr="00673BB7" w:rsidRDefault="00673BB7" w:rsidP="00673BB7">
      <w:pPr>
        <w:rPr>
          <w:b/>
          <w:bCs/>
        </w:rPr>
      </w:pPr>
      <w:r w:rsidRPr="00673BB7">
        <w:rPr>
          <w:b/>
          <w:bCs/>
        </w:rPr>
        <w:t>V</w:t>
      </w:r>
      <w:r w:rsidRPr="00673BB7">
        <w:rPr>
          <w:b/>
          <w:bCs/>
        </w:rPr>
        <w:t xml:space="preserve">prašanje: </w:t>
      </w:r>
    </w:p>
    <w:p w14:paraId="6E96522A" w14:textId="17DAFED6" w:rsidR="00673BB7" w:rsidRDefault="00673BB7" w:rsidP="00673BB7">
      <w:r>
        <w:lastRenderedPageBreak/>
        <w:t xml:space="preserve">Ali je pri sklopu A </w:t>
      </w:r>
      <w:proofErr w:type="gramStart"/>
      <w:r>
        <w:t>optični čitalec</w:t>
      </w:r>
      <w:proofErr w:type="gramEnd"/>
      <w:r>
        <w:t xml:space="preserve"> lahko vključen v multifunkcijsko napravo? Seveda pod pogojem, da izpolnjuje tehnične specifikacije za sklop A. V timih družinskih ambulant je namreč mnogo večja potreba tudi po tiskanju in ob nakupu multifunkcijske naprave lahko </w:t>
      </w:r>
      <w:proofErr w:type="gramStart"/>
      <w:r>
        <w:t>optični čitalec</w:t>
      </w:r>
      <w:proofErr w:type="gramEnd"/>
      <w:r>
        <w:t xml:space="preserve"> v tem primeru uporabljamo tudi za tiskanje. </w:t>
      </w:r>
    </w:p>
    <w:p w14:paraId="13C109BD" w14:textId="04B3DEF9" w:rsidR="00673BB7" w:rsidRDefault="00673BB7" w:rsidP="00673BB7">
      <w:r w:rsidRPr="00673BB7">
        <w:rPr>
          <w:b/>
          <w:bCs/>
        </w:rPr>
        <w:t>Odgovor:</w:t>
      </w:r>
      <w:r>
        <w:t xml:space="preserve"> V sklopu A za financiranje </w:t>
      </w:r>
      <w:proofErr w:type="gramStart"/>
      <w:r>
        <w:t>optičnih čitalcev</w:t>
      </w:r>
      <w:proofErr w:type="gramEnd"/>
      <w:r>
        <w:t xml:space="preserve"> je možno tudi povračilo stroška za nabave multifunkcijske naprave – tudi kot delna poravnava za vrednost najvišjega zneska sofinanciranja posameznega optičnega čitalca (4.100,00 EUR brez DDV). Pri tem je </w:t>
      </w:r>
      <w:r>
        <w:t>treba</w:t>
      </w:r>
      <w:r>
        <w:t xml:space="preserve"> upoštevati najvišji znesek sofinanciranja po JZZ, ki se izračuna kot zmnožek ocenjenega števila upravičenih </w:t>
      </w:r>
      <w:proofErr w:type="gramStart"/>
      <w:r>
        <w:t>optičnih čitalcev</w:t>
      </w:r>
      <w:proofErr w:type="gramEnd"/>
      <w:r>
        <w:t xml:space="preserve"> in najvišjega zneska sofinanciranja posameznega optičnega čitalca. Znesek sofinanciranja na napravo ne more preseči 4.100,00 EUR brez DDV.</w:t>
      </w:r>
    </w:p>
    <w:p w14:paraId="6F9F58EC" w14:textId="77777777" w:rsidR="00673BB7" w:rsidRDefault="00673BB7" w:rsidP="00673BB7"/>
    <w:p w14:paraId="26AB33D2" w14:textId="77777777" w:rsidR="00673BB7" w:rsidRPr="00673BB7" w:rsidRDefault="00673BB7" w:rsidP="00673BB7">
      <w:pPr>
        <w:rPr>
          <w:b/>
          <w:bCs/>
        </w:rPr>
      </w:pPr>
      <w:r w:rsidRPr="00673BB7">
        <w:rPr>
          <w:b/>
          <w:bCs/>
        </w:rPr>
        <w:t>V</w:t>
      </w:r>
      <w:r w:rsidRPr="00673BB7">
        <w:rPr>
          <w:b/>
          <w:bCs/>
        </w:rPr>
        <w:t xml:space="preserve">prašanje: </w:t>
      </w:r>
    </w:p>
    <w:p w14:paraId="4F233797" w14:textId="58614544" w:rsidR="00673BB7" w:rsidRDefault="00673BB7" w:rsidP="00673BB7">
      <w:r>
        <w:t xml:space="preserve">Točka 3.2 – Flatbed </w:t>
      </w:r>
      <w:proofErr w:type="gramStart"/>
      <w:r>
        <w:t>optični čitalec</w:t>
      </w:r>
      <w:proofErr w:type="gramEnd"/>
      <w:r>
        <w:t>: V točki 3.2 je navedeno, da mora optični čitalec vključevati flatbed (ploskovni) del za ročno skeniranje kartonastih zdravstvenih map in platnic, občutljivih dokumentov ter dokumentov, ki niso primerni za ADF podajalnik.</w:t>
      </w:r>
    </w:p>
    <w:p w14:paraId="15187E64" w14:textId="77777777" w:rsidR="00673BB7" w:rsidRDefault="00673BB7" w:rsidP="00673BB7">
      <w:r>
        <w:t xml:space="preserve">Prosimo za pojasnilo, ali naročnik kot ustrezno šteje tudi konfiguracijo, pri kateri je A3 ploskovni del izveden kot originalni modul istega proizvajalca, namenjen uporabi z osnovnim </w:t>
      </w:r>
      <w:proofErr w:type="gramStart"/>
      <w:r>
        <w:t>optičnim čitalcem</w:t>
      </w:r>
      <w:proofErr w:type="gramEnd"/>
      <w:r>
        <w:t>, z njim povezan preko ustreznega komunikacijskega vmesnika ter skupaj z njim predstavlja enotno, s strani proizvajalca podprto in certificirano rešitev?</w:t>
      </w:r>
    </w:p>
    <w:p w14:paraId="67B57055" w14:textId="77777777" w:rsidR="00673BB7" w:rsidRDefault="00673BB7" w:rsidP="00673BB7">
      <w:r>
        <w:t xml:space="preserve">V kolikor je odgovor pritrdilen, predlagamo, da se zaradi jasnosti zahteva dopolni, na primer: "Ponujena konfiguracija mora vključevati flatbed (ploskovni) del za ročno skeniranje kartonastih zdravstvenih map in platnic, občutljivih dokumentov, dokumentov z zgibi, spenjalnimi sledmi ali poškodbami ter dokumentov, ki niso primerni za </w:t>
      </w:r>
      <w:proofErr w:type="gramStart"/>
      <w:r>
        <w:t>ADF podajalnik</w:t>
      </w:r>
      <w:proofErr w:type="gramEnd"/>
      <w:r>
        <w:t>. Flatbed je lahko integriran v osnovni optični čitalec ali izveden kot originalni A3 ploskovni modul istega proizvajalca, namenjen uporabi z osnovnim optičnim čitalcem in z njim povezan preko ustreznega komunikacijskega vmesnika, pri čemer mora celotna konfiguracija predstavljati enotno, s strani proizvajalca podprto rešitev. Minimalna velikost ploskovne površine mora biti A3."</w:t>
      </w:r>
    </w:p>
    <w:p w14:paraId="36A35AF3" w14:textId="77777777" w:rsidR="00673BB7" w:rsidRDefault="00673BB7" w:rsidP="00673BB7">
      <w:r w:rsidRPr="00673BB7">
        <w:rPr>
          <w:b/>
          <w:bCs/>
        </w:rPr>
        <w:t>Odgovor:</w:t>
      </w:r>
      <w:r>
        <w:t xml:space="preserve"> V tehničnih specifikacijah ni omejitev z vidika, da mora biti Flatbed izključno integriran v </w:t>
      </w:r>
      <w:proofErr w:type="gramStart"/>
      <w:r>
        <w:t>osnovni optični</w:t>
      </w:r>
      <w:proofErr w:type="gramEnd"/>
      <w:r>
        <w:t xml:space="preserve"> čitalec. Flatbed je lahko integriran v </w:t>
      </w:r>
      <w:proofErr w:type="gramStart"/>
      <w:r>
        <w:t>osnovni optični</w:t>
      </w:r>
      <w:proofErr w:type="gramEnd"/>
      <w:r>
        <w:t xml:space="preserve"> čitalec ali izveden kot A3 ploskovni modul istega proizvajalca, pri čemer mora celotna konfiguracija predstavljati enotno, s strani proizvajalca podprto rešitev.</w:t>
      </w:r>
    </w:p>
    <w:p w14:paraId="33E4EF99" w14:textId="77777777" w:rsidR="00673BB7" w:rsidRDefault="00673BB7" w:rsidP="00673BB7"/>
    <w:p w14:paraId="76E5365F" w14:textId="77777777" w:rsidR="00673BB7" w:rsidRPr="00673BB7" w:rsidRDefault="00673BB7" w:rsidP="00673BB7">
      <w:pPr>
        <w:rPr>
          <w:b/>
          <w:bCs/>
        </w:rPr>
      </w:pPr>
      <w:r w:rsidRPr="00673BB7">
        <w:rPr>
          <w:b/>
          <w:bCs/>
        </w:rPr>
        <w:t>V</w:t>
      </w:r>
      <w:r w:rsidRPr="00673BB7">
        <w:rPr>
          <w:b/>
          <w:bCs/>
        </w:rPr>
        <w:t xml:space="preserve">prašanje: </w:t>
      </w:r>
    </w:p>
    <w:p w14:paraId="70C899D2" w14:textId="2C8B4BBC" w:rsidR="00673BB7" w:rsidRDefault="00673BB7" w:rsidP="00673BB7">
      <w:r>
        <w:lastRenderedPageBreak/>
        <w:t>Točki 3.3 in 3.8 – Debelina dokumentov: V točkah 3.3 in 3.8 je navedeno, da mora ADF omogočati zajem dokumentov večjih gramatur oziroma debeline najmanj do 1,2 mm.</w:t>
      </w:r>
    </w:p>
    <w:p w14:paraId="5AC1F3F1" w14:textId="77777777" w:rsidR="00673BB7" w:rsidRDefault="00673BB7" w:rsidP="00673BB7">
      <w:r>
        <w:t xml:space="preserve">Prosimo za pojasnilo, na kakšen način bo naročnik preverjal izpolnjevanje navedene zahteve, saj proizvajalci </w:t>
      </w:r>
      <w:proofErr w:type="gramStart"/>
      <w:r>
        <w:t>optičnih čitalcev</w:t>
      </w:r>
      <w:proofErr w:type="gramEnd"/>
      <w:r>
        <w:t xml:space="preserve"> tehnične zmogljivosti ADF praviloma navajajo največjo podprto gramaturo papirja (g/m²) oziroma podporo posameznim vrstam medijev, ne pa največje debeline dokumentov.</w:t>
      </w:r>
    </w:p>
    <w:p w14:paraId="5DB838B2" w14:textId="77777777" w:rsidR="00673BB7" w:rsidRDefault="00673BB7" w:rsidP="00673BB7">
      <w:proofErr w:type="gramStart"/>
      <w:r>
        <w:t>V kolikor</w:t>
      </w:r>
      <w:proofErr w:type="gramEnd"/>
      <w:r>
        <w:t xml:space="preserve"> je namen zahteve zagotoviti podporo zajemu debelejših medijev ne glede na način tehnične specifikacije proizvajalca, predlagamo, da se v obeh točkah besedilo: "... dokumentov večjih gramatur oziroma debeline najmanj do 1,2 mm ..." nadomesti z besedilom: "... dokumentov večjih gramatur, pri čemer mora ADF omogočati zajem papirja najmanj do 433 g/m² oziroma primerljivo proizvajalčevo deklarirano podporo zajemu debelejših medijev."</w:t>
      </w:r>
    </w:p>
    <w:p w14:paraId="3541EDB3" w14:textId="443A96FC" w:rsidR="00673BB7" w:rsidRDefault="00673BB7" w:rsidP="00673BB7">
      <w:r w:rsidRPr="00673BB7">
        <w:rPr>
          <w:b/>
          <w:bCs/>
        </w:rPr>
        <w:t>Odgovor</w:t>
      </w:r>
      <w:r w:rsidRPr="00673BB7">
        <w:rPr>
          <w:b/>
          <w:bCs/>
        </w:rPr>
        <w:t>:</w:t>
      </w:r>
      <w:r>
        <w:t xml:space="preserve"> ADF mora omogočati zajem večjih gramatur, pri čemer je mišljen tudi zdravstveni karton debeline do 1.2 mm.</w:t>
      </w:r>
    </w:p>
    <w:p w14:paraId="3D48C438" w14:textId="77777777" w:rsidR="00673BB7" w:rsidRDefault="00673BB7" w:rsidP="00673BB7"/>
    <w:p w14:paraId="42B38379" w14:textId="1C109BED" w:rsidR="00673BB7" w:rsidRPr="00673BB7" w:rsidRDefault="00673BB7" w:rsidP="00673BB7">
      <w:pPr>
        <w:rPr>
          <w:b/>
          <w:bCs/>
        </w:rPr>
      </w:pPr>
      <w:r w:rsidRPr="00673BB7">
        <w:rPr>
          <w:b/>
          <w:bCs/>
        </w:rPr>
        <w:t>V</w:t>
      </w:r>
      <w:r w:rsidRPr="00673BB7">
        <w:rPr>
          <w:b/>
          <w:bCs/>
        </w:rPr>
        <w:t xml:space="preserve">prašanje:  </w:t>
      </w:r>
    </w:p>
    <w:p w14:paraId="2B9C6A2B" w14:textId="5CCD1535" w:rsidR="00673BB7" w:rsidRDefault="00673BB7" w:rsidP="00673BB7">
      <w:r>
        <w:t xml:space="preserve">Dodatna zahteva – certificiranost </w:t>
      </w:r>
      <w:proofErr w:type="gramStart"/>
      <w:r>
        <w:t>optičnega čitalca</w:t>
      </w:r>
      <w:proofErr w:type="gramEnd"/>
      <w:r>
        <w:t xml:space="preserve"> pri Arhivu Republike Slovenije: Iz razpisne dokumentacije izhaja, da se bodo optični čitalci uporabljali za digitalizacijo zdravstvene dokumentacije, med katero je lahko tudi gradivo, opredeljeno kot arhivsko gradivo.</w:t>
      </w:r>
    </w:p>
    <w:p w14:paraId="2AA1B496" w14:textId="77777777" w:rsidR="00673BB7" w:rsidRDefault="00673BB7" w:rsidP="00673BB7">
      <w:r>
        <w:t xml:space="preserve">Zahteva po certificiranosti </w:t>
      </w:r>
      <w:proofErr w:type="gramStart"/>
      <w:r>
        <w:t>optičnih čitalcev</w:t>
      </w:r>
      <w:proofErr w:type="gramEnd"/>
      <w:r>
        <w:t xml:space="preserve"> pri Arhivu Republike Slovenije sicer ni splošno obvezna, predstavlja pa smiselno dodatno zahtevo, kadar se oprema uporablja za zajem potencialnega arhivskega gradiva. Takšne zahteve je bilo mogoče zaslediti tudi v večjih javnih naročilih, med drugim v okviru OMTISK, centraliziranega javnega naročila slovenske državne uprave, ki ga je vodilo Ministrstvo za javno upravo.</w:t>
      </w:r>
    </w:p>
    <w:p w14:paraId="1899A47A" w14:textId="77777777" w:rsidR="00673BB7" w:rsidRDefault="00673BB7" w:rsidP="00673BB7">
      <w:r>
        <w:t xml:space="preserve">Prosimo za pojasnilo, ali naročnik predvideva tudi zajem dokumentacije, ki je opredeljena kot arhivsko gradivo z oznako A, in ali bo v tem primeru zahteval (priporočeno) certificiranost ponujenega </w:t>
      </w:r>
      <w:proofErr w:type="gramStart"/>
      <w:r>
        <w:t>optičnega čitalca</w:t>
      </w:r>
      <w:proofErr w:type="gramEnd"/>
      <w:r>
        <w:t xml:space="preserve"> pri Arhivu Republike Slovenije?</w:t>
      </w:r>
    </w:p>
    <w:p w14:paraId="2D246B96" w14:textId="16BF0AC1" w:rsidR="00673BB7" w:rsidRDefault="00673BB7" w:rsidP="00673BB7">
      <w:r>
        <w:t xml:space="preserve">V kolikor je odgovor pritrdilen, predlagamo, da se dokumentacija dopolni, na primer: »Ponujeni </w:t>
      </w:r>
      <w:proofErr w:type="gramStart"/>
      <w:r>
        <w:t>optični čitalec</w:t>
      </w:r>
      <w:proofErr w:type="gramEnd"/>
      <w:r>
        <w:t xml:space="preserve"> mora biti ob dobavi certificiran pri Arhivu Republike Slovenije. Če ob dobavi še ni certificiran, mora ponudnik zagotoviti pridobitev certifikata najpozneje v šestih (6) mesecih od datuma prevzema opreme. Če certifikat v navedenem roku ni pridobljen, ima naročnik pravico opremo zavrniti oziroma jo vrniti ponudniku. Ponudnik mora na lastne stroške prevzeti vrnjeno opremo ter naročniku povrniti celotno plačano vrednost opreme in morebitne povezane stroške. Ponudnik mora izpolnjevanje </w:t>
      </w:r>
      <w:r>
        <w:lastRenderedPageBreak/>
        <w:t>zahteve dokazati z veljavnim certifikatom oziroma vpisom opreme v ustrezni register, ki ga vodi Arhiv Republike Slovenije.«</w:t>
      </w:r>
    </w:p>
    <w:p w14:paraId="69403786" w14:textId="3C00FE81" w:rsidR="00673BB7" w:rsidRDefault="00673BB7" w:rsidP="00673BB7">
      <w:r w:rsidRPr="00673BB7">
        <w:rPr>
          <w:b/>
          <w:bCs/>
        </w:rPr>
        <w:t>Odgovor</w:t>
      </w:r>
      <w:r w:rsidRPr="00673BB7">
        <w:rPr>
          <w:b/>
          <w:bCs/>
        </w:rPr>
        <w:t>:</w:t>
      </w:r>
      <w:r>
        <w:t xml:space="preserve"> Zahteva po certificiranosti </w:t>
      </w:r>
      <w:proofErr w:type="gramStart"/>
      <w:r>
        <w:t>optičnih čitalcev</w:t>
      </w:r>
      <w:proofErr w:type="gramEnd"/>
      <w:r>
        <w:t xml:space="preserve"> pri Arhivu Republike Slovenije ni, kot je navedeno že v vprašanju, splošno obvezna, zato je v okviru tega razpisa ne zahtevamo.</w:t>
      </w:r>
    </w:p>
    <w:p w14:paraId="5F9F0E4F" w14:textId="77777777" w:rsidR="00673BB7" w:rsidRDefault="00673BB7" w:rsidP="00673BB7"/>
    <w:p w14:paraId="69AB92FC" w14:textId="77777777" w:rsidR="00673BB7" w:rsidRPr="00673BB7" w:rsidRDefault="00673BB7" w:rsidP="00673BB7">
      <w:pPr>
        <w:rPr>
          <w:b/>
          <w:bCs/>
        </w:rPr>
      </w:pPr>
      <w:r w:rsidRPr="00673BB7">
        <w:rPr>
          <w:b/>
          <w:bCs/>
        </w:rPr>
        <w:t>V</w:t>
      </w:r>
      <w:r w:rsidRPr="00673BB7">
        <w:rPr>
          <w:b/>
          <w:bCs/>
        </w:rPr>
        <w:t xml:space="preserve">prašanje: </w:t>
      </w:r>
    </w:p>
    <w:p w14:paraId="73F4C57D" w14:textId="723801D7" w:rsidR="00673BB7" w:rsidRDefault="00673BB7" w:rsidP="00673BB7">
      <w:r>
        <w:t>V zvezi z javnim razpisom 382-75/2026-2711 Sofinanciranje javnih zavodov za nakup opreme za projekte Digitalne preobrazbe zdravstva imamo sledeče vprašanje</w:t>
      </w:r>
    </w:p>
    <w:p w14:paraId="5A67A87F" w14:textId="55B7ECD2" w:rsidR="00673BB7" w:rsidRDefault="00673BB7" w:rsidP="00673BB7">
      <w:r>
        <w:t>Ali je smiselna prijava na razpis</w:t>
      </w:r>
      <w:proofErr w:type="gramStart"/>
      <w:r>
        <w:t xml:space="preserve"> če</w:t>
      </w:r>
      <w:proofErr w:type="gramEnd"/>
      <w:r>
        <w:t xml:space="preserve"> dobavitelj ne more zagotoviti dobave opreme do 31.8.2026 (ali 30.8.2026)? Kaj v primeru</w:t>
      </w:r>
      <w:proofErr w:type="gramStart"/>
      <w:r>
        <w:t xml:space="preserve"> če</w:t>
      </w:r>
      <w:proofErr w:type="gramEnd"/>
      <w:r>
        <w:t xml:space="preserve"> je možna dobava do 30.9.2026?</w:t>
      </w:r>
    </w:p>
    <w:p w14:paraId="42A28975" w14:textId="1132484B" w:rsidR="00673BB7" w:rsidRDefault="00673BB7" w:rsidP="00673BB7">
      <w:r w:rsidRPr="00673BB7">
        <w:rPr>
          <w:b/>
          <w:bCs/>
        </w:rPr>
        <w:t>Odgovor:</w:t>
      </w:r>
      <w:r>
        <w:t xml:space="preserve">  </w:t>
      </w:r>
      <w:r>
        <w:t xml:space="preserve">Najkasnejši datum dobave opreme, ki se lahko po </w:t>
      </w:r>
      <w:proofErr w:type="gramStart"/>
      <w:r>
        <w:t>JR</w:t>
      </w:r>
      <w:proofErr w:type="gramEnd"/>
      <w:r>
        <w:t xml:space="preserve"> financira, je 30. 8. 2026. Datum zagotovo ne bo podaljšan, saj nam tega ne omogočajo </w:t>
      </w:r>
      <w:proofErr w:type="gramStart"/>
      <w:r>
        <w:t>NOO pravila</w:t>
      </w:r>
      <w:proofErr w:type="gramEnd"/>
      <w:r>
        <w:t>. Za sklop A in C mora prijavitelj imeti vsaj eno ponudbo, ki zagotavlja ta rok dobave, že do roka za prijavo.</w:t>
      </w:r>
    </w:p>
    <w:p w14:paraId="1D6282D1" w14:textId="77777777" w:rsidR="00673BB7" w:rsidRDefault="00673BB7" w:rsidP="00673BB7"/>
    <w:sectPr w:rsidR="00673BB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8018" w14:textId="77777777" w:rsidR="00B50C39" w:rsidRDefault="00B50C39" w:rsidP="0005418F">
      <w:pPr>
        <w:spacing w:after="0" w:line="240" w:lineRule="auto"/>
      </w:pPr>
      <w:r>
        <w:separator/>
      </w:r>
    </w:p>
  </w:endnote>
  <w:endnote w:type="continuationSeparator" w:id="0">
    <w:p w14:paraId="6581A4DA" w14:textId="77777777" w:rsidR="00B50C39" w:rsidRDefault="00B50C39" w:rsidP="0005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248B" w14:textId="77777777" w:rsidR="00B50C39" w:rsidRDefault="00B50C39" w:rsidP="0005418F">
      <w:pPr>
        <w:spacing w:after="0" w:line="240" w:lineRule="auto"/>
      </w:pPr>
      <w:r>
        <w:separator/>
      </w:r>
    </w:p>
  </w:footnote>
  <w:footnote w:type="continuationSeparator" w:id="0">
    <w:p w14:paraId="58732686" w14:textId="77777777" w:rsidR="00B50C39" w:rsidRDefault="00B50C39" w:rsidP="00054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AF82" w14:textId="14BB861F" w:rsidR="0005418F" w:rsidRDefault="0005418F">
    <w:pPr>
      <w:pStyle w:val="Glava"/>
    </w:pPr>
    <w:r>
      <w:rPr>
        <w:noProof/>
      </w:rPr>
      <w:drawing>
        <wp:inline distT="0" distB="0" distL="0" distR="0" wp14:anchorId="7915156C" wp14:editId="15917045">
          <wp:extent cx="5760720" cy="657225"/>
          <wp:effectExtent l="0" t="0" r="0" b="9525"/>
          <wp:docPr id="520813656" name="drawing">
            <a:extLst xmlns:a="http://schemas.openxmlformats.org/drawingml/2006/main">
              <a:ext uri="{FF2B5EF4-FFF2-40B4-BE49-F238E27FC236}">
                <a16:creationId xmlns:a16="http://schemas.microsoft.com/office/drawing/2014/main" id="{4C311F68-8B39-4F88-BC39-D0D7466B58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13656" name="drawing">
                    <a:extLst>
                      <a:ext uri="{FF2B5EF4-FFF2-40B4-BE49-F238E27FC236}">
                        <a16:creationId xmlns:a16="http://schemas.microsoft.com/office/drawing/2014/main" id="{4C311F68-8B39-4F88-BC39-D0D7466B5809}"/>
                      </a:ext>
                    </a:extLst>
                  </pic:cNvPr>
                  <pic:cNvPicPr>
                    <a:picLocks noChangeAspect="1"/>
                  </pic:cNvPicPr>
                </pic:nvPicPr>
                <pic:blipFill>
                  <a:blip r:embed="rId1">
                    <a:extLst>
                      <a:ext uri="{28A0092B-C50C-407E-A947-70E740481C1C}">
                        <a14:useLocalDpi xmlns:a14="http://schemas.microsoft.com/office/drawing/2010/main"/>
                      </a:ext>
                    </a:extLst>
                  </a:blip>
                  <a:stretch>
                    <a:fillRect/>
                  </a:stretch>
                </pic:blipFill>
                <pic:spPr>
                  <a:xfrm>
                    <a:off x="0" y="0"/>
                    <a:ext cx="5760720" cy="6572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B1"/>
    <w:rsid w:val="0005418F"/>
    <w:rsid w:val="000546EF"/>
    <w:rsid w:val="002A0C64"/>
    <w:rsid w:val="002E1DE9"/>
    <w:rsid w:val="00673BB7"/>
    <w:rsid w:val="00743AEF"/>
    <w:rsid w:val="007D51AC"/>
    <w:rsid w:val="007F12B1"/>
    <w:rsid w:val="00841CC0"/>
    <w:rsid w:val="008E6D98"/>
    <w:rsid w:val="00B50C39"/>
    <w:rsid w:val="00D77384"/>
    <w:rsid w:val="00DE23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23B0"/>
  <w15:chartTrackingRefBased/>
  <w15:docId w15:val="{37590734-737F-4D1B-966F-92B8FF25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F1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F1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F12B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F12B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F12B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F12B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F12B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F12B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F12B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F12B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F12B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F12B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F12B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F12B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F12B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F12B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F12B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F12B1"/>
    <w:rPr>
      <w:rFonts w:eastAsiaTheme="majorEastAsia" w:cstheme="majorBidi"/>
      <w:color w:val="272727" w:themeColor="text1" w:themeTint="D8"/>
    </w:rPr>
  </w:style>
  <w:style w:type="paragraph" w:styleId="Naslov">
    <w:name w:val="Title"/>
    <w:basedOn w:val="Navaden"/>
    <w:next w:val="Navaden"/>
    <w:link w:val="NaslovZnak"/>
    <w:uiPriority w:val="10"/>
    <w:qFormat/>
    <w:rsid w:val="007F1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F12B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F12B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F12B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F12B1"/>
    <w:pPr>
      <w:spacing w:before="160"/>
      <w:jc w:val="center"/>
    </w:pPr>
    <w:rPr>
      <w:i/>
      <w:iCs/>
      <w:color w:val="404040" w:themeColor="text1" w:themeTint="BF"/>
    </w:rPr>
  </w:style>
  <w:style w:type="character" w:customStyle="1" w:styleId="CitatZnak">
    <w:name w:val="Citat Znak"/>
    <w:basedOn w:val="Privzetapisavaodstavka"/>
    <w:link w:val="Citat"/>
    <w:uiPriority w:val="29"/>
    <w:rsid w:val="007F12B1"/>
    <w:rPr>
      <w:i/>
      <w:iCs/>
      <w:color w:val="404040" w:themeColor="text1" w:themeTint="BF"/>
    </w:rPr>
  </w:style>
  <w:style w:type="paragraph" w:styleId="Odstavekseznama">
    <w:name w:val="List Paragraph"/>
    <w:basedOn w:val="Navaden"/>
    <w:uiPriority w:val="34"/>
    <w:qFormat/>
    <w:rsid w:val="007F12B1"/>
    <w:pPr>
      <w:ind w:left="720"/>
      <w:contextualSpacing/>
    </w:pPr>
  </w:style>
  <w:style w:type="character" w:styleId="Intenzivenpoudarek">
    <w:name w:val="Intense Emphasis"/>
    <w:basedOn w:val="Privzetapisavaodstavka"/>
    <w:uiPriority w:val="21"/>
    <w:qFormat/>
    <w:rsid w:val="007F12B1"/>
    <w:rPr>
      <w:i/>
      <w:iCs/>
      <w:color w:val="0F4761" w:themeColor="accent1" w:themeShade="BF"/>
    </w:rPr>
  </w:style>
  <w:style w:type="paragraph" w:styleId="Intenzivencitat">
    <w:name w:val="Intense Quote"/>
    <w:basedOn w:val="Navaden"/>
    <w:next w:val="Navaden"/>
    <w:link w:val="IntenzivencitatZnak"/>
    <w:uiPriority w:val="30"/>
    <w:qFormat/>
    <w:rsid w:val="007F1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F12B1"/>
    <w:rPr>
      <w:i/>
      <w:iCs/>
      <w:color w:val="0F4761" w:themeColor="accent1" w:themeShade="BF"/>
    </w:rPr>
  </w:style>
  <w:style w:type="character" w:styleId="Intenzivensklic">
    <w:name w:val="Intense Reference"/>
    <w:basedOn w:val="Privzetapisavaodstavka"/>
    <w:uiPriority w:val="32"/>
    <w:qFormat/>
    <w:rsid w:val="007F12B1"/>
    <w:rPr>
      <w:b/>
      <w:bCs/>
      <w:smallCaps/>
      <w:color w:val="0F4761" w:themeColor="accent1" w:themeShade="BF"/>
      <w:spacing w:val="5"/>
    </w:rPr>
  </w:style>
  <w:style w:type="paragraph" w:styleId="Glava">
    <w:name w:val="header"/>
    <w:basedOn w:val="Navaden"/>
    <w:link w:val="GlavaZnak"/>
    <w:uiPriority w:val="99"/>
    <w:unhideWhenUsed/>
    <w:rsid w:val="0005418F"/>
    <w:pPr>
      <w:tabs>
        <w:tab w:val="center" w:pos="4536"/>
        <w:tab w:val="right" w:pos="9072"/>
      </w:tabs>
      <w:spacing w:after="0" w:line="240" w:lineRule="auto"/>
    </w:pPr>
  </w:style>
  <w:style w:type="character" w:customStyle="1" w:styleId="GlavaZnak">
    <w:name w:val="Glava Znak"/>
    <w:basedOn w:val="Privzetapisavaodstavka"/>
    <w:link w:val="Glava"/>
    <w:uiPriority w:val="99"/>
    <w:rsid w:val="0005418F"/>
  </w:style>
  <w:style w:type="paragraph" w:styleId="Noga">
    <w:name w:val="footer"/>
    <w:basedOn w:val="Navaden"/>
    <w:link w:val="NogaZnak"/>
    <w:uiPriority w:val="99"/>
    <w:unhideWhenUsed/>
    <w:rsid w:val="0005418F"/>
    <w:pPr>
      <w:tabs>
        <w:tab w:val="center" w:pos="4536"/>
        <w:tab w:val="right" w:pos="9072"/>
      </w:tabs>
      <w:spacing w:after="0" w:line="240" w:lineRule="auto"/>
    </w:pPr>
  </w:style>
  <w:style w:type="character" w:customStyle="1" w:styleId="NogaZnak">
    <w:name w:val="Noga Znak"/>
    <w:basedOn w:val="Privzetapisavaodstavka"/>
    <w:link w:val="Noga"/>
    <w:uiPriority w:val="99"/>
    <w:rsid w:val="00054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1277</Words>
  <Characters>7279</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Kralj</dc:creator>
  <cp:keywords/>
  <dc:description/>
  <cp:lastModifiedBy>Marjana Tomšič Vovk</cp:lastModifiedBy>
  <cp:revision>3</cp:revision>
  <dcterms:created xsi:type="dcterms:W3CDTF">2026-07-17T06:58:00Z</dcterms:created>
  <dcterms:modified xsi:type="dcterms:W3CDTF">2026-07-17T14:23:00Z</dcterms:modified>
</cp:coreProperties>
</file>