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0648" w14:textId="77777777" w:rsidR="00D260F5" w:rsidRDefault="00D260F5" w:rsidP="0025370B">
      <w:pPr>
        <w:jc w:val="both"/>
        <w:rPr>
          <w:rFonts w:ascii="Arial" w:hAnsi="Arial" w:cs="Arial"/>
          <w:b/>
          <w:bCs/>
          <w:color w:val="000000"/>
          <w:sz w:val="20"/>
          <w:szCs w:val="20"/>
        </w:rPr>
      </w:pPr>
    </w:p>
    <w:p w14:paraId="0A0386EC" w14:textId="77777777" w:rsidR="00713A19" w:rsidRDefault="00713A19" w:rsidP="00D260F5">
      <w:pPr>
        <w:jc w:val="both"/>
        <w:rPr>
          <w:rFonts w:ascii="Arial" w:hAnsi="Arial" w:cs="Arial"/>
          <w:b/>
          <w:bCs/>
          <w:color w:val="000000"/>
          <w:sz w:val="20"/>
          <w:szCs w:val="20"/>
        </w:rPr>
      </w:pPr>
    </w:p>
    <w:p w14:paraId="0995A471" w14:textId="2A60317F" w:rsidR="00D260F5" w:rsidRDefault="00D260F5" w:rsidP="00D77F51">
      <w:pPr>
        <w:jc w:val="both"/>
        <w:rPr>
          <w:rFonts w:ascii="Arial" w:hAnsi="Arial" w:cs="Arial"/>
          <w:b/>
          <w:bCs/>
          <w:color w:val="000000"/>
          <w:sz w:val="20"/>
          <w:szCs w:val="20"/>
        </w:rPr>
      </w:pPr>
      <w:r w:rsidRPr="00AD47D0">
        <w:rPr>
          <w:rFonts w:ascii="Arial" w:hAnsi="Arial" w:cs="Arial"/>
          <w:b/>
          <w:bCs/>
          <w:color w:val="000000"/>
          <w:sz w:val="20"/>
          <w:szCs w:val="20"/>
        </w:rPr>
        <w:t>Javni razpis Razvoj in pilotna vzpostavitev programa pripravništva za pridobitev poklicne kvalifikacije bolničar – negovalec 2024–2026</w:t>
      </w:r>
    </w:p>
    <w:p w14:paraId="0F758446" w14:textId="77777777" w:rsidR="00713A19" w:rsidRPr="00AD47D0" w:rsidRDefault="00713A19" w:rsidP="00D77F51">
      <w:pPr>
        <w:jc w:val="both"/>
        <w:rPr>
          <w:rFonts w:ascii="Arial" w:hAnsi="Arial" w:cs="Arial"/>
          <w:b/>
          <w:bCs/>
          <w:color w:val="000000"/>
          <w:sz w:val="20"/>
          <w:szCs w:val="20"/>
        </w:rPr>
      </w:pPr>
    </w:p>
    <w:tbl>
      <w:tblPr>
        <w:tblStyle w:val="Tabelamrea"/>
        <w:tblW w:w="0" w:type="auto"/>
        <w:tblLook w:val="04A0" w:firstRow="1" w:lastRow="0" w:firstColumn="1" w:lastColumn="0" w:noHBand="0" w:noVBand="1"/>
      </w:tblPr>
      <w:tblGrid>
        <w:gridCol w:w="628"/>
        <w:gridCol w:w="1669"/>
        <w:gridCol w:w="2095"/>
        <w:gridCol w:w="3825"/>
        <w:gridCol w:w="5777"/>
      </w:tblGrid>
      <w:tr w:rsidR="00AD47D0" w:rsidRPr="00461031" w14:paraId="7FB43F0C" w14:textId="77777777" w:rsidTr="00713A19">
        <w:tc>
          <w:tcPr>
            <w:tcW w:w="628" w:type="dxa"/>
            <w:shd w:val="clear" w:color="auto" w:fill="D9E2F3" w:themeFill="accent1" w:themeFillTint="33"/>
          </w:tcPr>
          <w:p w14:paraId="4CD24BE1" w14:textId="77777777" w:rsidR="00D260F5" w:rsidRPr="00461031" w:rsidRDefault="00D77F51" w:rsidP="00D77F51">
            <w:pPr>
              <w:jc w:val="both"/>
              <w:rPr>
                <w:rFonts w:ascii="Arial" w:hAnsi="Arial" w:cs="Arial"/>
                <w:b/>
                <w:bCs/>
                <w:color w:val="000000"/>
                <w:sz w:val="20"/>
                <w:szCs w:val="20"/>
              </w:rPr>
            </w:pPr>
            <w:r w:rsidRPr="00461031">
              <w:rPr>
                <w:rFonts w:ascii="Arial" w:hAnsi="Arial" w:cs="Arial"/>
                <w:b/>
                <w:bCs/>
                <w:color w:val="000000"/>
                <w:sz w:val="20"/>
                <w:szCs w:val="20"/>
              </w:rPr>
              <w:t>Zap. št.</w:t>
            </w:r>
          </w:p>
        </w:tc>
        <w:tc>
          <w:tcPr>
            <w:tcW w:w="1669" w:type="dxa"/>
            <w:shd w:val="clear" w:color="auto" w:fill="D9E2F3" w:themeFill="accent1" w:themeFillTint="33"/>
          </w:tcPr>
          <w:p w14:paraId="3AB5E5DC" w14:textId="77777777" w:rsidR="00D260F5" w:rsidRPr="00461031" w:rsidRDefault="00D77F51" w:rsidP="00D77F51">
            <w:pPr>
              <w:jc w:val="both"/>
              <w:rPr>
                <w:rFonts w:ascii="Arial" w:hAnsi="Arial" w:cs="Arial"/>
                <w:b/>
                <w:bCs/>
                <w:color w:val="000000"/>
                <w:sz w:val="20"/>
                <w:szCs w:val="20"/>
              </w:rPr>
            </w:pPr>
            <w:r w:rsidRPr="00461031">
              <w:rPr>
                <w:rFonts w:ascii="Arial" w:hAnsi="Arial" w:cs="Arial"/>
                <w:b/>
                <w:bCs/>
                <w:color w:val="000000"/>
                <w:sz w:val="20"/>
                <w:szCs w:val="20"/>
              </w:rPr>
              <w:t>Datum prejema vprašaja in št. dokumenta</w:t>
            </w:r>
          </w:p>
        </w:tc>
        <w:tc>
          <w:tcPr>
            <w:tcW w:w="2095" w:type="dxa"/>
            <w:shd w:val="clear" w:color="auto" w:fill="D9E2F3" w:themeFill="accent1" w:themeFillTint="33"/>
          </w:tcPr>
          <w:p w14:paraId="6F3FEAB5" w14:textId="77777777" w:rsidR="00D260F5" w:rsidRPr="00461031" w:rsidRDefault="00D77F51" w:rsidP="00AD47D0">
            <w:pPr>
              <w:jc w:val="both"/>
              <w:rPr>
                <w:rFonts w:ascii="Arial" w:hAnsi="Arial" w:cs="Arial"/>
                <w:b/>
                <w:bCs/>
                <w:color w:val="000000"/>
                <w:sz w:val="20"/>
                <w:szCs w:val="20"/>
              </w:rPr>
            </w:pPr>
            <w:r w:rsidRPr="00461031">
              <w:rPr>
                <w:rFonts w:ascii="Arial" w:hAnsi="Arial" w:cs="Arial"/>
                <w:b/>
                <w:bCs/>
                <w:color w:val="000000"/>
                <w:sz w:val="20"/>
                <w:szCs w:val="20"/>
              </w:rPr>
              <w:t>Organizacija/oseba, ki je vprašanje poslala</w:t>
            </w:r>
          </w:p>
        </w:tc>
        <w:tc>
          <w:tcPr>
            <w:tcW w:w="3825" w:type="dxa"/>
            <w:shd w:val="clear" w:color="auto" w:fill="D9E2F3" w:themeFill="accent1" w:themeFillTint="33"/>
          </w:tcPr>
          <w:p w14:paraId="021C0E08" w14:textId="77777777" w:rsidR="001C3288" w:rsidRPr="00461031" w:rsidRDefault="001C3288" w:rsidP="00AD47D0">
            <w:pPr>
              <w:jc w:val="center"/>
              <w:rPr>
                <w:rFonts w:ascii="Arial" w:hAnsi="Arial" w:cs="Arial"/>
                <w:b/>
                <w:bCs/>
                <w:color w:val="000000"/>
                <w:sz w:val="20"/>
                <w:szCs w:val="20"/>
              </w:rPr>
            </w:pPr>
          </w:p>
          <w:p w14:paraId="0952E828" w14:textId="77777777" w:rsidR="00D260F5" w:rsidRPr="00461031" w:rsidRDefault="00D77F51" w:rsidP="00AD47D0">
            <w:pPr>
              <w:jc w:val="center"/>
              <w:rPr>
                <w:rFonts w:ascii="Arial" w:hAnsi="Arial" w:cs="Arial"/>
                <w:b/>
                <w:bCs/>
                <w:color w:val="000000"/>
                <w:sz w:val="20"/>
                <w:szCs w:val="20"/>
              </w:rPr>
            </w:pPr>
            <w:r w:rsidRPr="00461031">
              <w:rPr>
                <w:rFonts w:ascii="Arial" w:hAnsi="Arial" w:cs="Arial"/>
                <w:b/>
                <w:bCs/>
                <w:color w:val="000000"/>
                <w:sz w:val="20"/>
                <w:szCs w:val="20"/>
              </w:rPr>
              <w:t>Vprašanje</w:t>
            </w:r>
          </w:p>
        </w:tc>
        <w:tc>
          <w:tcPr>
            <w:tcW w:w="5777" w:type="dxa"/>
            <w:shd w:val="clear" w:color="auto" w:fill="D9E2F3" w:themeFill="accent1" w:themeFillTint="33"/>
          </w:tcPr>
          <w:p w14:paraId="4CA0F031" w14:textId="77777777" w:rsidR="001C3288" w:rsidRPr="00461031" w:rsidRDefault="001C3288" w:rsidP="00AD47D0">
            <w:pPr>
              <w:jc w:val="center"/>
              <w:rPr>
                <w:rFonts w:ascii="Arial" w:hAnsi="Arial" w:cs="Arial"/>
                <w:b/>
                <w:bCs/>
                <w:color w:val="000000"/>
                <w:sz w:val="20"/>
                <w:szCs w:val="20"/>
              </w:rPr>
            </w:pPr>
          </w:p>
          <w:p w14:paraId="552B7855" w14:textId="77777777" w:rsidR="00D260F5" w:rsidRPr="00461031" w:rsidRDefault="00D77F51" w:rsidP="00AD47D0">
            <w:pPr>
              <w:jc w:val="center"/>
              <w:rPr>
                <w:rFonts w:ascii="Arial" w:hAnsi="Arial" w:cs="Arial"/>
                <w:b/>
                <w:bCs/>
                <w:color w:val="000000"/>
                <w:sz w:val="20"/>
                <w:szCs w:val="20"/>
              </w:rPr>
            </w:pPr>
            <w:r w:rsidRPr="00461031">
              <w:rPr>
                <w:rFonts w:ascii="Arial" w:hAnsi="Arial" w:cs="Arial"/>
                <w:b/>
                <w:bCs/>
                <w:color w:val="000000"/>
                <w:sz w:val="20"/>
                <w:szCs w:val="20"/>
              </w:rPr>
              <w:t>Odgovor</w:t>
            </w:r>
          </w:p>
        </w:tc>
      </w:tr>
      <w:tr w:rsidR="00AD47D0" w:rsidRPr="00461031" w14:paraId="189B5AC5" w14:textId="77777777" w:rsidTr="00713A19">
        <w:tc>
          <w:tcPr>
            <w:tcW w:w="628" w:type="dxa"/>
          </w:tcPr>
          <w:p w14:paraId="40E3BE53" w14:textId="77777777" w:rsidR="00D260F5" w:rsidRPr="00461031" w:rsidRDefault="00D77F51" w:rsidP="0025370B">
            <w:pPr>
              <w:jc w:val="both"/>
              <w:rPr>
                <w:rFonts w:ascii="Arial" w:hAnsi="Arial" w:cs="Arial"/>
                <w:color w:val="000000"/>
                <w:sz w:val="20"/>
                <w:szCs w:val="20"/>
              </w:rPr>
            </w:pPr>
            <w:r w:rsidRPr="00461031">
              <w:rPr>
                <w:rFonts w:ascii="Arial" w:hAnsi="Arial" w:cs="Arial"/>
                <w:color w:val="000000"/>
                <w:sz w:val="20"/>
                <w:szCs w:val="20"/>
              </w:rPr>
              <w:t>1.</w:t>
            </w:r>
          </w:p>
        </w:tc>
        <w:tc>
          <w:tcPr>
            <w:tcW w:w="1669" w:type="dxa"/>
          </w:tcPr>
          <w:p w14:paraId="7C093F81" w14:textId="77777777" w:rsidR="00D260F5" w:rsidRPr="00461031" w:rsidRDefault="00D77F51" w:rsidP="00D77F51">
            <w:pPr>
              <w:jc w:val="both"/>
              <w:rPr>
                <w:rFonts w:ascii="Arial" w:hAnsi="Arial" w:cs="Arial"/>
                <w:color w:val="000000"/>
                <w:sz w:val="20"/>
                <w:szCs w:val="20"/>
              </w:rPr>
            </w:pPr>
            <w:r w:rsidRPr="00461031">
              <w:rPr>
                <w:rFonts w:ascii="Arial" w:hAnsi="Arial" w:cs="Arial"/>
                <w:color w:val="000000"/>
                <w:sz w:val="20"/>
                <w:szCs w:val="20"/>
              </w:rPr>
              <w:t>3.6.2024,</w:t>
            </w:r>
          </w:p>
          <w:p w14:paraId="09D63167" w14:textId="77777777" w:rsidR="00D77F51" w:rsidRPr="00461031" w:rsidRDefault="00AD47D0" w:rsidP="00D77F51">
            <w:pPr>
              <w:jc w:val="both"/>
              <w:rPr>
                <w:rFonts w:ascii="Arial" w:hAnsi="Arial" w:cs="Arial"/>
                <w:color w:val="000000"/>
                <w:sz w:val="20"/>
                <w:szCs w:val="20"/>
              </w:rPr>
            </w:pPr>
            <w:r w:rsidRPr="00461031">
              <w:rPr>
                <w:rFonts w:ascii="Arial" w:hAnsi="Arial" w:cs="Arial"/>
                <w:color w:val="000000"/>
                <w:sz w:val="20"/>
                <w:szCs w:val="20"/>
              </w:rPr>
              <w:t>603-66/2024-2711-7</w:t>
            </w:r>
          </w:p>
        </w:tc>
        <w:tc>
          <w:tcPr>
            <w:tcW w:w="2095" w:type="dxa"/>
          </w:tcPr>
          <w:p w14:paraId="7931E181" w14:textId="77777777" w:rsidR="00D77F51" w:rsidRPr="00461031" w:rsidRDefault="00D77F51" w:rsidP="00D77F51">
            <w:pPr>
              <w:jc w:val="both"/>
              <w:rPr>
                <w:rFonts w:ascii="Arial" w:hAnsi="Arial" w:cs="Arial"/>
                <w:color w:val="000000"/>
                <w:sz w:val="20"/>
                <w:szCs w:val="20"/>
              </w:rPr>
            </w:pPr>
            <w:r w:rsidRPr="00461031">
              <w:rPr>
                <w:rFonts w:ascii="Arial" w:hAnsi="Arial" w:cs="Arial"/>
                <w:color w:val="000000"/>
                <w:sz w:val="20"/>
                <w:szCs w:val="20"/>
              </w:rPr>
              <w:t>Rok Klemše, DEOS d.o.o.</w:t>
            </w:r>
          </w:p>
          <w:p w14:paraId="09A50EB3" w14:textId="77777777" w:rsidR="00D260F5" w:rsidRPr="00461031" w:rsidRDefault="00D260F5" w:rsidP="0025370B">
            <w:pPr>
              <w:jc w:val="both"/>
              <w:rPr>
                <w:rFonts w:ascii="Arial" w:hAnsi="Arial" w:cs="Arial"/>
                <w:color w:val="000000"/>
                <w:sz w:val="20"/>
                <w:szCs w:val="20"/>
              </w:rPr>
            </w:pPr>
          </w:p>
        </w:tc>
        <w:tc>
          <w:tcPr>
            <w:tcW w:w="3825" w:type="dxa"/>
          </w:tcPr>
          <w:p w14:paraId="1C318DD2" w14:textId="77777777" w:rsidR="00D77F51" w:rsidRPr="00461031" w:rsidRDefault="00D77F51" w:rsidP="00D77F51">
            <w:pPr>
              <w:jc w:val="both"/>
              <w:rPr>
                <w:rFonts w:ascii="Arial" w:hAnsi="Arial" w:cs="Arial"/>
                <w:color w:val="000000"/>
                <w:sz w:val="20"/>
                <w:szCs w:val="20"/>
              </w:rPr>
            </w:pPr>
            <w:r w:rsidRPr="00461031">
              <w:rPr>
                <w:rFonts w:ascii="Arial" w:hAnsi="Arial" w:cs="Arial"/>
                <w:color w:val="000000"/>
                <w:sz w:val="20"/>
                <w:szCs w:val="20"/>
              </w:rPr>
              <w:t>Praktični del pripravništva v obsegu štirih mesecev naj bi se, glede na besedilo razpisa, izvajal pri delodajalcih javne zdravstvene dejavnosti. Ali so med te šteti tudi koncesionarji socialnovarstvene dejavnosti kot del javne mreže, ki imajo za opravljanje zdravstvene dejavnosti izdano odločbo Ministrstva za zdravje o opravljanju javne zdravstvene službe?</w:t>
            </w:r>
          </w:p>
          <w:p w14:paraId="341A6BE2" w14:textId="77777777" w:rsidR="00D260F5" w:rsidRPr="00461031" w:rsidRDefault="00D260F5" w:rsidP="0025370B">
            <w:pPr>
              <w:jc w:val="both"/>
              <w:rPr>
                <w:rFonts w:ascii="Arial" w:hAnsi="Arial" w:cs="Arial"/>
                <w:color w:val="000000"/>
                <w:sz w:val="20"/>
                <w:szCs w:val="20"/>
              </w:rPr>
            </w:pPr>
          </w:p>
        </w:tc>
        <w:tc>
          <w:tcPr>
            <w:tcW w:w="5777" w:type="dxa"/>
          </w:tcPr>
          <w:p w14:paraId="74A99896" w14:textId="77777777" w:rsidR="00D77F51" w:rsidRPr="00461031" w:rsidRDefault="00D77F51" w:rsidP="00D77F51">
            <w:pPr>
              <w:jc w:val="both"/>
              <w:rPr>
                <w:rFonts w:ascii="Arial" w:hAnsi="Arial" w:cs="Arial"/>
                <w:color w:val="292B2C"/>
                <w:sz w:val="20"/>
                <w:szCs w:val="20"/>
                <w:shd w:val="clear" w:color="auto" w:fill="FFFFFF"/>
              </w:rPr>
            </w:pPr>
            <w:r w:rsidRPr="00461031">
              <w:rPr>
                <w:rFonts w:ascii="Arial" w:hAnsi="Arial" w:cs="Arial"/>
                <w:sz w:val="20"/>
                <w:szCs w:val="20"/>
              </w:rPr>
              <w:t xml:space="preserve">Skladno s 4. členom Pravilnika o pripravništvu in strokovnih izpitih zdravstvenih delavcev in zdravstvenih sodelavcev na področju zdravstvene dejavnosti (Uradni list RS, št. 76/22, 58/23 in 97/23; v nadaljevanju: Pravilnik) mora izvajalec zdravstvene dejavnosti, ki želi zvajati pripravništvo za določen zdravstveni poklic, izpolnjevati pogoje </w:t>
            </w:r>
            <w:r w:rsidRPr="00461031">
              <w:rPr>
                <w:rFonts w:ascii="Arial" w:hAnsi="Arial" w:cs="Arial"/>
                <w:color w:val="292B2C"/>
                <w:sz w:val="20"/>
                <w:szCs w:val="20"/>
                <w:shd w:val="clear" w:color="auto" w:fill="FFFFFF"/>
              </w:rPr>
              <w:t>za izvajanje posameznih programov pripravništva, ki so določeni v prvem odstavku 4. člena Pravilnika. Izvajalec pripravništva izkazuje izpolnjevanje pogojev za izvajanje posameznih programov pripravništva z izjavo, ki jo podpiše odgovorna oseba izvajalca in se posreduje ministrstvu. Izvajalec pripravništva je odgovoren za pravilno izvajanje pripravništva.</w:t>
            </w:r>
          </w:p>
          <w:p w14:paraId="294FAA61" w14:textId="77777777" w:rsidR="00D77F51" w:rsidRPr="00461031" w:rsidRDefault="00D77F51" w:rsidP="00D77F51">
            <w:pPr>
              <w:jc w:val="both"/>
              <w:rPr>
                <w:rFonts w:ascii="Arial" w:hAnsi="Arial" w:cs="Arial"/>
                <w:color w:val="292B2C"/>
                <w:sz w:val="20"/>
                <w:szCs w:val="20"/>
                <w:shd w:val="clear" w:color="auto" w:fill="FFFFFF"/>
              </w:rPr>
            </w:pPr>
          </w:p>
          <w:p w14:paraId="7AAE7FDB" w14:textId="77777777" w:rsidR="00D260F5" w:rsidRPr="00461031" w:rsidRDefault="00D77F51" w:rsidP="0025370B">
            <w:pPr>
              <w:jc w:val="both"/>
              <w:rPr>
                <w:rFonts w:ascii="Arial" w:hAnsi="Arial" w:cs="Arial"/>
                <w:color w:val="292B2C"/>
                <w:sz w:val="20"/>
                <w:szCs w:val="20"/>
                <w:shd w:val="clear" w:color="auto" w:fill="FFFFFF"/>
              </w:rPr>
            </w:pPr>
            <w:r w:rsidRPr="00461031">
              <w:rPr>
                <w:rFonts w:ascii="Arial" w:hAnsi="Arial" w:cs="Arial"/>
                <w:color w:val="292B2C"/>
                <w:sz w:val="20"/>
                <w:szCs w:val="20"/>
                <w:shd w:val="clear" w:color="auto" w:fill="FFFFFF"/>
              </w:rPr>
              <w:t>Pripravniki</w:t>
            </w:r>
            <w:r w:rsidR="00E53FFC" w:rsidRPr="00461031">
              <w:rPr>
                <w:rFonts w:ascii="Arial" w:hAnsi="Arial" w:cs="Arial"/>
                <w:color w:val="292B2C"/>
                <w:sz w:val="20"/>
                <w:szCs w:val="20"/>
                <w:shd w:val="clear" w:color="auto" w:fill="FFFFFF"/>
              </w:rPr>
              <w:t xml:space="preserve"> torej</w:t>
            </w:r>
            <w:r w:rsidRPr="00461031">
              <w:rPr>
                <w:rFonts w:ascii="Arial" w:hAnsi="Arial" w:cs="Arial"/>
                <w:color w:val="292B2C"/>
                <w:sz w:val="20"/>
                <w:szCs w:val="20"/>
                <w:shd w:val="clear" w:color="auto" w:fill="FFFFFF"/>
              </w:rPr>
              <w:t xml:space="preserve"> </w:t>
            </w:r>
            <w:r w:rsidR="00C85809" w:rsidRPr="00461031">
              <w:rPr>
                <w:rFonts w:ascii="Arial" w:hAnsi="Arial" w:cs="Arial"/>
                <w:color w:val="292B2C"/>
                <w:sz w:val="20"/>
                <w:szCs w:val="20"/>
                <w:shd w:val="clear" w:color="auto" w:fill="FFFFFF"/>
              </w:rPr>
              <w:t xml:space="preserve">lahko </w:t>
            </w:r>
            <w:r w:rsidRPr="00461031">
              <w:rPr>
                <w:rFonts w:ascii="Arial" w:hAnsi="Arial" w:cs="Arial"/>
                <w:color w:val="292B2C"/>
                <w:sz w:val="20"/>
                <w:szCs w:val="20"/>
                <w:shd w:val="clear" w:color="auto" w:fill="FFFFFF"/>
              </w:rPr>
              <w:t>pripravništvo opravljajo</w:t>
            </w:r>
            <w:r w:rsidR="00E53FFC" w:rsidRPr="00461031">
              <w:rPr>
                <w:rFonts w:ascii="Arial" w:hAnsi="Arial" w:cs="Arial"/>
                <w:color w:val="292B2C"/>
                <w:sz w:val="20"/>
                <w:szCs w:val="20"/>
                <w:shd w:val="clear" w:color="auto" w:fill="FFFFFF"/>
              </w:rPr>
              <w:t xml:space="preserve"> tudi</w:t>
            </w:r>
            <w:r w:rsidRPr="00461031">
              <w:rPr>
                <w:rFonts w:ascii="Arial" w:hAnsi="Arial" w:cs="Arial"/>
                <w:color w:val="292B2C"/>
                <w:sz w:val="20"/>
                <w:szCs w:val="20"/>
                <w:shd w:val="clear" w:color="auto" w:fill="FFFFFF"/>
              </w:rPr>
              <w:t xml:space="preserve"> pri izvajalcih </w:t>
            </w:r>
            <w:r w:rsidR="00C96A2B" w:rsidRPr="00461031">
              <w:rPr>
                <w:rFonts w:ascii="Arial" w:hAnsi="Arial" w:cs="Arial"/>
                <w:color w:val="292B2C"/>
                <w:sz w:val="20"/>
                <w:szCs w:val="20"/>
                <w:shd w:val="clear" w:color="auto" w:fill="FFFFFF"/>
              </w:rPr>
              <w:t>socialnovarstvene</w:t>
            </w:r>
            <w:r w:rsidRPr="00461031">
              <w:rPr>
                <w:rFonts w:ascii="Arial" w:hAnsi="Arial" w:cs="Arial"/>
                <w:color w:val="292B2C"/>
                <w:sz w:val="20"/>
                <w:szCs w:val="20"/>
                <w:shd w:val="clear" w:color="auto" w:fill="FFFFFF"/>
              </w:rPr>
              <w:t xml:space="preserve"> dejavnosti</w:t>
            </w:r>
            <w:r w:rsidR="00B209FD" w:rsidRPr="00461031">
              <w:rPr>
                <w:rFonts w:ascii="Arial" w:hAnsi="Arial" w:cs="Arial"/>
                <w:color w:val="292B2C"/>
                <w:sz w:val="20"/>
                <w:szCs w:val="20"/>
                <w:shd w:val="clear" w:color="auto" w:fill="FFFFFF"/>
              </w:rPr>
              <w:t xml:space="preserve">, ki </w:t>
            </w:r>
            <w:r w:rsidR="00C96A2B" w:rsidRPr="00461031">
              <w:rPr>
                <w:rFonts w:ascii="Arial" w:hAnsi="Arial" w:cs="Arial"/>
                <w:color w:val="292B2C"/>
                <w:sz w:val="20"/>
                <w:szCs w:val="20"/>
                <w:shd w:val="clear" w:color="auto" w:fill="FFFFFF"/>
              </w:rPr>
              <w:t>opravljajo zdravstveno dejavnost v mreži javne zdravstvene službe na podlagi odločbe o opravljanju javne zdravstvene službe</w:t>
            </w:r>
            <w:r w:rsidR="00713A19" w:rsidRPr="00461031">
              <w:rPr>
                <w:rFonts w:ascii="Arial" w:hAnsi="Arial" w:cs="Arial"/>
                <w:color w:val="292B2C"/>
                <w:sz w:val="20"/>
                <w:szCs w:val="20"/>
                <w:shd w:val="clear" w:color="auto" w:fill="FFFFFF"/>
              </w:rPr>
              <w:t>, v kolikor ti izpolnjujejo pogoje iz prvega odstavka 4. člena Pravilnika za izvajanje pripravništva.</w:t>
            </w:r>
          </w:p>
          <w:p w14:paraId="704816B0" w14:textId="3BC1F7F5" w:rsidR="00713A19" w:rsidRPr="00461031" w:rsidRDefault="00713A19" w:rsidP="0025370B">
            <w:pPr>
              <w:jc w:val="both"/>
              <w:rPr>
                <w:rFonts w:ascii="Arial" w:hAnsi="Arial" w:cs="Arial"/>
                <w:color w:val="292B2C"/>
                <w:sz w:val="20"/>
                <w:szCs w:val="20"/>
                <w:shd w:val="clear" w:color="auto" w:fill="FFFFFF"/>
              </w:rPr>
            </w:pPr>
          </w:p>
        </w:tc>
      </w:tr>
      <w:tr w:rsidR="00AD47D0" w:rsidRPr="00461031" w14:paraId="61DC181A" w14:textId="77777777" w:rsidTr="00713A19">
        <w:tc>
          <w:tcPr>
            <w:tcW w:w="628" w:type="dxa"/>
          </w:tcPr>
          <w:p w14:paraId="1AF602B9" w14:textId="77777777" w:rsidR="00D260F5" w:rsidRPr="00461031" w:rsidRDefault="00D77F51" w:rsidP="0025370B">
            <w:pPr>
              <w:jc w:val="both"/>
              <w:rPr>
                <w:rFonts w:ascii="Arial" w:hAnsi="Arial" w:cs="Arial"/>
                <w:color w:val="000000"/>
                <w:sz w:val="20"/>
                <w:szCs w:val="20"/>
              </w:rPr>
            </w:pPr>
            <w:r w:rsidRPr="00461031">
              <w:rPr>
                <w:rFonts w:ascii="Arial" w:hAnsi="Arial" w:cs="Arial"/>
                <w:color w:val="000000"/>
                <w:sz w:val="20"/>
                <w:szCs w:val="20"/>
              </w:rPr>
              <w:t>2.</w:t>
            </w:r>
          </w:p>
        </w:tc>
        <w:tc>
          <w:tcPr>
            <w:tcW w:w="1669" w:type="dxa"/>
          </w:tcPr>
          <w:p w14:paraId="6AD32DCC" w14:textId="77777777" w:rsidR="00D260F5" w:rsidRPr="00461031" w:rsidRDefault="00D77F51" w:rsidP="00D77F51">
            <w:pPr>
              <w:jc w:val="both"/>
              <w:rPr>
                <w:rFonts w:ascii="Arial" w:hAnsi="Arial" w:cs="Arial"/>
                <w:color w:val="000000"/>
                <w:sz w:val="20"/>
                <w:szCs w:val="20"/>
              </w:rPr>
            </w:pPr>
            <w:r w:rsidRPr="00461031">
              <w:rPr>
                <w:rFonts w:ascii="Arial" w:hAnsi="Arial" w:cs="Arial"/>
                <w:color w:val="000000"/>
                <w:sz w:val="20"/>
                <w:szCs w:val="20"/>
              </w:rPr>
              <w:t>3.6.2024</w:t>
            </w:r>
            <w:r w:rsidR="00AD47D0" w:rsidRPr="00461031">
              <w:rPr>
                <w:rFonts w:ascii="Arial" w:hAnsi="Arial" w:cs="Arial"/>
                <w:color w:val="000000"/>
                <w:sz w:val="20"/>
                <w:szCs w:val="20"/>
              </w:rPr>
              <w:t>,</w:t>
            </w:r>
          </w:p>
          <w:p w14:paraId="4290ECF6" w14:textId="77777777" w:rsidR="00AD47D0" w:rsidRPr="00461031" w:rsidRDefault="00AD47D0" w:rsidP="00D77F51">
            <w:pPr>
              <w:jc w:val="both"/>
              <w:rPr>
                <w:rFonts w:ascii="Arial" w:hAnsi="Arial" w:cs="Arial"/>
                <w:color w:val="000000"/>
                <w:sz w:val="20"/>
                <w:szCs w:val="20"/>
              </w:rPr>
            </w:pPr>
            <w:r w:rsidRPr="00461031">
              <w:rPr>
                <w:rFonts w:ascii="Arial" w:hAnsi="Arial" w:cs="Arial"/>
                <w:color w:val="000000"/>
                <w:sz w:val="20"/>
                <w:szCs w:val="20"/>
              </w:rPr>
              <w:t>603-66/2024-2711-13</w:t>
            </w:r>
          </w:p>
        </w:tc>
        <w:tc>
          <w:tcPr>
            <w:tcW w:w="2095" w:type="dxa"/>
          </w:tcPr>
          <w:p w14:paraId="4CDF6AF7" w14:textId="77777777" w:rsidR="00D77F51" w:rsidRPr="00461031" w:rsidRDefault="00D77F51" w:rsidP="00D77F51">
            <w:pPr>
              <w:jc w:val="both"/>
              <w:rPr>
                <w:rFonts w:ascii="Arial" w:hAnsi="Arial" w:cs="Arial"/>
                <w:color w:val="000000"/>
                <w:sz w:val="20"/>
                <w:szCs w:val="20"/>
              </w:rPr>
            </w:pPr>
            <w:r w:rsidRPr="00461031">
              <w:rPr>
                <w:rFonts w:ascii="Arial" w:hAnsi="Arial" w:cs="Arial"/>
                <w:color w:val="000000"/>
                <w:sz w:val="20"/>
                <w:szCs w:val="20"/>
              </w:rPr>
              <w:t>Ksenija Sever Žižek, Sofizo, izobraževalni center d.o.o.</w:t>
            </w:r>
          </w:p>
          <w:p w14:paraId="32175827" w14:textId="77777777" w:rsidR="00D260F5" w:rsidRPr="00461031" w:rsidRDefault="00D260F5" w:rsidP="0025370B">
            <w:pPr>
              <w:jc w:val="both"/>
              <w:rPr>
                <w:rFonts w:ascii="Arial" w:hAnsi="Arial" w:cs="Arial"/>
                <w:color w:val="000000"/>
                <w:sz w:val="20"/>
                <w:szCs w:val="20"/>
              </w:rPr>
            </w:pPr>
          </w:p>
        </w:tc>
        <w:tc>
          <w:tcPr>
            <w:tcW w:w="3825" w:type="dxa"/>
          </w:tcPr>
          <w:p w14:paraId="449DA284" w14:textId="77777777" w:rsidR="00D77F51" w:rsidRPr="00461031" w:rsidRDefault="00D77F51" w:rsidP="00D77F51">
            <w:pPr>
              <w:jc w:val="both"/>
              <w:rPr>
                <w:rFonts w:ascii="Arial" w:hAnsi="Arial" w:cs="Arial"/>
                <w:color w:val="000000"/>
                <w:sz w:val="20"/>
                <w:szCs w:val="20"/>
              </w:rPr>
            </w:pPr>
            <w:r w:rsidRPr="00461031">
              <w:rPr>
                <w:rFonts w:ascii="Arial" w:hAnsi="Arial" w:cs="Arial"/>
                <w:color w:val="000000"/>
                <w:sz w:val="20"/>
                <w:szCs w:val="20"/>
              </w:rPr>
              <w:t>Praktični del pripravništva v obsegu štirih mesecev naj bi se, glede na besedilo razpisa, izvajal pri delodajalcih javne zdravstvene dejavnosti. Ali so med te šteti tudi koncesionarji socialnovarstvene dejavnosti kot del javne mreže, ki imajo za opravljanje zdravstvene dejavnosti izdano odločbo Ministrstva za zdravje o opravljanju javne zdravstvene službe?</w:t>
            </w:r>
          </w:p>
          <w:p w14:paraId="6E706D54" w14:textId="77777777" w:rsidR="00D260F5" w:rsidRPr="00461031" w:rsidRDefault="00D260F5" w:rsidP="0025370B">
            <w:pPr>
              <w:jc w:val="both"/>
              <w:rPr>
                <w:rFonts w:ascii="Arial" w:hAnsi="Arial" w:cs="Arial"/>
                <w:color w:val="000000"/>
                <w:sz w:val="20"/>
                <w:szCs w:val="20"/>
              </w:rPr>
            </w:pPr>
          </w:p>
        </w:tc>
        <w:tc>
          <w:tcPr>
            <w:tcW w:w="5777" w:type="dxa"/>
          </w:tcPr>
          <w:p w14:paraId="2E747BC7" w14:textId="45BD6001" w:rsidR="00713A19" w:rsidRPr="00461031" w:rsidRDefault="00D77F51" w:rsidP="00D77F51">
            <w:pPr>
              <w:jc w:val="both"/>
              <w:rPr>
                <w:rFonts w:ascii="Arial" w:hAnsi="Arial" w:cs="Arial"/>
                <w:color w:val="292B2C"/>
                <w:sz w:val="20"/>
                <w:szCs w:val="20"/>
                <w:shd w:val="clear" w:color="auto" w:fill="FFFFFF"/>
              </w:rPr>
            </w:pPr>
            <w:r w:rsidRPr="00461031">
              <w:rPr>
                <w:rFonts w:ascii="Arial" w:hAnsi="Arial" w:cs="Arial"/>
                <w:sz w:val="20"/>
                <w:szCs w:val="20"/>
              </w:rPr>
              <w:t xml:space="preserve">Skladno s 4. členom Pravilnika o pripravništvu in strokovnih izpitih zdravstvenih delavcev in zdravstvenih sodelavcev na področju zdravstvene dejavnosti (Uradni list RS, št. 76/22, 58/23 in 97/23; v nadaljevanju: Pravilnik) mora izvajalec zdravstvene dejavnosti, ki želi zvajati pripravništvo za določen zdravstveni poklic, izpolnjevati pogoje </w:t>
            </w:r>
            <w:r w:rsidRPr="00461031">
              <w:rPr>
                <w:rFonts w:ascii="Arial" w:hAnsi="Arial" w:cs="Arial"/>
                <w:color w:val="292B2C"/>
                <w:sz w:val="20"/>
                <w:szCs w:val="20"/>
                <w:shd w:val="clear" w:color="auto" w:fill="FFFFFF"/>
              </w:rPr>
              <w:t>za izvajanje posameznih programov pripravništva, ki so določeni v prvem odstavku 4. člena Pravilnika. Izvajalec pripravništva izkazuje izpolnjevanje pogojev za izvajanje posameznih programov pripravništva z izjavo, ki jo podpiše odgovorna oseba izvajalca in se posreduje ministrstvu. Izvajalec pripravništva je odgovoren za pravilno izvajanje pripravništva.</w:t>
            </w:r>
          </w:p>
          <w:p w14:paraId="47E9C970" w14:textId="77777777" w:rsidR="00D77F51" w:rsidRPr="00461031" w:rsidRDefault="00D77F51" w:rsidP="00D77F51">
            <w:pPr>
              <w:jc w:val="both"/>
              <w:rPr>
                <w:rFonts w:ascii="Arial" w:hAnsi="Arial" w:cs="Arial"/>
                <w:color w:val="292B2C"/>
                <w:sz w:val="20"/>
                <w:szCs w:val="20"/>
                <w:shd w:val="clear" w:color="auto" w:fill="FFFFFF"/>
              </w:rPr>
            </w:pPr>
          </w:p>
          <w:p w14:paraId="6EE1A74D" w14:textId="17373C6D" w:rsidR="00D260F5" w:rsidRPr="00461031" w:rsidRDefault="00713A19" w:rsidP="00AD47D0">
            <w:pPr>
              <w:jc w:val="both"/>
              <w:rPr>
                <w:rFonts w:ascii="Arial" w:hAnsi="Arial" w:cs="Arial"/>
                <w:color w:val="292B2C"/>
                <w:sz w:val="20"/>
                <w:szCs w:val="20"/>
                <w:shd w:val="clear" w:color="auto" w:fill="FFFFFF"/>
              </w:rPr>
            </w:pPr>
            <w:r w:rsidRPr="00461031">
              <w:rPr>
                <w:rFonts w:ascii="Arial" w:hAnsi="Arial" w:cs="Arial"/>
                <w:color w:val="292B2C"/>
                <w:sz w:val="20"/>
                <w:szCs w:val="20"/>
                <w:shd w:val="clear" w:color="auto" w:fill="FFFFFF"/>
              </w:rPr>
              <w:t>Pripravniki torej lahko pripravništvo opravljajo tudi pri izvajalcih socialnovarstvene dejavnosti, ki opravljajo zdravstveno dejavnost v mreži javne zdravstvene službe na podlagi odločbe o opravljanju javne zdravstvene službe, v kolikor ti izpolnjujejo pogoje iz prvega odstavka 4. člena Pravilnika za izvajanje pripravništva.</w:t>
            </w:r>
          </w:p>
        </w:tc>
      </w:tr>
      <w:tr w:rsidR="00AD47D0" w:rsidRPr="00461031" w14:paraId="788F4ABF" w14:textId="77777777" w:rsidTr="00713A19">
        <w:tc>
          <w:tcPr>
            <w:tcW w:w="628" w:type="dxa"/>
          </w:tcPr>
          <w:p w14:paraId="53958346" w14:textId="77777777" w:rsidR="00D260F5" w:rsidRPr="00461031" w:rsidRDefault="00D77F51" w:rsidP="0025370B">
            <w:pPr>
              <w:jc w:val="both"/>
              <w:rPr>
                <w:rFonts w:ascii="Arial" w:hAnsi="Arial" w:cs="Arial"/>
                <w:color w:val="000000"/>
                <w:sz w:val="20"/>
                <w:szCs w:val="20"/>
              </w:rPr>
            </w:pPr>
            <w:r w:rsidRPr="00461031">
              <w:rPr>
                <w:rFonts w:ascii="Arial" w:hAnsi="Arial" w:cs="Arial"/>
                <w:color w:val="000000"/>
                <w:sz w:val="20"/>
                <w:szCs w:val="20"/>
              </w:rPr>
              <w:lastRenderedPageBreak/>
              <w:t xml:space="preserve">3. </w:t>
            </w:r>
          </w:p>
        </w:tc>
        <w:tc>
          <w:tcPr>
            <w:tcW w:w="1669" w:type="dxa"/>
          </w:tcPr>
          <w:p w14:paraId="29D9E880" w14:textId="77777777" w:rsidR="00D260F5" w:rsidRPr="00461031" w:rsidRDefault="00D77F51" w:rsidP="0025370B">
            <w:pPr>
              <w:jc w:val="both"/>
              <w:rPr>
                <w:rFonts w:ascii="Arial" w:hAnsi="Arial" w:cs="Arial"/>
                <w:color w:val="000000"/>
                <w:sz w:val="20"/>
                <w:szCs w:val="20"/>
              </w:rPr>
            </w:pPr>
            <w:r w:rsidRPr="00461031">
              <w:rPr>
                <w:rFonts w:ascii="Arial" w:hAnsi="Arial" w:cs="Arial"/>
                <w:color w:val="000000"/>
                <w:sz w:val="20"/>
                <w:szCs w:val="20"/>
              </w:rPr>
              <w:t>4.</w:t>
            </w:r>
            <w:r w:rsidR="00AD47D0" w:rsidRPr="00461031">
              <w:rPr>
                <w:rFonts w:ascii="Arial" w:hAnsi="Arial" w:cs="Arial"/>
                <w:color w:val="000000"/>
                <w:sz w:val="20"/>
                <w:szCs w:val="20"/>
              </w:rPr>
              <w:t>6</w:t>
            </w:r>
            <w:r w:rsidRPr="00461031">
              <w:rPr>
                <w:rFonts w:ascii="Arial" w:hAnsi="Arial" w:cs="Arial"/>
                <w:color w:val="000000"/>
                <w:sz w:val="20"/>
                <w:szCs w:val="20"/>
              </w:rPr>
              <w:t>.2024</w:t>
            </w:r>
            <w:r w:rsidR="00AD47D0" w:rsidRPr="00461031">
              <w:rPr>
                <w:rFonts w:ascii="Arial" w:hAnsi="Arial" w:cs="Arial"/>
                <w:color w:val="000000"/>
                <w:sz w:val="20"/>
                <w:szCs w:val="20"/>
              </w:rPr>
              <w:t>,</w:t>
            </w:r>
          </w:p>
          <w:p w14:paraId="27B948B3" w14:textId="77777777" w:rsidR="00AD47D0" w:rsidRPr="00461031" w:rsidRDefault="00AD47D0" w:rsidP="0025370B">
            <w:pPr>
              <w:jc w:val="both"/>
              <w:rPr>
                <w:rFonts w:ascii="Arial" w:hAnsi="Arial" w:cs="Arial"/>
                <w:color w:val="000000"/>
                <w:sz w:val="20"/>
                <w:szCs w:val="20"/>
              </w:rPr>
            </w:pPr>
            <w:r w:rsidRPr="00461031">
              <w:rPr>
                <w:rFonts w:ascii="Arial" w:hAnsi="Arial" w:cs="Arial"/>
                <w:color w:val="000000"/>
                <w:sz w:val="20"/>
                <w:szCs w:val="20"/>
              </w:rPr>
              <w:t>603-66/2024-2711-12</w:t>
            </w:r>
          </w:p>
        </w:tc>
        <w:tc>
          <w:tcPr>
            <w:tcW w:w="2095" w:type="dxa"/>
          </w:tcPr>
          <w:p w14:paraId="0A26B879" w14:textId="77777777" w:rsidR="00D77F51" w:rsidRPr="00461031" w:rsidRDefault="00D77F51" w:rsidP="00D77F51">
            <w:pPr>
              <w:jc w:val="both"/>
              <w:rPr>
                <w:rFonts w:ascii="Arial" w:hAnsi="Arial" w:cs="Arial"/>
                <w:color w:val="292B2C"/>
                <w:sz w:val="20"/>
                <w:szCs w:val="20"/>
                <w:shd w:val="clear" w:color="auto" w:fill="FFFFFF"/>
              </w:rPr>
            </w:pPr>
            <w:r w:rsidRPr="00461031">
              <w:rPr>
                <w:rFonts w:ascii="Arial" w:hAnsi="Arial" w:cs="Arial"/>
                <w:color w:val="292B2C"/>
                <w:sz w:val="20"/>
                <w:szCs w:val="20"/>
                <w:shd w:val="clear" w:color="auto" w:fill="FFFFFF"/>
              </w:rPr>
              <w:t>Andreja Prebil, Srednja zdravstvena šola Ljubljana</w:t>
            </w:r>
          </w:p>
          <w:p w14:paraId="0A7FAB57" w14:textId="77777777" w:rsidR="00D260F5" w:rsidRPr="00461031" w:rsidRDefault="00D260F5" w:rsidP="0025370B">
            <w:pPr>
              <w:jc w:val="both"/>
              <w:rPr>
                <w:rFonts w:ascii="Arial" w:hAnsi="Arial" w:cs="Arial"/>
                <w:color w:val="000000"/>
                <w:sz w:val="20"/>
                <w:szCs w:val="20"/>
              </w:rPr>
            </w:pPr>
          </w:p>
        </w:tc>
        <w:tc>
          <w:tcPr>
            <w:tcW w:w="3825" w:type="dxa"/>
          </w:tcPr>
          <w:p w14:paraId="5EDCD09E" w14:textId="77777777" w:rsidR="00AD47D0" w:rsidRPr="00461031" w:rsidRDefault="00D77F51" w:rsidP="00D77F51">
            <w:pPr>
              <w:jc w:val="both"/>
              <w:rPr>
                <w:rFonts w:ascii="Arial" w:hAnsi="Arial" w:cs="Arial"/>
                <w:sz w:val="20"/>
                <w:szCs w:val="20"/>
              </w:rPr>
            </w:pPr>
            <w:r w:rsidRPr="00461031">
              <w:rPr>
                <w:rFonts w:ascii="Arial" w:hAnsi="Arial" w:cs="Arial"/>
                <w:sz w:val="20"/>
                <w:szCs w:val="20"/>
              </w:rPr>
              <w:t>Ali obvezni vsebinski sklopi izobraževalnega programa bolničar-negovalec vsebujejo zgolj teoretični del, ali lahko tudi praktični del kot praktični pouk na šoli, v specializiranih učilnicah, kjer se teorijo podkrepi s prakso? Se predvidevajo teoretični izpiti ali tudi praktični?</w:t>
            </w:r>
          </w:p>
          <w:p w14:paraId="583C1716" w14:textId="77777777" w:rsidR="00AD47D0" w:rsidRPr="00461031" w:rsidRDefault="00AD47D0" w:rsidP="00D553C4">
            <w:pPr>
              <w:pStyle w:val="Navadensplet"/>
              <w:jc w:val="both"/>
              <w:rPr>
                <w:rFonts w:ascii="Arial" w:hAnsi="Arial" w:cs="Arial"/>
                <w:sz w:val="20"/>
                <w:szCs w:val="20"/>
              </w:rPr>
            </w:pPr>
            <w:r w:rsidRPr="00461031">
              <w:rPr>
                <w:rFonts w:ascii="Arial" w:hAnsi="Arial" w:cs="Arial"/>
                <w:sz w:val="20"/>
                <w:szCs w:val="20"/>
              </w:rPr>
              <w:t>Ali bomo morali potencialne kandidate pridobiti sami, ali je drugače - jih bo napotil Zavod za zaposlovanje RS? Mislim tudi na odzivnost v poletnem času. </w:t>
            </w:r>
          </w:p>
          <w:p w14:paraId="144E9118" w14:textId="77777777" w:rsidR="00AD47D0" w:rsidRPr="00461031" w:rsidRDefault="00AD47D0" w:rsidP="00D553C4">
            <w:pPr>
              <w:pStyle w:val="Navadensplet"/>
              <w:jc w:val="both"/>
              <w:rPr>
                <w:rFonts w:ascii="Arial" w:hAnsi="Arial" w:cs="Arial"/>
                <w:sz w:val="20"/>
                <w:szCs w:val="20"/>
              </w:rPr>
            </w:pPr>
            <w:r w:rsidRPr="00461031">
              <w:rPr>
                <w:rFonts w:ascii="Arial" w:hAnsi="Arial" w:cs="Arial"/>
                <w:sz w:val="20"/>
                <w:szCs w:val="20"/>
              </w:rPr>
              <w:t>Ali mora izobraževanje potekati v dopoldanskem času?</w:t>
            </w:r>
          </w:p>
          <w:p w14:paraId="252100FD" w14:textId="77777777" w:rsidR="00D260F5" w:rsidRPr="00461031" w:rsidRDefault="00AD47D0" w:rsidP="00D553C4">
            <w:pPr>
              <w:pStyle w:val="Navadensplet"/>
              <w:jc w:val="both"/>
              <w:rPr>
                <w:rFonts w:ascii="Arial" w:hAnsi="Arial" w:cs="Arial"/>
                <w:sz w:val="20"/>
                <w:szCs w:val="20"/>
              </w:rPr>
            </w:pPr>
            <w:r w:rsidRPr="00461031">
              <w:rPr>
                <w:rFonts w:ascii="Arial" w:hAnsi="Arial" w:cs="Arial"/>
                <w:sz w:val="20"/>
                <w:szCs w:val="20"/>
              </w:rPr>
              <w:t>Kakšno potrdilo se jim izda po koncu izobraževanja?</w:t>
            </w:r>
          </w:p>
        </w:tc>
        <w:tc>
          <w:tcPr>
            <w:tcW w:w="5777" w:type="dxa"/>
          </w:tcPr>
          <w:p w14:paraId="7E2FB762" w14:textId="218C1302" w:rsidR="00D260F5" w:rsidRPr="00461031" w:rsidRDefault="00D77F51" w:rsidP="0025370B">
            <w:pPr>
              <w:jc w:val="both"/>
              <w:rPr>
                <w:rFonts w:ascii="Arial" w:hAnsi="Arial" w:cs="Arial"/>
                <w:sz w:val="20"/>
                <w:szCs w:val="20"/>
              </w:rPr>
            </w:pPr>
            <w:r w:rsidRPr="00461031">
              <w:rPr>
                <w:rFonts w:ascii="Arial" w:hAnsi="Arial" w:cs="Arial"/>
                <w:sz w:val="20"/>
                <w:szCs w:val="20"/>
              </w:rPr>
              <w:t xml:space="preserve">Obvezni vsebinski sklopi izobraževalnega programa bolničar – negovalec lahko vsebujejo tudi praktični pouk, ki se izvaja v specializiranih učilnicah na šoli. </w:t>
            </w:r>
            <w:r w:rsidR="008D21A5" w:rsidRPr="00461031">
              <w:rPr>
                <w:rFonts w:ascii="Arial" w:hAnsi="Arial" w:cs="Arial"/>
                <w:sz w:val="20"/>
                <w:szCs w:val="20"/>
              </w:rPr>
              <w:t xml:space="preserve">Besedilo javnega razpisa zahteva le zaključno preverjanje znanja, lahko pa posamezni izvajalec v svoj izobraževalni program vključi tudi </w:t>
            </w:r>
            <w:r w:rsidR="00A8064B" w:rsidRPr="00461031">
              <w:rPr>
                <w:rFonts w:ascii="Arial" w:hAnsi="Arial" w:cs="Arial"/>
                <w:sz w:val="20"/>
                <w:szCs w:val="20"/>
              </w:rPr>
              <w:t xml:space="preserve">preverjanje posameznih </w:t>
            </w:r>
            <w:r w:rsidR="008D21A5" w:rsidRPr="00461031">
              <w:rPr>
                <w:rFonts w:ascii="Arial" w:hAnsi="Arial" w:cs="Arial"/>
                <w:sz w:val="20"/>
                <w:szCs w:val="20"/>
              </w:rPr>
              <w:t>teoretičn</w:t>
            </w:r>
            <w:r w:rsidR="00A8064B" w:rsidRPr="00461031">
              <w:rPr>
                <w:rFonts w:ascii="Arial" w:hAnsi="Arial" w:cs="Arial"/>
                <w:sz w:val="20"/>
                <w:szCs w:val="20"/>
              </w:rPr>
              <w:t>ih</w:t>
            </w:r>
            <w:r w:rsidR="008D21A5" w:rsidRPr="00461031">
              <w:rPr>
                <w:rFonts w:ascii="Arial" w:hAnsi="Arial" w:cs="Arial"/>
                <w:sz w:val="20"/>
                <w:szCs w:val="20"/>
              </w:rPr>
              <w:t xml:space="preserve"> in praktičn</w:t>
            </w:r>
            <w:r w:rsidR="00A8064B" w:rsidRPr="00461031">
              <w:rPr>
                <w:rFonts w:ascii="Arial" w:hAnsi="Arial" w:cs="Arial"/>
                <w:sz w:val="20"/>
                <w:szCs w:val="20"/>
              </w:rPr>
              <w:t>ih</w:t>
            </w:r>
            <w:r w:rsidR="008D21A5" w:rsidRPr="00461031">
              <w:rPr>
                <w:rFonts w:ascii="Arial" w:hAnsi="Arial" w:cs="Arial"/>
                <w:sz w:val="20"/>
                <w:szCs w:val="20"/>
              </w:rPr>
              <w:t xml:space="preserve"> </w:t>
            </w:r>
            <w:r w:rsidR="00A8064B" w:rsidRPr="00461031">
              <w:rPr>
                <w:rFonts w:ascii="Arial" w:hAnsi="Arial" w:cs="Arial"/>
                <w:sz w:val="20"/>
                <w:szCs w:val="20"/>
              </w:rPr>
              <w:t>vsebin</w:t>
            </w:r>
            <w:r w:rsidR="008D21A5" w:rsidRPr="00461031">
              <w:rPr>
                <w:rFonts w:ascii="Arial" w:hAnsi="Arial" w:cs="Arial"/>
                <w:sz w:val="20"/>
                <w:szCs w:val="20"/>
              </w:rPr>
              <w:t>. Oblikovanje izobraževalnega programa, sestavo predmetnika, organizacijo izobraževanja in način preverjanja znanja prepuščamo izvajalcem teoretičnega dela pripravništva.</w:t>
            </w:r>
          </w:p>
          <w:p w14:paraId="079B23C4" w14:textId="77777777" w:rsidR="008D21A5" w:rsidRPr="00461031" w:rsidRDefault="008D21A5" w:rsidP="0025370B">
            <w:pPr>
              <w:jc w:val="both"/>
              <w:rPr>
                <w:rFonts w:ascii="Arial" w:hAnsi="Arial" w:cs="Arial"/>
                <w:sz w:val="20"/>
                <w:szCs w:val="20"/>
              </w:rPr>
            </w:pPr>
          </w:p>
          <w:p w14:paraId="65B7BEBD" w14:textId="39F0B764" w:rsidR="008D21A5" w:rsidRPr="00461031" w:rsidRDefault="008D21A5" w:rsidP="0025370B">
            <w:pPr>
              <w:jc w:val="both"/>
              <w:rPr>
                <w:rFonts w:ascii="Arial" w:hAnsi="Arial" w:cs="Arial"/>
                <w:color w:val="000000"/>
                <w:sz w:val="20"/>
                <w:szCs w:val="20"/>
              </w:rPr>
            </w:pPr>
            <w:r w:rsidRPr="00461031">
              <w:rPr>
                <w:rFonts w:ascii="Arial" w:hAnsi="Arial" w:cs="Arial"/>
                <w:color w:val="000000"/>
                <w:sz w:val="20"/>
                <w:szCs w:val="20"/>
              </w:rPr>
              <w:t>Za pridobitev potencialnih kandidatov bo potrebno sodelovanje več deležnikov, predvsem izvajalcev zdravstvene dejavnosti, ki bodo kandidate zaposlili kot pripravnik</w:t>
            </w:r>
            <w:r w:rsidR="00C85809" w:rsidRPr="00461031">
              <w:rPr>
                <w:rFonts w:ascii="Arial" w:hAnsi="Arial" w:cs="Arial"/>
                <w:color w:val="000000"/>
                <w:sz w:val="20"/>
                <w:szCs w:val="20"/>
              </w:rPr>
              <w:t>e</w:t>
            </w:r>
            <w:r w:rsidRPr="00461031">
              <w:rPr>
                <w:rFonts w:ascii="Arial" w:hAnsi="Arial" w:cs="Arial"/>
                <w:color w:val="000000"/>
                <w:sz w:val="20"/>
                <w:szCs w:val="20"/>
              </w:rPr>
              <w:t xml:space="preserve"> ter Zavoda RS za zaposlovanje, ki zainteresirane kandidate lahko napoti k izvajalcem zdravstvene dejavnosti. Z</w:t>
            </w:r>
            <w:r w:rsidR="00C85809" w:rsidRPr="00461031">
              <w:rPr>
                <w:rFonts w:ascii="Arial" w:hAnsi="Arial" w:cs="Arial"/>
                <w:color w:val="000000"/>
                <w:sz w:val="20"/>
                <w:szCs w:val="20"/>
              </w:rPr>
              <w:t xml:space="preserve">avod </w:t>
            </w:r>
            <w:r w:rsidRPr="00461031">
              <w:rPr>
                <w:rFonts w:ascii="Arial" w:hAnsi="Arial" w:cs="Arial"/>
                <w:color w:val="000000"/>
                <w:sz w:val="20"/>
                <w:szCs w:val="20"/>
              </w:rPr>
              <w:t>RS</w:t>
            </w:r>
            <w:r w:rsidR="00C85809" w:rsidRPr="00461031">
              <w:rPr>
                <w:rFonts w:ascii="Arial" w:hAnsi="Arial" w:cs="Arial"/>
                <w:color w:val="000000"/>
                <w:sz w:val="20"/>
                <w:szCs w:val="20"/>
              </w:rPr>
              <w:t xml:space="preserve"> za zaposlovanje in</w:t>
            </w:r>
            <w:r w:rsidRPr="00461031">
              <w:rPr>
                <w:rFonts w:ascii="Arial" w:hAnsi="Arial" w:cs="Arial"/>
                <w:color w:val="000000"/>
                <w:sz w:val="20"/>
                <w:szCs w:val="20"/>
              </w:rPr>
              <w:t xml:space="preserve"> </w:t>
            </w:r>
            <w:r w:rsidR="00C85809" w:rsidRPr="00461031">
              <w:rPr>
                <w:rFonts w:ascii="Arial" w:hAnsi="Arial" w:cs="Arial"/>
                <w:color w:val="000000"/>
                <w:sz w:val="20"/>
                <w:szCs w:val="20"/>
              </w:rPr>
              <w:t xml:space="preserve">izvajalci zdravstvene dejavnosti </w:t>
            </w:r>
            <w:r w:rsidRPr="00461031">
              <w:rPr>
                <w:rFonts w:ascii="Arial" w:hAnsi="Arial" w:cs="Arial"/>
                <w:color w:val="000000"/>
                <w:sz w:val="20"/>
                <w:szCs w:val="20"/>
              </w:rPr>
              <w:t>so bili o pilotni vzpostavitvi novega programa pripravništva za poklic bolničar – negovalec že obveščeni.</w:t>
            </w:r>
          </w:p>
          <w:p w14:paraId="551D3CC3" w14:textId="77777777" w:rsidR="008D21A5" w:rsidRPr="00461031" w:rsidRDefault="008D21A5" w:rsidP="0025370B">
            <w:pPr>
              <w:jc w:val="both"/>
              <w:rPr>
                <w:rFonts w:ascii="Arial" w:hAnsi="Arial" w:cs="Arial"/>
                <w:color w:val="000000"/>
                <w:sz w:val="20"/>
                <w:szCs w:val="20"/>
              </w:rPr>
            </w:pPr>
          </w:p>
          <w:p w14:paraId="5DB0F874" w14:textId="31631DA9" w:rsidR="008D21A5" w:rsidRPr="00461031" w:rsidRDefault="00180DAF" w:rsidP="0025370B">
            <w:pPr>
              <w:jc w:val="both"/>
              <w:rPr>
                <w:rFonts w:ascii="Arial" w:hAnsi="Arial" w:cs="Arial"/>
                <w:bCs/>
                <w:sz w:val="20"/>
                <w:szCs w:val="20"/>
              </w:rPr>
            </w:pPr>
            <w:r w:rsidRPr="00461031">
              <w:rPr>
                <w:rFonts w:ascii="Arial" w:hAnsi="Arial" w:cs="Arial"/>
                <w:color w:val="000000"/>
                <w:sz w:val="20"/>
                <w:szCs w:val="20"/>
              </w:rPr>
              <w:t>Besedilo javnega razpisa</w:t>
            </w:r>
            <w:r w:rsidR="001C3288" w:rsidRPr="00461031">
              <w:rPr>
                <w:rFonts w:ascii="Arial" w:hAnsi="Arial" w:cs="Arial"/>
                <w:color w:val="000000"/>
                <w:sz w:val="20"/>
                <w:szCs w:val="20"/>
              </w:rPr>
              <w:t xml:space="preserve"> ne določa, da se mora </w:t>
            </w:r>
            <w:r w:rsidR="00D553C4" w:rsidRPr="00461031">
              <w:rPr>
                <w:rFonts w:ascii="Arial" w:hAnsi="Arial" w:cs="Arial"/>
                <w:color w:val="000000"/>
                <w:sz w:val="20"/>
                <w:szCs w:val="20"/>
              </w:rPr>
              <w:t>izobraževanje izvajati v dopoldanskem času, vendar</w:t>
            </w:r>
            <w:r w:rsidR="00C85809" w:rsidRPr="00461031">
              <w:rPr>
                <w:rFonts w:ascii="Arial" w:hAnsi="Arial" w:cs="Arial"/>
                <w:color w:val="000000"/>
                <w:sz w:val="20"/>
                <w:szCs w:val="20"/>
              </w:rPr>
              <w:t xml:space="preserve"> pa</w:t>
            </w:r>
            <w:r w:rsidR="00D553C4" w:rsidRPr="00461031">
              <w:rPr>
                <w:rFonts w:ascii="Arial" w:hAnsi="Arial" w:cs="Arial"/>
                <w:color w:val="000000"/>
                <w:sz w:val="20"/>
                <w:szCs w:val="20"/>
              </w:rPr>
              <w:t xml:space="preserve"> je zaželeno,</w:t>
            </w:r>
            <w:r w:rsidR="008D21A5" w:rsidRPr="00461031">
              <w:rPr>
                <w:rFonts w:ascii="Arial" w:hAnsi="Arial" w:cs="Arial"/>
                <w:color w:val="000000"/>
                <w:sz w:val="20"/>
                <w:szCs w:val="20"/>
              </w:rPr>
              <w:t xml:space="preserve"> da se</w:t>
            </w:r>
            <w:r w:rsidRPr="00461031">
              <w:rPr>
                <w:rFonts w:ascii="Arial" w:hAnsi="Arial" w:cs="Arial"/>
                <w:color w:val="000000"/>
                <w:sz w:val="20"/>
                <w:szCs w:val="20"/>
              </w:rPr>
              <w:t xml:space="preserve">, zaradi večje privlačnosti izobraževalnega programa za potencialne kandidate, </w:t>
            </w:r>
            <w:r w:rsidR="008D21A5" w:rsidRPr="00461031">
              <w:rPr>
                <w:rFonts w:ascii="Arial" w:hAnsi="Arial" w:cs="Arial"/>
                <w:color w:val="000000"/>
                <w:sz w:val="20"/>
                <w:szCs w:val="20"/>
              </w:rPr>
              <w:t>izobraževanje</w:t>
            </w:r>
            <w:r w:rsidR="006B2E2D" w:rsidRPr="00461031">
              <w:rPr>
                <w:rFonts w:ascii="Arial" w:hAnsi="Arial" w:cs="Arial"/>
                <w:color w:val="000000"/>
                <w:sz w:val="20"/>
                <w:szCs w:val="20"/>
              </w:rPr>
              <w:t xml:space="preserve"> </w:t>
            </w:r>
            <w:r w:rsidR="008D21A5" w:rsidRPr="00461031">
              <w:rPr>
                <w:rFonts w:ascii="Arial" w:hAnsi="Arial" w:cs="Arial"/>
                <w:color w:val="000000"/>
                <w:sz w:val="20"/>
                <w:szCs w:val="20"/>
              </w:rPr>
              <w:t xml:space="preserve">izvaja </w:t>
            </w:r>
            <w:r w:rsidR="00D553C4" w:rsidRPr="00461031">
              <w:rPr>
                <w:rFonts w:ascii="Arial" w:hAnsi="Arial" w:cs="Arial"/>
                <w:color w:val="000000"/>
                <w:sz w:val="20"/>
                <w:szCs w:val="20"/>
              </w:rPr>
              <w:t>dopoldne</w:t>
            </w:r>
            <w:r w:rsidRPr="00461031">
              <w:rPr>
                <w:rFonts w:ascii="Arial" w:hAnsi="Arial" w:cs="Arial"/>
                <w:color w:val="000000"/>
                <w:sz w:val="20"/>
                <w:szCs w:val="20"/>
              </w:rPr>
              <w:t>.</w:t>
            </w:r>
          </w:p>
          <w:p w14:paraId="69385E64" w14:textId="77777777" w:rsidR="00D553C4" w:rsidRPr="00461031" w:rsidRDefault="00D553C4" w:rsidP="0025370B">
            <w:pPr>
              <w:jc w:val="both"/>
              <w:rPr>
                <w:rFonts w:ascii="Arial" w:hAnsi="Arial" w:cs="Arial"/>
                <w:bCs/>
                <w:sz w:val="20"/>
                <w:szCs w:val="20"/>
              </w:rPr>
            </w:pPr>
          </w:p>
          <w:p w14:paraId="5CD4E520" w14:textId="77777777" w:rsidR="00D553C4" w:rsidRPr="00461031" w:rsidRDefault="00D553C4" w:rsidP="0025370B">
            <w:pPr>
              <w:jc w:val="both"/>
              <w:rPr>
                <w:rFonts w:ascii="Arial" w:hAnsi="Arial" w:cs="Arial"/>
                <w:bCs/>
                <w:sz w:val="20"/>
                <w:szCs w:val="20"/>
              </w:rPr>
            </w:pPr>
            <w:r w:rsidRPr="00461031">
              <w:rPr>
                <w:rFonts w:ascii="Arial" w:hAnsi="Arial" w:cs="Arial"/>
                <w:bCs/>
                <w:sz w:val="20"/>
                <w:szCs w:val="20"/>
              </w:rPr>
              <w:t xml:space="preserve">Po koncu izobraževanja se </w:t>
            </w:r>
            <w:r w:rsidR="00C85809" w:rsidRPr="00461031">
              <w:rPr>
                <w:rFonts w:ascii="Arial" w:hAnsi="Arial" w:cs="Arial"/>
                <w:bCs/>
                <w:sz w:val="20"/>
                <w:szCs w:val="20"/>
              </w:rPr>
              <w:t>kandidatom</w:t>
            </w:r>
            <w:r w:rsidRPr="00461031">
              <w:rPr>
                <w:rFonts w:ascii="Arial" w:hAnsi="Arial" w:cs="Arial"/>
                <w:bCs/>
                <w:sz w:val="20"/>
                <w:szCs w:val="20"/>
              </w:rPr>
              <w:t xml:space="preserve"> izda potrdilo o opravljenem teoretičnem delu pripravništva za poklic bolničar – negovalec. Kandidat bo lahko opravljal praktični del pripravništva, le če bo uspešno opravil teoretični del pripravništva.</w:t>
            </w:r>
          </w:p>
          <w:p w14:paraId="328A23E1" w14:textId="6F4567D6" w:rsidR="00713A19" w:rsidRPr="00461031" w:rsidRDefault="00713A19" w:rsidP="0025370B">
            <w:pPr>
              <w:jc w:val="both"/>
              <w:rPr>
                <w:rFonts w:ascii="Arial" w:hAnsi="Arial" w:cs="Arial"/>
                <w:color w:val="000000"/>
                <w:sz w:val="20"/>
                <w:szCs w:val="20"/>
              </w:rPr>
            </w:pPr>
          </w:p>
        </w:tc>
      </w:tr>
      <w:tr w:rsidR="00AD47D0" w:rsidRPr="00461031" w14:paraId="0A7311F3" w14:textId="77777777" w:rsidTr="00713A19">
        <w:tc>
          <w:tcPr>
            <w:tcW w:w="628" w:type="dxa"/>
          </w:tcPr>
          <w:p w14:paraId="2C3383B0" w14:textId="77777777" w:rsidR="00D260F5" w:rsidRPr="00461031" w:rsidRDefault="00D77F51" w:rsidP="0025370B">
            <w:pPr>
              <w:jc w:val="both"/>
              <w:rPr>
                <w:rFonts w:ascii="Arial" w:hAnsi="Arial" w:cs="Arial"/>
                <w:color w:val="000000"/>
                <w:sz w:val="20"/>
                <w:szCs w:val="20"/>
              </w:rPr>
            </w:pPr>
            <w:r w:rsidRPr="00461031">
              <w:rPr>
                <w:rFonts w:ascii="Arial" w:hAnsi="Arial" w:cs="Arial"/>
                <w:color w:val="000000"/>
                <w:sz w:val="20"/>
                <w:szCs w:val="20"/>
              </w:rPr>
              <w:t>4.</w:t>
            </w:r>
          </w:p>
        </w:tc>
        <w:tc>
          <w:tcPr>
            <w:tcW w:w="1669" w:type="dxa"/>
          </w:tcPr>
          <w:p w14:paraId="4F4FCBFB" w14:textId="77777777" w:rsidR="00D77F51" w:rsidRPr="00461031" w:rsidRDefault="00AD47D0" w:rsidP="0025370B">
            <w:pPr>
              <w:jc w:val="both"/>
              <w:rPr>
                <w:rFonts w:ascii="Arial" w:hAnsi="Arial" w:cs="Arial"/>
                <w:color w:val="000000"/>
                <w:sz w:val="20"/>
                <w:szCs w:val="20"/>
              </w:rPr>
            </w:pPr>
            <w:r w:rsidRPr="00461031">
              <w:rPr>
                <w:rFonts w:ascii="Arial" w:hAnsi="Arial" w:cs="Arial"/>
                <w:color w:val="000000"/>
                <w:sz w:val="20"/>
                <w:szCs w:val="20"/>
              </w:rPr>
              <w:t>4.6.2024,</w:t>
            </w:r>
          </w:p>
          <w:p w14:paraId="43513C3E" w14:textId="77777777" w:rsidR="00AD47D0" w:rsidRPr="00461031" w:rsidRDefault="00AD47D0" w:rsidP="0025370B">
            <w:pPr>
              <w:jc w:val="both"/>
              <w:rPr>
                <w:rFonts w:ascii="Arial" w:hAnsi="Arial" w:cs="Arial"/>
                <w:color w:val="000000"/>
                <w:sz w:val="20"/>
                <w:szCs w:val="20"/>
              </w:rPr>
            </w:pPr>
            <w:r w:rsidRPr="00461031">
              <w:rPr>
                <w:rFonts w:ascii="Arial" w:hAnsi="Arial" w:cs="Arial"/>
                <w:color w:val="000000"/>
                <w:sz w:val="20"/>
                <w:szCs w:val="20"/>
              </w:rPr>
              <w:lastRenderedPageBreak/>
              <w:t>603-66/2024-2711-10</w:t>
            </w:r>
          </w:p>
        </w:tc>
        <w:tc>
          <w:tcPr>
            <w:tcW w:w="2095" w:type="dxa"/>
          </w:tcPr>
          <w:p w14:paraId="1E80EB1F" w14:textId="77777777" w:rsidR="00D260F5" w:rsidRPr="00461031" w:rsidRDefault="00AD47D0" w:rsidP="0025370B">
            <w:pPr>
              <w:jc w:val="both"/>
              <w:rPr>
                <w:rFonts w:ascii="Arial" w:hAnsi="Arial" w:cs="Arial"/>
                <w:color w:val="000000"/>
                <w:sz w:val="20"/>
                <w:szCs w:val="20"/>
              </w:rPr>
            </w:pPr>
            <w:r w:rsidRPr="00461031">
              <w:rPr>
                <w:rFonts w:ascii="Arial" w:hAnsi="Arial" w:cs="Arial"/>
                <w:color w:val="000000"/>
                <w:sz w:val="20"/>
                <w:szCs w:val="20"/>
              </w:rPr>
              <w:lastRenderedPageBreak/>
              <w:t>Nina Salobir, Ljudska univerza Škofja Loka</w:t>
            </w:r>
          </w:p>
        </w:tc>
        <w:tc>
          <w:tcPr>
            <w:tcW w:w="3825" w:type="dxa"/>
          </w:tcPr>
          <w:p w14:paraId="52C8BA82" w14:textId="77777777" w:rsidR="00AD47D0" w:rsidRPr="00461031" w:rsidRDefault="00AD47D0" w:rsidP="00D553C4">
            <w:pPr>
              <w:jc w:val="both"/>
              <w:rPr>
                <w:rFonts w:ascii="Arial" w:hAnsi="Arial" w:cs="Arial"/>
                <w:sz w:val="20"/>
                <w:szCs w:val="20"/>
              </w:rPr>
            </w:pPr>
            <w:r w:rsidRPr="00461031">
              <w:rPr>
                <w:rFonts w:ascii="Arial" w:hAnsi="Arial" w:cs="Arial"/>
                <w:sz w:val="20"/>
                <w:szCs w:val="20"/>
              </w:rPr>
              <w:t xml:space="preserve">V razpisni dokumentaciji piše, da je splošen pogoj prijavitelja, da v šolskem </w:t>
            </w:r>
            <w:r w:rsidRPr="00461031">
              <w:rPr>
                <w:rFonts w:ascii="Arial" w:hAnsi="Arial" w:cs="Arial"/>
                <w:sz w:val="20"/>
                <w:szCs w:val="20"/>
              </w:rPr>
              <w:lastRenderedPageBreak/>
              <w:t>letu 2024/2025 izvaja REDNO izobraževanje za pridobitev izobrazbe »bolničar-negovalec«. Naša ljudska univerza izvaja IZREDNO izobraževanje za odrasle, za pridobitev omenjene izobrazbe. Ali v tem primeru sploh izpolnjujemo pogoje za prijavitelja?</w:t>
            </w:r>
          </w:p>
          <w:p w14:paraId="79A7FA8B" w14:textId="77777777" w:rsidR="00D260F5" w:rsidRPr="00461031" w:rsidRDefault="00D260F5" w:rsidP="0025370B">
            <w:pPr>
              <w:jc w:val="both"/>
              <w:rPr>
                <w:rFonts w:ascii="Arial" w:hAnsi="Arial" w:cs="Arial"/>
                <w:color w:val="000000"/>
                <w:sz w:val="20"/>
                <w:szCs w:val="20"/>
              </w:rPr>
            </w:pPr>
          </w:p>
        </w:tc>
        <w:tc>
          <w:tcPr>
            <w:tcW w:w="5777" w:type="dxa"/>
          </w:tcPr>
          <w:p w14:paraId="3C43A739" w14:textId="15C1FDAF" w:rsidR="00D260F5" w:rsidRPr="00461031" w:rsidRDefault="00D553C4" w:rsidP="0025370B">
            <w:pPr>
              <w:jc w:val="both"/>
              <w:rPr>
                <w:rFonts w:ascii="Arial" w:hAnsi="Arial" w:cs="Arial"/>
                <w:color w:val="000000"/>
                <w:sz w:val="20"/>
                <w:szCs w:val="20"/>
              </w:rPr>
            </w:pPr>
            <w:r w:rsidRPr="00461031">
              <w:rPr>
                <w:rFonts w:ascii="Arial" w:hAnsi="Arial" w:cs="Arial"/>
                <w:color w:val="000000"/>
                <w:sz w:val="20"/>
                <w:szCs w:val="20"/>
              </w:rPr>
              <w:lastRenderedPageBreak/>
              <w:t xml:space="preserve">Na javni razpis se lahko prijavijo </w:t>
            </w:r>
            <w:r w:rsidR="006E1036" w:rsidRPr="00461031">
              <w:rPr>
                <w:rFonts w:ascii="Arial" w:hAnsi="Arial" w:cs="Arial"/>
                <w:color w:val="000000"/>
                <w:sz w:val="20"/>
                <w:szCs w:val="20"/>
              </w:rPr>
              <w:t xml:space="preserve">akreditirani izobraževalni zavodi, ki izvajajo redno ali izredno obliko izobraževanja za </w:t>
            </w:r>
            <w:r w:rsidR="006E1036" w:rsidRPr="00461031">
              <w:rPr>
                <w:rFonts w:ascii="Arial" w:hAnsi="Arial" w:cs="Arial"/>
                <w:color w:val="000000"/>
                <w:sz w:val="20"/>
                <w:szCs w:val="20"/>
              </w:rPr>
              <w:lastRenderedPageBreak/>
              <w:t xml:space="preserve">poklic bolničar – negovalec. Z besedo redno smo želeli poudariti, da se na javni razpis lahko prijavijo akreditirani izobraževalni zavodi, ki so izobraževalni program bolničar – negovalec </w:t>
            </w:r>
            <w:r w:rsidR="007B60C2" w:rsidRPr="00461031">
              <w:rPr>
                <w:rFonts w:ascii="Arial" w:hAnsi="Arial" w:cs="Arial"/>
                <w:color w:val="000000"/>
                <w:sz w:val="20"/>
                <w:szCs w:val="20"/>
              </w:rPr>
              <w:t xml:space="preserve">v preteklosti </w:t>
            </w:r>
            <w:r w:rsidR="006E1036" w:rsidRPr="00461031">
              <w:rPr>
                <w:rFonts w:ascii="Arial" w:hAnsi="Arial" w:cs="Arial"/>
                <w:color w:val="000000"/>
                <w:sz w:val="20"/>
                <w:szCs w:val="20"/>
              </w:rPr>
              <w:t>že izvajali oz. ga trenutno še izvajajo</w:t>
            </w:r>
            <w:r w:rsidR="00A8064B" w:rsidRPr="00461031">
              <w:rPr>
                <w:rFonts w:ascii="Arial" w:hAnsi="Arial" w:cs="Arial"/>
                <w:color w:val="000000"/>
                <w:sz w:val="20"/>
                <w:szCs w:val="20"/>
              </w:rPr>
              <w:t>,</w:t>
            </w:r>
            <w:r w:rsidR="00E513B1" w:rsidRPr="00461031">
              <w:rPr>
                <w:rFonts w:ascii="Arial" w:hAnsi="Arial" w:cs="Arial"/>
                <w:color w:val="000000"/>
                <w:sz w:val="20"/>
                <w:szCs w:val="20"/>
              </w:rPr>
              <w:t xml:space="preserve"> in ne tisti, ki bi izobraževalni program v okviru pilotnega projekta šele pričeli izvajati. </w:t>
            </w:r>
          </w:p>
        </w:tc>
      </w:tr>
      <w:tr w:rsidR="00AD47D0" w:rsidRPr="00461031" w14:paraId="5E315C60" w14:textId="77777777" w:rsidTr="00713A19">
        <w:tc>
          <w:tcPr>
            <w:tcW w:w="628" w:type="dxa"/>
          </w:tcPr>
          <w:p w14:paraId="7B843B64" w14:textId="77777777" w:rsidR="00D260F5" w:rsidRPr="00461031" w:rsidRDefault="00AD47D0" w:rsidP="0025370B">
            <w:pPr>
              <w:jc w:val="both"/>
              <w:rPr>
                <w:rFonts w:ascii="Arial" w:hAnsi="Arial" w:cs="Arial"/>
                <w:color w:val="000000"/>
                <w:sz w:val="20"/>
                <w:szCs w:val="20"/>
              </w:rPr>
            </w:pPr>
            <w:r w:rsidRPr="00461031">
              <w:rPr>
                <w:rFonts w:ascii="Arial" w:hAnsi="Arial" w:cs="Arial"/>
                <w:color w:val="000000"/>
                <w:sz w:val="20"/>
                <w:szCs w:val="20"/>
              </w:rPr>
              <w:lastRenderedPageBreak/>
              <w:t>5.</w:t>
            </w:r>
          </w:p>
        </w:tc>
        <w:tc>
          <w:tcPr>
            <w:tcW w:w="1669" w:type="dxa"/>
          </w:tcPr>
          <w:p w14:paraId="1AE75A4D" w14:textId="77777777" w:rsidR="00AD47D0" w:rsidRPr="00461031" w:rsidRDefault="00AD47D0" w:rsidP="00AD47D0">
            <w:pPr>
              <w:jc w:val="both"/>
              <w:rPr>
                <w:rFonts w:ascii="Arial" w:hAnsi="Arial" w:cs="Arial"/>
                <w:color w:val="000000"/>
                <w:sz w:val="20"/>
                <w:szCs w:val="20"/>
              </w:rPr>
            </w:pPr>
            <w:r w:rsidRPr="00461031">
              <w:rPr>
                <w:rFonts w:ascii="Arial" w:hAnsi="Arial" w:cs="Arial"/>
                <w:color w:val="000000"/>
                <w:sz w:val="20"/>
                <w:szCs w:val="20"/>
              </w:rPr>
              <w:t>5.6.2024,</w:t>
            </w:r>
          </w:p>
          <w:p w14:paraId="387FEFE6" w14:textId="77777777" w:rsidR="00D260F5" w:rsidRPr="00461031" w:rsidRDefault="00AD47D0" w:rsidP="00AD47D0">
            <w:pPr>
              <w:jc w:val="both"/>
              <w:rPr>
                <w:rFonts w:ascii="Arial" w:hAnsi="Arial" w:cs="Arial"/>
                <w:color w:val="000000"/>
                <w:sz w:val="20"/>
                <w:szCs w:val="20"/>
              </w:rPr>
            </w:pPr>
            <w:r w:rsidRPr="00461031">
              <w:rPr>
                <w:rFonts w:ascii="Arial" w:hAnsi="Arial" w:cs="Arial"/>
                <w:color w:val="000000"/>
                <w:sz w:val="20"/>
                <w:szCs w:val="20"/>
              </w:rPr>
              <w:t>603-66/2024-2711-11</w:t>
            </w:r>
          </w:p>
        </w:tc>
        <w:tc>
          <w:tcPr>
            <w:tcW w:w="2095" w:type="dxa"/>
          </w:tcPr>
          <w:p w14:paraId="1F231FAD" w14:textId="77777777" w:rsidR="00D260F5" w:rsidRPr="00461031" w:rsidRDefault="00AD47D0" w:rsidP="0025370B">
            <w:pPr>
              <w:jc w:val="both"/>
              <w:rPr>
                <w:rFonts w:ascii="Arial" w:hAnsi="Arial" w:cs="Arial"/>
                <w:color w:val="000000"/>
                <w:sz w:val="20"/>
                <w:szCs w:val="20"/>
              </w:rPr>
            </w:pPr>
            <w:r w:rsidRPr="00461031">
              <w:rPr>
                <w:rFonts w:ascii="Arial" w:hAnsi="Arial" w:cs="Arial"/>
                <w:color w:val="000000"/>
                <w:sz w:val="20"/>
                <w:szCs w:val="20"/>
              </w:rPr>
              <w:t>Domen Mihelič, Zavod za izobraževanje odraslih Radovljica</w:t>
            </w:r>
          </w:p>
        </w:tc>
        <w:tc>
          <w:tcPr>
            <w:tcW w:w="3825" w:type="dxa"/>
          </w:tcPr>
          <w:p w14:paraId="2182F083" w14:textId="77777777" w:rsidR="00AD47D0" w:rsidRPr="00461031" w:rsidRDefault="00AD47D0" w:rsidP="00D553C4">
            <w:pPr>
              <w:pStyle w:val="Golobesedilo"/>
              <w:jc w:val="both"/>
              <w:rPr>
                <w:rFonts w:ascii="Arial" w:hAnsi="Arial" w:cs="Arial"/>
                <w:sz w:val="20"/>
                <w:szCs w:val="20"/>
              </w:rPr>
            </w:pPr>
            <w:r w:rsidRPr="00461031">
              <w:rPr>
                <w:rFonts w:ascii="Arial" w:hAnsi="Arial" w:cs="Arial"/>
                <w:sz w:val="20"/>
                <w:szCs w:val="20"/>
              </w:rPr>
              <w:t>Prosil bi za pojasnila k obrazcu 2: FINANČNI NAČRT in sicer nas zanima kaj vse je potrebno vpisati v obrazec?</w:t>
            </w:r>
          </w:p>
          <w:p w14:paraId="3751A210" w14:textId="77777777" w:rsidR="00AD47D0" w:rsidRPr="00461031" w:rsidRDefault="00AD47D0" w:rsidP="00D553C4">
            <w:pPr>
              <w:pStyle w:val="Golobesedilo"/>
              <w:jc w:val="both"/>
              <w:rPr>
                <w:rFonts w:ascii="Arial" w:hAnsi="Arial" w:cs="Arial"/>
                <w:sz w:val="20"/>
                <w:szCs w:val="20"/>
              </w:rPr>
            </w:pPr>
          </w:p>
          <w:p w14:paraId="51C31CCC" w14:textId="77777777" w:rsidR="00AD47D0" w:rsidRPr="00461031" w:rsidRDefault="00AD47D0" w:rsidP="00D553C4">
            <w:pPr>
              <w:pStyle w:val="Golobesedilo"/>
              <w:jc w:val="both"/>
              <w:rPr>
                <w:rFonts w:ascii="Arial" w:hAnsi="Arial" w:cs="Arial"/>
                <w:sz w:val="20"/>
                <w:szCs w:val="20"/>
              </w:rPr>
            </w:pPr>
            <w:r w:rsidRPr="00461031">
              <w:rPr>
                <w:rFonts w:ascii="Arial" w:hAnsi="Arial" w:cs="Arial"/>
                <w:sz w:val="20"/>
                <w:szCs w:val="20"/>
              </w:rPr>
              <w:t>So to stroški predavateljev, administracije, materialni stroški, ali je dovolj vpisati znesek določen z Metodologijo za določitev višine poenostavljenih oblik stroškov?</w:t>
            </w:r>
          </w:p>
          <w:p w14:paraId="4534A7E8" w14:textId="77777777" w:rsidR="00D260F5" w:rsidRPr="00461031" w:rsidRDefault="00D260F5" w:rsidP="0025370B">
            <w:pPr>
              <w:jc w:val="both"/>
              <w:rPr>
                <w:rFonts w:ascii="Arial" w:hAnsi="Arial" w:cs="Arial"/>
                <w:color w:val="000000"/>
                <w:sz w:val="20"/>
                <w:szCs w:val="20"/>
              </w:rPr>
            </w:pPr>
          </w:p>
        </w:tc>
        <w:tc>
          <w:tcPr>
            <w:tcW w:w="5777" w:type="dxa"/>
          </w:tcPr>
          <w:p w14:paraId="0C081777" w14:textId="77777777" w:rsidR="00D260F5" w:rsidRPr="00461031" w:rsidRDefault="007B60C2" w:rsidP="0025370B">
            <w:pPr>
              <w:jc w:val="both"/>
              <w:rPr>
                <w:rFonts w:ascii="Arial" w:hAnsi="Arial" w:cs="Arial"/>
                <w:sz w:val="20"/>
                <w:szCs w:val="20"/>
              </w:rPr>
            </w:pPr>
            <w:r w:rsidRPr="00461031">
              <w:rPr>
                <w:rFonts w:ascii="Arial" w:hAnsi="Arial" w:cs="Arial"/>
                <w:color w:val="000000"/>
                <w:sz w:val="20"/>
                <w:szCs w:val="20"/>
              </w:rPr>
              <w:t>V finančni načrt vpišete poenostavljene vrste stroškov izvedbe cikla ko</w:t>
            </w:r>
            <w:r w:rsidR="004441CA" w:rsidRPr="00461031">
              <w:rPr>
                <w:rFonts w:ascii="Arial" w:hAnsi="Arial" w:cs="Arial"/>
                <w:color w:val="000000"/>
                <w:sz w:val="20"/>
                <w:szCs w:val="20"/>
              </w:rPr>
              <w:t>t so</w:t>
            </w:r>
            <w:r w:rsidRPr="00461031">
              <w:rPr>
                <w:rFonts w:ascii="Arial" w:hAnsi="Arial" w:cs="Arial"/>
                <w:color w:val="000000"/>
                <w:sz w:val="20"/>
                <w:szCs w:val="20"/>
              </w:rPr>
              <w:t xml:space="preserve"> npr. strošek predavatelja, strošek ostalih delovnih mest (</w:t>
            </w:r>
            <w:r w:rsidRPr="00461031">
              <w:rPr>
                <w:rFonts w:ascii="Arial" w:hAnsi="Arial" w:cs="Arial"/>
                <w:sz w:val="20"/>
                <w:szCs w:val="20"/>
              </w:rPr>
              <w:t>poslovodenje, administracij</w:t>
            </w:r>
            <w:r w:rsidR="004441CA" w:rsidRPr="00461031">
              <w:rPr>
                <w:rFonts w:ascii="Arial" w:hAnsi="Arial" w:cs="Arial"/>
                <w:sz w:val="20"/>
                <w:szCs w:val="20"/>
              </w:rPr>
              <w:t>a</w:t>
            </w:r>
            <w:r w:rsidRPr="00461031">
              <w:rPr>
                <w:rFonts w:ascii="Arial" w:hAnsi="Arial" w:cs="Arial"/>
                <w:sz w:val="20"/>
                <w:szCs w:val="20"/>
              </w:rPr>
              <w:t>, računovodstvo, tehnično delo, razvoj in dodatno delo zaradi specifičnih potreb ciljnih skupin</w:t>
            </w:r>
            <w:r w:rsidRPr="00461031">
              <w:rPr>
                <w:rFonts w:ascii="Arial" w:hAnsi="Arial" w:cs="Arial"/>
                <w:color w:val="000000"/>
                <w:sz w:val="20"/>
                <w:szCs w:val="20"/>
              </w:rPr>
              <w:t xml:space="preserve">), strošek blaga in storitev, stroški iz dela in drugih prejemkov </w:t>
            </w:r>
            <w:r w:rsidRPr="00461031">
              <w:rPr>
                <w:rFonts w:ascii="Arial" w:hAnsi="Arial" w:cs="Arial"/>
                <w:sz w:val="20"/>
                <w:szCs w:val="20"/>
              </w:rPr>
              <w:t>vezane na izvedbo programa</w:t>
            </w:r>
            <w:r w:rsidR="004441CA" w:rsidRPr="00461031">
              <w:rPr>
                <w:rFonts w:ascii="Arial" w:hAnsi="Arial" w:cs="Arial"/>
                <w:sz w:val="20"/>
                <w:szCs w:val="20"/>
              </w:rPr>
              <w:t xml:space="preserve"> - </w:t>
            </w:r>
            <w:r w:rsidRPr="00461031">
              <w:rPr>
                <w:rFonts w:ascii="Arial" w:hAnsi="Arial" w:cs="Arial"/>
                <w:sz w:val="20"/>
                <w:szCs w:val="20"/>
              </w:rPr>
              <w:t>učila in učni pripomočki, strokovna literatura, potrošni material za pripravo in izvedbo pouka, telekomunikacijske povezave</w:t>
            </w:r>
            <w:r w:rsidR="00C85809" w:rsidRPr="00461031">
              <w:rPr>
                <w:rFonts w:ascii="Arial" w:hAnsi="Arial" w:cs="Arial"/>
                <w:sz w:val="20"/>
                <w:szCs w:val="20"/>
              </w:rPr>
              <w:t xml:space="preserve"> - </w:t>
            </w:r>
            <w:r w:rsidRPr="00461031">
              <w:rPr>
                <w:rFonts w:ascii="Arial" w:hAnsi="Arial" w:cs="Arial"/>
                <w:sz w:val="20"/>
                <w:szCs w:val="20"/>
              </w:rPr>
              <w:t>telefon, internet, material za tiskanje, čistila, usposabljanje in izobraževanje strokovnih delavcev ipd.</w:t>
            </w:r>
          </w:p>
          <w:p w14:paraId="101A5B68" w14:textId="48944A56" w:rsidR="00713A19" w:rsidRPr="00461031" w:rsidRDefault="00713A19" w:rsidP="0025370B">
            <w:pPr>
              <w:jc w:val="both"/>
              <w:rPr>
                <w:rFonts w:ascii="Arial" w:hAnsi="Arial" w:cs="Arial"/>
                <w:color w:val="000000"/>
                <w:sz w:val="20"/>
                <w:szCs w:val="20"/>
              </w:rPr>
            </w:pPr>
          </w:p>
        </w:tc>
      </w:tr>
      <w:tr w:rsidR="00EE4B65" w:rsidRPr="00461031" w14:paraId="4AB4FD66" w14:textId="77777777" w:rsidTr="00713A19">
        <w:tc>
          <w:tcPr>
            <w:tcW w:w="628" w:type="dxa"/>
          </w:tcPr>
          <w:p w14:paraId="42A8E133" w14:textId="1A0E0E44" w:rsidR="00EE4B65" w:rsidRPr="00461031" w:rsidRDefault="00EE4B65" w:rsidP="0025370B">
            <w:pPr>
              <w:jc w:val="both"/>
              <w:rPr>
                <w:rFonts w:ascii="Arial" w:hAnsi="Arial" w:cs="Arial"/>
                <w:color w:val="000000"/>
                <w:sz w:val="20"/>
                <w:szCs w:val="20"/>
              </w:rPr>
            </w:pPr>
            <w:r w:rsidRPr="00461031">
              <w:rPr>
                <w:rFonts w:ascii="Arial" w:hAnsi="Arial" w:cs="Arial"/>
                <w:color w:val="000000"/>
                <w:sz w:val="20"/>
                <w:szCs w:val="20"/>
              </w:rPr>
              <w:t>6.</w:t>
            </w:r>
          </w:p>
        </w:tc>
        <w:tc>
          <w:tcPr>
            <w:tcW w:w="1669" w:type="dxa"/>
          </w:tcPr>
          <w:p w14:paraId="44E3965B" w14:textId="77777777" w:rsidR="00EE4B65" w:rsidRPr="00461031" w:rsidRDefault="00EE4B65" w:rsidP="00AD47D0">
            <w:pPr>
              <w:jc w:val="both"/>
              <w:rPr>
                <w:rFonts w:ascii="Arial" w:hAnsi="Arial" w:cs="Arial"/>
                <w:color w:val="000000"/>
                <w:sz w:val="20"/>
                <w:szCs w:val="20"/>
              </w:rPr>
            </w:pPr>
            <w:r w:rsidRPr="00461031">
              <w:rPr>
                <w:rFonts w:ascii="Arial" w:hAnsi="Arial" w:cs="Arial"/>
                <w:color w:val="000000"/>
                <w:sz w:val="20"/>
                <w:szCs w:val="20"/>
              </w:rPr>
              <w:t xml:space="preserve">11.6.2024, </w:t>
            </w:r>
          </w:p>
          <w:p w14:paraId="63D42F60" w14:textId="524BE6D7" w:rsidR="00EE4B65" w:rsidRPr="00461031" w:rsidRDefault="00EE4B65" w:rsidP="00AD47D0">
            <w:pPr>
              <w:jc w:val="both"/>
              <w:rPr>
                <w:rFonts w:ascii="Arial" w:hAnsi="Arial" w:cs="Arial"/>
                <w:color w:val="000000"/>
                <w:sz w:val="20"/>
                <w:szCs w:val="20"/>
              </w:rPr>
            </w:pPr>
            <w:r w:rsidRPr="00461031">
              <w:rPr>
                <w:rFonts w:ascii="Arial" w:hAnsi="Arial" w:cs="Arial"/>
                <w:color w:val="000000"/>
                <w:sz w:val="20"/>
                <w:szCs w:val="20"/>
              </w:rPr>
              <w:t>603-66/2024-2711-18</w:t>
            </w:r>
          </w:p>
        </w:tc>
        <w:tc>
          <w:tcPr>
            <w:tcW w:w="2095" w:type="dxa"/>
          </w:tcPr>
          <w:p w14:paraId="5E2A6B83" w14:textId="44C35E68" w:rsidR="00EE4B65" w:rsidRPr="00461031" w:rsidRDefault="00EE4B65" w:rsidP="0025370B">
            <w:pPr>
              <w:jc w:val="both"/>
              <w:rPr>
                <w:rFonts w:ascii="Arial" w:hAnsi="Arial" w:cs="Arial"/>
                <w:color w:val="000000"/>
                <w:sz w:val="20"/>
                <w:szCs w:val="20"/>
              </w:rPr>
            </w:pPr>
            <w:r w:rsidRPr="00461031">
              <w:rPr>
                <w:rFonts w:ascii="Arial" w:hAnsi="Arial" w:cs="Arial"/>
                <w:color w:val="000000"/>
                <w:sz w:val="20"/>
                <w:szCs w:val="20"/>
              </w:rPr>
              <w:t>Bojan Veberič,</w:t>
            </w:r>
            <w:r w:rsidR="00D21B32" w:rsidRPr="00461031">
              <w:rPr>
                <w:rFonts w:ascii="Arial" w:hAnsi="Arial" w:cs="Arial"/>
                <w:color w:val="000000"/>
                <w:sz w:val="20"/>
                <w:szCs w:val="20"/>
              </w:rPr>
              <w:t xml:space="preserve"> </w:t>
            </w:r>
            <w:r w:rsidRPr="00461031">
              <w:rPr>
                <w:rFonts w:ascii="Arial" w:hAnsi="Arial" w:cs="Arial"/>
                <w:color w:val="000000"/>
                <w:sz w:val="20"/>
                <w:szCs w:val="20"/>
              </w:rPr>
              <w:t>Onkološki inštitut Ljubljana</w:t>
            </w:r>
          </w:p>
        </w:tc>
        <w:tc>
          <w:tcPr>
            <w:tcW w:w="3825" w:type="dxa"/>
          </w:tcPr>
          <w:p w14:paraId="58E24292" w14:textId="7155A3B3" w:rsidR="00B735C0" w:rsidRPr="00B735C0" w:rsidRDefault="00B735C0" w:rsidP="00B735C0">
            <w:pPr>
              <w:pStyle w:val="Golobesedilo"/>
              <w:jc w:val="both"/>
              <w:rPr>
                <w:rFonts w:ascii="Arial" w:hAnsi="Arial" w:cs="Arial"/>
                <w:sz w:val="20"/>
                <w:szCs w:val="20"/>
              </w:rPr>
            </w:pPr>
            <w:r w:rsidRPr="00B735C0">
              <w:rPr>
                <w:rFonts w:ascii="Arial" w:hAnsi="Arial" w:cs="Arial"/>
                <w:sz w:val="20"/>
                <w:szCs w:val="20"/>
              </w:rPr>
              <w:t xml:space="preserve">Trenutno je v Pravilniku o pripravništvu in strokovnih izpitih zdravstvenih delavcev in zdravstvenih sodelavcev na področju zdravstvene dejavnosti navedeno, da pripravnik za poklic bolničar – negovalec opravi 4 mesece kroženja na stanovanjsko negovalnem področju in 1,5 meseca na področju oskrbe obolelih z demenco oz. tistih varovancev, ki </w:t>
            </w:r>
            <w:r>
              <w:rPr>
                <w:rFonts w:ascii="Arial" w:hAnsi="Arial" w:cs="Arial"/>
                <w:sz w:val="20"/>
                <w:szCs w:val="20"/>
              </w:rPr>
              <w:t xml:space="preserve"> </w:t>
            </w:r>
            <w:r w:rsidRPr="00B735C0">
              <w:rPr>
                <w:rFonts w:ascii="Arial" w:hAnsi="Arial" w:cs="Arial"/>
                <w:sz w:val="20"/>
                <w:szCs w:val="20"/>
              </w:rPr>
              <w:t xml:space="preserve">potrebujejo 24-urni nadzor in vodenje. Se bo ta del v prilogi pravilnika spremenil? </w:t>
            </w:r>
          </w:p>
          <w:p w14:paraId="10809E7D" w14:textId="77777777" w:rsidR="00B735C0" w:rsidRDefault="00B735C0" w:rsidP="00B735C0">
            <w:pPr>
              <w:pStyle w:val="Golobesedilo"/>
              <w:jc w:val="both"/>
              <w:rPr>
                <w:rFonts w:ascii="Arial" w:hAnsi="Arial" w:cs="Arial"/>
                <w:sz w:val="20"/>
                <w:szCs w:val="20"/>
              </w:rPr>
            </w:pPr>
          </w:p>
          <w:p w14:paraId="7B20B553" w14:textId="5922360E" w:rsidR="00B735C0" w:rsidRPr="00B735C0" w:rsidRDefault="00B735C0" w:rsidP="00B735C0">
            <w:pPr>
              <w:pStyle w:val="Golobesedilo"/>
              <w:jc w:val="both"/>
              <w:rPr>
                <w:rFonts w:ascii="Arial" w:hAnsi="Arial" w:cs="Arial"/>
                <w:sz w:val="20"/>
                <w:szCs w:val="20"/>
              </w:rPr>
            </w:pPr>
            <w:r w:rsidRPr="00B735C0">
              <w:rPr>
                <w:rFonts w:ascii="Arial" w:hAnsi="Arial" w:cs="Arial"/>
                <w:sz w:val="20"/>
                <w:szCs w:val="20"/>
              </w:rPr>
              <w:t xml:space="preserve">Glede na to, da gre za reguliran poklic, je potem predvidena tudi sprememba pri </w:t>
            </w:r>
          </w:p>
          <w:p w14:paraId="0558B81D" w14:textId="69CCCEFD" w:rsidR="00B735C0" w:rsidRDefault="00B735C0" w:rsidP="00B735C0">
            <w:pPr>
              <w:pStyle w:val="Golobesedilo"/>
              <w:jc w:val="both"/>
              <w:rPr>
                <w:rFonts w:ascii="Arial" w:hAnsi="Arial" w:cs="Arial"/>
                <w:sz w:val="20"/>
                <w:szCs w:val="20"/>
              </w:rPr>
            </w:pPr>
            <w:r w:rsidRPr="00B735C0">
              <w:rPr>
                <w:rFonts w:ascii="Arial" w:hAnsi="Arial" w:cs="Arial"/>
                <w:sz w:val="20"/>
                <w:szCs w:val="20"/>
              </w:rPr>
              <w:t xml:space="preserve">izobrazbi, ki je pogoj, da lahko kandidat opravlja strokovni izpit za poklic bolničar – </w:t>
            </w:r>
            <w:r>
              <w:rPr>
                <w:rFonts w:ascii="Arial" w:hAnsi="Arial" w:cs="Arial"/>
                <w:sz w:val="20"/>
                <w:szCs w:val="20"/>
              </w:rPr>
              <w:t xml:space="preserve"> </w:t>
            </w:r>
            <w:r w:rsidRPr="00B735C0">
              <w:rPr>
                <w:rFonts w:ascii="Arial" w:hAnsi="Arial" w:cs="Arial"/>
                <w:sz w:val="20"/>
                <w:szCs w:val="20"/>
              </w:rPr>
              <w:t>negovalec? Sedaj velja, da lahko opravlja strokovni izpit za poklic Bolničar - negovalec samo</w:t>
            </w:r>
            <w:r w:rsidR="00FF1FE6">
              <w:rPr>
                <w:rFonts w:ascii="Arial" w:hAnsi="Arial" w:cs="Arial"/>
                <w:sz w:val="20"/>
                <w:szCs w:val="20"/>
              </w:rPr>
              <w:t xml:space="preserve"> </w:t>
            </w:r>
            <w:r w:rsidRPr="00B735C0">
              <w:rPr>
                <w:rFonts w:ascii="Arial" w:hAnsi="Arial" w:cs="Arial"/>
                <w:sz w:val="20"/>
                <w:szCs w:val="20"/>
              </w:rPr>
              <w:t xml:space="preserve">kandidat, ki ima </w:t>
            </w:r>
            <w:r w:rsidRPr="00B735C0">
              <w:rPr>
                <w:rFonts w:ascii="Arial" w:hAnsi="Arial" w:cs="Arial"/>
                <w:sz w:val="20"/>
                <w:szCs w:val="20"/>
              </w:rPr>
              <w:lastRenderedPageBreak/>
              <w:t xml:space="preserve">ustrezno poklicno izobrazbo bolničar – negovalec. </w:t>
            </w:r>
          </w:p>
          <w:p w14:paraId="701754D3" w14:textId="77777777" w:rsidR="00B735C0" w:rsidRDefault="00B735C0" w:rsidP="00B735C0">
            <w:pPr>
              <w:pStyle w:val="Golobesedilo"/>
              <w:jc w:val="both"/>
              <w:rPr>
                <w:rFonts w:ascii="Arial" w:hAnsi="Arial" w:cs="Arial"/>
                <w:sz w:val="20"/>
                <w:szCs w:val="20"/>
              </w:rPr>
            </w:pPr>
          </w:p>
          <w:p w14:paraId="1C6B612D" w14:textId="48494B6E" w:rsidR="00EE4B65" w:rsidRPr="00461031" w:rsidRDefault="00B735C0" w:rsidP="00B735C0">
            <w:pPr>
              <w:pStyle w:val="Golobesedilo"/>
              <w:jc w:val="both"/>
              <w:rPr>
                <w:rFonts w:ascii="Arial" w:hAnsi="Arial" w:cs="Arial"/>
                <w:sz w:val="20"/>
                <w:szCs w:val="20"/>
              </w:rPr>
            </w:pPr>
            <w:r w:rsidRPr="00B735C0">
              <w:rPr>
                <w:rFonts w:ascii="Arial" w:hAnsi="Arial" w:cs="Arial"/>
                <w:sz w:val="20"/>
                <w:szCs w:val="20"/>
              </w:rPr>
              <w:t>V veliko pomoč bi delodajalcem bila</w:t>
            </w:r>
            <w:r w:rsidR="00FF1FE6">
              <w:rPr>
                <w:rFonts w:ascii="Arial" w:hAnsi="Arial" w:cs="Arial"/>
                <w:sz w:val="20"/>
                <w:szCs w:val="20"/>
              </w:rPr>
              <w:t xml:space="preserve"> </w:t>
            </w:r>
            <w:r w:rsidRPr="00B735C0">
              <w:rPr>
                <w:rFonts w:ascii="Arial" w:hAnsi="Arial" w:cs="Arial"/>
                <w:sz w:val="20"/>
                <w:szCs w:val="20"/>
              </w:rPr>
              <w:t>informacija, kdo bodo izvajalci</w:t>
            </w:r>
            <w:r w:rsidR="00FF1FE6">
              <w:rPr>
                <w:rFonts w:ascii="Arial" w:hAnsi="Arial" w:cs="Arial"/>
                <w:sz w:val="20"/>
                <w:szCs w:val="20"/>
              </w:rPr>
              <w:t xml:space="preserve"> </w:t>
            </w:r>
            <w:r w:rsidRPr="00B735C0">
              <w:rPr>
                <w:rFonts w:ascii="Arial" w:hAnsi="Arial" w:cs="Arial"/>
                <w:sz w:val="20"/>
                <w:szCs w:val="20"/>
              </w:rPr>
              <w:t>teoretičnega dela in kakšen je predviden</w:t>
            </w:r>
            <w:r w:rsidR="00FF1FE6">
              <w:rPr>
                <w:rFonts w:ascii="Arial" w:hAnsi="Arial" w:cs="Arial"/>
                <w:sz w:val="20"/>
                <w:szCs w:val="20"/>
              </w:rPr>
              <w:t xml:space="preserve"> </w:t>
            </w:r>
            <w:r w:rsidRPr="00B735C0">
              <w:rPr>
                <w:rFonts w:ascii="Arial" w:hAnsi="Arial" w:cs="Arial"/>
                <w:sz w:val="20"/>
                <w:szCs w:val="20"/>
              </w:rPr>
              <w:t>program teoretičnega dela in</w:t>
            </w:r>
            <w:r w:rsidR="00FF1FE6">
              <w:rPr>
                <w:rFonts w:ascii="Arial" w:hAnsi="Arial" w:cs="Arial"/>
                <w:sz w:val="20"/>
                <w:szCs w:val="20"/>
              </w:rPr>
              <w:t xml:space="preserve"> </w:t>
            </w:r>
            <w:r w:rsidRPr="00B735C0">
              <w:rPr>
                <w:rFonts w:ascii="Arial" w:hAnsi="Arial" w:cs="Arial"/>
                <w:sz w:val="20"/>
                <w:szCs w:val="20"/>
              </w:rPr>
              <w:t>kompetence, ki jih kandidat mora</w:t>
            </w:r>
            <w:r w:rsidR="00FF1FE6">
              <w:rPr>
                <w:rFonts w:ascii="Arial" w:hAnsi="Arial" w:cs="Arial"/>
                <w:sz w:val="20"/>
                <w:szCs w:val="20"/>
              </w:rPr>
              <w:t xml:space="preserve"> </w:t>
            </w:r>
            <w:r w:rsidRPr="00B735C0">
              <w:rPr>
                <w:rFonts w:ascii="Arial" w:hAnsi="Arial" w:cs="Arial"/>
                <w:sz w:val="20"/>
                <w:szCs w:val="20"/>
              </w:rPr>
              <w:t>pridobiti v času 4 mesečnega</w:t>
            </w:r>
            <w:r w:rsidR="00FF1FE6">
              <w:rPr>
                <w:rFonts w:ascii="Arial" w:hAnsi="Arial" w:cs="Arial"/>
                <w:sz w:val="20"/>
                <w:szCs w:val="20"/>
              </w:rPr>
              <w:t xml:space="preserve"> </w:t>
            </w:r>
            <w:r w:rsidRPr="00B735C0">
              <w:rPr>
                <w:rFonts w:ascii="Arial" w:hAnsi="Arial" w:cs="Arial"/>
                <w:sz w:val="20"/>
                <w:szCs w:val="20"/>
              </w:rPr>
              <w:t>praktičnega usposabljanja.</w:t>
            </w:r>
          </w:p>
        </w:tc>
        <w:tc>
          <w:tcPr>
            <w:tcW w:w="5777" w:type="dxa"/>
          </w:tcPr>
          <w:p w14:paraId="12AD455B" w14:textId="77777777" w:rsidR="00EE4B65" w:rsidRDefault="00B735C0" w:rsidP="0025370B">
            <w:pPr>
              <w:jc w:val="both"/>
              <w:rPr>
                <w:rFonts w:ascii="Arial" w:hAnsi="Arial" w:cs="Arial"/>
                <w:color w:val="000000"/>
                <w:sz w:val="20"/>
                <w:szCs w:val="20"/>
              </w:rPr>
            </w:pPr>
            <w:r>
              <w:rPr>
                <w:rFonts w:ascii="Arial" w:hAnsi="Arial" w:cs="Arial"/>
                <w:color w:val="000000"/>
                <w:sz w:val="20"/>
                <w:szCs w:val="20"/>
              </w:rPr>
              <w:lastRenderedPageBreak/>
              <w:t>Poklic b</w:t>
            </w:r>
            <w:r w:rsidRPr="00B735C0">
              <w:rPr>
                <w:rFonts w:ascii="Arial" w:hAnsi="Arial" w:cs="Arial"/>
                <w:color w:val="000000"/>
                <w:sz w:val="20"/>
                <w:szCs w:val="20"/>
              </w:rPr>
              <w:t xml:space="preserve">olničar – negovalec </w:t>
            </w:r>
            <w:r>
              <w:rPr>
                <w:rFonts w:ascii="Arial" w:hAnsi="Arial" w:cs="Arial"/>
                <w:color w:val="000000"/>
                <w:sz w:val="20"/>
                <w:szCs w:val="20"/>
              </w:rPr>
              <w:t xml:space="preserve">je </w:t>
            </w:r>
            <w:r w:rsidRPr="00B735C0">
              <w:rPr>
                <w:rFonts w:ascii="Arial" w:hAnsi="Arial" w:cs="Arial"/>
                <w:color w:val="000000"/>
                <w:sz w:val="20"/>
                <w:szCs w:val="20"/>
              </w:rPr>
              <w:t>reguliran poklic, zato bomo za zakonito izvedbo novega programa pripravništva prilagodili obstoječo zakonodajo. Predvidevamo prilagoditev Pravilnika o pripravništvu in strokovnih izpitih zdravstvenih delavcev in zdravstvenih sodelavcev na področju zdravstvene dejavnosti (Uradni list RS, št. 76/22, 58/23 in 97/23) in Odredbo o seznamu poklicev za zdravstveno dejavnost (Uradni list RS, št. 111/22). S prilagoditvijo zakonodaje bomo poleg obstoječega programa pripravništva za poklic bolničar – negovalec dodali nov program, ki bo prilagojen glede na pilotni projekt Bolničar – negovalec 2024-2026. V Odredbo bomo za poklic bolničar – negovalec dodali ustrezno kvalifikacijo, in sicer katerakoli srednja poklicna izobrazba (vsaj IV. stopnja), pripravništvo (v skladu z novim programom pripravništva) in opravljen strokovni izpit za poklic bolničar – negovalec.</w:t>
            </w:r>
          </w:p>
          <w:p w14:paraId="56982604" w14:textId="77777777" w:rsidR="007431B8" w:rsidRDefault="007431B8" w:rsidP="0025370B">
            <w:pPr>
              <w:jc w:val="both"/>
              <w:rPr>
                <w:rFonts w:ascii="Arial" w:hAnsi="Arial" w:cs="Arial"/>
                <w:color w:val="000000"/>
                <w:sz w:val="20"/>
                <w:szCs w:val="20"/>
              </w:rPr>
            </w:pPr>
          </w:p>
          <w:p w14:paraId="5E7BB3FE" w14:textId="6F6355DD" w:rsidR="007431B8" w:rsidRPr="00461031" w:rsidRDefault="007431B8" w:rsidP="0025370B">
            <w:pPr>
              <w:jc w:val="both"/>
              <w:rPr>
                <w:rFonts w:ascii="Arial" w:hAnsi="Arial" w:cs="Arial"/>
                <w:color w:val="000000"/>
                <w:sz w:val="20"/>
                <w:szCs w:val="20"/>
              </w:rPr>
            </w:pPr>
            <w:r>
              <w:rPr>
                <w:rFonts w:ascii="Arial" w:hAnsi="Arial" w:cs="Arial"/>
                <w:color w:val="000000"/>
                <w:sz w:val="20"/>
                <w:szCs w:val="20"/>
              </w:rPr>
              <w:t>O izbranih izvajalcih teoretičnega dela</w:t>
            </w:r>
            <w:r w:rsidR="00FF1FE6">
              <w:rPr>
                <w:rFonts w:ascii="Arial" w:hAnsi="Arial" w:cs="Arial"/>
                <w:color w:val="000000"/>
                <w:sz w:val="20"/>
                <w:szCs w:val="20"/>
              </w:rPr>
              <w:t xml:space="preserve"> </w:t>
            </w:r>
            <w:r>
              <w:rPr>
                <w:rFonts w:ascii="Arial" w:hAnsi="Arial" w:cs="Arial"/>
                <w:color w:val="000000"/>
                <w:sz w:val="20"/>
                <w:szCs w:val="20"/>
              </w:rPr>
              <w:t>bodo obveščeni vsi izvajalci zdravstvene dejavnosti, ki izvajajo pripravništv</w:t>
            </w:r>
            <w:r w:rsidR="000B3F94">
              <w:rPr>
                <w:rFonts w:ascii="Arial" w:hAnsi="Arial" w:cs="Arial"/>
                <w:color w:val="000000"/>
                <w:sz w:val="20"/>
                <w:szCs w:val="20"/>
              </w:rPr>
              <w:t>o</w:t>
            </w:r>
            <w:r>
              <w:rPr>
                <w:rFonts w:ascii="Arial" w:hAnsi="Arial" w:cs="Arial"/>
                <w:color w:val="000000"/>
                <w:sz w:val="20"/>
                <w:szCs w:val="20"/>
              </w:rPr>
              <w:t xml:space="preserve"> za poklic bolničar – negovalec.</w:t>
            </w:r>
            <w:r w:rsidR="00FF1FE6">
              <w:rPr>
                <w:rFonts w:ascii="Arial" w:hAnsi="Arial" w:cs="Arial"/>
                <w:color w:val="000000"/>
                <w:sz w:val="20"/>
                <w:szCs w:val="20"/>
              </w:rPr>
              <w:t xml:space="preserve"> </w:t>
            </w:r>
            <w:r w:rsidRPr="007431B8">
              <w:rPr>
                <w:rFonts w:ascii="Arial" w:hAnsi="Arial" w:cs="Arial"/>
                <w:color w:val="000000"/>
                <w:sz w:val="20"/>
                <w:szCs w:val="20"/>
              </w:rPr>
              <w:t xml:space="preserve">Spremembe zakonodaje predvidevamo do pričetka izvedbe prvega cikla teoretičnega </w:t>
            </w:r>
            <w:r w:rsidRPr="007431B8">
              <w:rPr>
                <w:rFonts w:ascii="Arial" w:hAnsi="Arial" w:cs="Arial"/>
                <w:color w:val="000000"/>
                <w:sz w:val="20"/>
                <w:szCs w:val="20"/>
              </w:rPr>
              <w:lastRenderedPageBreak/>
              <w:t>dela novega programa pripravništva.</w:t>
            </w:r>
            <w:r w:rsidR="00FF1FE6">
              <w:rPr>
                <w:rFonts w:ascii="Arial" w:hAnsi="Arial" w:cs="Arial"/>
                <w:color w:val="000000"/>
                <w:sz w:val="20"/>
                <w:szCs w:val="20"/>
              </w:rPr>
              <w:t xml:space="preserve"> Takrat boste seznanjeni tudi s kompetencami, ki jih mora kandidat pridobiti med teoretičnim in praktičnim delom pripravništva.</w:t>
            </w:r>
          </w:p>
        </w:tc>
      </w:tr>
      <w:tr w:rsidR="00EE4B65" w:rsidRPr="00461031" w14:paraId="1C901B94" w14:textId="77777777" w:rsidTr="00713A19">
        <w:tc>
          <w:tcPr>
            <w:tcW w:w="628" w:type="dxa"/>
          </w:tcPr>
          <w:p w14:paraId="34C23D69" w14:textId="23AC1992" w:rsidR="00EE4B65" w:rsidRPr="00461031" w:rsidRDefault="00EE4B65" w:rsidP="0025370B">
            <w:pPr>
              <w:jc w:val="both"/>
              <w:rPr>
                <w:rFonts w:ascii="Arial" w:hAnsi="Arial" w:cs="Arial"/>
                <w:color w:val="000000"/>
                <w:sz w:val="20"/>
                <w:szCs w:val="20"/>
              </w:rPr>
            </w:pPr>
            <w:r w:rsidRPr="00461031">
              <w:rPr>
                <w:rFonts w:ascii="Arial" w:hAnsi="Arial" w:cs="Arial"/>
                <w:color w:val="000000"/>
                <w:sz w:val="20"/>
                <w:szCs w:val="20"/>
              </w:rPr>
              <w:lastRenderedPageBreak/>
              <w:t>7.</w:t>
            </w:r>
          </w:p>
        </w:tc>
        <w:tc>
          <w:tcPr>
            <w:tcW w:w="1669" w:type="dxa"/>
          </w:tcPr>
          <w:p w14:paraId="65FBD9E0" w14:textId="77777777" w:rsidR="00EE4B65" w:rsidRPr="00461031" w:rsidRDefault="00EE4B65" w:rsidP="00AD47D0">
            <w:pPr>
              <w:jc w:val="both"/>
              <w:rPr>
                <w:rFonts w:ascii="Arial" w:hAnsi="Arial" w:cs="Arial"/>
                <w:color w:val="000000"/>
                <w:sz w:val="20"/>
                <w:szCs w:val="20"/>
              </w:rPr>
            </w:pPr>
            <w:r w:rsidRPr="00461031">
              <w:rPr>
                <w:rFonts w:ascii="Arial" w:hAnsi="Arial" w:cs="Arial"/>
                <w:color w:val="000000"/>
                <w:sz w:val="20"/>
                <w:szCs w:val="20"/>
              </w:rPr>
              <w:t xml:space="preserve">13. 6. 2024, </w:t>
            </w:r>
          </w:p>
          <w:p w14:paraId="1ABAAF2D" w14:textId="40FA522E" w:rsidR="00EE4B65" w:rsidRPr="00461031" w:rsidRDefault="00EE4B65" w:rsidP="00AD47D0">
            <w:pPr>
              <w:jc w:val="both"/>
              <w:rPr>
                <w:rFonts w:ascii="Arial" w:hAnsi="Arial" w:cs="Arial"/>
                <w:color w:val="000000"/>
                <w:sz w:val="20"/>
                <w:szCs w:val="20"/>
              </w:rPr>
            </w:pPr>
            <w:r w:rsidRPr="00461031">
              <w:rPr>
                <w:rFonts w:ascii="Arial" w:hAnsi="Arial" w:cs="Arial"/>
                <w:color w:val="000000"/>
                <w:sz w:val="20"/>
                <w:szCs w:val="20"/>
              </w:rPr>
              <w:t>603-66/2024-2711-20</w:t>
            </w:r>
          </w:p>
        </w:tc>
        <w:tc>
          <w:tcPr>
            <w:tcW w:w="2095" w:type="dxa"/>
          </w:tcPr>
          <w:p w14:paraId="06DF1683" w14:textId="6259E742" w:rsidR="00D21B32" w:rsidRPr="00461031" w:rsidRDefault="00D21B32" w:rsidP="0025370B">
            <w:pPr>
              <w:jc w:val="both"/>
              <w:rPr>
                <w:rFonts w:ascii="Arial" w:hAnsi="Arial" w:cs="Arial"/>
                <w:color w:val="000000"/>
                <w:sz w:val="20"/>
                <w:szCs w:val="20"/>
              </w:rPr>
            </w:pPr>
            <w:r w:rsidRPr="00461031">
              <w:rPr>
                <w:rFonts w:ascii="Arial" w:hAnsi="Arial" w:cs="Arial"/>
                <w:color w:val="000000"/>
                <w:sz w:val="20"/>
                <w:szCs w:val="20"/>
              </w:rPr>
              <w:t>Rok Klemše, DEOS d.o.o.</w:t>
            </w:r>
          </w:p>
        </w:tc>
        <w:tc>
          <w:tcPr>
            <w:tcW w:w="3825" w:type="dxa"/>
          </w:tcPr>
          <w:p w14:paraId="376F45CE" w14:textId="0541AE19" w:rsidR="00EE4B65" w:rsidRPr="00461031" w:rsidRDefault="00D21B32" w:rsidP="00D21B32">
            <w:pPr>
              <w:pStyle w:val="Golobesedilo"/>
              <w:jc w:val="both"/>
              <w:rPr>
                <w:rFonts w:ascii="Arial" w:hAnsi="Arial" w:cs="Arial"/>
                <w:sz w:val="20"/>
                <w:szCs w:val="20"/>
              </w:rPr>
            </w:pPr>
            <w:r w:rsidRPr="00461031">
              <w:rPr>
                <w:rFonts w:ascii="Arial" w:hAnsi="Arial" w:cs="Arial"/>
                <w:sz w:val="20"/>
                <w:szCs w:val="20"/>
              </w:rPr>
              <w:t>Glede Obrazca 2 Finančni načrt nas zanima ali moramo tabelo izpolniti tako, da je potrebno vrednost posameznega cikla razdeliti na različne predvidene vrste stroškov tako da sami dodamo potrebne vrstice (npr. ločeno stroške dela, ločeno strošek materiala in potem v vrstici SKUPAJ CELOTNA VREDNOST PROJEKTA podati seštevek posameznih vrst stroškov – denimo primeroma: strošek dela je cca. 10.000 EUR, stroški materiala so cca. 10.000 EUR, skupaj torej CELOTNA VREDNOST PROJEKTA za leto 2024 znaša 35.543,65 EUR (kot je določen strošek na enoto cikel  teoretičnega dela). Zanima nas ali bi bil takšen prikaz stroškov ustrezen in sami razširimo tabelo.</w:t>
            </w:r>
          </w:p>
        </w:tc>
        <w:tc>
          <w:tcPr>
            <w:tcW w:w="5777" w:type="dxa"/>
          </w:tcPr>
          <w:p w14:paraId="42D5BBBD" w14:textId="5F051DAC" w:rsidR="00EE4B65" w:rsidRPr="00461031" w:rsidRDefault="00D21B32" w:rsidP="0025370B">
            <w:pPr>
              <w:jc w:val="both"/>
              <w:rPr>
                <w:rFonts w:ascii="Arial" w:hAnsi="Arial" w:cs="Arial"/>
                <w:color w:val="000000"/>
                <w:sz w:val="20"/>
                <w:szCs w:val="20"/>
              </w:rPr>
            </w:pPr>
            <w:r w:rsidRPr="00461031">
              <w:rPr>
                <w:rFonts w:ascii="Arial" w:hAnsi="Arial" w:cs="Arial"/>
                <w:color w:val="000000"/>
                <w:sz w:val="20"/>
                <w:szCs w:val="20"/>
              </w:rPr>
              <w:t>Tabelo v Obrazcu 2 Finančni načrt sami razširite in vpišete poenostavljene vrste stroškov izvedbe cikla, in sicer stroške predavateljev, stroške ostalih delovnih mest</w:t>
            </w:r>
            <w:r w:rsidR="0062388A" w:rsidRPr="00461031">
              <w:rPr>
                <w:rFonts w:ascii="Arial" w:hAnsi="Arial" w:cs="Arial"/>
                <w:color w:val="000000"/>
                <w:sz w:val="20"/>
                <w:szCs w:val="20"/>
              </w:rPr>
              <w:t>, stroške blaga in storitev, stroške iz dela in drugih prejemkov ter morebitne druge stroške. V tabelo zapišite tudi predvideno celotno vrednost projekta.</w:t>
            </w:r>
          </w:p>
        </w:tc>
      </w:tr>
      <w:tr w:rsidR="00461031" w:rsidRPr="00461031" w14:paraId="1AE95DA7" w14:textId="77777777" w:rsidTr="00713A19">
        <w:tc>
          <w:tcPr>
            <w:tcW w:w="628" w:type="dxa"/>
          </w:tcPr>
          <w:p w14:paraId="48B00C4E" w14:textId="775787FC" w:rsidR="00461031" w:rsidRPr="00461031" w:rsidRDefault="00461031" w:rsidP="0025370B">
            <w:pPr>
              <w:jc w:val="both"/>
              <w:rPr>
                <w:rFonts w:ascii="Arial" w:hAnsi="Arial" w:cs="Arial"/>
                <w:color w:val="000000"/>
                <w:sz w:val="20"/>
                <w:szCs w:val="20"/>
              </w:rPr>
            </w:pPr>
            <w:r>
              <w:rPr>
                <w:rFonts w:ascii="Arial" w:hAnsi="Arial" w:cs="Arial"/>
                <w:color w:val="000000"/>
                <w:sz w:val="20"/>
                <w:szCs w:val="20"/>
              </w:rPr>
              <w:t>8.</w:t>
            </w:r>
          </w:p>
        </w:tc>
        <w:tc>
          <w:tcPr>
            <w:tcW w:w="1669" w:type="dxa"/>
          </w:tcPr>
          <w:p w14:paraId="24D4FAEF" w14:textId="3FC82792" w:rsidR="00461031" w:rsidRPr="00461031" w:rsidRDefault="00461031" w:rsidP="00AD47D0">
            <w:pPr>
              <w:jc w:val="both"/>
              <w:rPr>
                <w:rFonts w:ascii="Arial" w:hAnsi="Arial" w:cs="Arial"/>
                <w:color w:val="000000"/>
                <w:sz w:val="20"/>
                <w:szCs w:val="20"/>
              </w:rPr>
            </w:pPr>
            <w:r>
              <w:rPr>
                <w:rFonts w:ascii="Arial" w:hAnsi="Arial" w:cs="Arial"/>
                <w:color w:val="000000"/>
                <w:sz w:val="20"/>
                <w:szCs w:val="20"/>
              </w:rPr>
              <w:t xml:space="preserve">14.6.2024, </w:t>
            </w:r>
            <w:r w:rsidRPr="00461031">
              <w:rPr>
                <w:rFonts w:ascii="Arial" w:hAnsi="Arial" w:cs="Arial"/>
                <w:color w:val="000000"/>
                <w:sz w:val="20"/>
                <w:szCs w:val="20"/>
              </w:rPr>
              <w:t>603-66/2024-2711-21</w:t>
            </w:r>
          </w:p>
        </w:tc>
        <w:tc>
          <w:tcPr>
            <w:tcW w:w="2095" w:type="dxa"/>
          </w:tcPr>
          <w:p w14:paraId="66BFB4C2" w14:textId="77777777" w:rsidR="00461031" w:rsidRPr="00461031" w:rsidRDefault="00461031" w:rsidP="00461031">
            <w:pPr>
              <w:jc w:val="both"/>
              <w:rPr>
                <w:rFonts w:ascii="Arial" w:hAnsi="Arial" w:cs="Arial"/>
                <w:color w:val="292B2C"/>
                <w:sz w:val="20"/>
                <w:szCs w:val="20"/>
                <w:shd w:val="clear" w:color="auto" w:fill="FFFFFF"/>
              </w:rPr>
            </w:pPr>
            <w:r w:rsidRPr="00461031">
              <w:rPr>
                <w:rFonts w:ascii="Arial" w:hAnsi="Arial" w:cs="Arial"/>
                <w:color w:val="292B2C"/>
                <w:sz w:val="20"/>
                <w:szCs w:val="20"/>
                <w:shd w:val="clear" w:color="auto" w:fill="FFFFFF"/>
              </w:rPr>
              <w:t>Andreja Prebil, Srednja zdravstvena šola Ljubljana</w:t>
            </w:r>
          </w:p>
          <w:p w14:paraId="19AB5A33" w14:textId="77777777" w:rsidR="00461031" w:rsidRPr="00461031" w:rsidRDefault="00461031" w:rsidP="0025370B">
            <w:pPr>
              <w:jc w:val="both"/>
              <w:rPr>
                <w:rFonts w:ascii="Arial" w:hAnsi="Arial" w:cs="Arial"/>
                <w:color w:val="000000"/>
                <w:sz w:val="20"/>
                <w:szCs w:val="20"/>
              </w:rPr>
            </w:pPr>
          </w:p>
        </w:tc>
        <w:tc>
          <w:tcPr>
            <w:tcW w:w="3825" w:type="dxa"/>
          </w:tcPr>
          <w:p w14:paraId="1A6AEB81" w14:textId="77777777" w:rsidR="00461031" w:rsidRPr="00461031" w:rsidRDefault="00461031" w:rsidP="00D21B32">
            <w:pPr>
              <w:pStyle w:val="Golobesedilo"/>
              <w:jc w:val="both"/>
              <w:rPr>
                <w:rFonts w:ascii="Arial" w:hAnsi="Arial" w:cs="Arial"/>
                <w:sz w:val="20"/>
                <w:szCs w:val="20"/>
              </w:rPr>
            </w:pPr>
            <w:r w:rsidRPr="00461031">
              <w:rPr>
                <w:rFonts w:ascii="Arial" w:hAnsi="Arial" w:cs="Arial"/>
                <w:sz w:val="20"/>
                <w:szCs w:val="20"/>
              </w:rPr>
              <w:t xml:space="preserve">Pogoj da udeleženec opravi program je 80% prisotnost in uspešno opravljen izpit pri posameznem predmetu. Kaj če se zgodi, da imamo vključenih npr. 12 udeležencev in jih par že med izobraževanjem neha hoditi - torej, začnemo pa z že samo izvedbo (imamo že stroške), vmes pa postanemo neupravičeni prejetja financiranja? Udeležencev namreč ničesar ne obvezuje, da se udeležujejo </w:t>
            </w:r>
            <w:r w:rsidRPr="00461031">
              <w:rPr>
                <w:rFonts w:ascii="Arial" w:hAnsi="Arial" w:cs="Arial"/>
                <w:sz w:val="20"/>
                <w:szCs w:val="20"/>
              </w:rPr>
              <w:lastRenderedPageBreak/>
              <w:t>izobraževanja, za njih je brezplačno. Lahko si premislijo in ugotovijo, da to ni za njih, da ne potrebujejo potrdila itd.</w:t>
            </w:r>
          </w:p>
          <w:p w14:paraId="3983A499" w14:textId="77777777" w:rsidR="00461031" w:rsidRPr="00461031" w:rsidRDefault="00461031" w:rsidP="00D21B32">
            <w:pPr>
              <w:pStyle w:val="Golobesedilo"/>
              <w:jc w:val="both"/>
              <w:rPr>
                <w:rFonts w:ascii="Arial" w:hAnsi="Arial" w:cs="Arial"/>
                <w:sz w:val="20"/>
                <w:szCs w:val="20"/>
              </w:rPr>
            </w:pPr>
          </w:p>
          <w:p w14:paraId="5DB012EB" w14:textId="12D96851" w:rsidR="00461031" w:rsidRPr="00461031" w:rsidRDefault="00461031" w:rsidP="00D21B32">
            <w:pPr>
              <w:pStyle w:val="Golobesedilo"/>
              <w:jc w:val="both"/>
              <w:rPr>
                <w:rFonts w:ascii="Arial" w:hAnsi="Arial" w:cs="Arial"/>
                <w:sz w:val="20"/>
                <w:szCs w:val="20"/>
              </w:rPr>
            </w:pPr>
            <w:r w:rsidRPr="00461031">
              <w:rPr>
                <w:rFonts w:ascii="Arial" w:hAnsi="Arial" w:cs="Arial"/>
                <w:sz w:val="20"/>
                <w:szCs w:val="20"/>
              </w:rPr>
              <w:t>Ali so lahko potencialni udeleženci tudi npr. naši bivši redni dijaki, ki so stari 18 let in imajo zaključene vse 4 letnike programa ZN (tudi oba letnika PTI), a brez poklicne mature, ali dijaki z zaključenimi 3. letniki (program BN in/ali deloma zaključen PTI), a brez zaključnega izpita, oz. ali je pogoj zgolj to, da je neko IV. stopnjo zaključil z najmanj zaključnim izpitom ali s poklicno/splošno maturo?</w:t>
            </w:r>
          </w:p>
        </w:tc>
        <w:tc>
          <w:tcPr>
            <w:tcW w:w="5777" w:type="dxa"/>
          </w:tcPr>
          <w:p w14:paraId="6259CA3A" w14:textId="6749F004" w:rsidR="00461031" w:rsidRDefault="00461031" w:rsidP="0025370B">
            <w:pPr>
              <w:jc w:val="both"/>
              <w:rPr>
                <w:rFonts w:ascii="Arial" w:hAnsi="Arial" w:cs="Arial"/>
                <w:color w:val="000000"/>
                <w:sz w:val="20"/>
                <w:szCs w:val="20"/>
              </w:rPr>
            </w:pPr>
            <w:r>
              <w:rPr>
                <w:rFonts w:ascii="Arial" w:hAnsi="Arial" w:cs="Arial"/>
                <w:color w:val="000000"/>
                <w:sz w:val="20"/>
                <w:szCs w:val="20"/>
              </w:rPr>
              <w:lastRenderedPageBreak/>
              <w:t>Za začetek izvajanja teoretičnega dela mora biti prijavljenih vsaj 12 udeležencev. V kolikor se število udeležencev po začetku izvajanja zmanjša iz razlogov na strani udeležencev, izvajalec teoretičnega dela ostane upravičen do sredstev za izvedbo cikla. V kolikor udeleženec ne bo opravil teoretičnega dela pripravništva</w:t>
            </w:r>
            <w:r w:rsidR="00A74D10">
              <w:rPr>
                <w:rFonts w:ascii="Arial" w:hAnsi="Arial" w:cs="Arial"/>
                <w:color w:val="000000"/>
                <w:sz w:val="20"/>
                <w:szCs w:val="20"/>
              </w:rPr>
              <w:t xml:space="preserve"> (ne bo imel 80% prisotnost in </w:t>
            </w:r>
            <w:r w:rsidR="000B3F94">
              <w:rPr>
                <w:rFonts w:ascii="Arial" w:hAnsi="Arial" w:cs="Arial"/>
                <w:color w:val="000000"/>
                <w:sz w:val="20"/>
                <w:szCs w:val="20"/>
              </w:rPr>
              <w:t xml:space="preserve">ne bo </w:t>
            </w:r>
            <w:r w:rsidR="00A74D10">
              <w:rPr>
                <w:rFonts w:ascii="Arial" w:hAnsi="Arial" w:cs="Arial"/>
                <w:color w:val="000000"/>
                <w:sz w:val="20"/>
                <w:szCs w:val="20"/>
              </w:rPr>
              <w:t>uspešno oprav</w:t>
            </w:r>
            <w:r w:rsidR="000B3F94">
              <w:rPr>
                <w:rFonts w:ascii="Arial" w:hAnsi="Arial" w:cs="Arial"/>
                <w:color w:val="000000"/>
                <w:sz w:val="20"/>
                <w:szCs w:val="20"/>
              </w:rPr>
              <w:t>il</w:t>
            </w:r>
            <w:r w:rsidR="00A74D10">
              <w:rPr>
                <w:rFonts w:ascii="Arial" w:hAnsi="Arial" w:cs="Arial"/>
                <w:color w:val="000000"/>
                <w:sz w:val="20"/>
                <w:szCs w:val="20"/>
              </w:rPr>
              <w:t xml:space="preserve"> zaklju</w:t>
            </w:r>
            <w:r w:rsidR="000B3F94">
              <w:rPr>
                <w:rFonts w:ascii="Arial" w:hAnsi="Arial" w:cs="Arial"/>
                <w:color w:val="000000"/>
                <w:sz w:val="20"/>
                <w:szCs w:val="20"/>
              </w:rPr>
              <w:t xml:space="preserve">čnega </w:t>
            </w:r>
            <w:r w:rsidR="00A74D10">
              <w:rPr>
                <w:rFonts w:ascii="Arial" w:hAnsi="Arial" w:cs="Arial"/>
                <w:color w:val="000000"/>
                <w:sz w:val="20"/>
                <w:szCs w:val="20"/>
              </w:rPr>
              <w:t>izpit</w:t>
            </w:r>
            <w:r w:rsidR="000B3F94">
              <w:rPr>
                <w:rFonts w:ascii="Arial" w:hAnsi="Arial" w:cs="Arial"/>
                <w:color w:val="000000"/>
                <w:sz w:val="20"/>
                <w:szCs w:val="20"/>
              </w:rPr>
              <w:t>a</w:t>
            </w:r>
            <w:r w:rsidR="00A74D10">
              <w:rPr>
                <w:rFonts w:ascii="Arial" w:hAnsi="Arial" w:cs="Arial"/>
                <w:color w:val="000000"/>
                <w:sz w:val="20"/>
                <w:szCs w:val="20"/>
              </w:rPr>
              <w:t>)</w:t>
            </w:r>
            <w:r>
              <w:rPr>
                <w:rFonts w:ascii="Arial" w:hAnsi="Arial" w:cs="Arial"/>
                <w:color w:val="000000"/>
                <w:sz w:val="20"/>
                <w:szCs w:val="20"/>
              </w:rPr>
              <w:t>, ne bo moral nadaljevati s praktičnim delom pripravništva</w:t>
            </w:r>
            <w:r w:rsidR="00A74D10">
              <w:rPr>
                <w:rFonts w:ascii="Arial" w:hAnsi="Arial" w:cs="Arial"/>
                <w:color w:val="000000"/>
                <w:sz w:val="20"/>
                <w:szCs w:val="20"/>
              </w:rPr>
              <w:t xml:space="preserve"> in</w:t>
            </w:r>
            <w:r>
              <w:rPr>
                <w:rFonts w:ascii="Arial" w:hAnsi="Arial" w:cs="Arial"/>
                <w:color w:val="000000"/>
                <w:sz w:val="20"/>
                <w:szCs w:val="20"/>
              </w:rPr>
              <w:t xml:space="preserve"> pripravništv</w:t>
            </w:r>
            <w:r w:rsidR="00A74D10">
              <w:rPr>
                <w:rFonts w:ascii="Arial" w:hAnsi="Arial" w:cs="Arial"/>
                <w:color w:val="000000"/>
                <w:sz w:val="20"/>
                <w:szCs w:val="20"/>
              </w:rPr>
              <w:t>a</w:t>
            </w:r>
            <w:r>
              <w:rPr>
                <w:rFonts w:ascii="Arial" w:hAnsi="Arial" w:cs="Arial"/>
                <w:color w:val="000000"/>
                <w:sz w:val="20"/>
                <w:szCs w:val="20"/>
              </w:rPr>
              <w:t xml:space="preserve"> ne bo opravil uspešno.</w:t>
            </w:r>
          </w:p>
          <w:p w14:paraId="472763B5" w14:textId="77777777" w:rsidR="00461031" w:rsidRDefault="00461031" w:rsidP="0025370B">
            <w:pPr>
              <w:jc w:val="both"/>
              <w:rPr>
                <w:rFonts w:ascii="Arial" w:hAnsi="Arial" w:cs="Arial"/>
                <w:color w:val="000000"/>
                <w:sz w:val="20"/>
                <w:szCs w:val="20"/>
              </w:rPr>
            </w:pPr>
          </w:p>
          <w:p w14:paraId="35B433A0" w14:textId="4429554F" w:rsidR="00461031" w:rsidRDefault="00461031" w:rsidP="0025370B">
            <w:pPr>
              <w:jc w:val="both"/>
              <w:rPr>
                <w:rFonts w:ascii="Arial" w:hAnsi="Arial" w:cs="Arial"/>
                <w:color w:val="000000"/>
                <w:sz w:val="20"/>
                <w:szCs w:val="20"/>
              </w:rPr>
            </w:pPr>
            <w:r>
              <w:rPr>
                <w:rFonts w:ascii="Arial" w:hAnsi="Arial" w:cs="Arial"/>
                <w:color w:val="000000"/>
                <w:sz w:val="20"/>
                <w:szCs w:val="20"/>
              </w:rPr>
              <w:lastRenderedPageBreak/>
              <w:t>Pogoj za pristop k pripravništvu je zaključena najmanj IV. stopnja izobrazbe, tj. zaključena katerakoli srednja poklicna izobrazba</w:t>
            </w:r>
            <w:r w:rsidR="00D324E4" w:rsidRPr="007431B8">
              <w:rPr>
                <w:rFonts w:ascii="Arial" w:hAnsi="Arial" w:cs="Arial"/>
                <w:color w:val="000000"/>
                <w:sz w:val="20"/>
                <w:szCs w:val="20"/>
              </w:rPr>
              <w:t xml:space="preserve"> </w:t>
            </w:r>
            <w:r w:rsidR="007431B8" w:rsidRPr="007431B8">
              <w:rPr>
                <w:rFonts w:ascii="Arial" w:hAnsi="Arial" w:cs="Arial"/>
                <w:color w:val="000000"/>
                <w:sz w:val="20"/>
                <w:szCs w:val="20"/>
              </w:rPr>
              <w:t>z uspešno opravljen</w:t>
            </w:r>
            <w:r w:rsidR="00496E5D">
              <w:rPr>
                <w:rFonts w:ascii="Arial" w:hAnsi="Arial" w:cs="Arial"/>
                <w:color w:val="000000"/>
                <w:sz w:val="20"/>
                <w:szCs w:val="20"/>
              </w:rPr>
              <w:t>im najmanj zaključnim izpitom.</w:t>
            </w:r>
          </w:p>
          <w:p w14:paraId="5E5CAA17" w14:textId="77777777" w:rsidR="00461031" w:rsidRDefault="00461031" w:rsidP="0025370B">
            <w:pPr>
              <w:jc w:val="both"/>
              <w:rPr>
                <w:rFonts w:ascii="Arial" w:hAnsi="Arial" w:cs="Arial"/>
                <w:color w:val="000000"/>
                <w:sz w:val="20"/>
                <w:szCs w:val="20"/>
              </w:rPr>
            </w:pPr>
          </w:p>
          <w:p w14:paraId="46D2AAA5" w14:textId="701BE9B5" w:rsidR="00461031" w:rsidRPr="00461031" w:rsidRDefault="00461031" w:rsidP="0025370B">
            <w:pPr>
              <w:jc w:val="both"/>
              <w:rPr>
                <w:rFonts w:ascii="Arial" w:hAnsi="Arial" w:cs="Arial"/>
                <w:color w:val="000000"/>
                <w:sz w:val="20"/>
                <w:szCs w:val="20"/>
              </w:rPr>
            </w:pPr>
          </w:p>
        </w:tc>
      </w:tr>
    </w:tbl>
    <w:p w14:paraId="152B6EE9" w14:textId="77777777" w:rsidR="00D260F5" w:rsidRPr="00AD47D0" w:rsidRDefault="00D260F5" w:rsidP="0025370B">
      <w:pPr>
        <w:jc w:val="both"/>
        <w:rPr>
          <w:rFonts w:ascii="Arial" w:hAnsi="Arial" w:cs="Arial"/>
          <w:b/>
          <w:bCs/>
          <w:color w:val="000000"/>
          <w:sz w:val="20"/>
          <w:szCs w:val="20"/>
        </w:rPr>
      </w:pPr>
    </w:p>
    <w:p w14:paraId="3E4A8D4D" w14:textId="77777777" w:rsidR="00C61036" w:rsidRPr="00AD47D0" w:rsidRDefault="00C61036" w:rsidP="0025370B">
      <w:pPr>
        <w:jc w:val="both"/>
        <w:rPr>
          <w:rFonts w:ascii="Arial" w:hAnsi="Arial" w:cs="Arial"/>
          <w:sz w:val="20"/>
          <w:szCs w:val="20"/>
        </w:rPr>
      </w:pPr>
    </w:p>
    <w:sectPr w:rsidR="00C61036" w:rsidRPr="00AD47D0" w:rsidSect="00D260F5">
      <w:headerReference w:type="default" r:id="rId6"/>
      <w:pgSz w:w="16840" w:h="11910" w:orient="landscape"/>
      <w:pgMar w:top="1418" w:right="1418" w:bottom="1418" w:left="1418" w:header="0" w:footer="81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61138" w14:textId="77777777" w:rsidR="00D260F5" w:rsidRDefault="00D260F5" w:rsidP="00D260F5">
      <w:r>
        <w:separator/>
      </w:r>
    </w:p>
  </w:endnote>
  <w:endnote w:type="continuationSeparator" w:id="0">
    <w:p w14:paraId="51B16CF2" w14:textId="77777777" w:rsidR="00D260F5" w:rsidRDefault="00D260F5" w:rsidP="00D2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BA6B4" w14:textId="77777777" w:rsidR="00D260F5" w:rsidRDefault="00D260F5" w:rsidP="00D260F5">
      <w:r>
        <w:separator/>
      </w:r>
    </w:p>
  </w:footnote>
  <w:footnote w:type="continuationSeparator" w:id="0">
    <w:p w14:paraId="2EC6D5C1" w14:textId="77777777" w:rsidR="00D260F5" w:rsidRDefault="00D260F5" w:rsidP="00D26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608C" w14:textId="77777777" w:rsidR="00D260F5" w:rsidRDefault="00D260F5">
    <w:pPr>
      <w:pStyle w:val="Glava"/>
    </w:pPr>
    <w:r>
      <w:rPr>
        <w:noProof/>
      </w:rPr>
      <w:drawing>
        <wp:anchor distT="0" distB="0" distL="114300" distR="114300" simplePos="0" relativeHeight="251659264" behindDoc="0" locked="0" layoutInCell="1" allowOverlap="1" wp14:anchorId="42339B09" wp14:editId="50CF7645">
          <wp:simplePos x="0" y="0"/>
          <wp:positionH relativeFrom="margin">
            <wp:posOffset>1352550</wp:posOffset>
          </wp:positionH>
          <wp:positionV relativeFrom="page">
            <wp:posOffset>295275</wp:posOffset>
          </wp:positionV>
          <wp:extent cx="2495550" cy="45783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155" t="52908" r="34102" b="-1"/>
                  <a:stretch/>
                </pic:blipFill>
                <pic:spPr bwMode="auto">
                  <a:xfrm>
                    <a:off x="0" y="0"/>
                    <a:ext cx="2495550" cy="457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1312" behindDoc="1" locked="0" layoutInCell="1" allowOverlap="1" wp14:anchorId="41F91247" wp14:editId="0B3F0623">
          <wp:simplePos x="0" y="0"/>
          <wp:positionH relativeFrom="margin">
            <wp:align>center</wp:align>
          </wp:positionH>
          <wp:positionV relativeFrom="paragraph">
            <wp:posOffset>323850</wp:posOffset>
          </wp:positionV>
          <wp:extent cx="923290" cy="447675"/>
          <wp:effectExtent l="0" t="0" r="0" b="9525"/>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cstate="print"/>
                  <a:stretch>
                    <a:fillRect/>
                  </a:stretch>
                </pic:blipFill>
                <pic:spPr>
                  <a:xfrm>
                    <a:off x="0" y="0"/>
                    <a:ext cx="923290" cy="447675"/>
                  </a:xfrm>
                  <a:prstGeom prst="rect">
                    <a:avLst/>
                  </a:prstGeom>
                </pic:spPr>
              </pic:pic>
            </a:graphicData>
          </a:graphic>
        </wp:anchor>
      </w:drawing>
    </w:r>
    <w:r>
      <w:rPr>
        <w:noProof/>
      </w:rPr>
      <w:drawing>
        <wp:anchor distT="0" distB="0" distL="0" distR="0" simplePos="0" relativeHeight="251663360" behindDoc="1" locked="0" layoutInCell="1" allowOverlap="1" wp14:anchorId="0BDB261D" wp14:editId="7151DF41">
          <wp:simplePos x="0" y="0"/>
          <wp:positionH relativeFrom="page">
            <wp:posOffset>6148705</wp:posOffset>
          </wp:positionH>
          <wp:positionV relativeFrom="paragraph">
            <wp:posOffset>297180</wp:posOffset>
          </wp:positionV>
          <wp:extent cx="1975104" cy="484631"/>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1975104" cy="48463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70B"/>
    <w:rsid w:val="000B192A"/>
    <w:rsid w:val="000B3F94"/>
    <w:rsid w:val="00180DAF"/>
    <w:rsid w:val="001C3288"/>
    <w:rsid w:val="001F7F8D"/>
    <w:rsid w:val="0025370B"/>
    <w:rsid w:val="002D67D0"/>
    <w:rsid w:val="004441CA"/>
    <w:rsid w:val="00461031"/>
    <w:rsid w:val="00496E5D"/>
    <w:rsid w:val="004E3E16"/>
    <w:rsid w:val="0062388A"/>
    <w:rsid w:val="006B2E2D"/>
    <w:rsid w:val="006E1036"/>
    <w:rsid w:val="00713A19"/>
    <w:rsid w:val="007431B8"/>
    <w:rsid w:val="007B60C2"/>
    <w:rsid w:val="00856604"/>
    <w:rsid w:val="008C0A77"/>
    <w:rsid w:val="008D21A5"/>
    <w:rsid w:val="00911690"/>
    <w:rsid w:val="00A71B60"/>
    <w:rsid w:val="00A74D10"/>
    <w:rsid w:val="00A8064B"/>
    <w:rsid w:val="00AD47D0"/>
    <w:rsid w:val="00B209FD"/>
    <w:rsid w:val="00B4056F"/>
    <w:rsid w:val="00B735C0"/>
    <w:rsid w:val="00C05D22"/>
    <w:rsid w:val="00C61036"/>
    <w:rsid w:val="00C85809"/>
    <w:rsid w:val="00C96A2B"/>
    <w:rsid w:val="00D21B32"/>
    <w:rsid w:val="00D260F5"/>
    <w:rsid w:val="00D324E4"/>
    <w:rsid w:val="00D553C4"/>
    <w:rsid w:val="00D77F51"/>
    <w:rsid w:val="00E513B1"/>
    <w:rsid w:val="00E53FFC"/>
    <w:rsid w:val="00EE4B65"/>
    <w:rsid w:val="00FF1F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8AE494"/>
  <w15:chartTrackingRefBased/>
  <w15:docId w15:val="{817F892B-C78B-4F60-8177-52DF6785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line="260" w:lineRule="atLeast"/>
        <w:ind w:left="57" w:right="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5370B"/>
    <w:pPr>
      <w:spacing w:line="240" w:lineRule="auto"/>
      <w:ind w:left="0" w:right="0"/>
    </w:pPr>
    <w:rPr>
      <w:rFonts w:ascii="Calibri" w:hAnsi="Calibri" w:cs="Calibri"/>
      <w:kern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260F5"/>
    <w:pPr>
      <w:tabs>
        <w:tab w:val="center" w:pos="4536"/>
        <w:tab w:val="right" w:pos="9072"/>
      </w:tabs>
    </w:pPr>
  </w:style>
  <w:style w:type="character" w:customStyle="1" w:styleId="GlavaZnak">
    <w:name w:val="Glava Znak"/>
    <w:basedOn w:val="Privzetapisavaodstavka"/>
    <w:link w:val="Glava"/>
    <w:uiPriority w:val="99"/>
    <w:rsid w:val="00D260F5"/>
    <w:rPr>
      <w:rFonts w:ascii="Calibri" w:hAnsi="Calibri" w:cs="Calibri"/>
      <w:kern w:val="0"/>
    </w:rPr>
  </w:style>
  <w:style w:type="paragraph" w:styleId="Noga">
    <w:name w:val="footer"/>
    <w:basedOn w:val="Navaden"/>
    <w:link w:val="NogaZnak"/>
    <w:uiPriority w:val="99"/>
    <w:unhideWhenUsed/>
    <w:rsid w:val="00D260F5"/>
    <w:pPr>
      <w:tabs>
        <w:tab w:val="center" w:pos="4536"/>
        <w:tab w:val="right" w:pos="9072"/>
      </w:tabs>
    </w:pPr>
  </w:style>
  <w:style w:type="character" w:customStyle="1" w:styleId="NogaZnak">
    <w:name w:val="Noga Znak"/>
    <w:basedOn w:val="Privzetapisavaodstavka"/>
    <w:link w:val="Noga"/>
    <w:uiPriority w:val="99"/>
    <w:rsid w:val="00D260F5"/>
    <w:rPr>
      <w:rFonts w:ascii="Calibri" w:hAnsi="Calibri" w:cs="Calibri"/>
      <w:kern w:val="0"/>
    </w:rPr>
  </w:style>
  <w:style w:type="table" w:styleId="Tabelamrea">
    <w:name w:val="Table Grid"/>
    <w:basedOn w:val="Navadnatabela"/>
    <w:uiPriority w:val="39"/>
    <w:rsid w:val="00D260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uiPriority w:val="99"/>
    <w:semiHidden/>
    <w:unhideWhenUsed/>
    <w:rsid w:val="00AD47D0"/>
    <w:rPr>
      <w:rFonts w:cstheme="minorBidi"/>
      <w:kern w:val="2"/>
      <w:szCs w:val="21"/>
    </w:rPr>
  </w:style>
  <w:style w:type="character" w:customStyle="1" w:styleId="GolobesediloZnak">
    <w:name w:val="Golo besedilo Znak"/>
    <w:basedOn w:val="Privzetapisavaodstavka"/>
    <w:link w:val="Golobesedilo"/>
    <w:uiPriority w:val="99"/>
    <w:semiHidden/>
    <w:rsid w:val="00AD47D0"/>
    <w:rPr>
      <w:rFonts w:ascii="Calibri" w:hAnsi="Calibri"/>
      <w:szCs w:val="21"/>
    </w:rPr>
  </w:style>
  <w:style w:type="paragraph" w:styleId="Navadensplet">
    <w:name w:val="Normal (Web)"/>
    <w:basedOn w:val="Navaden"/>
    <w:uiPriority w:val="99"/>
    <w:unhideWhenUsed/>
    <w:rsid w:val="00AD47D0"/>
    <w:pPr>
      <w:spacing w:before="100" w:beforeAutospacing="1" w:after="100" w:afterAutospacing="1"/>
    </w:pPr>
    <w:rPr>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668788">
      <w:bodyDiv w:val="1"/>
      <w:marLeft w:val="0"/>
      <w:marRight w:val="0"/>
      <w:marTop w:val="0"/>
      <w:marBottom w:val="0"/>
      <w:divBdr>
        <w:top w:val="none" w:sz="0" w:space="0" w:color="auto"/>
        <w:left w:val="none" w:sz="0" w:space="0" w:color="auto"/>
        <w:bottom w:val="none" w:sz="0" w:space="0" w:color="auto"/>
        <w:right w:val="none" w:sz="0" w:space="0" w:color="auto"/>
      </w:divBdr>
    </w:div>
    <w:div w:id="590743709">
      <w:bodyDiv w:val="1"/>
      <w:marLeft w:val="0"/>
      <w:marRight w:val="0"/>
      <w:marTop w:val="0"/>
      <w:marBottom w:val="0"/>
      <w:divBdr>
        <w:top w:val="none" w:sz="0" w:space="0" w:color="auto"/>
        <w:left w:val="none" w:sz="0" w:space="0" w:color="auto"/>
        <w:bottom w:val="none" w:sz="0" w:space="0" w:color="auto"/>
        <w:right w:val="none" w:sz="0" w:space="0" w:color="auto"/>
      </w:divBdr>
    </w:div>
    <w:div w:id="781850426">
      <w:bodyDiv w:val="1"/>
      <w:marLeft w:val="0"/>
      <w:marRight w:val="0"/>
      <w:marTop w:val="0"/>
      <w:marBottom w:val="0"/>
      <w:divBdr>
        <w:top w:val="none" w:sz="0" w:space="0" w:color="auto"/>
        <w:left w:val="none" w:sz="0" w:space="0" w:color="auto"/>
        <w:bottom w:val="none" w:sz="0" w:space="0" w:color="auto"/>
        <w:right w:val="none" w:sz="0" w:space="0" w:color="auto"/>
      </w:divBdr>
    </w:div>
    <w:div w:id="1408309260">
      <w:bodyDiv w:val="1"/>
      <w:marLeft w:val="0"/>
      <w:marRight w:val="0"/>
      <w:marTop w:val="0"/>
      <w:marBottom w:val="0"/>
      <w:divBdr>
        <w:top w:val="none" w:sz="0" w:space="0" w:color="auto"/>
        <w:left w:val="none" w:sz="0" w:space="0" w:color="auto"/>
        <w:bottom w:val="none" w:sz="0" w:space="0" w:color="auto"/>
        <w:right w:val="none" w:sz="0" w:space="0" w:color="auto"/>
      </w:divBdr>
    </w:div>
    <w:div w:id="1522816615">
      <w:bodyDiv w:val="1"/>
      <w:marLeft w:val="0"/>
      <w:marRight w:val="0"/>
      <w:marTop w:val="0"/>
      <w:marBottom w:val="0"/>
      <w:divBdr>
        <w:top w:val="none" w:sz="0" w:space="0" w:color="auto"/>
        <w:left w:val="none" w:sz="0" w:space="0" w:color="auto"/>
        <w:bottom w:val="none" w:sz="0" w:space="0" w:color="auto"/>
        <w:right w:val="none" w:sz="0" w:space="0" w:color="auto"/>
      </w:divBdr>
      <w:divsChild>
        <w:div w:id="604776469">
          <w:marLeft w:val="0"/>
          <w:marRight w:val="0"/>
          <w:marTop w:val="0"/>
          <w:marBottom w:val="0"/>
          <w:divBdr>
            <w:top w:val="none" w:sz="0" w:space="0" w:color="auto"/>
            <w:left w:val="none" w:sz="0" w:space="0" w:color="auto"/>
            <w:bottom w:val="none" w:sz="0" w:space="0" w:color="auto"/>
            <w:right w:val="none" w:sz="0" w:space="0" w:color="auto"/>
          </w:divBdr>
          <w:divsChild>
            <w:div w:id="1190604234">
              <w:marLeft w:val="0"/>
              <w:marRight w:val="0"/>
              <w:marTop w:val="0"/>
              <w:marBottom w:val="0"/>
              <w:divBdr>
                <w:top w:val="none" w:sz="0" w:space="0" w:color="auto"/>
                <w:left w:val="none" w:sz="0" w:space="0" w:color="auto"/>
                <w:bottom w:val="none" w:sz="0" w:space="0" w:color="auto"/>
                <w:right w:val="none" w:sz="0" w:space="0" w:color="auto"/>
              </w:divBdr>
              <w:divsChild>
                <w:div w:id="2018803252">
                  <w:marLeft w:val="0"/>
                  <w:marRight w:val="0"/>
                  <w:marTop w:val="0"/>
                  <w:marBottom w:val="0"/>
                  <w:divBdr>
                    <w:top w:val="none" w:sz="0" w:space="0" w:color="auto"/>
                    <w:left w:val="none" w:sz="0" w:space="0" w:color="auto"/>
                    <w:bottom w:val="none" w:sz="0" w:space="0" w:color="auto"/>
                    <w:right w:val="none" w:sz="0" w:space="0" w:color="auto"/>
                  </w:divBdr>
                  <w:divsChild>
                    <w:div w:id="8107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15027">
          <w:marLeft w:val="0"/>
          <w:marRight w:val="0"/>
          <w:marTop w:val="0"/>
          <w:marBottom w:val="0"/>
          <w:divBdr>
            <w:top w:val="none" w:sz="0" w:space="0" w:color="auto"/>
            <w:left w:val="none" w:sz="0" w:space="0" w:color="auto"/>
            <w:bottom w:val="none" w:sz="0" w:space="0" w:color="auto"/>
            <w:right w:val="none" w:sz="0" w:space="0" w:color="auto"/>
          </w:divBdr>
          <w:divsChild>
            <w:div w:id="429932789">
              <w:marLeft w:val="0"/>
              <w:marRight w:val="0"/>
              <w:marTop w:val="0"/>
              <w:marBottom w:val="0"/>
              <w:divBdr>
                <w:top w:val="none" w:sz="0" w:space="0" w:color="auto"/>
                <w:left w:val="none" w:sz="0" w:space="0" w:color="auto"/>
                <w:bottom w:val="none" w:sz="0" w:space="0" w:color="auto"/>
                <w:right w:val="none" w:sz="0" w:space="0" w:color="auto"/>
              </w:divBdr>
              <w:divsChild>
                <w:div w:id="14138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62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5</Pages>
  <Words>1810</Words>
  <Characters>10320</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Hodak</dc:creator>
  <cp:keywords/>
  <dc:description/>
  <cp:lastModifiedBy>Ivana Hodak</cp:lastModifiedBy>
  <cp:revision>8</cp:revision>
  <dcterms:created xsi:type="dcterms:W3CDTF">2024-06-06T09:05:00Z</dcterms:created>
  <dcterms:modified xsi:type="dcterms:W3CDTF">2024-06-17T10:38:00Z</dcterms:modified>
</cp:coreProperties>
</file>