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5506" w14:textId="77777777" w:rsidR="00965930" w:rsidRDefault="00965930" w:rsidP="00965930">
      <w:pPr>
        <w:suppressAutoHyphens/>
        <w:overflowPunct w:val="0"/>
        <w:autoSpaceDE w:val="0"/>
        <w:textAlignment w:val="baseline"/>
        <w:rPr>
          <w:rFonts w:ascii="Arial" w:hAnsi="Arial" w:cs="Arial"/>
          <w:sz w:val="20"/>
          <w:szCs w:val="20"/>
        </w:rPr>
      </w:pPr>
    </w:p>
    <w:p w14:paraId="583FA61D" w14:textId="77777777" w:rsidR="00965930" w:rsidRPr="00551E6B" w:rsidRDefault="00965930" w:rsidP="00965930">
      <w:pPr>
        <w:suppressAutoHyphens/>
        <w:overflowPunct w:val="0"/>
        <w:autoSpaceDE w:val="0"/>
        <w:jc w:val="both"/>
        <w:textAlignment w:val="baseline"/>
        <w:rPr>
          <w:rFonts w:ascii="Arial" w:hAnsi="Arial" w:cs="Arial"/>
          <w:b/>
          <w:sz w:val="20"/>
          <w:szCs w:val="20"/>
          <w:lang w:eastAsia="zh-CN"/>
        </w:rPr>
      </w:pPr>
    </w:p>
    <w:p w14:paraId="3A918D9C" w14:textId="38F94C41" w:rsidR="00AC6DA5" w:rsidRPr="00551E6B" w:rsidRDefault="00965930" w:rsidP="00965930">
      <w:pPr>
        <w:tabs>
          <w:tab w:val="right" w:pos="9072"/>
        </w:tabs>
        <w:spacing w:after="200" w:line="276" w:lineRule="auto"/>
        <w:jc w:val="both"/>
        <w:rPr>
          <w:rFonts w:ascii="Arial" w:hAnsi="Arial" w:cs="Arial"/>
          <w:b/>
          <w:sz w:val="20"/>
          <w:szCs w:val="20"/>
          <w:lang w:eastAsia="zh-CN"/>
        </w:rPr>
      </w:pPr>
      <w:r w:rsidRPr="00551E6B">
        <w:rPr>
          <w:rFonts w:ascii="Arial" w:hAnsi="Arial" w:cs="Arial"/>
          <w:b/>
          <w:sz w:val="20"/>
          <w:szCs w:val="20"/>
          <w:lang w:eastAsia="zh-CN"/>
        </w:rPr>
        <w:t xml:space="preserve">PRILOGA </w:t>
      </w:r>
      <w:r w:rsidR="0008489A" w:rsidRPr="00551E6B">
        <w:rPr>
          <w:rFonts w:ascii="Arial" w:hAnsi="Arial" w:cs="Arial"/>
          <w:b/>
          <w:sz w:val="20"/>
          <w:szCs w:val="20"/>
          <w:lang w:eastAsia="zh-CN"/>
        </w:rPr>
        <w:t>1</w:t>
      </w:r>
      <w:r w:rsidRPr="00551E6B">
        <w:rPr>
          <w:rFonts w:ascii="Arial" w:hAnsi="Arial" w:cs="Arial"/>
          <w:b/>
          <w:sz w:val="20"/>
          <w:szCs w:val="20"/>
          <w:lang w:eastAsia="zh-CN"/>
        </w:rPr>
        <w:t xml:space="preserve"> </w:t>
      </w:r>
      <w:bookmarkStart w:id="0" w:name="_Hlk142056401"/>
    </w:p>
    <w:p w14:paraId="3C56FFAB" w14:textId="7820002E" w:rsidR="00AC6DA5" w:rsidRPr="00551E6B" w:rsidRDefault="001515A1" w:rsidP="00965930">
      <w:pPr>
        <w:tabs>
          <w:tab w:val="right" w:pos="9072"/>
        </w:tabs>
        <w:spacing w:after="200" w:line="276" w:lineRule="auto"/>
        <w:jc w:val="both"/>
        <w:rPr>
          <w:rFonts w:ascii="Arial" w:hAnsi="Arial" w:cs="Arial"/>
          <w:b/>
          <w:bCs/>
          <w:sz w:val="20"/>
          <w:szCs w:val="20"/>
          <w:lang w:eastAsia="zh-CN"/>
        </w:rPr>
      </w:pPr>
      <w:r>
        <w:rPr>
          <w:rFonts w:ascii="Arial" w:hAnsi="Arial" w:cs="Arial"/>
          <w:b/>
          <w:bCs/>
          <w:sz w:val="20"/>
          <w:szCs w:val="20"/>
        </w:rPr>
        <w:t>METODOLOŠKI LIST</w:t>
      </w:r>
    </w:p>
    <w:bookmarkEnd w:id="0"/>
    <w:p w14:paraId="0B833EAE" w14:textId="77777777" w:rsidR="00965930" w:rsidRDefault="00965930" w:rsidP="00C13A74">
      <w:pPr>
        <w:pStyle w:val="Naslov1"/>
        <w:rPr>
          <w:rStyle w:val="Krepko"/>
        </w:rPr>
      </w:pPr>
      <w:r w:rsidRPr="00AD427B">
        <w:rPr>
          <w:rStyle w:val="Krepko"/>
        </w:rPr>
        <w:t xml:space="preserve">Kazalniki po Programu </w:t>
      </w:r>
      <w:bookmarkStart w:id="1" w:name="_Hlk142052257"/>
      <w:r w:rsidRPr="00AD427B">
        <w:rPr>
          <w:rStyle w:val="Krepko"/>
        </w:rPr>
        <w:t>2021–2027</w:t>
      </w:r>
      <w:bookmarkEnd w:id="1"/>
    </w:p>
    <w:p w14:paraId="76B8FD03" w14:textId="77777777" w:rsidR="00AD427B" w:rsidRPr="00AD427B" w:rsidRDefault="00AD427B" w:rsidP="00AD427B">
      <w:pPr>
        <w:rPr>
          <w:lang w:eastAsia="en-US"/>
        </w:rPr>
      </w:pPr>
    </w:p>
    <w:p w14:paraId="6AFCC766" w14:textId="4EC730CB" w:rsidR="00965930" w:rsidRPr="007D3041" w:rsidRDefault="00965930" w:rsidP="00965930">
      <w:pPr>
        <w:rPr>
          <w:rFonts w:ascii="Arial" w:hAnsi="Arial" w:cs="Arial"/>
          <w:sz w:val="20"/>
          <w:szCs w:val="20"/>
        </w:rPr>
      </w:pPr>
      <w:r w:rsidRPr="007D3041">
        <w:rPr>
          <w:rFonts w:ascii="Arial" w:hAnsi="Arial" w:cs="Arial"/>
          <w:sz w:val="20"/>
          <w:szCs w:val="20"/>
        </w:rPr>
        <w:t xml:space="preserve">V Programu 2021– 2027 so za spremljanje operacij ministrstva določeni naslednji kazalniki rezultata. Zanje so že določeni metodološki listi. </w:t>
      </w:r>
    </w:p>
    <w:p w14:paraId="7E7A8DCF" w14:textId="77777777" w:rsidR="00965930" w:rsidRPr="007D3041" w:rsidRDefault="00965930" w:rsidP="00965930">
      <w:pPr>
        <w:rPr>
          <w:rFonts w:ascii="Arial" w:hAnsi="Arial" w:cs="Arial"/>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8129"/>
      </w:tblGrid>
      <w:tr w:rsidR="00965930" w:rsidRPr="007D3041" w14:paraId="44D846F1" w14:textId="77777777" w:rsidTr="00AC6DA5">
        <w:tc>
          <w:tcPr>
            <w:tcW w:w="1936" w:type="dxa"/>
            <w:shd w:val="clear" w:color="auto" w:fill="auto"/>
          </w:tcPr>
          <w:p w14:paraId="3E9F44D9" w14:textId="77777777"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Specifični cilj</w:t>
            </w:r>
          </w:p>
        </w:tc>
        <w:tc>
          <w:tcPr>
            <w:tcW w:w="8129" w:type="dxa"/>
            <w:shd w:val="clear" w:color="auto" w:fill="auto"/>
          </w:tcPr>
          <w:p w14:paraId="2F720937" w14:textId="77777777"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Kazalnik rezultata</w:t>
            </w:r>
          </w:p>
        </w:tc>
      </w:tr>
      <w:tr w:rsidR="00965930" w:rsidRPr="007D3041" w14:paraId="5DCD8BA7" w14:textId="77777777" w:rsidTr="00AC6DA5">
        <w:tc>
          <w:tcPr>
            <w:tcW w:w="1936" w:type="dxa"/>
            <w:shd w:val="clear" w:color="auto" w:fill="auto"/>
          </w:tcPr>
          <w:p w14:paraId="38265BBA" w14:textId="4C1A271B"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SC ESO 4.11</w:t>
            </w:r>
          </w:p>
        </w:tc>
        <w:tc>
          <w:tcPr>
            <w:tcW w:w="8129" w:type="dxa"/>
            <w:shd w:val="clear" w:color="auto" w:fill="auto"/>
          </w:tcPr>
          <w:p w14:paraId="51EBCABD" w14:textId="16896CD3" w:rsidR="00965930" w:rsidRPr="007D3041" w:rsidRDefault="00965930" w:rsidP="00965930">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 xml:space="preserve">12 </w:t>
            </w:r>
            <w:r w:rsidRPr="007D3041">
              <w:rPr>
                <w:rFonts w:ascii="Arial" w:eastAsia="Calibri" w:hAnsi="Arial" w:cs="Arial"/>
                <w:bCs/>
                <w:iCs/>
                <w:sz w:val="20"/>
                <w:szCs w:val="20"/>
                <w:lang w:eastAsia="hu-HU"/>
              </w:rPr>
              <w:t>Število usposobljenih uporabnikov v zdravstvu</w:t>
            </w:r>
          </w:p>
        </w:tc>
      </w:tr>
    </w:tbl>
    <w:p w14:paraId="31735B16" w14:textId="77777777" w:rsidR="00965930" w:rsidRPr="001C7D29" w:rsidRDefault="00965930" w:rsidP="00965930">
      <w:pPr>
        <w:rPr>
          <w:rFonts w:ascii="Arial" w:hAnsi="Arial" w:cs="Arial"/>
          <w:sz w:val="22"/>
          <w:szCs w:val="22"/>
        </w:rPr>
      </w:pPr>
    </w:p>
    <w:tbl>
      <w:tblPr>
        <w:tblW w:w="9781" w:type="dxa"/>
        <w:tblInd w:w="-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317"/>
        <w:gridCol w:w="1077"/>
        <w:gridCol w:w="1117"/>
        <w:gridCol w:w="1017"/>
        <w:gridCol w:w="1117"/>
        <w:gridCol w:w="1117"/>
        <w:gridCol w:w="1147"/>
        <w:gridCol w:w="1117"/>
      </w:tblGrid>
      <w:tr w:rsidR="00965930" w:rsidRPr="00C03FD2" w14:paraId="7D9B2D2C" w14:textId="77777777" w:rsidTr="000D69F4">
        <w:trPr>
          <w:trHeight w:val="308"/>
        </w:trPr>
        <w:tc>
          <w:tcPr>
            <w:tcW w:w="2317" w:type="dxa"/>
            <w:shd w:val="clear" w:color="auto" w:fill="D9D9D9" w:themeFill="background1" w:themeFillShade="D9"/>
          </w:tcPr>
          <w:p w14:paraId="317A3788" w14:textId="77777777" w:rsidR="00965930" w:rsidRPr="00C03FD2" w:rsidRDefault="00965930" w:rsidP="00CC24F1">
            <w:pPr>
              <w:suppressAutoHyphens/>
              <w:jc w:val="both"/>
              <w:rPr>
                <w:rFonts w:ascii="Arial" w:hAnsi="Arial" w:cs="Arial"/>
                <w:iCs/>
                <w:sz w:val="18"/>
                <w:szCs w:val="18"/>
                <w:lang w:eastAsia="zh-CN"/>
              </w:rPr>
            </w:pPr>
            <w:bookmarkStart w:id="2" w:name="_Hlk130810207"/>
            <w:r w:rsidRPr="00C03FD2">
              <w:rPr>
                <w:rFonts w:ascii="Arial" w:hAnsi="Arial" w:cs="Arial"/>
                <w:iCs/>
                <w:sz w:val="18"/>
                <w:szCs w:val="18"/>
                <w:lang w:eastAsia="zh-CN"/>
              </w:rPr>
              <w:t xml:space="preserve">CILJ POLITIKE </w:t>
            </w:r>
          </w:p>
        </w:tc>
        <w:tc>
          <w:tcPr>
            <w:tcW w:w="7464" w:type="dxa"/>
            <w:gridSpan w:val="7"/>
            <w:shd w:val="clear" w:color="auto" w:fill="D9D9D9" w:themeFill="background1" w:themeFillShade="D9"/>
          </w:tcPr>
          <w:p w14:paraId="38B11C65"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CP 4: Bolj socialna in vključujoča Evropa za izvajanje evropskega stebra socialnih pravic</w:t>
            </w:r>
          </w:p>
        </w:tc>
      </w:tr>
      <w:tr w:rsidR="00965930" w:rsidRPr="00C03FD2" w14:paraId="1672B2D5" w14:textId="77777777" w:rsidTr="000D69F4">
        <w:trPr>
          <w:trHeight w:val="201"/>
        </w:trPr>
        <w:tc>
          <w:tcPr>
            <w:tcW w:w="2317" w:type="dxa"/>
            <w:shd w:val="clear" w:color="auto" w:fill="auto"/>
          </w:tcPr>
          <w:p w14:paraId="4520F30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Sklad</w:t>
            </w:r>
          </w:p>
        </w:tc>
        <w:tc>
          <w:tcPr>
            <w:tcW w:w="7464" w:type="dxa"/>
            <w:gridSpan w:val="7"/>
            <w:shd w:val="clear" w:color="auto" w:fill="auto"/>
          </w:tcPr>
          <w:p w14:paraId="1C196CE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ESS+</w:t>
            </w:r>
          </w:p>
        </w:tc>
      </w:tr>
      <w:tr w:rsidR="00965930" w:rsidRPr="00C03FD2" w14:paraId="3E97071B" w14:textId="77777777" w:rsidTr="000D69F4">
        <w:trPr>
          <w:trHeight w:val="130"/>
        </w:trPr>
        <w:tc>
          <w:tcPr>
            <w:tcW w:w="2317" w:type="dxa"/>
            <w:shd w:val="clear" w:color="auto" w:fill="auto"/>
          </w:tcPr>
          <w:p w14:paraId="4943469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Prednostna naloga</w:t>
            </w:r>
          </w:p>
        </w:tc>
        <w:tc>
          <w:tcPr>
            <w:tcW w:w="7464" w:type="dxa"/>
            <w:gridSpan w:val="7"/>
            <w:shd w:val="clear" w:color="auto" w:fill="auto"/>
          </w:tcPr>
          <w:p w14:paraId="34F88F1C" w14:textId="3AD41DD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PN </w:t>
            </w:r>
            <w:r>
              <w:rPr>
                <w:rFonts w:ascii="Arial" w:hAnsi="Arial" w:cs="Arial"/>
                <w:iCs/>
                <w:sz w:val="18"/>
                <w:szCs w:val="18"/>
                <w:lang w:eastAsia="zh-CN"/>
              </w:rPr>
              <w:t>7</w:t>
            </w:r>
            <w:r w:rsidRPr="00C03FD2">
              <w:rPr>
                <w:rFonts w:ascii="Arial" w:hAnsi="Arial" w:cs="Arial"/>
                <w:iCs/>
                <w:sz w:val="18"/>
                <w:szCs w:val="18"/>
                <w:lang w:eastAsia="zh-CN"/>
              </w:rPr>
              <w:t xml:space="preserve">: </w:t>
            </w:r>
            <w:r w:rsidRPr="00965930">
              <w:rPr>
                <w:rFonts w:ascii="Arial" w:hAnsi="Arial" w:cs="Arial"/>
                <w:iCs/>
                <w:sz w:val="18"/>
                <w:szCs w:val="18"/>
                <w:lang w:eastAsia="zh-CN"/>
              </w:rPr>
              <w:t>Dolgotrajna oskrba in zdravje ter socialna vključenost</w:t>
            </w:r>
          </w:p>
        </w:tc>
      </w:tr>
      <w:tr w:rsidR="00965930" w:rsidRPr="00C03FD2" w14:paraId="3E05648F" w14:textId="77777777" w:rsidTr="000D69F4">
        <w:trPr>
          <w:trHeight w:val="110"/>
        </w:trPr>
        <w:tc>
          <w:tcPr>
            <w:tcW w:w="2317" w:type="dxa"/>
            <w:shd w:val="clear" w:color="auto" w:fill="auto"/>
          </w:tcPr>
          <w:p w14:paraId="42F859C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Specifični cilj(i)</w:t>
            </w:r>
          </w:p>
        </w:tc>
        <w:tc>
          <w:tcPr>
            <w:tcW w:w="7464" w:type="dxa"/>
            <w:gridSpan w:val="7"/>
            <w:shd w:val="clear" w:color="auto" w:fill="auto"/>
          </w:tcPr>
          <w:p w14:paraId="4C99A96C" w14:textId="0E8E5D89" w:rsidR="00965930" w:rsidRPr="00C03FD2" w:rsidRDefault="00965930" w:rsidP="00CC24F1">
            <w:pPr>
              <w:suppressAutoHyphens/>
              <w:jc w:val="both"/>
              <w:rPr>
                <w:rFonts w:ascii="Arial" w:hAnsi="Arial" w:cs="Arial"/>
                <w:i/>
                <w:sz w:val="18"/>
                <w:szCs w:val="18"/>
                <w:lang w:eastAsia="zh-CN" w:bidi="sl-SI"/>
              </w:rPr>
            </w:pPr>
            <w:r w:rsidRPr="00C03FD2">
              <w:rPr>
                <w:rFonts w:ascii="Arial" w:hAnsi="Arial" w:cs="Arial"/>
                <w:iCs/>
                <w:sz w:val="18"/>
                <w:szCs w:val="18"/>
                <w:lang w:eastAsia="zh-CN"/>
              </w:rPr>
              <w:t>SC ESO4.</w:t>
            </w:r>
            <w:r>
              <w:rPr>
                <w:rFonts w:ascii="Arial" w:hAnsi="Arial" w:cs="Arial"/>
                <w:iCs/>
                <w:sz w:val="18"/>
                <w:szCs w:val="18"/>
                <w:lang w:eastAsia="zh-CN"/>
              </w:rPr>
              <w:t>11</w:t>
            </w:r>
            <w:r w:rsidRPr="00C03FD2">
              <w:rPr>
                <w:rFonts w:ascii="Arial" w:hAnsi="Arial" w:cs="Arial"/>
                <w:iCs/>
                <w:sz w:val="18"/>
                <w:szCs w:val="18"/>
                <w:lang w:eastAsia="zh-CN"/>
              </w:rPr>
              <w:t xml:space="preserve">: </w:t>
            </w:r>
            <w:r w:rsidRPr="00965930">
              <w:rPr>
                <w:rFonts w:ascii="Arial" w:hAnsi="Arial" w:cs="Arial"/>
                <w:iCs/>
                <w:sz w:val="18"/>
                <w:szCs w:val="18"/>
                <w:lang w:eastAsia="zh-CN"/>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08489A">
              <w:rPr>
                <w:rFonts w:ascii="Arial" w:hAnsi="Arial" w:cs="Arial"/>
                <w:iCs/>
                <w:sz w:val="18"/>
                <w:szCs w:val="18"/>
                <w:lang w:eastAsia="zh-CN"/>
              </w:rPr>
              <w:t>.</w:t>
            </w:r>
          </w:p>
        </w:tc>
      </w:tr>
      <w:tr w:rsidR="00965930" w:rsidRPr="00C03FD2" w14:paraId="4514705F" w14:textId="77777777" w:rsidTr="000D69F4">
        <w:trPr>
          <w:trHeight w:val="110"/>
        </w:trPr>
        <w:tc>
          <w:tcPr>
            <w:tcW w:w="2317" w:type="dxa"/>
            <w:shd w:val="clear" w:color="auto" w:fill="auto"/>
          </w:tcPr>
          <w:p w14:paraId="6FEF90F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Ukrepi </w:t>
            </w:r>
          </w:p>
        </w:tc>
        <w:tc>
          <w:tcPr>
            <w:tcW w:w="7464" w:type="dxa"/>
            <w:gridSpan w:val="7"/>
            <w:shd w:val="clear" w:color="auto" w:fill="auto"/>
          </w:tcPr>
          <w:p w14:paraId="549A78AD" w14:textId="16E68D44" w:rsidR="00965930" w:rsidRPr="00C03FD2" w:rsidRDefault="00965930" w:rsidP="00CC24F1">
            <w:pPr>
              <w:suppressAutoHyphens/>
              <w:jc w:val="both"/>
              <w:rPr>
                <w:rFonts w:ascii="Arial" w:hAnsi="Arial" w:cs="Arial"/>
                <w:iCs/>
                <w:sz w:val="18"/>
                <w:szCs w:val="18"/>
                <w:lang w:eastAsia="zh-CN"/>
              </w:rPr>
            </w:pPr>
            <w:r>
              <w:rPr>
                <w:rFonts w:ascii="Arial" w:hAnsi="Arial" w:cs="Arial"/>
                <w:iCs/>
                <w:sz w:val="18"/>
                <w:szCs w:val="18"/>
                <w:lang w:eastAsia="zh-CN"/>
              </w:rPr>
              <w:t>Ukrepi za verificirano usposabljanje za delo v zdravstvu in dolgotrajni oskrbi</w:t>
            </w:r>
          </w:p>
        </w:tc>
      </w:tr>
      <w:tr w:rsidR="00965930" w:rsidRPr="00C03FD2" w14:paraId="0254F779" w14:textId="77777777" w:rsidTr="000D69F4">
        <w:trPr>
          <w:trHeight w:val="290"/>
        </w:trPr>
        <w:tc>
          <w:tcPr>
            <w:tcW w:w="2317" w:type="dxa"/>
            <w:shd w:val="clear" w:color="auto" w:fill="D9D9D9" w:themeFill="background1" w:themeFillShade="D9"/>
            <w:hideMark/>
          </w:tcPr>
          <w:p w14:paraId="3C27B917"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1. Ime kazalnika</w:t>
            </w:r>
          </w:p>
        </w:tc>
        <w:tc>
          <w:tcPr>
            <w:tcW w:w="7464" w:type="dxa"/>
            <w:gridSpan w:val="7"/>
            <w:shd w:val="clear" w:color="auto" w:fill="D9D9D9" w:themeFill="background1" w:themeFillShade="D9"/>
          </w:tcPr>
          <w:p w14:paraId="6EF684E3" w14:textId="76B8451D" w:rsidR="00965930" w:rsidRPr="00C03FD2" w:rsidRDefault="0008489A" w:rsidP="00CC24F1">
            <w:pPr>
              <w:suppressAutoHyphens/>
              <w:jc w:val="both"/>
              <w:rPr>
                <w:rFonts w:ascii="Arial" w:hAnsi="Arial" w:cs="Arial"/>
                <w:iCs/>
                <w:sz w:val="18"/>
                <w:szCs w:val="18"/>
                <w:lang w:eastAsia="zh-CN"/>
              </w:rPr>
            </w:pPr>
            <w:r>
              <w:rPr>
                <w:rFonts w:ascii="Arial" w:hAnsi="Arial" w:cs="Arial"/>
                <w:sz w:val="18"/>
                <w:szCs w:val="18"/>
                <w:lang w:eastAsia="zh-CN"/>
              </w:rPr>
              <w:t>Kazalnik r</w:t>
            </w:r>
            <w:r w:rsidR="00965930" w:rsidRPr="00C03FD2">
              <w:rPr>
                <w:rFonts w:ascii="Arial" w:hAnsi="Arial" w:cs="Arial"/>
                <w:sz w:val="18"/>
                <w:szCs w:val="18"/>
                <w:lang w:eastAsia="zh-CN"/>
              </w:rPr>
              <w:t xml:space="preserve">ezultata: </w:t>
            </w:r>
            <w:r w:rsidR="00965930" w:rsidRPr="00965930">
              <w:rPr>
                <w:rFonts w:ascii="Arial" w:hAnsi="Arial" w:cs="Arial"/>
                <w:sz w:val="18"/>
                <w:szCs w:val="18"/>
                <w:lang w:eastAsia="zh-CN"/>
              </w:rPr>
              <w:t>Število usposobljenih uporabnikov v zdravstvu</w:t>
            </w:r>
          </w:p>
        </w:tc>
      </w:tr>
      <w:tr w:rsidR="00965930" w:rsidRPr="00C03FD2" w14:paraId="1A8B64B1" w14:textId="77777777" w:rsidTr="000D69F4">
        <w:trPr>
          <w:trHeight w:val="422"/>
        </w:trPr>
        <w:tc>
          <w:tcPr>
            <w:tcW w:w="2317" w:type="dxa"/>
            <w:shd w:val="clear" w:color="auto" w:fill="auto"/>
          </w:tcPr>
          <w:p w14:paraId="10A68BF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2.Identifikator oz. šifra kazalnika</w:t>
            </w:r>
          </w:p>
          <w:p w14:paraId="60534BC2" w14:textId="77777777" w:rsidR="00965930" w:rsidRPr="00C03FD2" w:rsidRDefault="00965930" w:rsidP="00CC24F1">
            <w:pPr>
              <w:suppressAutoHyphens/>
              <w:jc w:val="both"/>
              <w:rPr>
                <w:rFonts w:ascii="Arial" w:hAnsi="Arial" w:cs="Arial"/>
                <w:iCs/>
                <w:sz w:val="18"/>
                <w:szCs w:val="18"/>
                <w:lang w:eastAsia="zh-CN"/>
              </w:rPr>
            </w:pPr>
          </w:p>
        </w:tc>
        <w:tc>
          <w:tcPr>
            <w:tcW w:w="7464" w:type="dxa"/>
            <w:gridSpan w:val="7"/>
            <w:shd w:val="clear" w:color="auto" w:fill="auto"/>
          </w:tcPr>
          <w:p w14:paraId="475171E6" w14:textId="6EC595C9"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Rezultata: </w:t>
            </w:r>
            <w:r>
              <w:rPr>
                <w:rFonts w:ascii="Arial" w:hAnsi="Arial" w:cs="Arial"/>
                <w:iCs/>
                <w:sz w:val="18"/>
                <w:szCs w:val="18"/>
                <w:lang w:eastAsia="zh-CN"/>
              </w:rPr>
              <w:t>12</w:t>
            </w:r>
          </w:p>
        </w:tc>
      </w:tr>
      <w:tr w:rsidR="00965930" w:rsidRPr="00C03FD2" w14:paraId="0DC77C2B" w14:textId="77777777" w:rsidTr="000D69F4">
        <w:trPr>
          <w:trHeight w:val="278"/>
        </w:trPr>
        <w:tc>
          <w:tcPr>
            <w:tcW w:w="2317" w:type="dxa"/>
            <w:shd w:val="clear" w:color="auto" w:fill="auto"/>
            <w:hideMark/>
          </w:tcPr>
          <w:p w14:paraId="70A28F7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3. Definicija</w:t>
            </w:r>
          </w:p>
          <w:p w14:paraId="2767F9FE"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val="lt-LT" w:eastAsia="zh-CN"/>
              </w:rPr>
              <w:t>Koga spremljamo, kaj merimo, katere podatke zbiramo</w:t>
            </w:r>
          </w:p>
        </w:tc>
        <w:tc>
          <w:tcPr>
            <w:tcW w:w="7464" w:type="dxa"/>
            <w:gridSpan w:val="7"/>
            <w:shd w:val="clear" w:color="auto" w:fill="auto"/>
          </w:tcPr>
          <w:p w14:paraId="5AEE4CAE" w14:textId="55A45B03"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Kazalnik </w:t>
            </w:r>
            <w:r>
              <w:rPr>
                <w:rFonts w:ascii="Arial" w:hAnsi="Arial" w:cs="Arial"/>
                <w:iCs/>
                <w:sz w:val="18"/>
                <w:szCs w:val="18"/>
                <w:lang w:eastAsia="zh-CN"/>
              </w:rPr>
              <w:t>rezultata</w:t>
            </w:r>
            <w:r w:rsidRPr="00C03FD2">
              <w:rPr>
                <w:rFonts w:ascii="Arial" w:hAnsi="Arial" w:cs="Arial"/>
                <w:iCs/>
                <w:sz w:val="18"/>
                <w:szCs w:val="18"/>
                <w:lang w:eastAsia="zh-CN"/>
              </w:rPr>
              <w:t xml:space="preserve">: Spremljajo se </w:t>
            </w:r>
            <w:r>
              <w:rPr>
                <w:rFonts w:ascii="Arial" w:hAnsi="Arial" w:cs="Arial"/>
                <w:iCs/>
                <w:sz w:val="18"/>
                <w:szCs w:val="18"/>
                <w:lang w:eastAsia="zh-CN"/>
              </w:rPr>
              <w:t>število usposobljenih uporabnikov v zdravstvu</w:t>
            </w:r>
            <w:r w:rsidR="00395719">
              <w:rPr>
                <w:rFonts w:ascii="Arial" w:hAnsi="Arial" w:cs="Arial"/>
                <w:iCs/>
                <w:sz w:val="18"/>
                <w:szCs w:val="18"/>
                <w:lang w:eastAsia="zh-CN"/>
              </w:rPr>
              <w:t xml:space="preserve">. Spremljajo se </w:t>
            </w:r>
            <w:r w:rsidRPr="00C03FD2">
              <w:rPr>
                <w:rFonts w:ascii="Arial" w:hAnsi="Arial" w:cs="Arial"/>
                <w:iCs/>
                <w:sz w:val="18"/>
                <w:szCs w:val="18"/>
                <w:lang w:eastAsia="zh-CN"/>
              </w:rPr>
              <w:t xml:space="preserve">vse osebe, udeležene v </w:t>
            </w:r>
            <w:r>
              <w:rPr>
                <w:rFonts w:ascii="Arial" w:hAnsi="Arial" w:cs="Arial"/>
                <w:iCs/>
                <w:sz w:val="18"/>
                <w:szCs w:val="18"/>
                <w:lang w:eastAsia="zh-CN"/>
              </w:rPr>
              <w:t>izobraževalni program teoretičnega dela usposabljanja v sklopu pripravništva za pridobitev poklicne kvalifikacije bolničar – negovalec.</w:t>
            </w:r>
          </w:p>
          <w:p w14:paraId="472EE28A"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Kvalifikacija pomeni uradni rezultat procesa ocenjevanja in potrjevanja, ki se pridobi, kadar pristojni organ določi, da je posameznik dosegel učne rezultate glede na dane standarde. </w:t>
            </w:r>
          </w:p>
          <w:p w14:paraId="6CB5AD49" w14:textId="77777777" w:rsidR="00965930" w:rsidRPr="00C03FD2" w:rsidRDefault="00965930" w:rsidP="00CC24F1">
            <w:pPr>
              <w:suppressAutoHyphens/>
              <w:jc w:val="both"/>
              <w:rPr>
                <w:rFonts w:ascii="Arial" w:hAnsi="Arial" w:cs="Arial"/>
                <w:iCs/>
                <w:sz w:val="18"/>
                <w:szCs w:val="18"/>
                <w:lang w:eastAsia="zh-CN"/>
              </w:rPr>
            </w:pPr>
          </w:p>
          <w:p w14:paraId="10C5C29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Za namene kazalnika je pomembna pokritost celotne Slovenije.</w:t>
            </w:r>
          </w:p>
        </w:tc>
      </w:tr>
      <w:tr w:rsidR="00965930" w:rsidRPr="00C03FD2" w14:paraId="36816308" w14:textId="77777777" w:rsidTr="000D69F4">
        <w:trPr>
          <w:trHeight w:val="420"/>
        </w:trPr>
        <w:tc>
          <w:tcPr>
            <w:tcW w:w="2317" w:type="dxa"/>
            <w:shd w:val="clear" w:color="auto" w:fill="auto"/>
            <w:hideMark/>
          </w:tcPr>
          <w:p w14:paraId="38F33884"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4. Metodološka pojasnila</w:t>
            </w:r>
          </w:p>
          <w:p w14:paraId="65CBF0F3" w14:textId="77777777" w:rsidR="00965930" w:rsidRPr="00C03FD2" w:rsidRDefault="00965930" w:rsidP="00965930">
            <w:pPr>
              <w:numPr>
                <w:ilvl w:val="0"/>
                <w:numId w:val="3"/>
              </w:num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Pojasnila, na kateri ravni  spremljamo  kazalnik (na ravni operacije, specifičnega cilja, prednostne naloge, cilja politike).</w:t>
            </w:r>
          </w:p>
          <w:p w14:paraId="5BE781AD" w14:textId="77777777" w:rsidR="00965930" w:rsidRPr="00C03FD2" w:rsidRDefault="00965930" w:rsidP="00965930">
            <w:pPr>
              <w:numPr>
                <w:ilvl w:val="0"/>
                <w:numId w:val="3"/>
              </w:num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Pogoji za doseganje kazalnika (npr. minimalno število ur  vključitve, sodelovanje skozi celotno obdobje izvajanja operacije…).</w:t>
            </w:r>
          </w:p>
          <w:p w14:paraId="5B66BD29" w14:textId="77777777" w:rsidR="00965930" w:rsidRPr="00C03FD2" w:rsidRDefault="00965930" w:rsidP="00965930">
            <w:pPr>
              <w:numPr>
                <w:ilvl w:val="0"/>
                <w:numId w:val="3"/>
              </w:num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Dokazila za spremljanje kazalnika (s katerim se dokazuje dosežena vrednost kazalnika, npr.:  pogodba o zaposlitvi,  lista prisotnosti,   podpisan dogovor o sodelovanju.)</w:t>
            </w:r>
          </w:p>
          <w:p w14:paraId="0F73BCA4" w14:textId="77777777" w:rsidR="00965930" w:rsidRPr="00C03FD2" w:rsidRDefault="00965930" w:rsidP="00965930">
            <w:pPr>
              <w:numPr>
                <w:ilvl w:val="0"/>
                <w:numId w:val="3"/>
              </w:numPr>
              <w:suppressAutoHyphens/>
              <w:jc w:val="both"/>
              <w:rPr>
                <w:rFonts w:ascii="Arial" w:hAnsi="Arial" w:cs="Arial"/>
                <w:iCs/>
                <w:sz w:val="18"/>
                <w:szCs w:val="18"/>
                <w:lang w:eastAsia="zh-CN"/>
              </w:rPr>
            </w:pPr>
            <w:r w:rsidRPr="00C03FD2">
              <w:rPr>
                <w:rFonts w:ascii="Arial" w:hAnsi="Arial" w:cs="Arial"/>
                <w:iCs/>
                <w:sz w:val="18"/>
                <w:szCs w:val="18"/>
                <w:lang w:val="lt-LT" w:eastAsia="zh-CN"/>
              </w:rPr>
              <w:t>V primeru, da se kazalnik nanaša na osebe</w:t>
            </w:r>
            <w:r>
              <w:rPr>
                <w:rFonts w:ascii="Arial" w:hAnsi="Arial" w:cs="Arial"/>
                <w:iCs/>
                <w:sz w:val="18"/>
                <w:szCs w:val="18"/>
                <w:lang w:val="lt-LT" w:eastAsia="zh-CN"/>
              </w:rPr>
              <w:t>,</w:t>
            </w:r>
            <w:r w:rsidRPr="00C03FD2">
              <w:rPr>
                <w:rFonts w:ascii="Arial" w:hAnsi="Arial" w:cs="Arial"/>
                <w:iCs/>
                <w:sz w:val="18"/>
                <w:szCs w:val="18"/>
                <w:lang w:val="lt-LT" w:eastAsia="zh-CN"/>
              </w:rPr>
              <w:t xml:space="preserve"> </w:t>
            </w:r>
            <w:r w:rsidRPr="00C03FD2">
              <w:rPr>
                <w:rFonts w:ascii="Arial" w:hAnsi="Arial" w:cs="Arial"/>
                <w:iCs/>
                <w:sz w:val="18"/>
                <w:szCs w:val="18"/>
                <w:lang w:val="lt-LT" w:eastAsia="zh-CN"/>
              </w:rPr>
              <w:lastRenderedPageBreak/>
              <w:t xml:space="preserve">se navede ali se osebo šteje enkrat na operacijo ali se šteje ob vsaki vključitvi v posamezni program/usposabljanje. </w:t>
            </w:r>
          </w:p>
          <w:p w14:paraId="6618A4E3" w14:textId="77777777" w:rsidR="00965930" w:rsidRPr="00C03FD2" w:rsidRDefault="00965930" w:rsidP="00965930">
            <w:pPr>
              <w:numPr>
                <w:ilvl w:val="0"/>
                <w:numId w:val="3"/>
              </w:numPr>
              <w:suppressAutoHyphens/>
              <w:jc w:val="both"/>
              <w:rPr>
                <w:rFonts w:ascii="Arial" w:hAnsi="Arial" w:cs="Arial"/>
                <w:iCs/>
                <w:sz w:val="18"/>
                <w:szCs w:val="18"/>
                <w:lang w:eastAsia="zh-CN"/>
              </w:rPr>
            </w:pPr>
            <w:r w:rsidRPr="00C03FD2">
              <w:rPr>
                <w:rFonts w:ascii="Arial" w:hAnsi="Arial" w:cs="Arial"/>
                <w:iCs/>
                <w:sz w:val="18"/>
                <w:szCs w:val="18"/>
                <w:lang w:val="lt-LT" w:eastAsia="zh-CN"/>
              </w:rPr>
              <w:t>Časovni okvir zajemanja podatkov (npr. ob vključitvi posameznika oz. ob začetku operacije, ob izstopu posameznika, zaključku operacije, po določenem časovnem obdobju.)</w:t>
            </w:r>
          </w:p>
          <w:p w14:paraId="5A7A72FA" w14:textId="77777777" w:rsidR="00965930" w:rsidRPr="00C03FD2" w:rsidRDefault="00965930" w:rsidP="00965930">
            <w:pPr>
              <w:numPr>
                <w:ilvl w:val="0"/>
                <w:numId w:val="3"/>
              </w:numPr>
              <w:suppressAutoHyphens/>
              <w:jc w:val="both"/>
              <w:rPr>
                <w:rFonts w:ascii="Arial" w:hAnsi="Arial" w:cs="Arial"/>
                <w:iCs/>
                <w:sz w:val="18"/>
                <w:szCs w:val="18"/>
                <w:lang w:eastAsia="zh-CN"/>
              </w:rPr>
            </w:pPr>
            <w:r w:rsidRPr="00C03FD2">
              <w:rPr>
                <w:rFonts w:ascii="Arial" w:hAnsi="Arial" w:cs="Arial"/>
                <w:iCs/>
                <w:sz w:val="18"/>
                <w:szCs w:val="18"/>
                <w:lang w:val="lt-LT" w:eastAsia="zh-CN"/>
              </w:rPr>
              <w:t>Vrste podatkov (podatki iz operacije, statistični podatki, drugi podatki)</w:t>
            </w:r>
          </w:p>
        </w:tc>
        <w:tc>
          <w:tcPr>
            <w:tcW w:w="7464" w:type="dxa"/>
            <w:gridSpan w:val="7"/>
            <w:shd w:val="clear" w:color="auto" w:fill="auto"/>
          </w:tcPr>
          <w:p w14:paraId="2699CAD9" w14:textId="77777777"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lastRenderedPageBreak/>
              <w:t>Kazalnik se spremlja na ravni posamezne operacije.</w:t>
            </w:r>
          </w:p>
          <w:p w14:paraId="75079B21" w14:textId="13A70D08"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Pogoj za doseganje kazalnika </w:t>
            </w:r>
            <w:r w:rsidR="00395719">
              <w:rPr>
                <w:rFonts w:ascii="Arial" w:hAnsi="Arial" w:cs="Arial"/>
                <w:iCs/>
                <w:sz w:val="18"/>
                <w:szCs w:val="18"/>
                <w:lang w:eastAsia="zh-CN"/>
              </w:rPr>
              <w:t>rezultata</w:t>
            </w:r>
            <w:r w:rsidRPr="00C03FD2">
              <w:rPr>
                <w:rFonts w:ascii="Arial" w:hAnsi="Arial" w:cs="Arial"/>
                <w:iCs/>
                <w:sz w:val="18"/>
                <w:szCs w:val="18"/>
                <w:lang w:eastAsia="zh-CN"/>
              </w:rPr>
              <w:t xml:space="preserve"> je vključitev posameznika v izobraževalni program</w:t>
            </w:r>
            <w:r w:rsidR="00395719">
              <w:rPr>
                <w:rFonts w:ascii="Arial" w:hAnsi="Arial" w:cs="Arial"/>
                <w:iCs/>
                <w:sz w:val="18"/>
                <w:szCs w:val="18"/>
                <w:lang w:eastAsia="zh-CN"/>
              </w:rPr>
              <w:t>.</w:t>
            </w:r>
          </w:p>
          <w:p w14:paraId="3FD738F3" w14:textId="4D61B51A"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Dosežena vrednost kazalnika </w:t>
            </w:r>
            <w:r w:rsidR="00395719">
              <w:rPr>
                <w:rFonts w:ascii="Arial" w:hAnsi="Arial" w:cs="Arial"/>
                <w:iCs/>
                <w:sz w:val="18"/>
                <w:szCs w:val="18"/>
                <w:lang w:eastAsia="zh-CN"/>
              </w:rPr>
              <w:t>rezultata</w:t>
            </w:r>
            <w:r w:rsidRPr="00C03FD2">
              <w:rPr>
                <w:rFonts w:ascii="Arial" w:hAnsi="Arial" w:cs="Arial"/>
                <w:iCs/>
                <w:sz w:val="18"/>
                <w:szCs w:val="18"/>
                <w:lang w:eastAsia="zh-CN"/>
              </w:rPr>
              <w:t xml:space="preserve"> se lahko spremlja z vsaj enim izmed  naslednjih dokazil: listo prisotnosti oziroma drugo verodostojno listino (drugi verodostojni podatki) v papirni ali digitalni obliki, s katerimi se dokazuje prisotnost v programu / programom, v kolikor ni javnoveljaven / obračunom / izpolnjenim vprašalnikom</w:t>
            </w:r>
            <w:r w:rsidR="00395719">
              <w:rPr>
                <w:rFonts w:ascii="Arial" w:hAnsi="Arial" w:cs="Arial"/>
                <w:iCs/>
                <w:sz w:val="18"/>
                <w:szCs w:val="18"/>
                <w:lang w:eastAsia="zh-CN"/>
              </w:rPr>
              <w:t>.</w:t>
            </w:r>
            <w:r w:rsidRPr="00C03FD2">
              <w:rPr>
                <w:rFonts w:ascii="Arial" w:hAnsi="Arial" w:cs="Arial"/>
                <w:iCs/>
                <w:sz w:val="18"/>
                <w:szCs w:val="18"/>
                <w:lang w:eastAsia="zh-CN"/>
              </w:rPr>
              <w:t xml:space="preserve"> </w:t>
            </w:r>
          </w:p>
          <w:p w14:paraId="3EB094C6" w14:textId="77777777"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Udeleženca se šteje enkrat na operacijo (udeleženec se lahko vključi v operacijo večkrat, vendar se ga šteje samo enkrat na operacijo).</w:t>
            </w:r>
          </w:p>
          <w:p w14:paraId="1748493F" w14:textId="0AD8B743"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Podatke za kazalnik </w:t>
            </w:r>
            <w:r w:rsidR="00395719">
              <w:rPr>
                <w:rFonts w:ascii="Arial" w:hAnsi="Arial" w:cs="Arial"/>
                <w:iCs/>
                <w:sz w:val="18"/>
                <w:szCs w:val="18"/>
                <w:lang w:eastAsia="zh-CN"/>
              </w:rPr>
              <w:t>rezultata</w:t>
            </w:r>
            <w:r w:rsidRPr="00C03FD2">
              <w:rPr>
                <w:rFonts w:ascii="Arial" w:hAnsi="Arial" w:cs="Arial"/>
                <w:iCs/>
                <w:sz w:val="18"/>
                <w:szCs w:val="18"/>
                <w:lang w:eastAsia="zh-CN"/>
              </w:rPr>
              <w:t xml:space="preserve"> zajemamo ob prvi vključitvi udeleženca v operacijo.</w:t>
            </w:r>
            <w:r w:rsidRPr="00C03FD2">
              <w:rPr>
                <w:rFonts w:ascii="Arial" w:hAnsi="Arial" w:cs="Arial"/>
                <w:sz w:val="18"/>
                <w:szCs w:val="18"/>
                <w:lang w:eastAsia="zh-CN"/>
              </w:rPr>
              <w:t xml:space="preserve"> </w:t>
            </w:r>
            <w:r w:rsidRPr="00C03FD2">
              <w:rPr>
                <w:rFonts w:ascii="Arial" w:hAnsi="Arial" w:cs="Arial"/>
                <w:iCs/>
                <w:sz w:val="18"/>
                <w:szCs w:val="18"/>
                <w:lang w:eastAsia="zh-CN"/>
              </w:rPr>
              <w:t>Dosežene vrednosti se bodo poročale kumulativno (predhodne vrednosti so vštete/vključene v naslednje dosežene vrednosti.) Dvojno štetje bo preprečeno z vodenjem evidence vključenih posameznikov pri upravičencu.</w:t>
            </w:r>
          </w:p>
          <w:p w14:paraId="4B2EBD25" w14:textId="77777777"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Podatki iz operacij.</w:t>
            </w:r>
          </w:p>
          <w:p w14:paraId="5B1B0450" w14:textId="77777777" w:rsidR="00965930" w:rsidRPr="00C03FD2" w:rsidRDefault="00965930" w:rsidP="00CC24F1">
            <w:pPr>
              <w:suppressAutoHyphens/>
              <w:jc w:val="both"/>
              <w:rPr>
                <w:rFonts w:ascii="Arial" w:hAnsi="Arial" w:cs="Arial"/>
                <w:iCs/>
                <w:sz w:val="18"/>
                <w:szCs w:val="18"/>
                <w:lang w:eastAsia="zh-CN"/>
              </w:rPr>
            </w:pPr>
          </w:p>
        </w:tc>
      </w:tr>
      <w:tr w:rsidR="00965930" w:rsidRPr="00C03FD2" w14:paraId="73B44B1A" w14:textId="77777777" w:rsidTr="000D69F4">
        <w:trPr>
          <w:trHeight w:val="265"/>
        </w:trPr>
        <w:tc>
          <w:tcPr>
            <w:tcW w:w="2317" w:type="dxa"/>
            <w:shd w:val="clear" w:color="auto" w:fill="auto"/>
          </w:tcPr>
          <w:p w14:paraId="1CC0E7F3"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5. Vir podatkov</w:t>
            </w:r>
          </w:p>
          <w:p w14:paraId="2F8F180A"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Kdo je odgovoren za zbiranje podatkov (upravičenec, skrbnik pogodbe, druga oseba na posredniškem/izvajalskem telesu, SURS, AJPES, intervju, anketa med uporabniki, itd.</w:t>
            </w:r>
            <w:r>
              <w:rPr>
                <w:rFonts w:ascii="Arial" w:hAnsi="Arial" w:cs="Arial"/>
                <w:iCs/>
                <w:sz w:val="18"/>
                <w:szCs w:val="18"/>
                <w:lang w:eastAsia="zh-CN"/>
              </w:rPr>
              <w:t>)</w:t>
            </w:r>
          </w:p>
        </w:tc>
        <w:tc>
          <w:tcPr>
            <w:tcW w:w="7464" w:type="dxa"/>
            <w:gridSpan w:val="7"/>
            <w:shd w:val="clear" w:color="auto" w:fill="auto"/>
          </w:tcPr>
          <w:p w14:paraId="1F9A0B68" w14:textId="60A8259C"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Upravičenec, M</w:t>
            </w:r>
            <w:r w:rsidR="00395719">
              <w:rPr>
                <w:rFonts w:ascii="Arial" w:hAnsi="Arial" w:cs="Arial"/>
                <w:iCs/>
                <w:sz w:val="18"/>
                <w:szCs w:val="18"/>
                <w:lang w:eastAsia="zh-CN"/>
              </w:rPr>
              <w:t>Z</w:t>
            </w:r>
          </w:p>
        </w:tc>
      </w:tr>
      <w:tr w:rsidR="00965930" w:rsidRPr="00C03FD2" w14:paraId="14E01C99" w14:textId="77777777" w:rsidTr="000D69F4">
        <w:trPr>
          <w:trHeight w:val="265"/>
        </w:trPr>
        <w:tc>
          <w:tcPr>
            <w:tcW w:w="2317" w:type="dxa"/>
            <w:shd w:val="clear" w:color="auto" w:fill="auto"/>
            <w:hideMark/>
          </w:tcPr>
          <w:p w14:paraId="66B218B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6. Merska enota</w:t>
            </w:r>
          </w:p>
        </w:tc>
        <w:tc>
          <w:tcPr>
            <w:tcW w:w="7464" w:type="dxa"/>
            <w:gridSpan w:val="7"/>
            <w:shd w:val="clear" w:color="auto" w:fill="auto"/>
          </w:tcPr>
          <w:p w14:paraId="596BBA8A"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osebe</w:t>
            </w:r>
          </w:p>
        </w:tc>
      </w:tr>
      <w:tr w:rsidR="00745220" w:rsidRPr="00C03FD2" w14:paraId="7C4ACA2D" w14:textId="77777777" w:rsidTr="000D69F4">
        <w:trPr>
          <w:trHeight w:val="265"/>
        </w:trPr>
        <w:tc>
          <w:tcPr>
            <w:tcW w:w="2317" w:type="dxa"/>
            <w:vMerge w:val="restart"/>
            <w:shd w:val="clear" w:color="auto" w:fill="auto"/>
          </w:tcPr>
          <w:p w14:paraId="6E9AD891" w14:textId="18B8CD0F" w:rsidR="00745220" w:rsidRPr="00C03FD2" w:rsidRDefault="00745220" w:rsidP="00CC24F1">
            <w:pPr>
              <w:suppressAutoHyphens/>
              <w:jc w:val="both"/>
              <w:rPr>
                <w:rFonts w:ascii="Arial" w:hAnsi="Arial" w:cs="Arial"/>
                <w:iCs/>
                <w:sz w:val="18"/>
                <w:szCs w:val="18"/>
                <w:lang w:eastAsia="zh-CN"/>
              </w:rPr>
            </w:pPr>
            <w:bookmarkStart w:id="3" w:name="_Hlk159488466"/>
            <w:r w:rsidRPr="00C03FD2">
              <w:rPr>
                <w:rFonts w:ascii="Arial" w:hAnsi="Arial" w:cs="Arial"/>
                <w:iCs/>
                <w:sz w:val="18"/>
                <w:szCs w:val="18"/>
                <w:lang w:eastAsia="zh-CN"/>
              </w:rPr>
              <w:t>7. Vrednost za kazalnik rezultata</w:t>
            </w:r>
          </w:p>
          <w:p w14:paraId="45731CD9" w14:textId="77777777" w:rsidR="00745220" w:rsidRPr="00C03FD2" w:rsidRDefault="00745220" w:rsidP="00CC24F1">
            <w:pPr>
              <w:suppressAutoHyphens/>
              <w:jc w:val="both"/>
              <w:rPr>
                <w:rFonts w:ascii="Arial" w:hAnsi="Arial" w:cs="Arial"/>
                <w:iCs/>
                <w:sz w:val="18"/>
                <w:szCs w:val="18"/>
                <w:lang w:eastAsia="zh-CN"/>
              </w:rPr>
            </w:pPr>
          </w:p>
          <w:p w14:paraId="6C269981" w14:textId="77777777" w:rsidR="00745220" w:rsidRPr="00C03FD2" w:rsidRDefault="00745220" w:rsidP="00CC24F1">
            <w:pPr>
              <w:suppressAutoHyphens/>
              <w:jc w:val="both"/>
              <w:rPr>
                <w:rFonts w:ascii="Arial" w:hAnsi="Arial" w:cs="Arial"/>
                <w:iCs/>
                <w:sz w:val="18"/>
                <w:szCs w:val="18"/>
                <w:lang w:eastAsia="zh-CN"/>
              </w:rPr>
            </w:pPr>
          </w:p>
        </w:tc>
        <w:tc>
          <w:tcPr>
            <w:tcW w:w="1077" w:type="dxa"/>
            <w:shd w:val="clear" w:color="auto" w:fill="auto"/>
          </w:tcPr>
          <w:p w14:paraId="1FDBE08D" w14:textId="77777777"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Izhodiščno leto</w:t>
            </w:r>
          </w:p>
        </w:tc>
        <w:tc>
          <w:tcPr>
            <w:tcW w:w="1117" w:type="dxa"/>
            <w:shd w:val="clear" w:color="auto" w:fill="auto"/>
          </w:tcPr>
          <w:p w14:paraId="51425045" w14:textId="09202F6D"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Skupna vrednost V EU</w:t>
            </w:r>
          </w:p>
        </w:tc>
        <w:tc>
          <w:tcPr>
            <w:tcW w:w="1017" w:type="dxa"/>
            <w:shd w:val="clear" w:color="auto" w:fill="auto"/>
          </w:tcPr>
          <w:p w14:paraId="7D407B52" w14:textId="0F739741"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Skupna vrednost V SI</w:t>
            </w:r>
          </w:p>
        </w:tc>
        <w:tc>
          <w:tcPr>
            <w:tcW w:w="1117" w:type="dxa"/>
            <w:shd w:val="clear" w:color="auto" w:fill="auto"/>
          </w:tcPr>
          <w:p w14:paraId="780E591B" w14:textId="4C96ADEA"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Skupna vrednost Z EU</w:t>
            </w:r>
          </w:p>
        </w:tc>
        <w:tc>
          <w:tcPr>
            <w:tcW w:w="1117" w:type="dxa"/>
            <w:shd w:val="clear" w:color="auto" w:fill="auto"/>
          </w:tcPr>
          <w:p w14:paraId="597D4C2E" w14:textId="2A338A71"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Skupna vrednost Z SI</w:t>
            </w:r>
          </w:p>
        </w:tc>
        <w:tc>
          <w:tcPr>
            <w:tcW w:w="1147" w:type="dxa"/>
            <w:shd w:val="clear" w:color="auto" w:fill="auto"/>
          </w:tcPr>
          <w:p w14:paraId="36E065CA" w14:textId="44D95D27"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Skupna vrednost ciklov za posamezno leto</w:t>
            </w:r>
          </w:p>
        </w:tc>
        <w:tc>
          <w:tcPr>
            <w:tcW w:w="872" w:type="dxa"/>
            <w:shd w:val="clear" w:color="auto" w:fill="auto"/>
          </w:tcPr>
          <w:p w14:paraId="59ADD17F" w14:textId="2B92CCFB"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Skupna vrednost vseh ciklov</w:t>
            </w:r>
          </w:p>
        </w:tc>
      </w:tr>
      <w:tr w:rsidR="00745220" w:rsidRPr="00C03FD2" w14:paraId="739110D7" w14:textId="77777777" w:rsidTr="000D69F4">
        <w:trPr>
          <w:trHeight w:val="265"/>
        </w:trPr>
        <w:tc>
          <w:tcPr>
            <w:tcW w:w="2317" w:type="dxa"/>
            <w:vMerge/>
            <w:shd w:val="clear" w:color="auto" w:fill="auto"/>
          </w:tcPr>
          <w:p w14:paraId="5C3B26C5" w14:textId="77777777" w:rsidR="00745220" w:rsidRPr="00C03FD2" w:rsidRDefault="00745220" w:rsidP="00CC24F1">
            <w:pPr>
              <w:suppressAutoHyphens/>
              <w:jc w:val="both"/>
              <w:rPr>
                <w:rFonts w:ascii="Arial" w:hAnsi="Arial" w:cs="Arial"/>
                <w:iCs/>
                <w:sz w:val="18"/>
                <w:szCs w:val="18"/>
                <w:lang w:eastAsia="zh-CN"/>
              </w:rPr>
            </w:pPr>
          </w:p>
        </w:tc>
        <w:tc>
          <w:tcPr>
            <w:tcW w:w="1077" w:type="dxa"/>
            <w:shd w:val="clear" w:color="auto" w:fill="auto"/>
          </w:tcPr>
          <w:p w14:paraId="644B284F" w14:textId="2D8E3EA5"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4</w:t>
            </w:r>
          </w:p>
        </w:tc>
        <w:tc>
          <w:tcPr>
            <w:tcW w:w="1117" w:type="dxa"/>
            <w:vMerge w:val="restart"/>
            <w:shd w:val="clear" w:color="auto" w:fill="auto"/>
          </w:tcPr>
          <w:p w14:paraId="32564940" w14:textId="3BEBB6D5"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246.169,40</w:t>
            </w:r>
          </w:p>
        </w:tc>
        <w:tc>
          <w:tcPr>
            <w:tcW w:w="1017" w:type="dxa"/>
            <w:vMerge w:val="restart"/>
            <w:shd w:val="clear" w:color="auto" w:fill="auto"/>
          </w:tcPr>
          <w:p w14:paraId="158B5F2C" w14:textId="605272D6"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43.441,66</w:t>
            </w:r>
          </w:p>
        </w:tc>
        <w:tc>
          <w:tcPr>
            <w:tcW w:w="1117" w:type="dxa"/>
            <w:vMerge w:val="restart"/>
            <w:shd w:val="clear" w:color="auto" w:fill="auto"/>
          </w:tcPr>
          <w:p w14:paraId="57485758" w14:textId="15F46A66"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111.634,96</w:t>
            </w:r>
          </w:p>
        </w:tc>
        <w:tc>
          <w:tcPr>
            <w:tcW w:w="1117" w:type="dxa"/>
            <w:vMerge w:val="restart"/>
            <w:shd w:val="clear" w:color="auto" w:fill="auto"/>
          </w:tcPr>
          <w:p w14:paraId="0D4BB42C" w14:textId="6F8A0D77"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167.452,44</w:t>
            </w:r>
          </w:p>
        </w:tc>
        <w:tc>
          <w:tcPr>
            <w:tcW w:w="1147" w:type="dxa"/>
            <w:shd w:val="clear" w:color="auto" w:fill="auto"/>
          </w:tcPr>
          <w:p w14:paraId="2C4BB05C" w14:textId="3CD841E2" w:rsidR="00745220" w:rsidRPr="00745220" w:rsidRDefault="00C94118" w:rsidP="00CC24F1">
            <w:pPr>
              <w:suppressAutoHyphens/>
              <w:jc w:val="both"/>
              <w:rPr>
                <w:rFonts w:ascii="Arial" w:hAnsi="Arial" w:cs="Arial"/>
                <w:b/>
                <w:bCs/>
                <w:iCs/>
                <w:sz w:val="18"/>
                <w:szCs w:val="18"/>
                <w:lang w:eastAsia="zh-CN"/>
              </w:rPr>
            </w:pPr>
            <w:r w:rsidRPr="00C94118">
              <w:rPr>
                <w:rFonts w:ascii="Arial" w:hAnsi="Arial" w:cs="Arial"/>
                <w:b/>
                <w:bCs/>
                <w:iCs/>
                <w:sz w:val="18"/>
                <w:szCs w:val="18"/>
                <w:lang w:eastAsia="zh-CN"/>
              </w:rPr>
              <w:t>142.174,61</w:t>
            </w:r>
          </w:p>
        </w:tc>
        <w:tc>
          <w:tcPr>
            <w:tcW w:w="872" w:type="dxa"/>
            <w:vMerge w:val="restart"/>
            <w:shd w:val="clear" w:color="auto" w:fill="auto"/>
          </w:tcPr>
          <w:p w14:paraId="3344DAF7" w14:textId="1D2F1D55" w:rsidR="00745220" w:rsidRPr="00745220" w:rsidRDefault="00C94118" w:rsidP="00CC24F1">
            <w:pPr>
              <w:suppressAutoHyphens/>
              <w:jc w:val="both"/>
              <w:rPr>
                <w:rFonts w:ascii="Arial" w:hAnsi="Arial" w:cs="Arial"/>
                <w:b/>
                <w:bCs/>
                <w:iCs/>
                <w:sz w:val="18"/>
                <w:szCs w:val="18"/>
                <w:lang w:eastAsia="zh-CN"/>
              </w:rPr>
            </w:pPr>
            <w:r w:rsidRPr="00C94118">
              <w:rPr>
                <w:rFonts w:ascii="Arial" w:hAnsi="Arial" w:cs="Arial"/>
                <w:b/>
                <w:bCs/>
                <w:iCs/>
                <w:sz w:val="18"/>
                <w:szCs w:val="18"/>
                <w:lang w:eastAsia="zh-CN"/>
              </w:rPr>
              <w:t>568.698,45</w:t>
            </w:r>
          </w:p>
        </w:tc>
      </w:tr>
      <w:tr w:rsidR="00745220" w:rsidRPr="00C03FD2" w14:paraId="23EE8C77" w14:textId="77777777" w:rsidTr="000D69F4">
        <w:trPr>
          <w:trHeight w:val="265"/>
        </w:trPr>
        <w:tc>
          <w:tcPr>
            <w:tcW w:w="2317" w:type="dxa"/>
            <w:vMerge/>
            <w:shd w:val="clear" w:color="auto" w:fill="auto"/>
          </w:tcPr>
          <w:p w14:paraId="26322794" w14:textId="77777777" w:rsidR="00745220" w:rsidRPr="00C03FD2" w:rsidRDefault="00745220" w:rsidP="00CC24F1">
            <w:pPr>
              <w:suppressAutoHyphens/>
              <w:jc w:val="both"/>
              <w:rPr>
                <w:rFonts w:ascii="Arial" w:hAnsi="Arial" w:cs="Arial"/>
                <w:iCs/>
                <w:sz w:val="18"/>
                <w:szCs w:val="18"/>
                <w:lang w:eastAsia="zh-CN"/>
              </w:rPr>
            </w:pPr>
          </w:p>
        </w:tc>
        <w:tc>
          <w:tcPr>
            <w:tcW w:w="1077" w:type="dxa"/>
            <w:shd w:val="clear" w:color="auto" w:fill="auto"/>
          </w:tcPr>
          <w:p w14:paraId="6D250D96" w14:textId="60A68A7B"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2025</w:t>
            </w:r>
          </w:p>
        </w:tc>
        <w:tc>
          <w:tcPr>
            <w:tcW w:w="1117" w:type="dxa"/>
            <w:vMerge/>
            <w:shd w:val="clear" w:color="auto" w:fill="auto"/>
          </w:tcPr>
          <w:p w14:paraId="418735DE" w14:textId="10879951" w:rsidR="00745220" w:rsidRPr="00C03FD2" w:rsidRDefault="00745220" w:rsidP="00CC24F1">
            <w:pPr>
              <w:suppressAutoHyphens/>
              <w:jc w:val="both"/>
              <w:rPr>
                <w:rFonts w:ascii="Arial" w:hAnsi="Arial" w:cs="Arial"/>
                <w:iCs/>
                <w:sz w:val="18"/>
                <w:szCs w:val="18"/>
                <w:lang w:eastAsia="zh-CN"/>
              </w:rPr>
            </w:pPr>
          </w:p>
        </w:tc>
        <w:tc>
          <w:tcPr>
            <w:tcW w:w="1017" w:type="dxa"/>
            <w:vMerge/>
            <w:shd w:val="clear" w:color="auto" w:fill="auto"/>
          </w:tcPr>
          <w:p w14:paraId="0F472E3E" w14:textId="77777777" w:rsidR="00745220" w:rsidRPr="00C03FD2" w:rsidRDefault="00745220" w:rsidP="00CC24F1">
            <w:pPr>
              <w:suppressAutoHyphens/>
              <w:jc w:val="both"/>
              <w:rPr>
                <w:rFonts w:ascii="Arial" w:hAnsi="Arial" w:cs="Arial"/>
                <w:iCs/>
                <w:sz w:val="18"/>
                <w:szCs w:val="18"/>
                <w:lang w:eastAsia="zh-CN"/>
              </w:rPr>
            </w:pPr>
          </w:p>
        </w:tc>
        <w:tc>
          <w:tcPr>
            <w:tcW w:w="1117" w:type="dxa"/>
            <w:vMerge/>
            <w:shd w:val="clear" w:color="auto" w:fill="auto"/>
          </w:tcPr>
          <w:p w14:paraId="301AAD1C" w14:textId="35B22BCD" w:rsidR="00745220" w:rsidRPr="00C03FD2" w:rsidRDefault="00745220" w:rsidP="00CC24F1">
            <w:pPr>
              <w:suppressAutoHyphens/>
              <w:jc w:val="both"/>
              <w:rPr>
                <w:rFonts w:ascii="Arial" w:hAnsi="Arial" w:cs="Arial"/>
                <w:iCs/>
                <w:sz w:val="18"/>
                <w:szCs w:val="18"/>
                <w:lang w:eastAsia="zh-CN"/>
              </w:rPr>
            </w:pPr>
          </w:p>
        </w:tc>
        <w:tc>
          <w:tcPr>
            <w:tcW w:w="1117" w:type="dxa"/>
            <w:vMerge/>
            <w:shd w:val="clear" w:color="auto" w:fill="auto"/>
          </w:tcPr>
          <w:p w14:paraId="0A6FC565" w14:textId="77777777" w:rsidR="00745220" w:rsidRPr="00C03FD2" w:rsidRDefault="00745220" w:rsidP="00CC24F1">
            <w:pPr>
              <w:suppressAutoHyphens/>
              <w:jc w:val="both"/>
              <w:rPr>
                <w:rFonts w:ascii="Arial" w:hAnsi="Arial" w:cs="Arial"/>
                <w:iCs/>
                <w:sz w:val="18"/>
                <w:szCs w:val="18"/>
                <w:lang w:eastAsia="zh-CN"/>
              </w:rPr>
            </w:pPr>
          </w:p>
        </w:tc>
        <w:tc>
          <w:tcPr>
            <w:tcW w:w="1147" w:type="dxa"/>
            <w:shd w:val="clear" w:color="auto" w:fill="auto"/>
          </w:tcPr>
          <w:p w14:paraId="7CF46C55" w14:textId="7B8D5828" w:rsidR="00745220" w:rsidRPr="00745220" w:rsidRDefault="00C94118" w:rsidP="00CC24F1">
            <w:pPr>
              <w:suppressAutoHyphens/>
              <w:jc w:val="both"/>
              <w:rPr>
                <w:rFonts w:ascii="Arial" w:hAnsi="Arial" w:cs="Arial"/>
                <w:b/>
                <w:bCs/>
                <w:iCs/>
                <w:sz w:val="18"/>
                <w:szCs w:val="18"/>
                <w:lang w:eastAsia="zh-CN"/>
              </w:rPr>
            </w:pPr>
            <w:r w:rsidRPr="00C94118">
              <w:rPr>
                <w:rFonts w:ascii="Arial" w:hAnsi="Arial" w:cs="Arial"/>
                <w:b/>
                <w:bCs/>
                <w:iCs/>
                <w:sz w:val="18"/>
                <w:szCs w:val="18"/>
                <w:lang w:eastAsia="zh-CN"/>
              </w:rPr>
              <w:t>284.349,22</w:t>
            </w:r>
          </w:p>
        </w:tc>
        <w:tc>
          <w:tcPr>
            <w:tcW w:w="872" w:type="dxa"/>
            <w:vMerge/>
            <w:shd w:val="clear" w:color="auto" w:fill="auto"/>
          </w:tcPr>
          <w:p w14:paraId="7B2A6195" w14:textId="25FB2DD9" w:rsidR="00745220" w:rsidRPr="00C03FD2" w:rsidRDefault="00745220" w:rsidP="00CC24F1">
            <w:pPr>
              <w:suppressAutoHyphens/>
              <w:jc w:val="both"/>
              <w:rPr>
                <w:rFonts w:ascii="Arial" w:hAnsi="Arial" w:cs="Arial"/>
                <w:iCs/>
                <w:sz w:val="18"/>
                <w:szCs w:val="18"/>
                <w:lang w:eastAsia="zh-CN"/>
              </w:rPr>
            </w:pPr>
          </w:p>
        </w:tc>
      </w:tr>
      <w:tr w:rsidR="00745220" w:rsidRPr="00C03FD2" w14:paraId="5ACF3DAD" w14:textId="77777777" w:rsidTr="000D69F4">
        <w:trPr>
          <w:trHeight w:val="265"/>
        </w:trPr>
        <w:tc>
          <w:tcPr>
            <w:tcW w:w="2317" w:type="dxa"/>
            <w:vMerge/>
            <w:shd w:val="clear" w:color="auto" w:fill="auto"/>
          </w:tcPr>
          <w:p w14:paraId="17419410" w14:textId="77777777" w:rsidR="00745220" w:rsidRPr="00C03FD2" w:rsidRDefault="00745220" w:rsidP="00CC24F1">
            <w:pPr>
              <w:suppressAutoHyphens/>
              <w:jc w:val="both"/>
              <w:rPr>
                <w:rFonts w:ascii="Arial" w:hAnsi="Arial" w:cs="Arial"/>
                <w:iCs/>
                <w:sz w:val="18"/>
                <w:szCs w:val="18"/>
                <w:lang w:eastAsia="zh-CN"/>
              </w:rPr>
            </w:pPr>
          </w:p>
        </w:tc>
        <w:tc>
          <w:tcPr>
            <w:tcW w:w="1077" w:type="dxa"/>
            <w:shd w:val="clear" w:color="auto" w:fill="auto"/>
          </w:tcPr>
          <w:p w14:paraId="49D9E8FA" w14:textId="2A0DFA48"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2026</w:t>
            </w:r>
          </w:p>
        </w:tc>
        <w:tc>
          <w:tcPr>
            <w:tcW w:w="1117" w:type="dxa"/>
            <w:vMerge/>
            <w:shd w:val="clear" w:color="auto" w:fill="auto"/>
          </w:tcPr>
          <w:p w14:paraId="47CB9D61" w14:textId="24E6EC8C" w:rsidR="00745220" w:rsidRPr="00C03FD2" w:rsidRDefault="00745220" w:rsidP="00CC24F1">
            <w:pPr>
              <w:suppressAutoHyphens/>
              <w:jc w:val="both"/>
              <w:rPr>
                <w:rFonts w:ascii="Arial" w:hAnsi="Arial" w:cs="Arial"/>
                <w:iCs/>
                <w:sz w:val="18"/>
                <w:szCs w:val="18"/>
                <w:lang w:eastAsia="zh-CN"/>
              </w:rPr>
            </w:pPr>
          </w:p>
        </w:tc>
        <w:tc>
          <w:tcPr>
            <w:tcW w:w="1017" w:type="dxa"/>
            <w:vMerge/>
            <w:shd w:val="clear" w:color="auto" w:fill="auto"/>
          </w:tcPr>
          <w:p w14:paraId="5A52CDE8" w14:textId="77777777" w:rsidR="00745220" w:rsidRPr="00C03FD2" w:rsidRDefault="00745220" w:rsidP="00CC24F1">
            <w:pPr>
              <w:suppressAutoHyphens/>
              <w:jc w:val="both"/>
              <w:rPr>
                <w:rFonts w:ascii="Arial" w:hAnsi="Arial" w:cs="Arial"/>
                <w:iCs/>
                <w:sz w:val="18"/>
                <w:szCs w:val="18"/>
                <w:lang w:eastAsia="zh-CN"/>
              </w:rPr>
            </w:pPr>
          </w:p>
        </w:tc>
        <w:tc>
          <w:tcPr>
            <w:tcW w:w="1117" w:type="dxa"/>
            <w:vMerge/>
            <w:shd w:val="clear" w:color="auto" w:fill="auto"/>
          </w:tcPr>
          <w:p w14:paraId="60A08140" w14:textId="59A998AB" w:rsidR="00745220" w:rsidRPr="00C03FD2" w:rsidRDefault="00745220" w:rsidP="00CC24F1">
            <w:pPr>
              <w:suppressAutoHyphens/>
              <w:jc w:val="both"/>
              <w:rPr>
                <w:rFonts w:ascii="Arial" w:hAnsi="Arial" w:cs="Arial"/>
                <w:iCs/>
                <w:sz w:val="18"/>
                <w:szCs w:val="18"/>
                <w:lang w:eastAsia="zh-CN"/>
              </w:rPr>
            </w:pPr>
          </w:p>
        </w:tc>
        <w:tc>
          <w:tcPr>
            <w:tcW w:w="1117" w:type="dxa"/>
            <w:vMerge/>
            <w:shd w:val="clear" w:color="auto" w:fill="auto"/>
          </w:tcPr>
          <w:p w14:paraId="088B67F1" w14:textId="77777777" w:rsidR="00745220" w:rsidRPr="00C03FD2" w:rsidRDefault="00745220" w:rsidP="00CC24F1">
            <w:pPr>
              <w:suppressAutoHyphens/>
              <w:jc w:val="both"/>
              <w:rPr>
                <w:rFonts w:ascii="Arial" w:hAnsi="Arial" w:cs="Arial"/>
                <w:iCs/>
                <w:sz w:val="18"/>
                <w:szCs w:val="18"/>
                <w:lang w:eastAsia="zh-CN"/>
              </w:rPr>
            </w:pPr>
          </w:p>
        </w:tc>
        <w:tc>
          <w:tcPr>
            <w:tcW w:w="1147" w:type="dxa"/>
            <w:shd w:val="clear" w:color="auto" w:fill="auto"/>
          </w:tcPr>
          <w:p w14:paraId="671F4D68" w14:textId="73AD47FD" w:rsidR="00745220" w:rsidRPr="00745220" w:rsidRDefault="00C94118" w:rsidP="00CC24F1">
            <w:pPr>
              <w:suppressAutoHyphens/>
              <w:jc w:val="both"/>
              <w:rPr>
                <w:rFonts w:ascii="Arial" w:hAnsi="Arial" w:cs="Arial"/>
                <w:b/>
                <w:bCs/>
                <w:iCs/>
                <w:sz w:val="18"/>
                <w:szCs w:val="18"/>
                <w:lang w:eastAsia="zh-CN"/>
              </w:rPr>
            </w:pPr>
            <w:r w:rsidRPr="00C94118">
              <w:rPr>
                <w:rFonts w:ascii="Arial" w:hAnsi="Arial" w:cs="Arial"/>
                <w:b/>
                <w:bCs/>
                <w:iCs/>
                <w:sz w:val="18"/>
                <w:szCs w:val="18"/>
                <w:lang w:eastAsia="zh-CN"/>
              </w:rPr>
              <w:t>142.174,61</w:t>
            </w:r>
          </w:p>
        </w:tc>
        <w:tc>
          <w:tcPr>
            <w:tcW w:w="872" w:type="dxa"/>
            <w:vMerge/>
            <w:shd w:val="clear" w:color="auto" w:fill="auto"/>
          </w:tcPr>
          <w:p w14:paraId="696174EB" w14:textId="187F244E" w:rsidR="00745220" w:rsidRPr="00C03FD2" w:rsidRDefault="00745220" w:rsidP="00CC24F1">
            <w:pPr>
              <w:suppressAutoHyphens/>
              <w:jc w:val="both"/>
              <w:rPr>
                <w:rFonts w:ascii="Arial" w:hAnsi="Arial" w:cs="Arial"/>
                <w:iCs/>
                <w:sz w:val="18"/>
                <w:szCs w:val="18"/>
                <w:lang w:eastAsia="zh-CN"/>
              </w:rPr>
            </w:pPr>
          </w:p>
        </w:tc>
      </w:tr>
      <w:bookmarkEnd w:id="3"/>
      <w:tr w:rsidR="00745220" w:rsidRPr="00C03FD2" w14:paraId="500C9B47" w14:textId="77777777" w:rsidTr="000D69F4">
        <w:trPr>
          <w:trHeight w:val="195"/>
        </w:trPr>
        <w:tc>
          <w:tcPr>
            <w:tcW w:w="2317" w:type="dxa"/>
            <w:vMerge w:val="restart"/>
            <w:shd w:val="clear" w:color="auto" w:fill="auto"/>
          </w:tcPr>
          <w:p w14:paraId="1F400384" w14:textId="77777777"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8. Finančna vrednost </w:t>
            </w:r>
          </w:p>
          <w:p w14:paraId="75D398B8" w14:textId="77777777"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Vrednost EU in slovenskega dela v EUR</w:t>
            </w:r>
          </w:p>
        </w:tc>
        <w:tc>
          <w:tcPr>
            <w:tcW w:w="1077" w:type="dxa"/>
            <w:vMerge w:val="restart"/>
            <w:shd w:val="clear" w:color="auto" w:fill="auto"/>
          </w:tcPr>
          <w:p w14:paraId="5196CCC5" w14:textId="18C0F3C7"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2024 </w:t>
            </w:r>
          </w:p>
        </w:tc>
        <w:tc>
          <w:tcPr>
            <w:tcW w:w="3251" w:type="dxa"/>
            <w:gridSpan w:val="3"/>
            <w:shd w:val="clear" w:color="auto" w:fill="auto"/>
          </w:tcPr>
          <w:p w14:paraId="213A7A35" w14:textId="1B314BB5"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136" w:type="dxa"/>
            <w:gridSpan w:val="3"/>
            <w:shd w:val="clear" w:color="auto" w:fill="auto"/>
          </w:tcPr>
          <w:p w14:paraId="5B6F1885" w14:textId="749156EE"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61.542,35</w:t>
            </w:r>
          </w:p>
        </w:tc>
      </w:tr>
      <w:tr w:rsidR="00745220" w:rsidRPr="00C03FD2" w14:paraId="4AD6962B" w14:textId="77777777" w:rsidTr="000D69F4">
        <w:trPr>
          <w:trHeight w:val="195"/>
        </w:trPr>
        <w:tc>
          <w:tcPr>
            <w:tcW w:w="2317" w:type="dxa"/>
            <w:vMerge/>
            <w:shd w:val="clear" w:color="auto" w:fill="auto"/>
          </w:tcPr>
          <w:p w14:paraId="0EADE164"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3FAC70B3" w14:textId="77777777" w:rsidR="00745220" w:rsidRPr="00C03FD2"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556C65C8" w14:textId="69342D59"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V</w:t>
            </w:r>
            <w:r>
              <w:rPr>
                <w:rFonts w:ascii="Arial" w:hAnsi="Arial" w:cs="Arial"/>
                <w:iCs/>
                <w:sz w:val="18"/>
                <w:szCs w:val="18"/>
                <w:lang w:eastAsia="zh-CN"/>
              </w:rPr>
              <w:t xml:space="preserve"> SI</w:t>
            </w:r>
          </w:p>
        </w:tc>
        <w:tc>
          <w:tcPr>
            <w:tcW w:w="3136" w:type="dxa"/>
            <w:gridSpan w:val="3"/>
            <w:shd w:val="clear" w:color="auto" w:fill="auto"/>
          </w:tcPr>
          <w:p w14:paraId="3A8992EE" w14:textId="0682460C"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10.860,41</w:t>
            </w:r>
          </w:p>
        </w:tc>
      </w:tr>
      <w:tr w:rsidR="00745220" w:rsidRPr="00C03FD2" w14:paraId="2DC5AF78" w14:textId="77777777" w:rsidTr="000D69F4">
        <w:trPr>
          <w:trHeight w:val="195"/>
        </w:trPr>
        <w:tc>
          <w:tcPr>
            <w:tcW w:w="2317" w:type="dxa"/>
            <w:vMerge/>
            <w:shd w:val="clear" w:color="auto" w:fill="auto"/>
          </w:tcPr>
          <w:p w14:paraId="254BC411"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66AD8ED9" w14:textId="77777777" w:rsidR="00745220" w:rsidRPr="00C03FD2"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2B4E1065" w14:textId="76046D1D"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Z</w:t>
            </w:r>
            <w:r>
              <w:rPr>
                <w:rFonts w:ascii="Arial" w:hAnsi="Arial" w:cs="Arial"/>
                <w:iCs/>
                <w:sz w:val="18"/>
                <w:szCs w:val="18"/>
                <w:lang w:eastAsia="zh-CN"/>
              </w:rPr>
              <w:t xml:space="preserve"> EU</w:t>
            </w:r>
          </w:p>
        </w:tc>
        <w:tc>
          <w:tcPr>
            <w:tcW w:w="3136" w:type="dxa"/>
            <w:gridSpan w:val="3"/>
            <w:shd w:val="clear" w:color="auto" w:fill="auto"/>
          </w:tcPr>
          <w:p w14:paraId="6CD7CC4E" w14:textId="3622D1BD"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27.908,74</w:t>
            </w:r>
          </w:p>
        </w:tc>
      </w:tr>
      <w:tr w:rsidR="00745220" w:rsidRPr="00C03FD2" w14:paraId="448E46B5" w14:textId="77777777" w:rsidTr="000D69F4">
        <w:trPr>
          <w:trHeight w:val="195"/>
        </w:trPr>
        <w:tc>
          <w:tcPr>
            <w:tcW w:w="2317" w:type="dxa"/>
            <w:vMerge/>
            <w:shd w:val="clear" w:color="auto" w:fill="auto"/>
          </w:tcPr>
          <w:p w14:paraId="0CD3E16A"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377B5D66" w14:textId="77777777" w:rsidR="00745220" w:rsidRPr="00C03FD2"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12BAED3F" w14:textId="112CA464"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136" w:type="dxa"/>
            <w:gridSpan w:val="3"/>
            <w:shd w:val="clear" w:color="auto" w:fill="auto"/>
          </w:tcPr>
          <w:p w14:paraId="282C3F8A" w14:textId="3F4661E6" w:rsidR="00745220" w:rsidRPr="00F91184"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41.863,11</w:t>
            </w:r>
          </w:p>
        </w:tc>
      </w:tr>
      <w:tr w:rsidR="00745220" w:rsidRPr="00C03FD2" w14:paraId="5B21F84D" w14:textId="77777777" w:rsidTr="000D69F4">
        <w:trPr>
          <w:trHeight w:val="223"/>
        </w:trPr>
        <w:tc>
          <w:tcPr>
            <w:tcW w:w="2317" w:type="dxa"/>
            <w:vMerge/>
            <w:shd w:val="clear" w:color="auto" w:fill="auto"/>
          </w:tcPr>
          <w:p w14:paraId="13E94E10" w14:textId="77777777" w:rsidR="00745220" w:rsidRPr="00C03FD2" w:rsidRDefault="00745220" w:rsidP="00CC24F1">
            <w:pPr>
              <w:suppressAutoHyphens/>
              <w:jc w:val="both"/>
              <w:rPr>
                <w:rFonts w:ascii="Arial" w:hAnsi="Arial" w:cs="Arial"/>
                <w:iCs/>
                <w:sz w:val="18"/>
                <w:szCs w:val="18"/>
                <w:lang w:eastAsia="zh-CN"/>
              </w:rPr>
            </w:pPr>
          </w:p>
        </w:tc>
        <w:tc>
          <w:tcPr>
            <w:tcW w:w="1077" w:type="dxa"/>
            <w:vMerge w:val="restart"/>
            <w:shd w:val="clear" w:color="auto" w:fill="auto"/>
          </w:tcPr>
          <w:p w14:paraId="78646984" w14:textId="7B291D40"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5</w:t>
            </w:r>
          </w:p>
        </w:tc>
        <w:tc>
          <w:tcPr>
            <w:tcW w:w="3251" w:type="dxa"/>
            <w:gridSpan w:val="3"/>
            <w:shd w:val="clear" w:color="auto" w:fill="auto"/>
          </w:tcPr>
          <w:p w14:paraId="3F30E583" w14:textId="65AFB098"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136" w:type="dxa"/>
            <w:gridSpan w:val="3"/>
            <w:shd w:val="clear" w:color="auto" w:fill="auto"/>
          </w:tcPr>
          <w:p w14:paraId="51E1B678" w14:textId="06C9CE1D"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123.084,70</w:t>
            </w:r>
          </w:p>
        </w:tc>
      </w:tr>
      <w:tr w:rsidR="00745220" w:rsidRPr="00C03FD2" w14:paraId="30F8D3B0" w14:textId="77777777" w:rsidTr="000D69F4">
        <w:trPr>
          <w:trHeight w:val="127"/>
        </w:trPr>
        <w:tc>
          <w:tcPr>
            <w:tcW w:w="2317" w:type="dxa"/>
            <w:vMerge/>
            <w:shd w:val="clear" w:color="auto" w:fill="auto"/>
          </w:tcPr>
          <w:p w14:paraId="413F9297"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3EE784EB" w14:textId="77777777" w:rsidR="00745220" w:rsidRPr="00C03FD2"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52E311F2" w14:textId="354E65B1"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V</w:t>
            </w:r>
            <w:r>
              <w:rPr>
                <w:rFonts w:ascii="Arial" w:hAnsi="Arial" w:cs="Arial"/>
                <w:iCs/>
                <w:sz w:val="18"/>
                <w:szCs w:val="18"/>
                <w:lang w:eastAsia="zh-CN"/>
              </w:rPr>
              <w:t xml:space="preserve"> SI</w:t>
            </w:r>
          </w:p>
        </w:tc>
        <w:tc>
          <w:tcPr>
            <w:tcW w:w="3136" w:type="dxa"/>
            <w:gridSpan w:val="3"/>
            <w:shd w:val="clear" w:color="auto" w:fill="auto"/>
            <w:vAlign w:val="bottom"/>
          </w:tcPr>
          <w:p w14:paraId="6C34644D" w14:textId="2E58DEF9"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21.720,83</w:t>
            </w:r>
          </w:p>
        </w:tc>
      </w:tr>
      <w:tr w:rsidR="00745220" w:rsidRPr="00C03FD2" w14:paraId="5534F122" w14:textId="77777777" w:rsidTr="000D69F4">
        <w:trPr>
          <w:trHeight w:val="187"/>
        </w:trPr>
        <w:tc>
          <w:tcPr>
            <w:tcW w:w="2317" w:type="dxa"/>
            <w:vMerge/>
            <w:shd w:val="clear" w:color="auto" w:fill="auto"/>
          </w:tcPr>
          <w:p w14:paraId="54DDC833"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5B562E62" w14:textId="77777777" w:rsidR="00745220" w:rsidRPr="00C03FD2"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143E47FC" w14:textId="1BBC721E" w:rsidR="00745220" w:rsidRPr="00C03FD2" w:rsidRDefault="0074522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Z</w:t>
            </w:r>
            <w:r>
              <w:rPr>
                <w:rFonts w:ascii="Arial" w:hAnsi="Arial" w:cs="Arial"/>
                <w:iCs/>
                <w:sz w:val="18"/>
                <w:szCs w:val="18"/>
                <w:lang w:eastAsia="zh-CN"/>
              </w:rPr>
              <w:t xml:space="preserve"> EU</w:t>
            </w:r>
          </w:p>
        </w:tc>
        <w:tc>
          <w:tcPr>
            <w:tcW w:w="3136" w:type="dxa"/>
            <w:gridSpan w:val="3"/>
            <w:shd w:val="clear" w:color="auto" w:fill="auto"/>
            <w:vAlign w:val="bottom"/>
          </w:tcPr>
          <w:p w14:paraId="345C54FB" w14:textId="4108F721"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55.817,48</w:t>
            </w:r>
          </w:p>
        </w:tc>
      </w:tr>
      <w:tr w:rsidR="00745220" w:rsidRPr="00C03FD2" w14:paraId="05EB9AEF" w14:textId="77777777" w:rsidTr="000D69F4">
        <w:trPr>
          <w:trHeight w:val="104"/>
        </w:trPr>
        <w:tc>
          <w:tcPr>
            <w:tcW w:w="2317" w:type="dxa"/>
            <w:vMerge/>
            <w:shd w:val="clear" w:color="auto" w:fill="auto"/>
          </w:tcPr>
          <w:p w14:paraId="6A0FCBC2"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7B08C876" w14:textId="77777777" w:rsidR="00745220" w:rsidRPr="00C03FD2"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1AFF41CB" w14:textId="3F89C034"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136" w:type="dxa"/>
            <w:gridSpan w:val="3"/>
            <w:shd w:val="clear" w:color="auto" w:fill="auto"/>
            <w:vAlign w:val="bottom"/>
          </w:tcPr>
          <w:p w14:paraId="4D8BC404" w14:textId="76008AFF"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83.726,22</w:t>
            </w:r>
          </w:p>
        </w:tc>
      </w:tr>
      <w:tr w:rsidR="00745220" w:rsidRPr="00C03FD2" w14:paraId="4A9786C2" w14:textId="77777777" w:rsidTr="000D69F4">
        <w:trPr>
          <w:trHeight w:val="137"/>
        </w:trPr>
        <w:tc>
          <w:tcPr>
            <w:tcW w:w="2317" w:type="dxa"/>
            <w:vMerge/>
            <w:shd w:val="clear" w:color="auto" w:fill="auto"/>
          </w:tcPr>
          <w:p w14:paraId="4973B57B" w14:textId="77777777" w:rsidR="00745220" w:rsidRPr="00C03FD2" w:rsidRDefault="00745220" w:rsidP="00CC24F1">
            <w:pPr>
              <w:suppressAutoHyphens/>
              <w:jc w:val="both"/>
              <w:rPr>
                <w:rFonts w:ascii="Arial" w:hAnsi="Arial" w:cs="Arial"/>
                <w:iCs/>
                <w:sz w:val="18"/>
                <w:szCs w:val="18"/>
                <w:lang w:eastAsia="zh-CN"/>
              </w:rPr>
            </w:pPr>
          </w:p>
        </w:tc>
        <w:tc>
          <w:tcPr>
            <w:tcW w:w="1077" w:type="dxa"/>
            <w:vMerge w:val="restart"/>
            <w:shd w:val="clear" w:color="auto" w:fill="auto"/>
          </w:tcPr>
          <w:p w14:paraId="770619B4" w14:textId="052F6A9F" w:rsidR="00745220" w:rsidRPr="00C03FD2"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2026</w:t>
            </w:r>
          </w:p>
        </w:tc>
        <w:tc>
          <w:tcPr>
            <w:tcW w:w="3251" w:type="dxa"/>
            <w:gridSpan w:val="3"/>
            <w:shd w:val="clear" w:color="auto" w:fill="auto"/>
          </w:tcPr>
          <w:p w14:paraId="40150F6B" w14:textId="746DEC84" w:rsidR="00745220"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136" w:type="dxa"/>
            <w:gridSpan w:val="3"/>
            <w:shd w:val="clear" w:color="auto" w:fill="auto"/>
            <w:vAlign w:val="bottom"/>
          </w:tcPr>
          <w:p w14:paraId="02FD4D9F" w14:textId="58DDEBED"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61.542,35</w:t>
            </w:r>
          </w:p>
        </w:tc>
      </w:tr>
      <w:tr w:rsidR="00745220" w:rsidRPr="00C03FD2" w14:paraId="1DB80706" w14:textId="77777777" w:rsidTr="000D69F4">
        <w:trPr>
          <w:trHeight w:val="196"/>
        </w:trPr>
        <w:tc>
          <w:tcPr>
            <w:tcW w:w="2317" w:type="dxa"/>
            <w:vMerge/>
            <w:shd w:val="clear" w:color="auto" w:fill="auto"/>
          </w:tcPr>
          <w:p w14:paraId="00480553"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66010257" w14:textId="77777777" w:rsidR="00745220"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4FC39E7F" w14:textId="1A52C5FB" w:rsidR="00745220"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3136" w:type="dxa"/>
            <w:gridSpan w:val="3"/>
            <w:shd w:val="clear" w:color="auto" w:fill="auto"/>
            <w:vAlign w:val="bottom"/>
          </w:tcPr>
          <w:p w14:paraId="1EA43CAA" w14:textId="5F6D2764"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10.860,41</w:t>
            </w:r>
          </w:p>
        </w:tc>
      </w:tr>
      <w:tr w:rsidR="00745220" w:rsidRPr="00C03FD2" w14:paraId="317D9E73" w14:textId="77777777" w:rsidTr="000D69F4">
        <w:trPr>
          <w:trHeight w:val="115"/>
        </w:trPr>
        <w:tc>
          <w:tcPr>
            <w:tcW w:w="2317" w:type="dxa"/>
            <w:vMerge/>
            <w:shd w:val="clear" w:color="auto" w:fill="auto"/>
          </w:tcPr>
          <w:p w14:paraId="27FDD857"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50613B86" w14:textId="77777777" w:rsidR="00745220"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3D356D2E" w14:textId="788F9292" w:rsidR="00745220"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3136" w:type="dxa"/>
            <w:gridSpan w:val="3"/>
            <w:shd w:val="clear" w:color="auto" w:fill="auto"/>
            <w:vAlign w:val="bottom"/>
          </w:tcPr>
          <w:p w14:paraId="45AA4DF6" w14:textId="750F4EDF"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27.908,74</w:t>
            </w:r>
          </w:p>
        </w:tc>
      </w:tr>
      <w:tr w:rsidR="00745220" w:rsidRPr="00C03FD2" w14:paraId="4DAA69C1" w14:textId="77777777" w:rsidTr="000D69F4">
        <w:trPr>
          <w:trHeight w:val="175"/>
        </w:trPr>
        <w:tc>
          <w:tcPr>
            <w:tcW w:w="2317" w:type="dxa"/>
            <w:vMerge/>
            <w:shd w:val="clear" w:color="auto" w:fill="auto"/>
          </w:tcPr>
          <w:p w14:paraId="2E79113F" w14:textId="77777777" w:rsidR="00745220" w:rsidRPr="00C03FD2" w:rsidRDefault="00745220" w:rsidP="00CC24F1">
            <w:pPr>
              <w:suppressAutoHyphens/>
              <w:jc w:val="both"/>
              <w:rPr>
                <w:rFonts w:ascii="Arial" w:hAnsi="Arial" w:cs="Arial"/>
                <w:iCs/>
                <w:sz w:val="18"/>
                <w:szCs w:val="18"/>
                <w:lang w:eastAsia="zh-CN"/>
              </w:rPr>
            </w:pPr>
          </w:p>
        </w:tc>
        <w:tc>
          <w:tcPr>
            <w:tcW w:w="1077" w:type="dxa"/>
            <w:vMerge/>
            <w:shd w:val="clear" w:color="auto" w:fill="auto"/>
          </w:tcPr>
          <w:p w14:paraId="759768D0" w14:textId="77777777" w:rsidR="00745220" w:rsidRDefault="00745220" w:rsidP="00CC24F1">
            <w:pPr>
              <w:suppressAutoHyphens/>
              <w:jc w:val="both"/>
              <w:rPr>
                <w:rFonts w:ascii="Arial" w:hAnsi="Arial" w:cs="Arial"/>
                <w:iCs/>
                <w:sz w:val="18"/>
                <w:szCs w:val="18"/>
                <w:lang w:eastAsia="zh-CN"/>
              </w:rPr>
            </w:pPr>
          </w:p>
        </w:tc>
        <w:tc>
          <w:tcPr>
            <w:tcW w:w="3251" w:type="dxa"/>
            <w:gridSpan w:val="3"/>
            <w:shd w:val="clear" w:color="auto" w:fill="auto"/>
          </w:tcPr>
          <w:p w14:paraId="4C9CE5FA" w14:textId="2D8F7836" w:rsidR="00745220" w:rsidRDefault="00745220" w:rsidP="00CC24F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136" w:type="dxa"/>
            <w:gridSpan w:val="3"/>
            <w:shd w:val="clear" w:color="auto" w:fill="auto"/>
            <w:vAlign w:val="bottom"/>
          </w:tcPr>
          <w:p w14:paraId="3A2F8FBF" w14:textId="37768BF4" w:rsidR="00745220" w:rsidRPr="00C03FD2" w:rsidRDefault="00C94118" w:rsidP="00CC24F1">
            <w:pPr>
              <w:suppressAutoHyphens/>
              <w:jc w:val="both"/>
              <w:rPr>
                <w:rFonts w:ascii="Arial" w:hAnsi="Arial" w:cs="Arial"/>
                <w:iCs/>
                <w:sz w:val="18"/>
                <w:szCs w:val="18"/>
                <w:lang w:eastAsia="zh-CN"/>
              </w:rPr>
            </w:pPr>
            <w:r w:rsidRPr="00C94118">
              <w:rPr>
                <w:rFonts w:ascii="Arial" w:hAnsi="Arial" w:cs="Arial"/>
                <w:iCs/>
                <w:sz w:val="18"/>
                <w:szCs w:val="18"/>
                <w:lang w:eastAsia="zh-CN"/>
              </w:rPr>
              <w:t>41.863,11</w:t>
            </w:r>
          </w:p>
        </w:tc>
      </w:tr>
      <w:tr w:rsidR="00965930" w:rsidRPr="00C03FD2" w14:paraId="64EC7904" w14:textId="77777777" w:rsidTr="000D69F4">
        <w:trPr>
          <w:trHeight w:val="263"/>
        </w:trPr>
        <w:tc>
          <w:tcPr>
            <w:tcW w:w="9781" w:type="dxa"/>
            <w:gridSpan w:val="8"/>
            <w:shd w:val="clear" w:color="auto" w:fill="D9D9D9"/>
          </w:tcPr>
          <w:p w14:paraId="6B1377EC"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PODATKI ZA OKVIR SMOTRNOSTI</w:t>
            </w:r>
          </w:p>
        </w:tc>
      </w:tr>
      <w:tr w:rsidR="00965930" w:rsidRPr="00C03FD2" w14:paraId="13610503" w14:textId="77777777" w:rsidTr="000D69F4">
        <w:trPr>
          <w:trHeight w:val="1686"/>
        </w:trPr>
        <w:tc>
          <w:tcPr>
            <w:tcW w:w="2317" w:type="dxa"/>
            <w:shd w:val="clear" w:color="auto" w:fill="auto"/>
          </w:tcPr>
          <w:p w14:paraId="5EEB7807"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Metoda izračuna:</w:t>
            </w:r>
          </w:p>
          <w:p w14:paraId="0A687BC3" w14:textId="77777777" w:rsidR="00965930" w:rsidRPr="00C03FD2" w:rsidRDefault="00965930" w:rsidP="00CC24F1">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a) Podatki ali ugotovitve, uporabljene za oceno vrednosti mejnikov, izhodiščnih  in ciljnih vrednosti</w:t>
            </w:r>
          </w:p>
          <w:p w14:paraId="6560ABCC" w14:textId="77777777" w:rsidR="00965930" w:rsidRPr="00C03FD2" w:rsidRDefault="00965930" w:rsidP="00CC24F1">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b) Metoda izračuna ciljne vrednosti, na primer podatke o stroških na enoto, referenčnih vrednostih, standardni ali pretekli stopnji izvajanja, strokovnem svetovanju in zaključkih preteklih vrednotenj</w:t>
            </w:r>
          </w:p>
          <w:p w14:paraId="48ABA7A5" w14:textId="77777777" w:rsidR="00965930" w:rsidRPr="00C03FD2" w:rsidRDefault="00965930" w:rsidP="00CC24F1">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lastRenderedPageBreak/>
              <w:t>c) Ocena izvedljivosti glede na kategorije regije</w:t>
            </w:r>
          </w:p>
        </w:tc>
        <w:tc>
          <w:tcPr>
            <w:tcW w:w="7464" w:type="dxa"/>
            <w:gridSpan w:val="7"/>
            <w:shd w:val="clear" w:color="auto" w:fill="auto"/>
          </w:tcPr>
          <w:p w14:paraId="7C4B4C6A" w14:textId="77777777" w:rsidR="00965930" w:rsidRDefault="00965930" w:rsidP="007A52D5">
            <w:pPr>
              <w:suppressAutoHyphens/>
              <w:jc w:val="both"/>
              <w:rPr>
                <w:rFonts w:ascii="Arial" w:hAnsi="Arial" w:cs="Arial"/>
                <w:sz w:val="18"/>
                <w:lang w:eastAsia="zh-CN"/>
              </w:rPr>
            </w:pPr>
            <w:r w:rsidRPr="00C03FD2">
              <w:rPr>
                <w:rFonts w:ascii="Arial" w:hAnsi="Arial" w:cs="Arial"/>
                <w:sz w:val="18"/>
                <w:lang w:eastAsia="zh-CN"/>
              </w:rPr>
              <w:lastRenderedPageBreak/>
              <w:t>a) in b)</w:t>
            </w:r>
          </w:p>
          <w:p w14:paraId="74673699" w14:textId="5A898EE3" w:rsidR="00745220" w:rsidRDefault="00745220" w:rsidP="007A52D5">
            <w:pPr>
              <w:suppressAutoHyphens/>
              <w:jc w:val="both"/>
              <w:rPr>
                <w:rFonts w:ascii="Arial" w:hAnsi="Arial" w:cs="Arial"/>
                <w:sz w:val="18"/>
                <w:lang w:eastAsia="zh-CN"/>
              </w:rPr>
            </w:pPr>
            <w:r>
              <w:rPr>
                <w:rFonts w:ascii="Arial" w:hAnsi="Arial" w:cs="Arial"/>
                <w:sz w:val="18"/>
                <w:lang w:eastAsia="zh-CN"/>
              </w:rPr>
              <w:t xml:space="preserve">V ukrepu Bolničar – negovalec 2024-2026 mora prijavitelj izvesti </w:t>
            </w:r>
            <w:r w:rsidRPr="007D693E">
              <w:rPr>
                <w:rFonts w:ascii="Arial" w:hAnsi="Arial" w:cs="Arial"/>
                <w:sz w:val="18"/>
                <w:lang w:eastAsia="zh-CN"/>
              </w:rPr>
              <w:t>štiri cikle teoretičnega dela usposabljanja. Prvi cikel se začne 1. 9. 2024, drugi 1. 3. 2025, tretji 1. 9. 2025 in četrti 1. 3. 2026. Posamezni cikel traja dva meseca in vključuje teoretično usposabljanje udeležencev programa pripravništva za poklic »bolničar – negovalec« v obsegu 320 šolskih ur.</w:t>
            </w:r>
            <w:r>
              <w:rPr>
                <w:rFonts w:ascii="Arial" w:hAnsi="Arial" w:cs="Arial"/>
                <w:sz w:val="18"/>
                <w:lang w:eastAsia="zh-CN"/>
              </w:rPr>
              <w:t xml:space="preserve"> </w:t>
            </w:r>
            <w:r w:rsidRPr="0011754E">
              <w:rPr>
                <w:rFonts w:ascii="Arial" w:hAnsi="Arial" w:cs="Arial"/>
                <w:sz w:val="18"/>
                <w:lang w:eastAsia="zh-CN"/>
              </w:rPr>
              <w:t>V izvedbo teoretičnega dela pripravništva je lahko vključenih najmanj 12 in največ 26 udeležencev.</w:t>
            </w:r>
          </w:p>
          <w:p w14:paraId="36A68D35" w14:textId="77777777" w:rsidR="00745220" w:rsidRDefault="00745220" w:rsidP="00745220">
            <w:pPr>
              <w:suppressAutoHyphens/>
              <w:ind w:left="360"/>
              <w:jc w:val="both"/>
              <w:rPr>
                <w:rFonts w:ascii="Arial" w:hAnsi="Arial" w:cs="Arial"/>
                <w:sz w:val="18"/>
                <w:lang w:eastAsia="zh-CN"/>
              </w:rPr>
            </w:pPr>
          </w:p>
          <w:p w14:paraId="3CA4FE37" w14:textId="77777777" w:rsidR="00B87F99" w:rsidRPr="00B87F99" w:rsidRDefault="00B87F99" w:rsidP="00B87F99">
            <w:pPr>
              <w:suppressAutoHyphens/>
              <w:jc w:val="both"/>
              <w:rPr>
                <w:rFonts w:ascii="Arial" w:hAnsi="Arial" w:cs="Arial"/>
                <w:sz w:val="18"/>
                <w:lang w:eastAsia="zh-CN"/>
              </w:rPr>
            </w:pPr>
            <w:r w:rsidRPr="00B87F99">
              <w:rPr>
                <w:rFonts w:ascii="Arial" w:hAnsi="Arial" w:cs="Arial"/>
                <w:sz w:val="18"/>
                <w:lang w:eastAsia="zh-CN"/>
              </w:rPr>
              <w:t>Izračun temelji na Pravilniku o standardih in normativih za financiranje in izvajanje programov in dejavnosti za odrasle (Uradni list RS, št. 10/23; v nadaljnjem besedilu: Pravilnik). Posamezniku, ki izvaja program, se kot obračunski element določi 42. plačni razred , pri čemer se skladno s Pravilnikom za osnovo upošteva 700 ur neposrednega organiziranega izobraževalnega dela na letni ravni. Osnovna plača 42. plačnega razreda znaša 2.297,79 EUR po plačni lestvici, ki se uporablja od 1.4.2023 dalje (Uradni list RS, št. 139/22) oziroma 3.067,89 EUR bruto z vključenimi 15 odstotki stroškov iz dela (prehrana, prevoz, regres, KAD).</w:t>
            </w:r>
          </w:p>
          <w:p w14:paraId="20B966E3" w14:textId="77777777" w:rsidR="00B87F99" w:rsidRPr="00B87F99" w:rsidRDefault="00B87F99" w:rsidP="00B87F99">
            <w:pPr>
              <w:suppressAutoHyphens/>
              <w:jc w:val="both"/>
              <w:rPr>
                <w:rFonts w:ascii="Arial" w:hAnsi="Arial" w:cs="Arial"/>
                <w:sz w:val="18"/>
                <w:lang w:eastAsia="zh-CN"/>
              </w:rPr>
            </w:pPr>
          </w:p>
          <w:p w14:paraId="03ACE351" w14:textId="77777777" w:rsidR="00B87F99" w:rsidRPr="00B87F99" w:rsidRDefault="00B87F99" w:rsidP="00B87F99">
            <w:pPr>
              <w:suppressAutoHyphens/>
              <w:jc w:val="both"/>
              <w:rPr>
                <w:rFonts w:ascii="Arial" w:hAnsi="Arial" w:cs="Arial"/>
                <w:sz w:val="18"/>
                <w:lang w:eastAsia="zh-CN"/>
              </w:rPr>
            </w:pPr>
            <w:r w:rsidRPr="00B87F99">
              <w:rPr>
                <w:rFonts w:ascii="Arial" w:hAnsi="Arial" w:cs="Arial"/>
                <w:sz w:val="18"/>
                <w:lang w:eastAsia="zh-CN"/>
              </w:rPr>
              <w:lastRenderedPageBreak/>
              <w:t>Pri izračunu stroška dela na ostalih delovnih mestih, potrebnih za izvajanje programa, kar vključuje poslovodenje, administracijo, računovodstvo, tehnično delo, razvoj in dodatno delo zaradi specifičnih potreb ciljnih skupin, se kot obračunski element upošteva 30 odstotkov vrednosti stroška dela posameznika, ki izvaja program.</w:t>
            </w:r>
          </w:p>
          <w:p w14:paraId="1A994D88" w14:textId="77777777" w:rsidR="00B87F99" w:rsidRPr="00B87F99" w:rsidRDefault="00B87F99" w:rsidP="00B87F99">
            <w:pPr>
              <w:suppressAutoHyphens/>
              <w:jc w:val="both"/>
              <w:rPr>
                <w:rFonts w:ascii="Arial" w:hAnsi="Arial" w:cs="Arial"/>
                <w:sz w:val="18"/>
                <w:lang w:eastAsia="zh-CN"/>
              </w:rPr>
            </w:pPr>
          </w:p>
          <w:p w14:paraId="0640093E" w14:textId="77777777" w:rsidR="00B87F99" w:rsidRPr="00B87F99" w:rsidRDefault="00B87F99" w:rsidP="00B87F99">
            <w:pPr>
              <w:suppressAutoHyphens/>
              <w:jc w:val="both"/>
              <w:rPr>
                <w:rFonts w:ascii="Arial" w:hAnsi="Arial" w:cs="Arial"/>
                <w:sz w:val="18"/>
                <w:lang w:eastAsia="zh-CN"/>
              </w:rPr>
            </w:pPr>
            <w:r w:rsidRPr="00B87F99">
              <w:rPr>
                <w:rFonts w:ascii="Arial" w:hAnsi="Arial" w:cs="Arial"/>
                <w:sz w:val="18"/>
                <w:lang w:eastAsia="zh-CN"/>
              </w:rPr>
              <w:t>Za določitev stroški blaga in storitev se kot obračunski element upošteva 50 odstotkov vrednosti stroška dela posameznika, ki izvaja program in 50 odstotkov vrednosti stroška dela na ostalih delovnih mestih, ki so za program določena v prejšnjem odstavku tega člena.</w:t>
            </w:r>
          </w:p>
          <w:p w14:paraId="61AF30CA" w14:textId="77777777" w:rsidR="00B87F99" w:rsidRPr="00B87F99" w:rsidRDefault="00B87F99" w:rsidP="00B87F99">
            <w:pPr>
              <w:suppressAutoHyphens/>
              <w:jc w:val="both"/>
              <w:rPr>
                <w:rFonts w:ascii="Arial" w:hAnsi="Arial" w:cs="Arial"/>
                <w:sz w:val="18"/>
                <w:lang w:eastAsia="zh-CN"/>
              </w:rPr>
            </w:pPr>
          </w:p>
          <w:p w14:paraId="48D733D9" w14:textId="18EFA81A" w:rsidR="00745220" w:rsidRDefault="00B87F99" w:rsidP="00B87F99">
            <w:pPr>
              <w:suppressAutoHyphens/>
              <w:jc w:val="both"/>
              <w:rPr>
                <w:rFonts w:ascii="Arial" w:hAnsi="Arial" w:cs="Arial"/>
                <w:sz w:val="18"/>
                <w:lang w:eastAsia="zh-CN"/>
              </w:rPr>
            </w:pPr>
            <w:r w:rsidRPr="00B87F99">
              <w:rPr>
                <w:rFonts w:ascii="Arial" w:hAnsi="Arial" w:cs="Arial"/>
                <w:sz w:val="18"/>
                <w:lang w:eastAsia="zh-CN"/>
              </w:rPr>
              <w:t>Za določitev stroška iz dela in drugih osebnih prejemkov se kot obračunski element upošteva 15 odstotkov vrednosti plače in prispevkov delodajalca.</w:t>
            </w:r>
          </w:p>
          <w:p w14:paraId="19FB42E3" w14:textId="77777777" w:rsidR="00B87F99" w:rsidRDefault="00B87F99" w:rsidP="00B87F99">
            <w:pPr>
              <w:suppressAutoHyphens/>
              <w:jc w:val="both"/>
              <w:rPr>
                <w:rFonts w:ascii="Arial" w:hAnsi="Arial" w:cs="Arial"/>
                <w:sz w:val="18"/>
                <w:lang w:eastAsia="zh-CN"/>
              </w:rPr>
            </w:pPr>
          </w:p>
          <w:p w14:paraId="02ECD544" w14:textId="196C966C" w:rsidR="00745220" w:rsidRDefault="00745220" w:rsidP="007A52D5">
            <w:pPr>
              <w:suppressAutoHyphens/>
              <w:jc w:val="both"/>
              <w:rPr>
                <w:rFonts w:ascii="Arial" w:hAnsi="Arial" w:cs="Arial"/>
                <w:sz w:val="18"/>
                <w:lang w:eastAsia="zh-CN"/>
              </w:rPr>
            </w:pPr>
            <w:r>
              <w:rPr>
                <w:rFonts w:ascii="Arial" w:hAnsi="Arial" w:cs="Arial"/>
                <w:sz w:val="18"/>
                <w:lang w:eastAsia="zh-CN"/>
              </w:rPr>
              <w:t xml:space="preserve">Na podlagi </w:t>
            </w:r>
            <w:r w:rsidR="00B87F99">
              <w:rPr>
                <w:rFonts w:ascii="Arial" w:hAnsi="Arial" w:cs="Arial"/>
                <w:sz w:val="18"/>
                <w:lang w:eastAsia="zh-CN"/>
              </w:rPr>
              <w:t xml:space="preserve">navedenega in </w:t>
            </w:r>
            <w:r>
              <w:rPr>
                <w:rFonts w:ascii="Arial" w:hAnsi="Arial" w:cs="Arial"/>
                <w:sz w:val="18"/>
                <w:lang w:eastAsia="zh-CN"/>
              </w:rPr>
              <w:t>v skladu s določili, ki jih ureja Sklep</w:t>
            </w:r>
            <w:r w:rsidR="00B87F99">
              <w:rPr>
                <w:rFonts w:ascii="Arial" w:hAnsi="Arial" w:cs="Arial"/>
                <w:sz w:val="18"/>
                <w:lang w:eastAsia="zh-CN"/>
              </w:rPr>
              <w:t>, je izračunana vrednost ene enote.</w:t>
            </w:r>
            <w:r>
              <w:rPr>
                <w:rFonts w:ascii="Arial" w:hAnsi="Arial" w:cs="Arial"/>
                <w:sz w:val="18"/>
                <w:lang w:eastAsia="zh-CN"/>
              </w:rPr>
              <w:t xml:space="preserve"> Oblikovana podlaga cene je preračunana na cikel oziroma na 320 ur v okviru dveh mesecev. Vrednost cikla je tako preračunana na </w:t>
            </w:r>
            <w:r w:rsidRPr="001F7526">
              <w:rPr>
                <w:rFonts w:ascii="Arial" w:hAnsi="Arial" w:cs="Arial"/>
                <w:sz w:val="18"/>
                <w:lang w:eastAsia="zh-CN"/>
              </w:rPr>
              <w:t xml:space="preserve">35.543,65 </w:t>
            </w:r>
            <w:r>
              <w:rPr>
                <w:rFonts w:ascii="Arial" w:hAnsi="Arial" w:cs="Arial"/>
                <w:sz w:val="18"/>
                <w:lang w:eastAsia="zh-CN"/>
              </w:rPr>
              <w:t>€</w:t>
            </w:r>
            <w:r w:rsidR="00B87F99">
              <w:rPr>
                <w:rFonts w:ascii="Arial" w:hAnsi="Arial" w:cs="Arial"/>
                <w:sz w:val="18"/>
                <w:lang w:eastAsia="zh-CN"/>
              </w:rPr>
              <w:t xml:space="preserve">. </w:t>
            </w:r>
            <w:r>
              <w:rPr>
                <w:rFonts w:ascii="Arial" w:hAnsi="Arial" w:cs="Arial"/>
                <w:sz w:val="18"/>
                <w:lang w:eastAsia="zh-CN"/>
              </w:rPr>
              <w:t xml:space="preserve">Projekt vključuje izvedbo štirih ciklov, tako da je končna vrednost projekta preračunana na </w:t>
            </w:r>
            <w:r w:rsidRPr="001F7526">
              <w:rPr>
                <w:rFonts w:ascii="Arial" w:hAnsi="Arial" w:cs="Arial"/>
                <w:iCs/>
                <w:sz w:val="18"/>
                <w:szCs w:val="18"/>
                <w:lang w:eastAsia="zh-CN"/>
              </w:rPr>
              <w:t>568.698,45</w:t>
            </w:r>
            <w:r>
              <w:rPr>
                <w:rFonts w:ascii="Arial" w:hAnsi="Arial" w:cs="Arial"/>
                <w:iCs/>
                <w:sz w:val="18"/>
                <w:szCs w:val="18"/>
                <w:lang w:eastAsia="zh-CN"/>
              </w:rPr>
              <w:t xml:space="preserve"> €.</w:t>
            </w:r>
          </w:p>
          <w:p w14:paraId="52BE457A" w14:textId="77777777" w:rsidR="00745220" w:rsidRDefault="00745220" w:rsidP="007A52D5">
            <w:pPr>
              <w:suppressAutoHyphens/>
              <w:jc w:val="both"/>
              <w:rPr>
                <w:rFonts w:ascii="Arial" w:hAnsi="Arial" w:cs="Arial"/>
                <w:sz w:val="18"/>
                <w:lang w:eastAsia="zh-CN"/>
              </w:rPr>
            </w:pPr>
          </w:p>
          <w:p w14:paraId="687C46DE" w14:textId="31DF40CA" w:rsidR="00745220" w:rsidRDefault="00745220" w:rsidP="007A52D5">
            <w:pPr>
              <w:suppressAutoHyphens/>
              <w:jc w:val="both"/>
              <w:rPr>
                <w:rFonts w:ascii="Arial" w:hAnsi="Arial" w:cs="Arial"/>
                <w:sz w:val="18"/>
                <w:lang w:eastAsia="zh-CN"/>
              </w:rPr>
            </w:pPr>
            <w:r w:rsidRPr="00C94118">
              <w:rPr>
                <w:rFonts w:ascii="Arial" w:hAnsi="Arial" w:cs="Arial"/>
                <w:sz w:val="18"/>
                <w:lang w:eastAsia="zh-CN"/>
              </w:rPr>
              <w:t>Ciljna vrednost usposobljenih uporabnikov v zdravstvu znotraj projekta  Bolničar – negovalec 2024-2026 je tako</w:t>
            </w:r>
            <w:r w:rsidR="00C94118" w:rsidRPr="00C94118">
              <w:rPr>
                <w:rFonts w:ascii="Arial" w:hAnsi="Arial" w:cs="Arial"/>
                <w:sz w:val="18"/>
                <w:lang w:eastAsia="zh-CN"/>
              </w:rPr>
              <w:t xml:space="preserve"> </w:t>
            </w:r>
            <w:r w:rsidRPr="00C94118">
              <w:rPr>
                <w:rFonts w:ascii="Arial" w:hAnsi="Arial" w:cs="Arial"/>
                <w:sz w:val="18"/>
                <w:lang w:eastAsia="zh-CN"/>
              </w:rPr>
              <w:t>1</w:t>
            </w:r>
            <w:r w:rsidR="007D6EF6">
              <w:rPr>
                <w:rFonts w:ascii="Arial" w:hAnsi="Arial" w:cs="Arial"/>
                <w:sz w:val="18"/>
                <w:lang w:eastAsia="zh-CN"/>
              </w:rPr>
              <w:t>92</w:t>
            </w:r>
            <w:r w:rsidRPr="00C94118">
              <w:rPr>
                <w:rFonts w:ascii="Arial" w:hAnsi="Arial" w:cs="Arial"/>
                <w:sz w:val="18"/>
                <w:lang w:eastAsia="zh-CN"/>
              </w:rPr>
              <w:t xml:space="preserve"> usposobljenih uporabnikov v zdravstvu na cikel oziroma </w:t>
            </w:r>
            <w:r w:rsidR="00C94118" w:rsidRPr="00C94118">
              <w:rPr>
                <w:rFonts w:ascii="Arial" w:hAnsi="Arial" w:cs="Arial"/>
                <w:sz w:val="18"/>
                <w:lang w:eastAsia="zh-CN"/>
              </w:rPr>
              <w:t xml:space="preserve">do </w:t>
            </w:r>
            <w:r w:rsidRPr="00C94118">
              <w:rPr>
                <w:rFonts w:ascii="Arial" w:hAnsi="Arial" w:cs="Arial"/>
                <w:sz w:val="18"/>
                <w:lang w:eastAsia="zh-CN"/>
              </w:rPr>
              <w:t>416 usposobljenih uporabnikov v zdravstvu ob zaključku projekta. Mejnik smo oblikovali na podlagi 52. člena Pravilnika o normativih in standardih za izvajanje izobraževalnih programov in vzgojnega programa na področju srednjega šolstva (Uradni list RS, št. 62/10, 99/10, 47/17, 30/18, 16/21, 178/21 in 74/23), ki določa normativ za oblikovanje enega oddelka.</w:t>
            </w:r>
          </w:p>
          <w:p w14:paraId="02B79290" w14:textId="77777777" w:rsidR="00745220" w:rsidRPr="00C03FD2" w:rsidRDefault="00745220" w:rsidP="007A52D5">
            <w:pPr>
              <w:suppressAutoHyphens/>
              <w:jc w:val="both"/>
              <w:rPr>
                <w:rFonts w:ascii="Arial" w:hAnsi="Arial" w:cs="Arial"/>
                <w:iCs/>
                <w:sz w:val="18"/>
                <w:szCs w:val="18"/>
                <w:lang w:eastAsia="zh-CN"/>
              </w:rPr>
            </w:pPr>
          </w:p>
          <w:p w14:paraId="03CABA7D" w14:textId="256F0A3D" w:rsidR="00965930" w:rsidRPr="00C03FD2" w:rsidRDefault="00745220" w:rsidP="007A52D5">
            <w:pPr>
              <w:suppressAutoHyphens/>
              <w:ind w:left="48"/>
              <w:contextualSpacing/>
              <w:jc w:val="both"/>
              <w:rPr>
                <w:rFonts w:ascii="Arial" w:hAnsi="Arial" w:cs="Arial"/>
                <w:iCs/>
                <w:sz w:val="18"/>
                <w:szCs w:val="18"/>
                <w:lang w:eastAsia="zh-CN"/>
              </w:rPr>
            </w:pPr>
            <w:r w:rsidRPr="00C03FD2">
              <w:rPr>
                <w:rFonts w:ascii="Arial" w:hAnsi="Arial" w:cs="Arial"/>
                <w:iCs/>
                <w:sz w:val="18"/>
                <w:szCs w:val="18"/>
                <w:lang w:eastAsia="zh-CN"/>
              </w:rPr>
              <w:t xml:space="preserve"> </w:t>
            </w:r>
            <w:r>
              <w:rPr>
                <w:rFonts w:ascii="Arial" w:hAnsi="Arial" w:cs="Arial"/>
                <w:iCs/>
                <w:sz w:val="18"/>
                <w:szCs w:val="18"/>
                <w:lang w:eastAsia="zh-CN"/>
              </w:rPr>
              <w:t xml:space="preserve">c) </w:t>
            </w:r>
            <w:r w:rsidRPr="00C03FD2">
              <w:rPr>
                <w:rFonts w:ascii="Arial" w:hAnsi="Arial" w:cs="Arial"/>
                <w:iCs/>
                <w:sz w:val="18"/>
                <w:szCs w:val="18"/>
                <w:lang w:eastAsia="hu-HU"/>
              </w:rPr>
              <w:t>Ukrepi se bodo izvajali v vzhodni in zahodni kohezijski regiji</w:t>
            </w:r>
          </w:p>
        </w:tc>
      </w:tr>
      <w:tr w:rsidR="00965930" w:rsidRPr="00C03FD2" w14:paraId="5615BAE2" w14:textId="77777777" w:rsidTr="000D69F4">
        <w:trPr>
          <w:trHeight w:val="982"/>
        </w:trPr>
        <w:tc>
          <w:tcPr>
            <w:tcW w:w="2317" w:type="dxa"/>
            <w:shd w:val="clear" w:color="auto" w:fill="auto"/>
          </w:tcPr>
          <w:p w14:paraId="0C09EF07"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lastRenderedPageBreak/>
              <w:t>Utemeljitev izbora/merila za izbor kazalnika/ glede na relevantnost intervencije ali glede upravičencev/uporabnikov</w:t>
            </w:r>
          </w:p>
        </w:tc>
        <w:tc>
          <w:tcPr>
            <w:tcW w:w="7464" w:type="dxa"/>
            <w:gridSpan w:val="7"/>
            <w:shd w:val="clear" w:color="auto" w:fill="auto"/>
          </w:tcPr>
          <w:p w14:paraId="22C55A64" w14:textId="00626024" w:rsidR="00B841B1" w:rsidRDefault="0011754E" w:rsidP="00CC24F1">
            <w:pPr>
              <w:suppressAutoHyphens/>
              <w:jc w:val="both"/>
              <w:rPr>
                <w:rFonts w:ascii="Arial" w:hAnsi="Arial" w:cs="Arial"/>
                <w:iCs/>
                <w:sz w:val="18"/>
                <w:szCs w:val="18"/>
                <w:lang w:eastAsia="zh-CN"/>
              </w:rPr>
            </w:pPr>
            <w:r>
              <w:rPr>
                <w:rFonts w:ascii="Arial" w:hAnsi="Arial" w:cs="Arial"/>
                <w:iCs/>
                <w:sz w:val="18"/>
                <w:szCs w:val="18"/>
                <w:lang w:eastAsia="zh-CN"/>
              </w:rPr>
              <w:t xml:space="preserve">V okviru politike za bolj socialno in vključujočo Evropo za izvajanje evropskega stebra socialnih pravic je pomembno vzpostaviti dolgotrajno oskrbo in zdravje ter socialno vključenost. trenutne razmere v družbi narekujejo potrebo po krepitvi </w:t>
            </w:r>
            <w:r w:rsidRPr="0011754E">
              <w:rPr>
                <w:rFonts w:ascii="Arial" w:hAnsi="Arial" w:cs="Arial"/>
                <w:iCs/>
                <w:sz w:val="18"/>
                <w:szCs w:val="18"/>
                <w:lang w:eastAsia="zh-CN"/>
              </w:rPr>
              <w:t>enakopravnega in pravočasnega dostopa do kakovostnih, trajnostnih in cenovno ugodnih storitev</w:t>
            </w:r>
            <w:r w:rsidR="00B841B1">
              <w:rPr>
                <w:rFonts w:ascii="Arial" w:hAnsi="Arial" w:cs="Arial"/>
                <w:iCs/>
                <w:sz w:val="18"/>
                <w:szCs w:val="18"/>
                <w:lang w:eastAsia="zh-CN"/>
              </w:rPr>
              <w:t xml:space="preserve">, </w:t>
            </w:r>
            <w:r w:rsidR="00B841B1" w:rsidRPr="00B841B1">
              <w:rPr>
                <w:rFonts w:ascii="Arial" w:hAnsi="Arial" w:cs="Arial"/>
                <w:iCs/>
                <w:sz w:val="18"/>
                <w:szCs w:val="18"/>
                <w:lang w:eastAsia="zh-CN"/>
              </w:rPr>
              <w:t>vključno z zdravstveno oskrbo</w:t>
            </w:r>
            <w:r w:rsidR="00B841B1">
              <w:rPr>
                <w:rFonts w:ascii="Arial" w:hAnsi="Arial" w:cs="Arial"/>
                <w:iCs/>
                <w:sz w:val="18"/>
                <w:szCs w:val="18"/>
                <w:lang w:eastAsia="zh-CN"/>
              </w:rPr>
              <w:t xml:space="preserve">. </w:t>
            </w:r>
          </w:p>
          <w:p w14:paraId="53842101" w14:textId="77777777" w:rsidR="00B87F99" w:rsidRDefault="00B87F99" w:rsidP="00CC24F1">
            <w:pPr>
              <w:suppressAutoHyphens/>
              <w:jc w:val="both"/>
              <w:rPr>
                <w:rFonts w:ascii="Arial" w:hAnsi="Arial" w:cs="Arial"/>
                <w:iCs/>
                <w:sz w:val="18"/>
                <w:szCs w:val="18"/>
                <w:lang w:eastAsia="zh-CN"/>
              </w:rPr>
            </w:pPr>
          </w:p>
          <w:p w14:paraId="7D891C83" w14:textId="7DC18A25" w:rsidR="0011754E" w:rsidRDefault="00B841B1" w:rsidP="00CC24F1">
            <w:pPr>
              <w:suppressAutoHyphens/>
              <w:jc w:val="both"/>
              <w:rPr>
                <w:rFonts w:ascii="Arial" w:hAnsi="Arial" w:cs="Arial"/>
                <w:iCs/>
                <w:sz w:val="18"/>
                <w:szCs w:val="18"/>
                <w:lang w:eastAsia="zh-CN"/>
              </w:rPr>
            </w:pPr>
            <w:r w:rsidRPr="00B841B1">
              <w:rPr>
                <w:rFonts w:ascii="Arial" w:hAnsi="Arial" w:cs="Arial"/>
                <w:iCs/>
                <w:sz w:val="18"/>
                <w:szCs w:val="18"/>
                <w:lang w:eastAsia="zh-CN"/>
              </w:rPr>
              <w:t>Z javnim razpisom Bolničar – negovalec 2024–2026 želimo vzpostaviti model verificiranega usposabljanja za delo v zdravstvu in dolgotrajni oskrbi, izboljšati zdravstveni sistem v Republiki Sloveniji z namenom vzpostavitve stabilnega in dostopnega zdravstva in zagotovitvijo kakovostnih zdravstvenih storitev. Namen tega javnega razpisa je tudi izboljšanje odzivnost sistema izobraževanja in usposabljanja na potrebe trga dela, zmanjšati deficitarnosti tega poklica na trgu dela, izboljšati privlačnost poklicnega izobraževanja za profil »bolničar – negovalec« ter zagotoviti učinkovito izvajanje usposabljanja za ta poklic.</w:t>
            </w:r>
            <w:r w:rsidR="0011754E">
              <w:rPr>
                <w:rFonts w:ascii="Arial" w:hAnsi="Arial" w:cs="Arial"/>
                <w:iCs/>
                <w:sz w:val="18"/>
                <w:szCs w:val="18"/>
                <w:lang w:eastAsia="zh-CN"/>
              </w:rPr>
              <w:t xml:space="preserve"> </w:t>
            </w:r>
          </w:p>
          <w:p w14:paraId="1EEAB765" w14:textId="77777777" w:rsidR="00B87F99" w:rsidRDefault="00B87F99" w:rsidP="00CC24F1">
            <w:pPr>
              <w:suppressAutoHyphens/>
              <w:jc w:val="both"/>
              <w:rPr>
                <w:rFonts w:ascii="Arial" w:hAnsi="Arial" w:cs="Arial"/>
                <w:iCs/>
                <w:sz w:val="18"/>
                <w:szCs w:val="18"/>
                <w:lang w:eastAsia="zh-CN"/>
              </w:rPr>
            </w:pPr>
          </w:p>
          <w:p w14:paraId="2DA199ED" w14:textId="425DE3C5" w:rsidR="00B841B1" w:rsidRPr="00C03FD2" w:rsidRDefault="00B841B1" w:rsidP="00CC24F1">
            <w:pPr>
              <w:suppressAutoHyphens/>
              <w:jc w:val="both"/>
              <w:rPr>
                <w:rFonts w:ascii="Arial" w:hAnsi="Arial" w:cs="Arial"/>
                <w:iCs/>
                <w:sz w:val="18"/>
                <w:szCs w:val="18"/>
                <w:lang w:eastAsia="zh-CN"/>
              </w:rPr>
            </w:pPr>
            <w:r>
              <w:rPr>
                <w:rFonts w:ascii="Arial" w:hAnsi="Arial" w:cs="Arial"/>
                <w:iCs/>
                <w:sz w:val="18"/>
                <w:szCs w:val="18"/>
                <w:lang w:eastAsia="zh-CN"/>
              </w:rPr>
              <w:t xml:space="preserve">S kazalnikom rezultata 12 Število usposobljenih uporabnikov v zdravstvu bomo sledili </w:t>
            </w:r>
            <w:r w:rsidRPr="00B841B1">
              <w:rPr>
                <w:rFonts w:ascii="Arial" w:hAnsi="Arial" w:cs="Arial"/>
                <w:iCs/>
                <w:sz w:val="18"/>
                <w:szCs w:val="18"/>
                <w:lang w:eastAsia="zh-CN"/>
              </w:rPr>
              <w:t>Program</w:t>
            </w:r>
            <w:r>
              <w:rPr>
                <w:rFonts w:ascii="Arial" w:hAnsi="Arial" w:cs="Arial"/>
                <w:iCs/>
                <w:sz w:val="18"/>
                <w:szCs w:val="18"/>
                <w:lang w:eastAsia="zh-CN"/>
              </w:rPr>
              <w:t>u</w:t>
            </w:r>
            <w:r w:rsidRPr="00B841B1">
              <w:rPr>
                <w:rFonts w:ascii="Arial" w:hAnsi="Arial" w:cs="Arial"/>
                <w:iCs/>
                <w:sz w:val="18"/>
                <w:szCs w:val="18"/>
                <w:lang w:eastAsia="zh-CN"/>
              </w:rPr>
              <w:t xml:space="preserve"> evropske kohezijske politike v obdobju 2021–2027 v Sloveniji</w:t>
            </w:r>
            <w:r>
              <w:rPr>
                <w:rFonts w:ascii="Arial" w:hAnsi="Arial" w:cs="Arial"/>
                <w:iCs/>
                <w:sz w:val="18"/>
                <w:szCs w:val="18"/>
                <w:lang w:eastAsia="zh-CN"/>
              </w:rPr>
              <w:t xml:space="preserve">. S kazalnikom bomo sledili </w:t>
            </w:r>
            <w:r w:rsidRPr="00B841B1">
              <w:rPr>
                <w:rFonts w:ascii="Arial" w:hAnsi="Arial" w:cs="Arial"/>
                <w:iCs/>
                <w:sz w:val="18"/>
                <w:szCs w:val="18"/>
                <w:lang w:eastAsia="zh-CN"/>
              </w:rPr>
              <w:t>števil</w:t>
            </w:r>
            <w:r>
              <w:rPr>
                <w:rFonts w:ascii="Arial" w:hAnsi="Arial" w:cs="Arial"/>
                <w:iCs/>
                <w:sz w:val="18"/>
                <w:szCs w:val="18"/>
                <w:lang w:eastAsia="zh-CN"/>
              </w:rPr>
              <w:t>u</w:t>
            </w:r>
            <w:r w:rsidRPr="00B841B1">
              <w:rPr>
                <w:rFonts w:ascii="Arial" w:hAnsi="Arial" w:cs="Arial"/>
                <w:iCs/>
                <w:sz w:val="18"/>
                <w:szCs w:val="18"/>
                <w:lang w:eastAsia="zh-CN"/>
              </w:rPr>
              <w:t xml:space="preserve"> vključenih kandidatov, ki bodo uspešno zaključili teoretični del pripravništva</w:t>
            </w:r>
            <w:r>
              <w:rPr>
                <w:rFonts w:ascii="Arial" w:hAnsi="Arial" w:cs="Arial"/>
                <w:iCs/>
                <w:sz w:val="18"/>
                <w:szCs w:val="18"/>
                <w:lang w:eastAsia="zh-CN"/>
              </w:rPr>
              <w:t xml:space="preserve"> za poklic bolničar – negovalec</w:t>
            </w:r>
            <w:r w:rsidRPr="00B841B1">
              <w:rPr>
                <w:rFonts w:ascii="Arial" w:hAnsi="Arial" w:cs="Arial"/>
                <w:iCs/>
                <w:sz w:val="18"/>
                <w:szCs w:val="18"/>
                <w:lang w:eastAsia="zh-CN"/>
              </w:rPr>
              <w:t xml:space="preserve">. </w:t>
            </w:r>
            <w:r w:rsidRPr="00C4381A">
              <w:rPr>
                <w:rFonts w:ascii="Arial" w:hAnsi="Arial" w:cs="Arial"/>
                <w:iCs/>
                <w:sz w:val="18"/>
                <w:szCs w:val="18"/>
                <w:lang w:eastAsia="zh-CN"/>
              </w:rPr>
              <w:t>Pričakuje se, da bo v štirih ciklih teoretični del pripravništva uspešno zaključilo najmanj 1</w:t>
            </w:r>
            <w:r w:rsidR="007D6EF6">
              <w:rPr>
                <w:rFonts w:ascii="Arial" w:hAnsi="Arial" w:cs="Arial"/>
                <w:iCs/>
                <w:sz w:val="18"/>
                <w:szCs w:val="18"/>
                <w:lang w:eastAsia="zh-CN"/>
              </w:rPr>
              <w:t>92</w:t>
            </w:r>
            <w:r w:rsidRPr="00C4381A">
              <w:rPr>
                <w:rFonts w:ascii="Arial" w:hAnsi="Arial" w:cs="Arial"/>
                <w:iCs/>
                <w:sz w:val="18"/>
                <w:szCs w:val="18"/>
                <w:lang w:eastAsia="zh-CN"/>
              </w:rPr>
              <w:t xml:space="preserve"> udeležencev.</w:t>
            </w:r>
          </w:p>
          <w:p w14:paraId="3C4FA264" w14:textId="77777777" w:rsidR="00965930" w:rsidRPr="00C03FD2" w:rsidRDefault="00965930" w:rsidP="00CC24F1">
            <w:pPr>
              <w:suppressAutoHyphens/>
              <w:jc w:val="both"/>
              <w:rPr>
                <w:rFonts w:ascii="Arial" w:hAnsi="Arial" w:cs="Arial"/>
                <w:iCs/>
                <w:sz w:val="18"/>
                <w:szCs w:val="18"/>
                <w:lang w:eastAsia="zh-CN"/>
              </w:rPr>
            </w:pPr>
          </w:p>
        </w:tc>
      </w:tr>
      <w:tr w:rsidR="00965930" w:rsidRPr="00C03FD2" w14:paraId="054D1171" w14:textId="77777777" w:rsidTr="000D69F4">
        <w:trPr>
          <w:trHeight w:val="1353"/>
        </w:trPr>
        <w:tc>
          <w:tcPr>
            <w:tcW w:w="2317" w:type="dxa"/>
            <w:shd w:val="clear" w:color="auto" w:fill="auto"/>
          </w:tcPr>
          <w:p w14:paraId="1AAF40CD"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Informacije o deležu finančnih sredstev, dodeljenih operacijam, ki jim ustrezajo kazalniki učinka in ključne faze izvajanja, določeni v okviru smotrnosti, ter obrazložitev načina izračuna deleža</w:t>
            </w:r>
          </w:p>
        </w:tc>
        <w:tc>
          <w:tcPr>
            <w:tcW w:w="7464" w:type="dxa"/>
            <w:gridSpan w:val="7"/>
            <w:shd w:val="clear" w:color="auto" w:fill="auto"/>
          </w:tcPr>
          <w:p w14:paraId="5055C400" w14:textId="633AE008" w:rsidR="00965930" w:rsidRPr="00C03FD2" w:rsidRDefault="00C4381A" w:rsidP="00CC24F1">
            <w:pPr>
              <w:suppressAutoHyphens/>
              <w:jc w:val="both"/>
              <w:rPr>
                <w:rFonts w:ascii="Arial" w:hAnsi="Arial" w:cs="Arial"/>
                <w:iCs/>
                <w:sz w:val="18"/>
                <w:szCs w:val="18"/>
                <w:lang w:eastAsia="zh-CN"/>
              </w:rPr>
            </w:pPr>
            <w:r>
              <w:rPr>
                <w:rFonts w:ascii="Arial" w:hAnsi="Arial" w:cs="Arial"/>
                <w:iCs/>
                <w:sz w:val="18"/>
                <w:szCs w:val="18"/>
                <w:lang w:eastAsia="zh-CN"/>
              </w:rPr>
              <w:t>Informacije razvidne iz metodološkega izračuna.</w:t>
            </w:r>
          </w:p>
        </w:tc>
      </w:tr>
      <w:tr w:rsidR="00965930" w:rsidRPr="00C03FD2" w14:paraId="7B50365E" w14:textId="77777777" w:rsidTr="000D69F4">
        <w:trPr>
          <w:trHeight w:val="562"/>
        </w:trPr>
        <w:tc>
          <w:tcPr>
            <w:tcW w:w="2317" w:type="dxa"/>
            <w:shd w:val="clear" w:color="auto" w:fill="auto"/>
          </w:tcPr>
          <w:p w14:paraId="78A2BC9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Tveganje:</w:t>
            </w:r>
          </w:p>
          <w:p w14:paraId="16290070"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Dejavniki, ki lahko vplivajo na doseganje mejnikov in ciljev in navedba načinov, kako bodo ti upoštevani</w:t>
            </w:r>
          </w:p>
        </w:tc>
        <w:tc>
          <w:tcPr>
            <w:tcW w:w="7464" w:type="dxa"/>
            <w:gridSpan w:val="7"/>
            <w:shd w:val="clear" w:color="auto" w:fill="auto"/>
          </w:tcPr>
          <w:p w14:paraId="3E02829C"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Navedene ocene se lahko izkažejo za neustrezne v primerih:</w:t>
            </w:r>
          </w:p>
          <w:p w14:paraId="01595DD0" w14:textId="77777777"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nepredvidenih dogodkov oz. stanj, kot je npr. spremenjeno družbeno-gospodarsko stanje, ki pomembno vpliva na tržne cene, in stroške ter posledično na pogoje izvedbe posameznih aktivnosti (npr. inflacija, epidemiološke razmere, energetska kriza);</w:t>
            </w:r>
          </w:p>
          <w:p w14:paraId="5C709E72" w14:textId="77777777"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zamika začetka izvajanja operacij – zamika pri objavi javnega razpisa, ki ga načrtujemo v septembru, neizboru upravičencev v posamezni regiji;</w:t>
            </w:r>
          </w:p>
          <w:p w14:paraId="677B69DC" w14:textId="77777777"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možnosti napak pri poročanju o številu udeležencev, ki so se prvič vključili v posamezno operacijo;</w:t>
            </w:r>
          </w:p>
          <w:p w14:paraId="0498F830" w14:textId="4BD8E6A5"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manjšega zanimanj</w:t>
            </w:r>
            <w:r>
              <w:rPr>
                <w:rFonts w:ascii="Arial" w:hAnsi="Arial" w:cs="Arial"/>
                <w:iCs/>
                <w:sz w:val="18"/>
                <w:szCs w:val="18"/>
                <w:lang w:eastAsia="zh-CN"/>
              </w:rPr>
              <w:t>a</w:t>
            </w:r>
            <w:r w:rsidRPr="00C03FD2">
              <w:rPr>
                <w:rFonts w:ascii="Arial" w:hAnsi="Arial" w:cs="Arial"/>
                <w:iCs/>
                <w:sz w:val="18"/>
                <w:szCs w:val="18"/>
                <w:lang w:eastAsia="zh-CN"/>
              </w:rPr>
              <w:t xml:space="preserve"> ciljnih skupin za vključitev v ukrepe </w:t>
            </w:r>
            <w:r w:rsidR="00B841B1" w:rsidRPr="00B841B1">
              <w:rPr>
                <w:rFonts w:ascii="Arial" w:hAnsi="Arial" w:cs="Arial"/>
                <w:iCs/>
                <w:sz w:val="18"/>
                <w:szCs w:val="18"/>
                <w:lang w:eastAsia="zh-CN"/>
              </w:rPr>
              <w:t>vz</w:t>
            </w:r>
            <w:r w:rsidR="00B841B1">
              <w:rPr>
                <w:rFonts w:ascii="Arial" w:hAnsi="Arial" w:cs="Arial"/>
                <w:iCs/>
                <w:sz w:val="18"/>
                <w:szCs w:val="18"/>
                <w:lang w:eastAsia="zh-CN"/>
              </w:rPr>
              <w:t>postavitve</w:t>
            </w:r>
            <w:r w:rsidR="00B841B1" w:rsidRPr="00B841B1">
              <w:rPr>
                <w:rFonts w:ascii="Arial" w:hAnsi="Arial" w:cs="Arial"/>
                <w:iCs/>
                <w:sz w:val="18"/>
                <w:szCs w:val="18"/>
                <w:lang w:eastAsia="zh-CN"/>
              </w:rPr>
              <w:t xml:space="preserve"> model</w:t>
            </w:r>
            <w:r w:rsidR="00B841B1">
              <w:rPr>
                <w:rFonts w:ascii="Arial" w:hAnsi="Arial" w:cs="Arial"/>
                <w:iCs/>
                <w:sz w:val="18"/>
                <w:szCs w:val="18"/>
                <w:lang w:eastAsia="zh-CN"/>
              </w:rPr>
              <w:t>a</w:t>
            </w:r>
            <w:r w:rsidR="00B841B1" w:rsidRPr="00B841B1">
              <w:rPr>
                <w:rFonts w:ascii="Arial" w:hAnsi="Arial" w:cs="Arial"/>
                <w:iCs/>
                <w:sz w:val="18"/>
                <w:szCs w:val="18"/>
                <w:lang w:eastAsia="zh-CN"/>
              </w:rPr>
              <w:t xml:space="preserve"> verificiranega usposabljanja za delo v zdravstvu in dolgotrajni oskrbi</w:t>
            </w:r>
            <w:r w:rsidRPr="00C03FD2">
              <w:rPr>
                <w:rFonts w:ascii="Arial" w:hAnsi="Arial" w:cs="Arial"/>
                <w:iCs/>
                <w:sz w:val="18"/>
                <w:szCs w:val="18"/>
                <w:lang w:eastAsia="zh-CN"/>
              </w:rPr>
              <w:t>;</w:t>
            </w:r>
          </w:p>
          <w:p w14:paraId="7B76060D" w14:textId="77777777"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uvajanja novih programov, ki se še niso uveljavili med izvajalci,  zato je težko oceniti kakšno bo zanimanje za njihovo izvedbo;</w:t>
            </w:r>
          </w:p>
          <w:p w14:paraId="33555943" w14:textId="77777777"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lastRenderedPageBreak/>
              <w:t>težav pri izvajanju posameznih operacij (npr. kadrovske spremembe tekom obdobja izvajanja ukrepa);</w:t>
            </w:r>
          </w:p>
          <w:p w14:paraId="0F5372A1" w14:textId="77777777" w:rsidR="00965930" w:rsidRPr="00C03FD2" w:rsidRDefault="00965930" w:rsidP="00965930">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itd.</w:t>
            </w:r>
          </w:p>
          <w:p w14:paraId="0F613E44" w14:textId="77777777" w:rsidR="00965930" w:rsidRPr="00C03FD2" w:rsidRDefault="00965930" w:rsidP="00CC24F1">
            <w:pPr>
              <w:suppressAutoHyphens/>
              <w:jc w:val="both"/>
              <w:rPr>
                <w:rFonts w:ascii="Arial" w:hAnsi="Arial" w:cs="Arial"/>
                <w:iCs/>
                <w:sz w:val="18"/>
                <w:szCs w:val="18"/>
                <w:lang w:eastAsia="zh-CN"/>
              </w:rPr>
            </w:pPr>
          </w:p>
          <w:p w14:paraId="209E7DE3" w14:textId="4AA59EBA"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Doseganje vrednosti kazalnikov se bo spremljalo preko </w:t>
            </w:r>
            <w:r w:rsidR="00B841B1">
              <w:rPr>
                <w:rFonts w:ascii="Arial" w:hAnsi="Arial" w:cs="Arial"/>
                <w:iCs/>
                <w:sz w:val="18"/>
                <w:szCs w:val="18"/>
                <w:lang w:eastAsia="zh-CN"/>
              </w:rPr>
              <w:t>poročanja izvajalcev</w:t>
            </w:r>
            <w:r w:rsidR="007F42C7">
              <w:rPr>
                <w:rFonts w:ascii="Arial" w:hAnsi="Arial" w:cs="Arial"/>
                <w:iCs/>
                <w:sz w:val="18"/>
                <w:szCs w:val="18"/>
                <w:lang w:eastAsia="zh-CN"/>
              </w:rPr>
              <w:t xml:space="preserve"> izobraževalnega programa o </w:t>
            </w:r>
            <w:r w:rsidRPr="00C03FD2">
              <w:rPr>
                <w:rFonts w:ascii="Arial" w:hAnsi="Arial" w:cs="Arial"/>
                <w:iCs/>
                <w:sz w:val="18"/>
                <w:szCs w:val="18"/>
                <w:lang w:eastAsia="zh-CN"/>
              </w:rPr>
              <w:t>doseganj</w:t>
            </w:r>
            <w:r w:rsidR="007F42C7">
              <w:rPr>
                <w:rFonts w:ascii="Arial" w:hAnsi="Arial" w:cs="Arial"/>
                <w:iCs/>
                <w:sz w:val="18"/>
                <w:szCs w:val="18"/>
                <w:lang w:eastAsia="zh-CN"/>
              </w:rPr>
              <w:t>u</w:t>
            </w:r>
            <w:r w:rsidRPr="00C03FD2">
              <w:rPr>
                <w:rFonts w:ascii="Arial" w:hAnsi="Arial" w:cs="Arial"/>
                <w:iCs/>
                <w:sz w:val="18"/>
                <w:szCs w:val="18"/>
                <w:lang w:eastAsia="zh-CN"/>
              </w:rPr>
              <w:t xml:space="preserve"> ciljnih vrednosti po načrtovanih obdobjih. Spremljanje kvalitativnih in kvantitativnih rezultatov bo prispevalo k odkrivanju težav in pripravi ukrepov za odpravo le-teh. </w:t>
            </w:r>
          </w:p>
        </w:tc>
      </w:tr>
      <w:bookmarkEnd w:id="2"/>
    </w:tbl>
    <w:p w14:paraId="0900EBED" w14:textId="77777777" w:rsidR="004E3E16" w:rsidRDefault="004E3E16"/>
    <w:sectPr w:rsidR="004E3E16" w:rsidSect="00CF6C93">
      <w:headerReference w:type="default" r:id="rId7"/>
      <w:footerReference w:type="default" r:id="rId8"/>
      <w:headerReference w:type="first" r:id="rId9"/>
      <w:foot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9257" w14:textId="77777777" w:rsidR="007F42C7" w:rsidRDefault="007F42C7">
      <w:r>
        <w:separator/>
      </w:r>
    </w:p>
  </w:endnote>
  <w:endnote w:type="continuationSeparator" w:id="0">
    <w:p w14:paraId="3E8C237E" w14:textId="77777777" w:rsidR="007F42C7" w:rsidRDefault="007F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1EF4" w14:textId="77777777" w:rsidR="00AD427B" w:rsidRDefault="00AD427B" w:rsidP="00CF6C9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5</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A8A2" w14:textId="77777777" w:rsidR="00AD427B" w:rsidRDefault="00AD427B" w:rsidP="00CF6C9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4B49" w14:textId="77777777" w:rsidR="007F42C7" w:rsidRDefault="007F42C7">
      <w:r>
        <w:separator/>
      </w:r>
    </w:p>
  </w:footnote>
  <w:footnote w:type="continuationSeparator" w:id="0">
    <w:p w14:paraId="0C2D0E7E" w14:textId="77777777" w:rsidR="007F42C7" w:rsidRDefault="007F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992E" w14:textId="77777777" w:rsidR="00AD427B" w:rsidRPr="00110CBD" w:rsidRDefault="00AD427B" w:rsidP="00CF6C9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B928" w14:textId="77777777" w:rsidR="00AD427B" w:rsidRDefault="00AD427B" w:rsidP="0034190C">
    <w:pPr>
      <w:pStyle w:val="Glava"/>
      <w:tabs>
        <w:tab w:val="clear" w:pos="4320"/>
        <w:tab w:val="clear" w:pos="8640"/>
        <w:tab w:val="center" w:pos="4249"/>
      </w:tabs>
      <w:spacing w:before="120" w:line="240" w:lineRule="exact"/>
    </w:pPr>
    <w:r>
      <w:rPr>
        <w:noProof/>
      </w:rPr>
      <w:drawing>
        <wp:anchor distT="0" distB="0" distL="0" distR="0" simplePos="0" relativeHeight="251660288" behindDoc="1" locked="0" layoutInCell="1" allowOverlap="1" wp14:anchorId="4010EA35" wp14:editId="63F5BF9B">
          <wp:simplePos x="0" y="0"/>
          <wp:positionH relativeFrom="margin">
            <wp:posOffset>2149143</wp:posOffset>
          </wp:positionH>
          <wp:positionV relativeFrom="paragraph">
            <wp:posOffset>-158723</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1312" behindDoc="1" locked="0" layoutInCell="1" allowOverlap="1" wp14:anchorId="65C47AAB" wp14:editId="3DA2D866">
          <wp:simplePos x="0" y="0"/>
          <wp:positionH relativeFrom="margin">
            <wp:align>right</wp:align>
          </wp:positionH>
          <wp:positionV relativeFrom="paragraph">
            <wp:posOffset>-229207</wp:posOffset>
          </wp:positionV>
          <wp:extent cx="1975104" cy="484631"/>
          <wp:effectExtent l="0" t="0" r="635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2B549893" wp14:editId="676DF8DF">
          <wp:simplePos x="0" y="0"/>
          <wp:positionH relativeFrom="page">
            <wp:posOffset>778592</wp:posOffset>
          </wp:positionH>
          <wp:positionV relativeFrom="topMargin">
            <wp:posOffset>768295</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139453735"/>
  </w:p>
  <w:bookmarkEnd w:id="4"/>
  <w:p w14:paraId="1AF2E0B7" w14:textId="77777777" w:rsidR="00AD427B" w:rsidRPr="008F3500" w:rsidRDefault="00AD427B" w:rsidP="0034190C">
    <w:pPr>
      <w:pStyle w:val="Glava"/>
      <w:tabs>
        <w:tab w:val="clear" w:pos="4320"/>
        <w:tab w:val="clear" w:pos="8640"/>
        <w:tab w:val="center" w:pos="4249"/>
      </w:tabs>
      <w:spacing w:before="120" w:line="240" w:lineRule="exact"/>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937"/>
    <w:multiLevelType w:val="hybridMultilevel"/>
    <w:tmpl w:val="F6D62094"/>
    <w:lvl w:ilvl="0" w:tplc="36EEBCA8">
      <w:start w:val="1"/>
      <w:numFmt w:val="lowerLetter"/>
      <w:lvlText w:val="%1)"/>
      <w:lvlJc w:val="left"/>
      <w:rPr>
        <w:b w:val="0"/>
        <w:color w:val="808080"/>
      </w:rPr>
    </w:lvl>
    <w:lvl w:ilvl="1" w:tplc="4412D8A8">
      <w:numFmt w:val="bullet"/>
      <w:lvlText w:val="-"/>
      <w:lvlJc w:val="left"/>
      <w:pPr>
        <w:ind w:left="1790" w:hanging="71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84195D"/>
    <w:multiLevelType w:val="hybridMultilevel"/>
    <w:tmpl w:val="6A8ACA10"/>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2B65B3"/>
    <w:multiLevelType w:val="hybridMultilevel"/>
    <w:tmpl w:val="843A4AB8"/>
    <w:lvl w:ilvl="0" w:tplc="FFFFFFFF">
      <w:start w:val="1"/>
      <w:numFmt w:val="upperLetter"/>
      <w:lvlText w:val="%1."/>
      <w:lvlJc w:val="left"/>
      <w:pPr>
        <w:ind w:left="1440" w:hanging="360"/>
      </w:pPr>
    </w:lvl>
    <w:lvl w:ilvl="1" w:tplc="03726B04">
      <w:start w:val="1"/>
      <w:numFmt w:val="upperLetter"/>
      <w:pStyle w:val="Naslov1"/>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E504D69"/>
    <w:multiLevelType w:val="hybridMultilevel"/>
    <w:tmpl w:val="0CD8368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E444E5"/>
    <w:multiLevelType w:val="hybridMultilevel"/>
    <w:tmpl w:val="969E9784"/>
    <w:lvl w:ilvl="0" w:tplc="93DCFAA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AEF734E"/>
    <w:multiLevelType w:val="hybridMultilevel"/>
    <w:tmpl w:val="790C5B72"/>
    <w:lvl w:ilvl="0" w:tplc="F64C662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29744777">
    <w:abstractNumId w:val="2"/>
  </w:num>
  <w:num w:numId="2" w16cid:durableId="2052923472">
    <w:abstractNumId w:val="3"/>
  </w:num>
  <w:num w:numId="3" w16cid:durableId="1439136719">
    <w:abstractNumId w:val="0"/>
  </w:num>
  <w:num w:numId="4" w16cid:durableId="217478423">
    <w:abstractNumId w:val="1"/>
  </w:num>
  <w:num w:numId="5" w16cid:durableId="1444501478">
    <w:abstractNumId w:val="4"/>
  </w:num>
  <w:num w:numId="6" w16cid:durableId="1694838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30"/>
    <w:rsid w:val="0008489A"/>
    <w:rsid w:val="000D69F4"/>
    <w:rsid w:val="0011754E"/>
    <w:rsid w:val="00147625"/>
    <w:rsid w:val="001515A1"/>
    <w:rsid w:val="002271DA"/>
    <w:rsid w:val="00244CBC"/>
    <w:rsid w:val="002D631B"/>
    <w:rsid w:val="002E0B99"/>
    <w:rsid w:val="00395719"/>
    <w:rsid w:val="004E3E16"/>
    <w:rsid w:val="00551E6B"/>
    <w:rsid w:val="006C55DB"/>
    <w:rsid w:val="00745220"/>
    <w:rsid w:val="007A52D5"/>
    <w:rsid w:val="007D3041"/>
    <w:rsid w:val="007D693E"/>
    <w:rsid w:val="007D6EF6"/>
    <w:rsid w:val="007F42C7"/>
    <w:rsid w:val="00965930"/>
    <w:rsid w:val="00AC6DA5"/>
    <w:rsid w:val="00AD427B"/>
    <w:rsid w:val="00B841B1"/>
    <w:rsid w:val="00B87F99"/>
    <w:rsid w:val="00C13A74"/>
    <w:rsid w:val="00C4381A"/>
    <w:rsid w:val="00C94118"/>
    <w:rsid w:val="00D83E86"/>
    <w:rsid w:val="00F911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9C82"/>
  <w15:chartTrackingRefBased/>
  <w15:docId w15:val="{DF2368BA-4C57-46DA-9F5B-9027BD83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5930"/>
    <w:pPr>
      <w:spacing w:line="240" w:lineRule="auto"/>
      <w:ind w:left="0" w:right="0"/>
    </w:pPr>
    <w:rPr>
      <w:rFonts w:ascii="Times New Roman" w:eastAsia="Times New Roman" w:hAnsi="Times New Roman" w:cs="Times New Roman"/>
      <w:kern w:val="0"/>
      <w:sz w:val="24"/>
      <w:szCs w:val="24"/>
      <w:lang w:eastAsia="sl-SI"/>
      <w14:ligatures w14:val="none"/>
    </w:rPr>
  </w:style>
  <w:style w:type="paragraph" w:styleId="Naslov1">
    <w:name w:val="heading 1"/>
    <w:aliases w:val="NASLOV"/>
    <w:basedOn w:val="Naslov2"/>
    <w:next w:val="Navaden"/>
    <w:link w:val="Naslov1Znak"/>
    <w:autoRedefine/>
    <w:qFormat/>
    <w:rsid w:val="00C13A74"/>
    <w:pPr>
      <w:keepLines w:val="0"/>
      <w:numPr>
        <w:ilvl w:val="1"/>
        <w:numId w:val="1"/>
      </w:numPr>
      <w:spacing w:before="240" w:after="60"/>
      <w:ind w:hanging="1876"/>
      <w:outlineLvl w:val="0"/>
    </w:pPr>
    <w:rPr>
      <w:rFonts w:ascii="Arial" w:eastAsia="Calibri" w:hAnsi="Arial" w:cs="Arial"/>
      <w:bCs/>
      <w:i/>
      <w:iCs/>
      <w:color w:val="auto"/>
      <w:kern w:val="32"/>
      <w:sz w:val="22"/>
      <w:szCs w:val="22"/>
      <w:lang w:eastAsia="en-US"/>
    </w:rPr>
  </w:style>
  <w:style w:type="paragraph" w:styleId="Naslov2">
    <w:name w:val="heading 2"/>
    <w:basedOn w:val="Navaden"/>
    <w:next w:val="Navaden"/>
    <w:link w:val="Naslov2Znak"/>
    <w:uiPriority w:val="9"/>
    <w:semiHidden/>
    <w:unhideWhenUsed/>
    <w:qFormat/>
    <w:rsid w:val="00965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65930"/>
    <w:pPr>
      <w:tabs>
        <w:tab w:val="center" w:pos="4320"/>
        <w:tab w:val="right" w:pos="8640"/>
      </w:tabs>
    </w:pPr>
  </w:style>
  <w:style w:type="character" w:customStyle="1" w:styleId="GlavaZnak">
    <w:name w:val="Glava Znak"/>
    <w:basedOn w:val="Privzetapisavaodstavka"/>
    <w:link w:val="Glava"/>
    <w:rsid w:val="00965930"/>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semiHidden/>
    <w:rsid w:val="00965930"/>
    <w:pPr>
      <w:tabs>
        <w:tab w:val="center" w:pos="4320"/>
        <w:tab w:val="right" w:pos="8640"/>
      </w:tabs>
    </w:pPr>
  </w:style>
  <w:style w:type="character" w:customStyle="1" w:styleId="NogaZnak">
    <w:name w:val="Noga Znak"/>
    <w:basedOn w:val="Privzetapisavaodstavka"/>
    <w:link w:val="Noga"/>
    <w:semiHidden/>
    <w:rsid w:val="00965930"/>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965930"/>
  </w:style>
  <w:style w:type="character" w:customStyle="1" w:styleId="Naslov1Znak">
    <w:name w:val="Naslov 1 Znak"/>
    <w:aliases w:val="NASLOV Znak"/>
    <w:basedOn w:val="Privzetapisavaodstavka"/>
    <w:link w:val="Naslov1"/>
    <w:rsid w:val="00C13A74"/>
    <w:rPr>
      <w:rFonts w:ascii="Arial" w:eastAsia="Calibri" w:hAnsi="Arial" w:cs="Arial"/>
      <w:bCs/>
      <w:i/>
      <w:iCs/>
      <w:kern w:val="32"/>
      <w14:ligatures w14:val="none"/>
    </w:rPr>
  </w:style>
  <w:style w:type="character" w:styleId="Krepko">
    <w:name w:val="Strong"/>
    <w:qFormat/>
    <w:rsid w:val="00965930"/>
    <w:rPr>
      <w:b/>
      <w:bCs/>
    </w:rPr>
  </w:style>
  <w:style w:type="character" w:customStyle="1" w:styleId="Naslov2Znak">
    <w:name w:val="Naslov 2 Znak"/>
    <w:basedOn w:val="Privzetapisavaodstavka"/>
    <w:link w:val="Naslov2"/>
    <w:uiPriority w:val="9"/>
    <w:semiHidden/>
    <w:rsid w:val="00965930"/>
    <w:rPr>
      <w:rFonts w:asciiTheme="majorHAnsi" w:eastAsiaTheme="majorEastAsia" w:hAnsiTheme="majorHAnsi" w:cstheme="majorBidi"/>
      <w:color w:val="2F5496" w:themeColor="accent1" w:themeShade="BF"/>
      <w:kern w:val="0"/>
      <w:sz w:val="26"/>
      <w:szCs w:val="26"/>
      <w:lang w:eastAsia="sl-SI"/>
      <w14:ligatures w14:val="none"/>
    </w:rPr>
  </w:style>
  <w:style w:type="character" w:styleId="Pripombasklic">
    <w:name w:val="annotation reference"/>
    <w:basedOn w:val="Privzetapisavaodstavka"/>
    <w:uiPriority w:val="99"/>
    <w:semiHidden/>
    <w:unhideWhenUsed/>
    <w:rsid w:val="00395719"/>
    <w:rPr>
      <w:sz w:val="16"/>
      <w:szCs w:val="16"/>
    </w:rPr>
  </w:style>
  <w:style w:type="paragraph" w:styleId="Pripombabesedilo">
    <w:name w:val="annotation text"/>
    <w:basedOn w:val="Navaden"/>
    <w:link w:val="PripombabesediloZnak"/>
    <w:uiPriority w:val="99"/>
    <w:unhideWhenUsed/>
    <w:rsid w:val="00395719"/>
    <w:rPr>
      <w:sz w:val="20"/>
      <w:szCs w:val="20"/>
    </w:rPr>
  </w:style>
  <w:style w:type="character" w:customStyle="1" w:styleId="PripombabesediloZnak">
    <w:name w:val="Pripomba – besedilo Znak"/>
    <w:basedOn w:val="Privzetapisavaodstavka"/>
    <w:link w:val="Pripombabesedilo"/>
    <w:uiPriority w:val="99"/>
    <w:rsid w:val="00395719"/>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395719"/>
    <w:rPr>
      <w:b/>
      <w:bCs/>
    </w:rPr>
  </w:style>
  <w:style w:type="character" w:customStyle="1" w:styleId="ZadevapripombeZnak">
    <w:name w:val="Zadeva pripombe Znak"/>
    <w:basedOn w:val="PripombabesediloZnak"/>
    <w:link w:val="Zadevapripombe"/>
    <w:uiPriority w:val="99"/>
    <w:semiHidden/>
    <w:rsid w:val="00395719"/>
    <w:rPr>
      <w:rFonts w:ascii="Times New Roman" w:eastAsia="Times New Roman" w:hAnsi="Times New Roman" w:cs="Times New Roman"/>
      <w:b/>
      <w:bCs/>
      <w:kern w:val="0"/>
      <w:sz w:val="20"/>
      <w:szCs w:val="20"/>
      <w:lang w:eastAsia="sl-SI"/>
      <w14:ligatures w14:val="none"/>
    </w:rPr>
  </w:style>
  <w:style w:type="paragraph" w:styleId="Odstavekseznama">
    <w:name w:val="List Paragraph"/>
    <w:basedOn w:val="Navaden"/>
    <w:uiPriority w:val="34"/>
    <w:qFormat/>
    <w:rsid w:val="007A52D5"/>
    <w:pPr>
      <w:ind w:left="720"/>
      <w:contextualSpacing/>
    </w:pPr>
  </w:style>
  <w:style w:type="paragraph" w:styleId="Revizija">
    <w:name w:val="Revision"/>
    <w:hidden/>
    <w:uiPriority w:val="99"/>
    <w:semiHidden/>
    <w:rsid w:val="00AC6DA5"/>
    <w:pPr>
      <w:spacing w:line="240" w:lineRule="auto"/>
      <w:ind w:left="0" w:right="0"/>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1605</Words>
  <Characters>9153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Ivana Hodak</cp:lastModifiedBy>
  <cp:revision>4</cp:revision>
  <cp:lastPrinted>2024-03-08T10:58:00Z</cp:lastPrinted>
  <dcterms:created xsi:type="dcterms:W3CDTF">2024-05-20T08:10:00Z</dcterms:created>
  <dcterms:modified xsi:type="dcterms:W3CDTF">2024-05-23T07:33:00Z</dcterms:modified>
</cp:coreProperties>
</file>