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6780" w14:textId="4B8AA957" w:rsidR="006C5755" w:rsidRPr="00202A77" w:rsidRDefault="006C5755" w:rsidP="00F728A4">
      <w:pPr>
        <w:pStyle w:val="Brezrazmikov"/>
        <w:jc w:val="both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5031FCA5" wp14:editId="55D5D3F2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886075" cy="662940"/>
                <wp:effectExtent l="0" t="0" r="9525" b="381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8393A" w14:textId="14D86269" w:rsidR="00DC29C1" w:rsidRPr="000967CB" w:rsidRDefault="0050497B" w:rsidP="006C5755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szCs w:val="20"/>
                              </w:rPr>
                              <w:t>Vsem</w:t>
                            </w:r>
                            <w:r w:rsidRPr="00064E29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Cs/>
                                <w:szCs w:val="20"/>
                                <w:lang w:eastAsia="sl-SI"/>
                              </w:rPr>
                              <w:t>javnim zdravstvenim zavodom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- izvajalcem zdravstvene dejavnosti v mreži javne zdravstvene službe n</w:t>
                            </w:r>
                            <w:r w:rsidR="00D30D40">
                              <w:rPr>
                                <w:rFonts w:cs="Arial"/>
                                <w:szCs w:val="20"/>
                              </w:rPr>
                              <w:t>a primarni ravni</w:t>
                            </w:r>
                          </w:p>
                          <w:p w14:paraId="12284442" w14:textId="77777777" w:rsidR="002C34EE" w:rsidRPr="000967CB" w:rsidRDefault="002C34EE" w:rsidP="006C5755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1F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227.25pt;height:52.2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" o:allowoverlap="f" filled="f" stroked="f">
                <v:textbox inset="0,0,0,0">
                  <w:txbxContent>
                    <w:p w14:paraId="3028393A" w14:textId="14D86269" w:rsidR="00DC29C1" w:rsidRPr="000967CB" w:rsidRDefault="0050497B" w:rsidP="006C5755">
                      <w:pPr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szCs w:val="20"/>
                        </w:rPr>
                        <w:t>Vsem</w:t>
                      </w:r>
                      <w:r w:rsidRPr="00064E29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Cs/>
                          <w:szCs w:val="20"/>
                          <w:lang w:eastAsia="sl-SI"/>
                        </w:rPr>
                        <w:t>javnim zdravstvenim zavodom</w:t>
                      </w:r>
                      <w:r>
                        <w:rPr>
                          <w:rFonts w:cs="Arial"/>
                          <w:szCs w:val="20"/>
                        </w:rPr>
                        <w:t xml:space="preserve"> - izvajalcem zdravstvene dejavnosti v mreži javne zdravstvene službe n</w:t>
                      </w:r>
                      <w:r w:rsidR="00D30D40">
                        <w:rPr>
                          <w:rFonts w:cs="Arial"/>
                          <w:szCs w:val="20"/>
                        </w:rPr>
                        <w:t>a primarni ravni</w:t>
                      </w:r>
                    </w:p>
                    <w:p w14:paraId="12284442" w14:textId="77777777" w:rsidR="002C34EE" w:rsidRPr="000967CB" w:rsidRDefault="002C34EE" w:rsidP="006C5755">
                      <w:pPr>
                        <w:rPr>
                          <w:b/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202A77">
        <w:t xml:space="preserve">Številka: </w:t>
      </w:r>
      <w:r w:rsidR="00456CCE">
        <w:t>007-</w:t>
      </w:r>
      <w:r w:rsidR="00BB245B">
        <w:t>230</w:t>
      </w:r>
      <w:r w:rsidR="00456CCE">
        <w:t>/202</w:t>
      </w:r>
      <w:r w:rsidR="00BB245B">
        <w:t>2</w:t>
      </w:r>
      <w:r w:rsidR="00456CCE">
        <w:t>/</w:t>
      </w:r>
      <w:r w:rsidR="00455566">
        <w:t>642</w:t>
      </w:r>
    </w:p>
    <w:p w14:paraId="563E9308" w14:textId="1EB94312" w:rsidR="006C5755" w:rsidRDefault="006C5755" w:rsidP="00F728A4">
      <w:pPr>
        <w:pStyle w:val="Brezrazmikov"/>
        <w:jc w:val="both"/>
      </w:pPr>
      <w:r w:rsidRPr="00202A77">
        <w:t xml:space="preserve">Datum: </w:t>
      </w:r>
      <w:r w:rsidRPr="00202A77">
        <w:tab/>
      </w:r>
      <w:r w:rsidR="000E00E0">
        <w:t>0</w:t>
      </w:r>
      <w:r w:rsidR="00455B9F">
        <w:t>4</w:t>
      </w:r>
      <w:r w:rsidR="0042373F">
        <w:t xml:space="preserve">. </w:t>
      </w:r>
      <w:r w:rsidR="000E00E0">
        <w:t>01</w:t>
      </w:r>
      <w:r w:rsidR="0042373F">
        <w:t>. 202</w:t>
      </w:r>
      <w:r w:rsidR="000E00E0">
        <w:t>3</w:t>
      </w:r>
    </w:p>
    <w:p w14:paraId="399B8B93" w14:textId="77777777" w:rsidR="006C5755" w:rsidRDefault="006C5755" w:rsidP="00F728A4">
      <w:pPr>
        <w:pStyle w:val="Brezrazmikov"/>
        <w:jc w:val="both"/>
      </w:pPr>
    </w:p>
    <w:p w14:paraId="1F464EEF" w14:textId="77777777" w:rsidR="006C5755" w:rsidRPr="00E311AD" w:rsidRDefault="006C5755" w:rsidP="00F728A4">
      <w:pPr>
        <w:pStyle w:val="Brezrazmikov"/>
        <w:jc w:val="both"/>
        <w:rPr>
          <w:szCs w:val="20"/>
          <w:lang w:eastAsia="sl-SI"/>
        </w:rPr>
      </w:pPr>
    </w:p>
    <w:p w14:paraId="674EFA11" w14:textId="19B09CF9" w:rsidR="006C5755" w:rsidRPr="00E311AD" w:rsidRDefault="006C5755" w:rsidP="00F728A4">
      <w:pPr>
        <w:pStyle w:val="Brezrazmikov"/>
        <w:jc w:val="both"/>
        <w:rPr>
          <w:szCs w:val="20"/>
          <w:lang w:eastAsia="sl-SI"/>
        </w:rPr>
      </w:pPr>
    </w:p>
    <w:p w14:paraId="0AC88939" w14:textId="5F916E3B" w:rsidR="006157E6" w:rsidRDefault="00E03CFE" w:rsidP="000E39EB">
      <w:pPr>
        <w:pStyle w:val="Brezrazmikov"/>
        <w:jc w:val="both"/>
        <w:rPr>
          <w:b/>
          <w:bCs/>
          <w:szCs w:val="20"/>
          <w:lang w:eastAsia="sl-SI"/>
        </w:rPr>
      </w:pPr>
      <w:r w:rsidRPr="001B6B52">
        <w:rPr>
          <w:b/>
          <w:bCs/>
          <w:szCs w:val="20"/>
          <w:lang w:eastAsia="sl-SI"/>
        </w:rPr>
        <w:t xml:space="preserve">Zadeva: </w:t>
      </w:r>
      <w:r w:rsidR="006157E6">
        <w:rPr>
          <w:b/>
          <w:bCs/>
          <w:szCs w:val="20"/>
          <w:lang w:eastAsia="sl-SI"/>
        </w:rPr>
        <w:t xml:space="preserve">Poročanje o dodatku za povečan obseg dela za posebne obremenitve za mesec december 2022. </w:t>
      </w:r>
    </w:p>
    <w:p w14:paraId="73214256" w14:textId="76AB93F6" w:rsidR="00C947EA" w:rsidRPr="00C947EA" w:rsidRDefault="000F79A5" w:rsidP="000E39EB">
      <w:pPr>
        <w:pStyle w:val="Brezrazmikov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 xml:space="preserve">Izvajanje </w:t>
      </w:r>
      <w:r w:rsidR="00C947EA" w:rsidRPr="00C947EA">
        <w:rPr>
          <w:b/>
          <w:bCs/>
          <w:szCs w:val="20"/>
          <w:lang w:eastAsia="sl-SI"/>
        </w:rPr>
        <w:t>Uredb</w:t>
      </w:r>
      <w:r w:rsidR="00C947EA">
        <w:rPr>
          <w:b/>
          <w:bCs/>
          <w:szCs w:val="20"/>
          <w:lang w:eastAsia="sl-SI"/>
        </w:rPr>
        <w:t>e</w:t>
      </w:r>
      <w:r w:rsidR="00C947EA" w:rsidRPr="00C947EA">
        <w:rPr>
          <w:b/>
          <w:bCs/>
          <w:szCs w:val="20"/>
          <w:lang w:eastAsia="sl-SI"/>
        </w:rPr>
        <w:t xml:space="preserve"> o določitvi višine dodatka za povečan obseg dela za posebne obremenitve in dodatka za zaposlitev dodatnega zdravstvenega kadra (Uradni list RS, št. 142/22) ter Uredb</w:t>
      </w:r>
      <w:r w:rsidR="00455566">
        <w:rPr>
          <w:b/>
          <w:bCs/>
          <w:szCs w:val="20"/>
          <w:lang w:eastAsia="sl-SI"/>
        </w:rPr>
        <w:t>e</w:t>
      </w:r>
      <w:r w:rsidR="00C947EA" w:rsidRPr="00C947EA">
        <w:rPr>
          <w:b/>
          <w:bCs/>
          <w:szCs w:val="20"/>
          <w:lang w:eastAsia="sl-SI"/>
        </w:rPr>
        <w:t xml:space="preserve"> o spremembah Uredbe o določitvi višine dodatka za povečan obseg dela za posebne obremenitve in dodatka za zaposlitev dodatnega zdravstvenega kadra (Uradni list RS, št. 146/22).</w:t>
      </w:r>
    </w:p>
    <w:p w14:paraId="357D2B04" w14:textId="77777777" w:rsidR="002B632C" w:rsidRDefault="002B632C" w:rsidP="000F79A5">
      <w:pPr>
        <w:pStyle w:val="Brezrazmikov"/>
        <w:ind w:left="1440" w:hanging="720"/>
        <w:jc w:val="both"/>
        <w:rPr>
          <w:szCs w:val="20"/>
          <w:lang w:eastAsia="sl-SI"/>
        </w:rPr>
      </w:pPr>
    </w:p>
    <w:p w14:paraId="748838AA" w14:textId="77777777" w:rsidR="00E311AD" w:rsidRPr="00E311AD" w:rsidRDefault="00E311AD" w:rsidP="00F728A4">
      <w:pPr>
        <w:pStyle w:val="Brezrazmikov"/>
        <w:jc w:val="both"/>
        <w:rPr>
          <w:szCs w:val="20"/>
          <w:lang w:eastAsia="sl-SI"/>
        </w:rPr>
      </w:pPr>
    </w:p>
    <w:p w14:paraId="3E81AAF3" w14:textId="08D9DDB5" w:rsidR="00E03CFE" w:rsidRDefault="00E311AD" w:rsidP="00F728A4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>Spoštovani,</w:t>
      </w:r>
    </w:p>
    <w:p w14:paraId="291B21C7" w14:textId="10EB8B8A" w:rsidR="00727F7E" w:rsidRDefault="00727F7E" w:rsidP="00F728A4">
      <w:pPr>
        <w:pStyle w:val="Brezrazmikov"/>
        <w:jc w:val="both"/>
        <w:rPr>
          <w:szCs w:val="20"/>
          <w:lang w:eastAsia="sl-SI"/>
        </w:rPr>
      </w:pPr>
    </w:p>
    <w:p w14:paraId="513F6FA0" w14:textId="77777777" w:rsidR="001E0D66" w:rsidRDefault="001E0D66" w:rsidP="001E0D66">
      <w:pPr>
        <w:pStyle w:val="Brezrazmikov"/>
        <w:jc w:val="both"/>
        <w:rPr>
          <w:szCs w:val="20"/>
          <w:lang w:eastAsia="sl-SI"/>
        </w:rPr>
      </w:pPr>
      <w:bookmarkStart w:id="0" w:name="_Hlk123643436"/>
      <w:r>
        <w:rPr>
          <w:szCs w:val="20"/>
          <w:lang w:eastAsia="sl-SI"/>
        </w:rPr>
        <w:t xml:space="preserve">dne 25. 7. 2022 je bil v Uradnem listu, št. 100/2022 objavljen Zakon o nujnih ukrepih za zagotovitev stabilnosti zdravstvenega sistema (v nadaljevanju: ZNUZSZS). Na podlagi tretjega odstavka 16. člena ZNUZSZS je Vlada RS izdala Uredbo o določitvi višine dodatka za povečan obseg dela za posebne obremenitve in obsega dodatnega zdravstvenega kadra (Uradni list RS, št. 132/22), ki ni več veljavna, nadomestila jo je </w:t>
      </w:r>
      <w:r>
        <w:t xml:space="preserve">Uredba o določitvi višine dodatka za povečan obseg dela za posebne obremenitve in dodatka za zaposlitev dodatnega zdravstvenega kadra (Uradni list RS, št. 142/22 in 146/22; v nadaljnjem besedilu: Uredba), ki se uporablja od 1. 12. 2022 dalje. </w:t>
      </w:r>
      <w:bookmarkStart w:id="1" w:name="_Hlk123644856"/>
    </w:p>
    <w:bookmarkEnd w:id="1"/>
    <w:p w14:paraId="20575408" w14:textId="77777777" w:rsidR="001E0D66" w:rsidRDefault="001E0D66" w:rsidP="00F728A4">
      <w:pPr>
        <w:pStyle w:val="Brezrazmikov"/>
        <w:jc w:val="both"/>
        <w:rPr>
          <w:szCs w:val="20"/>
          <w:lang w:eastAsia="sl-SI"/>
        </w:rPr>
      </w:pPr>
    </w:p>
    <w:p w14:paraId="174BA284" w14:textId="3C576E91" w:rsidR="00B7348C" w:rsidRDefault="00C947EA" w:rsidP="00660769">
      <w:pPr>
        <w:pStyle w:val="Brezrazmikov"/>
        <w:jc w:val="both"/>
        <w:rPr>
          <w:szCs w:val="20"/>
          <w:lang w:eastAsia="sl-SI"/>
        </w:rPr>
      </w:pPr>
      <w:r w:rsidRPr="00C82CF9">
        <w:rPr>
          <w:szCs w:val="20"/>
          <w:lang w:eastAsia="sl-SI"/>
        </w:rPr>
        <w:t>Uredb</w:t>
      </w:r>
      <w:r w:rsidR="001E0D66">
        <w:rPr>
          <w:szCs w:val="20"/>
          <w:lang w:eastAsia="sl-SI"/>
        </w:rPr>
        <w:t>a</w:t>
      </w:r>
      <w:r w:rsidR="00F258D4">
        <w:rPr>
          <w:szCs w:val="20"/>
          <w:lang w:eastAsia="sl-SI"/>
        </w:rPr>
        <w:t xml:space="preserve"> d</w:t>
      </w:r>
      <w:r>
        <w:rPr>
          <w:szCs w:val="20"/>
          <w:lang w:eastAsia="sl-SI"/>
        </w:rPr>
        <w:t>oloča</w:t>
      </w:r>
      <w:r w:rsidR="001E0D66">
        <w:rPr>
          <w:szCs w:val="20"/>
          <w:lang w:eastAsia="sl-SI"/>
        </w:rPr>
        <w:t xml:space="preserve"> </w:t>
      </w:r>
      <w:r w:rsidRPr="00C82CF9">
        <w:rPr>
          <w:szCs w:val="20"/>
          <w:lang w:eastAsia="sl-SI"/>
        </w:rPr>
        <w:t>višino dodatka za zdravstvene delavce in zdravstvene sodelavce v ambulantah na primarni ravni zdravstvene dejavnosti, ki opredeljujejo paciente</w:t>
      </w:r>
      <w:r>
        <w:rPr>
          <w:szCs w:val="20"/>
          <w:lang w:eastAsia="sl-SI"/>
        </w:rPr>
        <w:t>.</w:t>
      </w:r>
      <w:r w:rsidR="00F65530">
        <w:rPr>
          <w:szCs w:val="20"/>
          <w:lang w:eastAsia="sl-SI"/>
        </w:rPr>
        <w:t xml:space="preserve"> </w:t>
      </w:r>
      <w:bookmarkEnd w:id="0"/>
    </w:p>
    <w:p w14:paraId="46B813AD" w14:textId="77777777" w:rsidR="00B7348C" w:rsidRDefault="00B7348C" w:rsidP="00660769">
      <w:pPr>
        <w:pStyle w:val="Brezrazmikov"/>
        <w:jc w:val="both"/>
        <w:rPr>
          <w:szCs w:val="20"/>
          <w:lang w:eastAsia="sl-SI"/>
        </w:rPr>
      </w:pPr>
    </w:p>
    <w:p w14:paraId="5810E69A" w14:textId="77777777" w:rsidR="00B7348C" w:rsidRDefault="00436FF7" w:rsidP="00B7348C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 xml:space="preserve">Zdravstveni delavci in zdravstveni sodelavci </w:t>
      </w:r>
      <w:r w:rsidRPr="00C82CF9">
        <w:rPr>
          <w:szCs w:val="20"/>
          <w:lang w:eastAsia="sl-SI"/>
        </w:rPr>
        <w:t xml:space="preserve">v </w:t>
      </w:r>
      <w:r>
        <w:rPr>
          <w:szCs w:val="20"/>
          <w:lang w:eastAsia="sl-SI"/>
        </w:rPr>
        <w:t xml:space="preserve">ambulantah družinske medicine in otroško šolskih dispanzerjih, dispanzerjih za ženske </w:t>
      </w:r>
      <w:r w:rsidR="00C947EA">
        <w:rPr>
          <w:szCs w:val="20"/>
          <w:lang w:eastAsia="sl-SI"/>
        </w:rPr>
        <w:t>bodo</w:t>
      </w:r>
      <w:r>
        <w:rPr>
          <w:szCs w:val="20"/>
          <w:lang w:eastAsia="sl-SI"/>
        </w:rPr>
        <w:t xml:space="preserve"> nagrajeni na podlagi kriterija</w:t>
      </w:r>
      <w:r w:rsidR="009046BC">
        <w:rPr>
          <w:szCs w:val="20"/>
          <w:lang w:eastAsia="sl-SI"/>
        </w:rPr>
        <w:t xml:space="preserve"> </w:t>
      </w:r>
      <w:r w:rsidR="00105E32">
        <w:rPr>
          <w:szCs w:val="20"/>
          <w:lang w:eastAsia="sl-SI"/>
        </w:rPr>
        <w:t>p</w:t>
      </w:r>
      <w:r w:rsidR="00105E32" w:rsidRPr="00833E0C">
        <w:rPr>
          <w:szCs w:val="20"/>
          <w:lang w:eastAsia="sl-SI"/>
        </w:rPr>
        <w:t>reseganj</w:t>
      </w:r>
      <w:r>
        <w:rPr>
          <w:szCs w:val="20"/>
          <w:lang w:eastAsia="sl-SI"/>
        </w:rPr>
        <w:t>a</w:t>
      </w:r>
      <w:r w:rsidR="00105E32" w:rsidRPr="00833E0C">
        <w:rPr>
          <w:szCs w:val="20"/>
          <w:lang w:eastAsia="sl-SI"/>
        </w:rPr>
        <w:t xml:space="preserve"> </w:t>
      </w:r>
      <w:proofErr w:type="spellStart"/>
      <w:r w:rsidR="00105E32" w:rsidRPr="00833E0C">
        <w:rPr>
          <w:szCs w:val="20"/>
          <w:lang w:eastAsia="sl-SI"/>
        </w:rPr>
        <w:t>glavarinskih</w:t>
      </w:r>
      <w:proofErr w:type="spellEnd"/>
      <w:r w:rsidR="00105E32" w:rsidRPr="00833E0C">
        <w:rPr>
          <w:szCs w:val="20"/>
          <w:lang w:eastAsia="sl-SI"/>
        </w:rPr>
        <w:t xml:space="preserve"> količnikov na tim </w:t>
      </w:r>
      <w:r>
        <w:rPr>
          <w:szCs w:val="20"/>
          <w:lang w:eastAsia="sl-SI"/>
        </w:rPr>
        <w:t>in</w:t>
      </w:r>
      <w:r w:rsidR="00105E32" w:rsidRPr="00833E0C">
        <w:rPr>
          <w:szCs w:val="20"/>
          <w:lang w:eastAsia="sl-SI"/>
        </w:rPr>
        <w:t xml:space="preserve"> tudi glede na </w:t>
      </w:r>
      <w:r w:rsidR="009046BC">
        <w:rPr>
          <w:szCs w:val="20"/>
          <w:lang w:eastAsia="sl-SI"/>
        </w:rPr>
        <w:t>preseganje</w:t>
      </w:r>
      <w:r w:rsidR="00105E32">
        <w:rPr>
          <w:szCs w:val="20"/>
          <w:lang w:eastAsia="sl-SI"/>
        </w:rPr>
        <w:t xml:space="preserve"> š</w:t>
      </w:r>
      <w:r w:rsidR="00105E32" w:rsidRPr="00833E0C">
        <w:rPr>
          <w:szCs w:val="20"/>
          <w:lang w:eastAsia="sl-SI"/>
        </w:rPr>
        <w:t>tevil</w:t>
      </w:r>
      <w:r w:rsidR="00105E32">
        <w:rPr>
          <w:szCs w:val="20"/>
          <w:lang w:eastAsia="sl-SI"/>
        </w:rPr>
        <w:t>a</w:t>
      </w:r>
      <w:r w:rsidR="00105E32" w:rsidRPr="00833E0C">
        <w:rPr>
          <w:szCs w:val="20"/>
          <w:lang w:eastAsia="sl-SI"/>
        </w:rPr>
        <w:t xml:space="preserve"> </w:t>
      </w:r>
      <w:r w:rsidR="00660769" w:rsidRPr="000E39EB">
        <w:rPr>
          <w:szCs w:val="20"/>
          <w:lang w:eastAsia="sl-SI"/>
        </w:rPr>
        <w:t>količnikov iz obiskov</w:t>
      </w:r>
      <w:r w:rsidRPr="000E39EB">
        <w:rPr>
          <w:szCs w:val="20"/>
          <w:lang w:eastAsia="sl-SI"/>
        </w:rPr>
        <w:t>,</w:t>
      </w:r>
      <w:r w:rsidR="009046BC" w:rsidRPr="000E39EB">
        <w:rPr>
          <w:szCs w:val="20"/>
          <w:lang w:eastAsia="sl-SI"/>
        </w:rPr>
        <w:t xml:space="preserve"> </w:t>
      </w:r>
      <w:r w:rsidRPr="000E39EB">
        <w:rPr>
          <w:szCs w:val="20"/>
          <w:lang w:eastAsia="sl-SI"/>
        </w:rPr>
        <w:t xml:space="preserve">v </w:t>
      </w:r>
      <w:r w:rsidR="00105E32" w:rsidRPr="000E39EB">
        <w:rPr>
          <w:szCs w:val="20"/>
          <w:lang w:eastAsia="sl-SI"/>
        </w:rPr>
        <w:t>zobozdravstvenih ordinacijah za odrasl</w:t>
      </w:r>
      <w:r w:rsidR="009046BC" w:rsidRPr="000E39EB">
        <w:rPr>
          <w:szCs w:val="20"/>
          <w:lang w:eastAsia="sl-SI"/>
        </w:rPr>
        <w:t xml:space="preserve">e, </w:t>
      </w:r>
      <w:r w:rsidR="00105E32" w:rsidRPr="000E39EB">
        <w:rPr>
          <w:szCs w:val="20"/>
          <w:lang w:eastAsia="sl-SI"/>
        </w:rPr>
        <w:t>mladino</w:t>
      </w:r>
      <w:r w:rsidR="009046BC" w:rsidRPr="000E39EB">
        <w:rPr>
          <w:szCs w:val="20"/>
          <w:lang w:eastAsia="sl-SI"/>
        </w:rPr>
        <w:t xml:space="preserve"> in študente</w:t>
      </w:r>
      <w:r w:rsidR="00105E32" w:rsidRPr="000E39EB">
        <w:rPr>
          <w:szCs w:val="20"/>
          <w:lang w:eastAsia="sl-SI"/>
        </w:rPr>
        <w:t xml:space="preserve"> </w:t>
      </w:r>
      <w:r w:rsidRPr="000E39EB">
        <w:rPr>
          <w:szCs w:val="20"/>
          <w:lang w:eastAsia="sl-SI"/>
        </w:rPr>
        <w:t>pa</w:t>
      </w:r>
      <w:r w:rsidR="00077366" w:rsidRPr="000E39EB">
        <w:rPr>
          <w:szCs w:val="20"/>
          <w:lang w:eastAsia="sl-SI"/>
        </w:rPr>
        <w:t xml:space="preserve"> so nagrajeni</w:t>
      </w:r>
      <w:r w:rsidRPr="000E39EB">
        <w:rPr>
          <w:szCs w:val="20"/>
          <w:lang w:eastAsia="sl-SI"/>
        </w:rPr>
        <w:t xml:space="preserve"> na podlagi</w:t>
      </w:r>
      <w:r w:rsidR="00105E32" w:rsidRPr="000E39EB">
        <w:rPr>
          <w:szCs w:val="20"/>
          <w:lang w:eastAsia="sl-SI"/>
        </w:rPr>
        <w:t xml:space="preserve"> preseganja točk</w:t>
      </w:r>
      <w:r w:rsidR="00B7348C">
        <w:rPr>
          <w:szCs w:val="20"/>
          <w:lang w:eastAsia="sl-SI"/>
        </w:rPr>
        <w:t xml:space="preserve">. </w:t>
      </w:r>
    </w:p>
    <w:p w14:paraId="02664C25" w14:textId="25FED403" w:rsidR="00F258D4" w:rsidRDefault="00660769" w:rsidP="00B7348C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>Mesečni plan števila opravljenih storitev in vrednost</w:t>
      </w:r>
      <w:r w:rsidR="00455566">
        <w:rPr>
          <w:szCs w:val="20"/>
          <w:lang w:eastAsia="sl-SI"/>
        </w:rPr>
        <w:t>i</w:t>
      </w:r>
      <w:r>
        <w:rPr>
          <w:szCs w:val="20"/>
          <w:lang w:eastAsia="sl-SI"/>
        </w:rPr>
        <w:t xml:space="preserve"> količnikov POD_PO so oblikovan</w:t>
      </w:r>
      <w:r w:rsidR="00455566">
        <w:rPr>
          <w:szCs w:val="20"/>
          <w:lang w:eastAsia="sl-SI"/>
        </w:rPr>
        <w:t>e</w:t>
      </w:r>
      <w:r>
        <w:rPr>
          <w:szCs w:val="20"/>
          <w:lang w:eastAsia="sl-SI"/>
        </w:rPr>
        <w:t xml:space="preserve"> na podlagi </w:t>
      </w:r>
      <w:r w:rsidR="004A31AC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standardov v Splošnem dogovoru za pogodbeno leto 2022</w:t>
      </w:r>
      <w:r w:rsidR="00EB7A5A">
        <w:rPr>
          <w:szCs w:val="20"/>
          <w:lang w:eastAsia="sl-SI"/>
        </w:rPr>
        <w:t xml:space="preserve"> ter na podlagi cen zdravstvenih storitev objavljenih</w:t>
      </w:r>
      <w:r w:rsidR="00F258D4">
        <w:rPr>
          <w:szCs w:val="20"/>
          <w:lang w:eastAsia="sl-SI"/>
        </w:rPr>
        <w:t xml:space="preserve"> </w:t>
      </w:r>
      <w:r w:rsidR="00EB7A5A">
        <w:rPr>
          <w:szCs w:val="20"/>
          <w:lang w:eastAsia="sl-SI"/>
        </w:rPr>
        <w:t xml:space="preserve">na spletni strani </w:t>
      </w:r>
      <w:r w:rsidR="00722E28">
        <w:rPr>
          <w:szCs w:val="20"/>
          <w:lang w:eastAsia="sl-SI"/>
        </w:rPr>
        <w:t xml:space="preserve"> Zavoda za zdravstveno zavarovanje</w:t>
      </w:r>
      <w:r w:rsidR="00DE6474">
        <w:rPr>
          <w:szCs w:val="20"/>
          <w:lang w:eastAsia="sl-SI"/>
        </w:rPr>
        <w:t xml:space="preserve"> Slovenije (v nadaljnjem besedilu: ZZZS): </w:t>
      </w:r>
    </w:p>
    <w:p w14:paraId="41987B5F" w14:textId="52EAC049" w:rsidR="00105E32" w:rsidRDefault="00077366" w:rsidP="00436FF7">
      <w:pPr>
        <w:tabs>
          <w:tab w:val="left" w:pos="9720"/>
          <w:tab w:val="left" w:pos="10204"/>
        </w:tabs>
        <w:suppressAutoHyphens/>
        <w:jc w:val="both"/>
        <w:rPr>
          <w:szCs w:val="20"/>
          <w:lang w:eastAsia="sl-SI"/>
        </w:rPr>
      </w:pPr>
      <w:r w:rsidRPr="00077366">
        <w:rPr>
          <w:szCs w:val="20"/>
          <w:lang w:eastAsia="sl-SI"/>
        </w:rPr>
        <w:t>https://partner.zzzs.si/wps/portal/portali/aizv/zdravstvene_storitve/cene_%20za_izvajalce_zdr_storitev/cene_in_izhodisca_za_cene</w:t>
      </w:r>
      <w:r w:rsidR="00436FF7">
        <w:rPr>
          <w:szCs w:val="20"/>
          <w:lang w:eastAsia="sl-SI"/>
        </w:rPr>
        <w:t>.</w:t>
      </w:r>
      <w:r w:rsidR="00105E32" w:rsidRPr="00833E0C">
        <w:rPr>
          <w:szCs w:val="20"/>
          <w:lang w:eastAsia="sl-SI"/>
        </w:rPr>
        <w:t xml:space="preserve"> </w:t>
      </w:r>
    </w:p>
    <w:p w14:paraId="0564DF7D" w14:textId="77777777" w:rsidR="00077366" w:rsidRPr="00077366" w:rsidRDefault="00077366" w:rsidP="00077366">
      <w:pPr>
        <w:tabs>
          <w:tab w:val="left" w:pos="9720"/>
          <w:tab w:val="left" w:pos="10204"/>
        </w:tabs>
        <w:suppressAutoHyphens/>
        <w:jc w:val="both"/>
        <w:rPr>
          <w:szCs w:val="20"/>
          <w:lang w:eastAsia="sl-SI"/>
        </w:rPr>
      </w:pPr>
    </w:p>
    <w:p w14:paraId="1D2C0558" w14:textId="0A65AF7F" w:rsidR="000E39EB" w:rsidRDefault="006157E6" w:rsidP="00BB245B">
      <w:pPr>
        <w:spacing w:after="200"/>
        <w:jc w:val="both"/>
        <w:rPr>
          <w:szCs w:val="20"/>
          <w:lang w:eastAsia="sl-SI"/>
        </w:rPr>
      </w:pPr>
      <w:r>
        <w:rPr>
          <w:szCs w:val="20"/>
          <w:lang w:eastAsia="sl-SI"/>
        </w:rPr>
        <w:t>S</w:t>
      </w:r>
      <w:r w:rsidR="00BB245B">
        <w:rPr>
          <w:szCs w:val="20"/>
          <w:lang w:eastAsia="sl-SI"/>
        </w:rPr>
        <w:t xml:space="preserve">redstva za </w:t>
      </w:r>
      <w:r w:rsidR="00C1725B">
        <w:rPr>
          <w:szCs w:val="20"/>
          <w:lang w:eastAsia="sl-SI"/>
        </w:rPr>
        <w:t xml:space="preserve">izplačilo </w:t>
      </w:r>
      <w:r>
        <w:rPr>
          <w:szCs w:val="20"/>
          <w:lang w:eastAsia="sl-SI"/>
        </w:rPr>
        <w:t>dodatka za povečan obseg dela za posebne obremenitve</w:t>
      </w:r>
      <w:r w:rsidR="00C1725B">
        <w:rPr>
          <w:szCs w:val="20"/>
          <w:lang w:eastAsia="sl-SI"/>
        </w:rPr>
        <w:t xml:space="preserve"> </w:t>
      </w:r>
      <w:r w:rsidR="00B7348C">
        <w:rPr>
          <w:szCs w:val="20"/>
          <w:lang w:eastAsia="sl-SI"/>
        </w:rPr>
        <w:t xml:space="preserve">na podlagi </w:t>
      </w:r>
      <w:r w:rsidR="00611E9E">
        <w:rPr>
          <w:szCs w:val="20"/>
          <w:lang w:eastAsia="sl-SI"/>
        </w:rPr>
        <w:t>Uredb</w:t>
      </w:r>
      <w:r w:rsidR="00722E28">
        <w:rPr>
          <w:szCs w:val="20"/>
          <w:lang w:eastAsia="sl-SI"/>
        </w:rPr>
        <w:t>e</w:t>
      </w:r>
      <w:r w:rsidR="00C1725B">
        <w:rPr>
          <w:szCs w:val="20"/>
          <w:lang w:eastAsia="sl-SI"/>
        </w:rPr>
        <w:t xml:space="preserve"> </w:t>
      </w:r>
      <w:r w:rsidR="00F258D4">
        <w:rPr>
          <w:szCs w:val="20"/>
          <w:lang w:eastAsia="sl-SI"/>
        </w:rPr>
        <w:t>se zagotavljajo iz sredstev</w:t>
      </w:r>
      <w:r>
        <w:rPr>
          <w:szCs w:val="20"/>
          <w:lang w:eastAsia="sl-SI"/>
        </w:rPr>
        <w:t xml:space="preserve">, </w:t>
      </w:r>
      <w:r w:rsidRPr="006157E6">
        <w:rPr>
          <w:szCs w:val="20"/>
          <w:lang w:eastAsia="sl-SI"/>
        </w:rPr>
        <w:t xml:space="preserve">pridobljenih na podlagi izvajanja storitev povečanega obsega programa, in sicer v višini, ki se nanaša na </w:t>
      </w:r>
      <w:proofErr w:type="spellStart"/>
      <w:r w:rsidRPr="006157E6">
        <w:rPr>
          <w:szCs w:val="20"/>
          <w:lang w:eastAsia="sl-SI"/>
        </w:rPr>
        <w:t>kalkulativni</w:t>
      </w:r>
      <w:proofErr w:type="spellEnd"/>
      <w:r w:rsidRPr="006157E6">
        <w:rPr>
          <w:szCs w:val="20"/>
          <w:lang w:eastAsia="sl-SI"/>
        </w:rPr>
        <w:t xml:space="preserve"> element plač in drugih prejemkov v skladu </w:t>
      </w:r>
      <w:r w:rsidR="00F90A94">
        <w:rPr>
          <w:szCs w:val="20"/>
          <w:lang w:eastAsia="sl-SI"/>
        </w:rPr>
        <w:t>z veljavno zakonodajo</w:t>
      </w:r>
      <w:r w:rsidRPr="006157E6">
        <w:rPr>
          <w:szCs w:val="20"/>
          <w:lang w:eastAsia="sl-SI"/>
        </w:rPr>
        <w:t>, kolektivnimi pogodbami in drugimi splošnimi akti, razliko pa zagotovi proračun Republike Slovenije.</w:t>
      </w:r>
    </w:p>
    <w:p w14:paraId="4E5188F2" w14:textId="399ED3B1" w:rsidR="00BB245B" w:rsidRDefault="006157E6" w:rsidP="00BB245B">
      <w:pPr>
        <w:spacing w:after="200"/>
        <w:jc w:val="both"/>
        <w:rPr>
          <w:szCs w:val="20"/>
          <w:lang w:eastAsia="sl-SI"/>
        </w:rPr>
      </w:pPr>
      <w:r w:rsidRPr="006157E6">
        <w:rPr>
          <w:szCs w:val="20"/>
          <w:lang w:eastAsia="sl-SI"/>
        </w:rPr>
        <w:lastRenderedPageBreak/>
        <w:t>Sredstva za izplačilo dodatk</w:t>
      </w:r>
      <w:r>
        <w:rPr>
          <w:szCs w:val="20"/>
          <w:lang w:eastAsia="sl-SI"/>
        </w:rPr>
        <w:t>a za povečan obseg dela za posebne obremenitev lah</w:t>
      </w:r>
      <w:r w:rsidRPr="006157E6">
        <w:rPr>
          <w:szCs w:val="20"/>
          <w:lang w:eastAsia="sl-SI"/>
        </w:rPr>
        <w:t xml:space="preserve">ko uveljavlja le izvajalec, ki ima usklajene, popolne in ažurirane podatke v Evidenci gibanja zdravstvenih delavcev in mreža zdravstvenih zavodov, ki jo upravlja Nacionalni inštitut za javno zdravje. </w:t>
      </w:r>
    </w:p>
    <w:p w14:paraId="28FF8980" w14:textId="21F73025" w:rsidR="00BB245B" w:rsidRDefault="00BB245B" w:rsidP="00BB245B">
      <w:pPr>
        <w:tabs>
          <w:tab w:val="left" w:pos="9720"/>
          <w:tab w:val="left" w:pos="10204"/>
        </w:tabs>
        <w:suppressAutoHyphens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Za namen spremljanja </w:t>
      </w:r>
      <w:r w:rsidR="00627017">
        <w:rPr>
          <w:rFonts w:cs="Arial"/>
          <w:iCs/>
          <w:szCs w:val="20"/>
          <w:lang w:eastAsia="sl-SI"/>
        </w:rPr>
        <w:t>in</w:t>
      </w:r>
      <w:r>
        <w:rPr>
          <w:rFonts w:cs="Arial"/>
          <w:iCs/>
          <w:szCs w:val="20"/>
          <w:lang w:eastAsia="sl-SI"/>
        </w:rPr>
        <w:t xml:space="preserve"> preverjanja upravičenosti izplačil </w:t>
      </w:r>
      <w:r w:rsidR="00627017">
        <w:rPr>
          <w:rFonts w:cs="Arial"/>
          <w:iCs/>
          <w:szCs w:val="20"/>
          <w:lang w:eastAsia="sl-SI"/>
        </w:rPr>
        <w:t xml:space="preserve">dodatkov na podlagi </w:t>
      </w:r>
      <w:r w:rsidR="00B90196">
        <w:rPr>
          <w:rFonts w:cs="Arial"/>
          <w:iCs/>
          <w:szCs w:val="20"/>
          <w:lang w:eastAsia="sl-SI"/>
        </w:rPr>
        <w:t>tretjega odstavka 16. člena</w:t>
      </w:r>
      <w:r w:rsidR="00627017">
        <w:rPr>
          <w:rFonts w:cs="Arial"/>
          <w:iCs/>
          <w:szCs w:val="20"/>
          <w:lang w:eastAsia="sl-SI"/>
        </w:rPr>
        <w:t xml:space="preserve"> ZNUZSZ</w:t>
      </w:r>
      <w:r>
        <w:rPr>
          <w:rFonts w:cs="Arial"/>
          <w:iCs/>
          <w:szCs w:val="20"/>
          <w:lang w:eastAsia="sl-SI"/>
        </w:rPr>
        <w:t xml:space="preserve"> morajo </w:t>
      </w:r>
      <w:r w:rsidR="00627017">
        <w:rPr>
          <w:rFonts w:cs="Arial"/>
          <w:iCs/>
          <w:szCs w:val="20"/>
          <w:lang w:eastAsia="sl-SI"/>
        </w:rPr>
        <w:t xml:space="preserve">izvajalci beležiti </w:t>
      </w:r>
      <w:r w:rsidR="0031540F">
        <w:rPr>
          <w:rFonts w:cs="Arial"/>
          <w:iCs/>
          <w:szCs w:val="20"/>
          <w:lang w:eastAsia="sl-SI"/>
        </w:rPr>
        <w:t xml:space="preserve">število opravljenih količnikov iz </w:t>
      </w:r>
      <w:r w:rsidR="00AA6DAB">
        <w:rPr>
          <w:rFonts w:cs="Arial"/>
          <w:iCs/>
          <w:szCs w:val="20"/>
          <w:lang w:eastAsia="sl-SI"/>
        </w:rPr>
        <w:t>obiskov</w:t>
      </w:r>
      <w:r w:rsidR="006F464E">
        <w:rPr>
          <w:rFonts w:cs="Arial"/>
          <w:iCs/>
          <w:szCs w:val="20"/>
          <w:lang w:eastAsia="sl-SI"/>
        </w:rPr>
        <w:t>,</w:t>
      </w:r>
      <w:r w:rsidR="0031540F">
        <w:rPr>
          <w:rFonts w:cs="Arial"/>
          <w:iCs/>
          <w:szCs w:val="20"/>
          <w:lang w:eastAsia="sl-SI"/>
        </w:rPr>
        <w:t xml:space="preserve"> število </w:t>
      </w:r>
      <w:proofErr w:type="spellStart"/>
      <w:r w:rsidR="0031540F">
        <w:rPr>
          <w:rFonts w:cs="Arial"/>
          <w:iCs/>
          <w:szCs w:val="20"/>
          <w:lang w:eastAsia="sl-SI"/>
        </w:rPr>
        <w:t>glavarinskih</w:t>
      </w:r>
      <w:proofErr w:type="spellEnd"/>
      <w:r w:rsidR="0031540F">
        <w:rPr>
          <w:rFonts w:cs="Arial"/>
          <w:iCs/>
          <w:szCs w:val="20"/>
          <w:lang w:eastAsia="sl-SI"/>
        </w:rPr>
        <w:t xml:space="preserve"> količnikov</w:t>
      </w:r>
      <w:r w:rsidR="00AA6DAB">
        <w:rPr>
          <w:rFonts w:cs="Arial"/>
          <w:iCs/>
          <w:szCs w:val="20"/>
          <w:lang w:eastAsia="sl-SI"/>
        </w:rPr>
        <w:t xml:space="preserve"> in število točk</w:t>
      </w:r>
      <w:r w:rsidR="006F464E">
        <w:rPr>
          <w:rFonts w:cs="Arial"/>
          <w:iCs/>
          <w:szCs w:val="20"/>
          <w:lang w:eastAsia="sl-SI"/>
        </w:rPr>
        <w:t>,</w:t>
      </w:r>
      <w:r w:rsidR="0031540F">
        <w:rPr>
          <w:rFonts w:cs="Arial"/>
          <w:iCs/>
          <w:szCs w:val="20"/>
          <w:lang w:eastAsia="sl-SI"/>
        </w:rPr>
        <w:t xml:space="preserve"> izplačila dodatkov za </w:t>
      </w:r>
      <w:r>
        <w:rPr>
          <w:rFonts w:cs="Arial"/>
          <w:iCs/>
          <w:szCs w:val="20"/>
          <w:lang w:eastAsia="sl-SI"/>
        </w:rPr>
        <w:t>vsak posamezni tim</w:t>
      </w:r>
      <w:r w:rsidR="0031540F">
        <w:rPr>
          <w:rFonts w:cs="Arial"/>
          <w:iCs/>
          <w:szCs w:val="20"/>
          <w:lang w:eastAsia="sl-SI"/>
        </w:rPr>
        <w:t xml:space="preserve"> in vsakega posameznega upravičenca v timu</w:t>
      </w:r>
      <w:r w:rsidR="00AA6DAB">
        <w:rPr>
          <w:rFonts w:cs="Arial"/>
          <w:iCs/>
          <w:szCs w:val="20"/>
          <w:lang w:eastAsia="sl-SI"/>
        </w:rPr>
        <w:t>.</w:t>
      </w:r>
      <w:r>
        <w:rPr>
          <w:rFonts w:cs="Arial"/>
          <w:iCs/>
          <w:szCs w:val="20"/>
          <w:lang w:eastAsia="sl-SI"/>
        </w:rPr>
        <w:t xml:space="preserve"> </w:t>
      </w:r>
      <w:r w:rsidR="00751189">
        <w:rPr>
          <w:rFonts w:cs="Arial"/>
          <w:iCs/>
          <w:szCs w:val="20"/>
          <w:lang w:eastAsia="sl-SI"/>
        </w:rPr>
        <w:t xml:space="preserve">Izvajalci </w:t>
      </w:r>
      <w:r w:rsidR="00872DD9">
        <w:rPr>
          <w:rFonts w:cs="Arial"/>
          <w:iCs/>
          <w:szCs w:val="20"/>
          <w:lang w:eastAsia="sl-SI"/>
        </w:rPr>
        <w:t>po izplačilu plač</w:t>
      </w:r>
      <w:r w:rsidR="00D77AF1">
        <w:rPr>
          <w:rFonts w:cs="Arial"/>
          <w:iCs/>
          <w:szCs w:val="20"/>
          <w:lang w:eastAsia="sl-SI"/>
        </w:rPr>
        <w:t>,</w:t>
      </w:r>
      <w:r w:rsidR="00872DD9">
        <w:rPr>
          <w:rFonts w:cs="Arial"/>
          <w:iCs/>
          <w:szCs w:val="20"/>
          <w:lang w:eastAsia="sl-SI"/>
        </w:rPr>
        <w:t xml:space="preserve"> do zadnjega dne v </w:t>
      </w:r>
      <w:r w:rsidRPr="00A03C12">
        <w:rPr>
          <w:rFonts w:cs="Arial"/>
          <w:iCs/>
          <w:szCs w:val="20"/>
          <w:lang w:eastAsia="sl-SI"/>
        </w:rPr>
        <w:t>mesecu</w:t>
      </w:r>
      <w:r w:rsidRPr="00603888">
        <w:rPr>
          <w:rFonts w:cs="Arial"/>
          <w:iCs/>
          <w:szCs w:val="20"/>
          <w:lang w:eastAsia="sl-SI"/>
        </w:rPr>
        <w:t xml:space="preserve"> </w:t>
      </w:r>
      <w:r w:rsidR="00751189">
        <w:rPr>
          <w:rFonts w:cs="Arial"/>
          <w:iCs/>
          <w:szCs w:val="20"/>
          <w:lang w:eastAsia="sl-SI"/>
        </w:rPr>
        <w:t>za pretekli mesec</w:t>
      </w:r>
      <w:r w:rsidR="00D77AF1">
        <w:rPr>
          <w:rFonts w:cs="Arial"/>
          <w:iCs/>
          <w:szCs w:val="20"/>
          <w:lang w:eastAsia="sl-SI"/>
        </w:rPr>
        <w:t>,</w:t>
      </w:r>
      <w:r>
        <w:rPr>
          <w:rFonts w:cs="Arial"/>
          <w:iCs/>
          <w:szCs w:val="20"/>
          <w:lang w:eastAsia="sl-SI"/>
        </w:rPr>
        <w:t xml:space="preserve"> posreduje</w:t>
      </w:r>
      <w:r w:rsidR="00AA6DAB">
        <w:rPr>
          <w:rFonts w:cs="Arial"/>
          <w:iCs/>
          <w:szCs w:val="20"/>
          <w:lang w:eastAsia="sl-SI"/>
        </w:rPr>
        <w:t>jo</w:t>
      </w:r>
      <w:r w:rsidR="00E668D1">
        <w:rPr>
          <w:rFonts w:cs="Arial"/>
          <w:iCs/>
          <w:szCs w:val="20"/>
          <w:lang w:eastAsia="sl-SI"/>
        </w:rPr>
        <w:t xml:space="preserve"> Ministrstvu za zdravje na naslov </w:t>
      </w:r>
      <w:hyperlink r:id="rId8" w:history="1">
        <w:r w:rsidR="00E668D1" w:rsidRPr="00A4041A">
          <w:rPr>
            <w:rStyle w:val="Hiperpovezava"/>
            <w:rFonts w:cs="Arial"/>
            <w:iCs/>
            <w:szCs w:val="20"/>
            <w:lang w:eastAsia="sl-SI"/>
          </w:rPr>
          <w:t>gp.mz@gov.si</w:t>
        </w:r>
      </w:hyperlink>
      <w:r w:rsidR="00E668D1">
        <w:rPr>
          <w:rFonts w:cs="Arial"/>
          <w:iCs/>
          <w:szCs w:val="20"/>
          <w:lang w:eastAsia="sl-SI"/>
        </w:rPr>
        <w:t xml:space="preserve">  </w:t>
      </w:r>
      <w:r w:rsidR="00B90196">
        <w:rPr>
          <w:rFonts w:cs="Arial"/>
          <w:iCs/>
          <w:szCs w:val="20"/>
          <w:lang w:eastAsia="sl-SI"/>
        </w:rPr>
        <w:t>Poročil</w:t>
      </w:r>
      <w:r w:rsidR="00751189">
        <w:rPr>
          <w:rFonts w:cs="Arial"/>
          <w:iCs/>
          <w:szCs w:val="20"/>
          <w:lang w:eastAsia="sl-SI"/>
        </w:rPr>
        <w:t>o</w:t>
      </w:r>
      <w:r w:rsidR="00B90196">
        <w:rPr>
          <w:rFonts w:cs="Arial"/>
          <w:iCs/>
          <w:szCs w:val="20"/>
          <w:lang w:eastAsia="sl-SI"/>
        </w:rPr>
        <w:t xml:space="preserve"> o dodatku za povečan obseg dela za posebne obremenitve v skladu s Prilogo - Navodili za izpolnjevanje Poročila. Oba dokumenta sta </w:t>
      </w:r>
      <w:r>
        <w:rPr>
          <w:rFonts w:cs="Arial"/>
          <w:iCs/>
          <w:szCs w:val="20"/>
          <w:lang w:eastAsia="sl-SI"/>
        </w:rPr>
        <w:t>priloga tega dopisa</w:t>
      </w:r>
      <w:r w:rsidR="00D77AF1">
        <w:rPr>
          <w:rFonts w:cs="Arial"/>
          <w:iCs/>
          <w:szCs w:val="20"/>
          <w:lang w:eastAsia="sl-SI"/>
        </w:rPr>
        <w:t xml:space="preserve">. </w:t>
      </w:r>
    </w:p>
    <w:p w14:paraId="6E4AC851" w14:textId="2F48EAEA" w:rsidR="00BB245B" w:rsidRDefault="00BB245B" w:rsidP="00BB245B">
      <w:pPr>
        <w:tabs>
          <w:tab w:val="left" w:pos="9720"/>
          <w:tab w:val="left" w:pos="10204"/>
        </w:tabs>
        <w:suppressAutoHyphens/>
        <w:jc w:val="both"/>
        <w:rPr>
          <w:rFonts w:eastAsia="Calibri" w:cs="Arial"/>
          <w:szCs w:val="20"/>
        </w:rPr>
      </w:pPr>
    </w:p>
    <w:p w14:paraId="6479029A" w14:textId="6F146952" w:rsidR="00D77AF1" w:rsidRDefault="00D77AF1" w:rsidP="00D77AF1">
      <w:pPr>
        <w:tabs>
          <w:tab w:val="left" w:pos="9720"/>
          <w:tab w:val="left" w:pos="10204"/>
        </w:tabs>
        <w:suppressAutoHyphens/>
        <w:jc w:val="both"/>
        <w:rPr>
          <w:rFonts w:eastAsia="Calibri" w:cs="Arial"/>
          <w:szCs w:val="20"/>
        </w:rPr>
      </w:pPr>
      <w:r>
        <w:rPr>
          <w:rFonts w:cs="Arial"/>
          <w:iCs/>
          <w:szCs w:val="20"/>
          <w:lang w:eastAsia="sl-SI"/>
        </w:rPr>
        <w:t xml:space="preserve">ZZZS bo </w:t>
      </w:r>
      <w:r w:rsidRPr="00C56C05">
        <w:rPr>
          <w:rFonts w:cs="Arial"/>
          <w:b/>
          <w:bCs/>
          <w:iCs/>
          <w:szCs w:val="20"/>
          <w:lang w:eastAsia="sl-SI"/>
        </w:rPr>
        <w:t>do zadnjega dne v mesecu za pretekli mesec</w:t>
      </w:r>
      <w:r>
        <w:rPr>
          <w:rFonts w:cs="Arial"/>
          <w:iCs/>
          <w:szCs w:val="20"/>
          <w:lang w:eastAsia="sl-SI"/>
        </w:rPr>
        <w:t xml:space="preserve">, na svoji spletni strani objavil podatke o višini sredstev, do katerih je izvajalec upravičen iz naslova povečanega obsega programa, ki se nanašajo na </w:t>
      </w:r>
      <w:proofErr w:type="spellStart"/>
      <w:r>
        <w:rPr>
          <w:rFonts w:cs="Arial"/>
          <w:iCs/>
          <w:szCs w:val="20"/>
          <w:lang w:eastAsia="sl-SI"/>
        </w:rPr>
        <w:t>kalkulativni</w:t>
      </w:r>
      <w:proofErr w:type="spellEnd"/>
      <w:r>
        <w:rPr>
          <w:rFonts w:cs="Arial"/>
          <w:iCs/>
          <w:szCs w:val="20"/>
          <w:lang w:eastAsia="sl-SI"/>
        </w:rPr>
        <w:t xml:space="preserve"> element plač in drugih prejemkov v skladu </w:t>
      </w:r>
      <w:r w:rsidR="00F90A94">
        <w:rPr>
          <w:rFonts w:cs="Arial"/>
          <w:iCs/>
          <w:szCs w:val="20"/>
          <w:lang w:eastAsia="sl-SI"/>
        </w:rPr>
        <w:t>z veljavno zakonodajo</w:t>
      </w:r>
      <w:r>
        <w:rPr>
          <w:rFonts w:cs="Arial"/>
          <w:iCs/>
          <w:szCs w:val="20"/>
          <w:lang w:eastAsia="sl-SI"/>
        </w:rPr>
        <w:t xml:space="preserve">, kolektivnimi pogodbami in drugimi splošnimi akti,  prikazane ločeno za posameznega izvajalca in ločeno za posamezno dejavnost. Izvajalec bo v primeru, če bo izračunana višina dodatkov za povečan obseg dela za posebne obremenitve presegala višino sredstev, ki se nanašajo na </w:t>
      </w:r>
      <w:proofErr w:type="spellStart"/>
      <w:r>
        <w:rPr>
          <w:rFonts w:cs="Arial"/>
          <w:iCs/>
          <w:szCs w:val="20"/>
          <w:lang w:eastAsia="sl-SI"/>
        </w:rPr>
        <w:t>kalkulativni</w:t>
      </w:r>
      <w:proofErr w:type="spellEnd"/>
      <w:r>
        <w:rPr>
          <w:rFonts w:cs="Arial"/>
          <w:iCs/>
          <w:szCs w:val="20"/>
          <w:lang w:eastAsia="sl-SI"/>
        </w:rPr>
        <w:t xml:space="preserve"> element plač in drugih prejemkov v skladu </w:t>
      </w:r>
      <w:r w:rsidR="008740CC">
        <w:rPr>
          <w:rFonts w:cs="Arial"/>
          <w:iCs/>
          <w:szCs w:val="20"/>
          <w:lang w:eastAsia="sl-SI"/>
        </w:rPr>
        <w:t>z veljavno zakonodajo</w:t>
      </w:r>
      <w:r>
        <w:rPr>
          <w:rFonts w:cs="Arial"/>
          <w:iCs/>
          <w:szCs w:val="20"/>
          <w:lang w:eastAsia="sl-SI"/>
        </w:rPr>
        <w:t xml:space="preserve">, kolektivnimi pogodbami in drugimi splošnimi akti, posredoval ZZZS zahtevek za razliko, najpozneje do </w:t>
      </w:r>
      <w:r w:rsidRPr="00C56C05">
        <w:rPr>
          <w:rFonts w:cs="Arial"/>
          <w:b/>
          <w:bCs/>
          <w:iCs/>
          <w:szCs w:val="20"/>
          <w:lang w:eastAsia="sl-SI"/>
        </w:rPr>
        <w:t>10. v mesecu za predpretekli mesec</w:t>
      </w:r>
      <w:r>
        <w:rPr>
          <w:rFonts w:cs="Arial"/>
          <w:iCs/>
          <w:szCs w:val="20"/>
          <w:lang w:eastAsia="sl-SI"/>
        </w:rPr>
        <w:t xml:space="preserve">, preko UJP-net v elektronski obliki. Ker bo moral biti iz zahtevka razviden podatek o skupni vrednosti dodatkov ter podatek o vrednosti, do katere je izvajalec upravičen iz proračuna, bo ZZZZS objavil nov vzorec zahtevka za plačilo. Zahtevek, ki ni posredovan ZZZS do navedenega dne, se vključi v zahtevek ZZZS za naslednji mesec. </w:t>
      </w:r>
      <w:r>
        <w:rPr>
          <w:rFonts w:eastAsia="Calibri" w:cs="Arial"/>
          <w:szCs w:val="20"/>
        </w:rPr>
        <w:t>Iz zahtevka morata biti razvidni skupna višina izplačanih dodatkov in končna višina zahtevka za izplačilo sredstev iz proračuna Republike Slovenije.</w:t>
      </w:r>
    </w:p>
    <w:p w14:paraId="5954E111" w14:textId="77777777" w:rsidR="00D77AF1" w:rsidRDefault="00D77AF1" w:rsidP="00BB245B">
      <w:pPr>
        <w:tabs>
          <w:tab w:val="left" w:pos="9720"/>
          <w:tab w:val="left" w:pos="10204"/>
        </w:tabs>
        <w:suppressAutoHyphens/>
        <w:jc w:val="both"/>
        <w:rPr>
          <w:rFonts w:eastAsia="Calibri" w:cs="Arial"/>
          <w:szCs w:val="20"/>
        </w:rPr>
      </w:pPr>
    </w:p>
    <w:p w14:paraId="45F3BCF1" w14:textId="7950D87E" w:rsidR="00BB245B" w:rsidRDefault="00BB245B" w:rsidP="00BB245B">
      <w:pPr>
        <w:spacing w:after="20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Ministrstvo za zdravje mesečno spremlja</w:t>
      </w:r>
      <w:r w:rsidR="000E39EB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realizacijo </w:t>
      </w:r>
      <w:r w:rsidR="00627017">
        <w:rPr>
          <w:rFonts w:cs="Arial"/>
          <w:iCs/>
          <w:szCs w:val="20"/>
          <w:lang w:eastAsia="sl-SI"/>
        </w:rPr>
        <w:t>izvajanja 16. člena ZNUZSZS</w:t>
      </w:r>
      <w:r>
        <w:rPr>
          <w:rFonts w:cs="Arial"/>
          <w:iCs/>
          <w:szCs w:val="20"/>
          <w:lang w:eastAsia="sl-SI"/>
        </w:rPr>
        <w:t xml:space="preserve"> in </w:t>
      </w:r>
      <w:r w:rsidR="000E39EB">
        <w:rPr>
          <w:rFonts w:cs="Arial"/>
          <w:iCs/>
          <w:szCs w:val="20"/>
          <w:lang w:eastAsia="sl-SI"/>
        </w:rPr>
        <w:t xml:space="preserve">bo </w:t>
      </w:r>
      <w:r>
        <w:rPr>
          <w:rFonts w:cs="Arial"/>
          <w:iCs/>
          <w:szCs w:val="20"/>
          <w:lang w:eastAsia="sl-SI"/>
        </w:rPr>
        <w:t xml:space="preserve">po potrebi Vladi RS predlagalo spremembo meril nagrajevanja zaposlenih, če se ugotovi, da niso ustrezna za doseganje </w:t>
      </w:r>
      <w:r w:rsidR="00E13A39">
        <w:rPr>
          <w:rFonts w:cs="Arial"/>
          <w:iCs/>
          <w:szCs w:val="20"/>
          <w:lang w:eastAsia="sl-SI"/>
        </w:rPr>
        <w:t>namena</w:t>
      </w:r>
      <w:r>
        <w:rPr>
          <w:rFonts w:cs="Arial"/>
          <w:iCs/>
          <w:szCs w:val="20"/>
          <w:lang w:eastAsia="sl-SI"/>
        </w:rPr>
        <w:t>.</w:t>
      </w:r>
    </w:p>
    <w:p w14:paraId="2D8E4E83" w14:textId="77777777" w:rsidR="0017285C" w:rsidRDefault="0017285C" w:rsidP="00BB245B">
      <w:pPr>
        <w:spacing w:after="200"/>
        <w:jc w:val="both"/>
        <w:rPr>
          <w:rFonts w:cs="Arial"/>
          <w:iCs/>
          <w:szCs w:val="20"/>
          <w:lang w:eastAsia="sl-SI"/>
        </w:rPr>
      </w:pPr>
    </w:p>
    <w:p w14:paraId="2B05E2F5" w14:textId="77777777" w:rsidR="00E023C4" w:rsidRDefault="00044E68" w:rsidP="00E023C4">
      <w:pPr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Alenka Sušnik Goričan</w:t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  <w:r w:rsidR="00E023C4">
        <w:rPr>
          <w:rFonts w:cs="Arial"/>
          <w:iCs/>
          <w:szCs w:val="20"/>
          <w:lang w:eastAsia="sl-SI"/>
        </w:rPr>
        <w:tab/>
      </w:r>
    </w:p>
    <w:p w14:paraId="24EA7DD3" w14:textId="431DC995" w:rsidR="00044E68" w:rsidRDefault="005E1138" w:rsidP="00E023C4">
      <w:pPr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   </w:t>
      </w:r>
      <w:r w:rsidR="00E023C4">
        <w:rPr>
          <w:rFonts w:cs="Arial"/>
          <w:iCs/>
          <w:szCs w:val="20"/>
          <w:lang w:eastAsia="sl-SI"/>
        </w:rPr>
        <w:t>višja svetovalka</w:t>
      </w:r>
      <w:r>
        <w:rPr>
          <w:rFonts w:cs="Arial"/>
          <w:iCs/>
          <w:szCs w:val="20"/>
          <w:lang w:eastAsia="sl-SI"/>
        </w:rPr>
        <w:t xml:space="preserve"> II</w:t>
      </w:r>
    </w:p>
    <w:p w14:paraId="2504550F" w14:textId="77777777" w:rsidR="00044E68" w:rsidRDefault="00044E68" w:rsidP="00BB245B">
      <w:pPr>
        <w:spacing w:after="200"/>
        <w:jc w:val="both"/>
        <w:rPr>
          <w:rFonts w:cs="Arial"/>
          <w:iCs/>
          <w:szCs w:val="20"/>
          <w:lang w:eastAsia="sl-SI"/>
        </w:rPr>
      </w:pPr>
    </w:p>
    <w:p w14:paraId="6646EB04" w14:textId="46403FA4" w:rsidR="008E03BF" w:rsidRDefault="008E03BF" w:rsidP="00BB245B">
      <w:pPr>
        <w:spacing w:after="20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  <w:t>mag. Vlasta Mežek</w:t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 w:rsidR="000C06A5">
        <w:rPr>
          <w:rFonts w:cs="Arial"/>
          <w:iCs/>
          <w:szCs w:val="20"/>
          <w:lang w:eastAsia="sl-SI"/>
        </w:rPr>
        <w:tab/>
      </w:r>
      <w:r w:rsidR="00EC72A1">
        <w:rPr>
          <w:rFonts w:cs="Arial"/>
          <w:iCs/>
          <w:szCs w:val="20"/>
          <w:lang w:eastAsia="sl-SI"/>
        </w:rPr>
        <w:t xml:space="preserve">generalna </w:t>
      </w:r>
      <w:r>
        <w:rPr>
          <w:rFonts w:cs="Arial"/>
          <w:iCs/>
          <w:szCs w:val="20"/>
          <w:lang w:eastAsia="sl-SI"/>
        </w:rPr>
        <w:t>direktorica Direktorata za zdravstveno varstvo</w:t>
      </w:r>
    </w:p>
    <w:p w14:paraId="3D2DD9AF" w14:textId="0ED95FC8" w:rsidR="008E03BF" w:rsidRDefault="008E03BF" w:rsidP="00BB245B">
      <w:pPr>
        <w:spacing w:after="20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</w:p>
    <w:p w14:paraId="4292B0C7" w14:textId="77777777" w:rsidR="00BB245B" w:rsidRDefault="00BB245B" w:rsidP="00BB245B">
      <w:pPr>
        <w:spacing w:after="200"/>
        <w:jc w:val="both"/>
        <w:rPr>
          <w:rFonts w:cs="Arial"/>
          <w:iCs/>
          <w:szCs w:val="20"/>
          <w:lang w:eastAsia="sl-SI"/>
        </w:rPr>
      </w:pPr>
    </w:p>
    <w:p w14:paraId="6B23A700" w14:textId="77777777" w:rsidR="00BB245B" w:rsidRDefault="00BB245B" w:rsidP="00BB245B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Priloge: </w:t>
      </w:r>
    </w:p>
    <w:p w14:paraId="530C4F40" w14:textId="7273773E" w:rsidR="00BB245B" w:rsidRDefault="00BB245B" w:rsidP="00BB245B">
      <w:pPr>
        <w:pStyle w:val="podpisi"/>
        <w:numPr>
          <w:ilvl w:val="0"/>
          <w:numId w:val="14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Obrazec Poročilo o </w:t>
      </w:r>
      <w:r w:rsidR="00B90196">
        <w:rPr>
          <w:szCs w:val="20"/>
          <w:lang w:val="sl-SI"/>
        </w:rPr>
        <w:t>dodatku za povečan obseg dela za posebne obremenitve VER</w:t>
      </w:r>
      <w:r w:rsidR="000E39EB">
        <w:rPr>
          <w:szCs w:val="20"/>
          <w:lang w:val="sl-SI"/>
        </w:rPr>
        <w:t>5</w:t>
      </w:r>
      <w:r w:rsidR="00B90196">
        <w:rPr>
          <w:szCs w:val="20"/>
          <w:lang w:val="sl-SI"/>
        </w:rPr>
        <w:t>.xlsx</w:t>
      </w:r>
    </w:p>
    <w:p w14:paraId="1A492C09" w14:textId="266A9AC3" w:rsidR="00BB245B" w:rsidRDefault="00BB245B" w:rsidP="00BB245B">
      <w:pPr>
        <w:pStyle w:val="podpisi"/>
        <w:numPr>
          <w:ilvl w:val="0"/>
          <w:numId w:val="14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Navodila za izpolnjevanje obrazca Poročilo </w:t>
      </w:r>
      <w:r w:rsidR="00B90196">
        <w:rPr>
          <w:szCs w:val="20"/>
          <w:lang w:val="sl-SI"/>
        </w:rPr>
        <w:t>o POD_PO VER</w:t>
      </w:r>
      <w:r w:rsidR="000E39EB">
        <w:rPr>
          <w:szCs w:val="20"/>
          <w:lang w:val="sl-SI"/>
        </w:rPr>
        <w:t>5</w:t>
      </w:r>
      <w:r w:rsidR="00B90196">
        <w:rPr>
          <w:szCs w:val="20"/>
          <w:lang w:val="sl-SI"/>
        </w:rPr>
        <w:t>.doc</w:t>
      </w:r>
    </w:p>
    <w:p w14:paraId="41A3C9D6" w14:textId="77777777" w:rsidR="00BB245B" w:rsidRDefault="00BB245B" w:rsidP="00BB245B">
      <w:pPr>
        <w:pStyle w:val="podpisi"/>
        <w:rPr>
          <w:szCs w:val="20"/>
          <w:lang w:val="sl-SI"/>
        </w:rPr>
      </w:pPr>
    </w:p>
    <w:p w14:paraId="4382E4E4" w14:textId="77777777" w:rsidR="00BB245B" w:rsidRDefault="00BB245B" w:rsidP="00BB245B">
      <w:pPr>
        <w:pStyle w:val="podpisi"/>
        <w:rPr>
          <w:szCs w:val="20"/>
          <w:lang w:val="sl-SI"/>
        </w:rPr>
      </w:pPr>
      <w:r>
        <w:rPr>
          <w:szCs w:val="20"/>
          <w:lang w:val="sl-SI"/>
        </w:rPr>
        <w:t xml:space="preserve">Vročiti: </w:t>
      </w:r>
    </w:p>
    <w:p w14:paraId="0F93E9FB" w14:textId="7C053558" w:rsidR="00BB245B" w:rsidRDefault="00BB245B" w:rsidP="00BB245B">
      <w:pPr>
        <w:pStyle w:val="Odstavekseznama"/>
        <w:numPr>
          <w:ilvl w:val="0"/>
          <w:numId w:val="13"/>
        </w:numPr>
        <w:rPr>
          <w:szCs w:val="20"/>
        </w:rPr>
      </w:pPr>
      <w:r w:rsidRPr="001E0D66">
        <w:rPr>
          <w:szCs w:val="20"/>
        </w:rPr>
        <w:t>Vsem</w:t>
      </w:r>
      <w:r w:rsidRPr="001E0D66">
        <w:rPr>
          <w:rFonts w:cs="Arial"/>
          <w:szCs w:val="20"/>
        </w:rPr>
        <w:t xml:space="preserve"> </w:t>
      </w:r>
      <w:r w:rsidRPr="001E0D66">
        <w:rPr>
          <w:rFonts w:cs="Arial"/>
          <w:iCs/>
          <w:szCs w:val="20"/>
          <w:lang w:eastAsia="sl-SI"/>
        </w:rPr>
        <w:t>javnim zdravstvenim zavodom</w:t>
      </w:r>
      <w:r w:rsidRPr="001E0D66">
        <w:rPr>
          <w:rFonts w:cs="Arial"/>
          <w:szCs w:val="20"/>
        </w:rPr>
        <w:t xml:space="preserve"> - izvajalcem zdravstvene dejavnosti v mreži javne zdravstvene službe</w:t>
      </w:r>
      <w:r w:rsidRPr="001E0D66">
        <w:rPr>
          <w:szCs w:val="20"/>
        </w:rPr>
        <w:t xml:space="preserve"> na primarni ravni</w:t>
      </w:r>
      <w:r w:rsidR="00722E28">
        <w:rPr>
          <w:szCs w:val="20"/>
        </w:rPr>
        <w:t>, Zdravniški zbornici Slovenije, Združenju zdravstvenih zavodov Slovenije</w:t>
      </w:r>
      <w:r w:rsidR="00DE6474">
        <w:rPr>
          <w:szCs w:val="20"/>
        </w:rPr>
        <w:t xml:space="preserve">, </w:t>
      </w:r>
      <w:r w:rsidR="00DE6474">
        <w:rPr>
          <w:szCs w:val="20"/>
          <w:lang w:eastAsia="sl-SI"/>
        </w:rPr>
        <w:t>Zavodu za zdravstveno zavarovanje Slovenije</w:t>
      </w:r>
      <w:r w:rsidRPr="001E0D66">
        <w:rPr>
          <w:szCs w:val="20"/>
        </w:rPr>
        <w:t xml:space="preserve"> </w:t>
      </w:r>
      <w:r w:rsidRPr="001E0D66">
        <w:t>– po e-pošti</w:t>
      </w:r>
    </w:p>
    <w:p w14:paraId="668455BD" w14:textId="77777777" w:rsidR="00E311AD" w:rsidRPr="00E311AD" w:rsidRDefault="00E311AD" w:rsidP="00F728A4">
      <w:pPr>
        <w:pStyle w:val="Brezrazmikov"/>
        <w:jc w:val="both"/>
        <w:rPr>
          <w:szCs w:val="20"/>
          <w:lang w:eastAsia="sl-SI"/>
        </w:rPr>
      </w:pPr>
    </w:p>
    <w:p w14:paraId="7C5FE87A" w14:textId="513DB4B7" w:rsidR="007D7ECD" w:rsidRDefault="007D7ECD" w:rsidP="00F728A4">
      <w:pPr>
        <w:pStyle w:val="Brezrazmikov"/>
        <w:jc w:val="both"/>
        <w:rPr>
          <w:b/>
        </w:rPr>
      </w:pPr>
    </w:p>
    <w:sectPr w:rsidR="007D7ECD" w:rsidSect="007B233B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09EB" w14:textId="77777777" w:rsidR="00F91006" w:rsidRDefault="00F91006">
      <w:r>
        <w:separator/>
      </w:r>
    </w:p>
  </w:endnote>
  <w:endnote w:type="continuationSeparator" w:id="0">
    <w:p w14:paraId="653A091D" w14:textId="77777777" w:rsidR="00F91006" w:rsidRDefault="00F9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8367" w14:textId="77777777" w:rsidR="00F91006" w:rsidRDefault="00F91006">
      <w:r>
        <w:separator/>
      </w:r>
    </w:p>
  </w:footnote>
  <w:footnote w:type="continuationSeparator" w:id="0">
    <w:p w14:paraId="693CA0B3" w14:textId="77777777" w:rsidR="00F91006" w:rsidRDefault="00F9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BE0C" w14:textId="77777777" w:rsidR="00A770A6" w:rsidRPr="008F3500" w:rsidRDefault="00802E8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6821EB" wp14:editId="33E9EC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14:paraId="320BA0A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031F461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14:paraId="61D1B4C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14:paraId="4510315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893"/>
    <w:multiLevelType w:val="hybridMultilevel"/>
    <w:tmpl w:val="ECE00ADE"/>
    <w:lvl w:ilvl="0" w:tplc="F48E799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CD3"/>
    <w:multiLevelType w:val="hybridMultilevel"/>
    <w:tmpl w:val="F51603E8"/>
    <w:lvl w:ilvl="0" w:tplc="5C06D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2754D"/>
    <w:multiLevelType w:val="hybridMultilevel"/>
    <w:tmpl w:val="9BBCE21C"/>
    <w:lvl w:ilvl="0" w:tplc="082CC1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0F56"/>
    <w:multiLevelType w:val="multilevel"/>
    <w:tmpl w:val="4C18CCD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2" w:hanging="1800"/>
      </w:pPr>
      <w:rPr>
        <w:rFonts w:hint="default"/>
      </w:rPr>
    </w:lvl>
  </w:abstractNum>
  <w:abstractNum w:abstractNumId="6" w15:restartNumberingAfterBreak="0">
    <w:nsid w:val="2A48554D"/>
    <w:multiLevelType w:val="hybridMultilevel"/>
    <w:tmpl w:val="11A0A59E"/>
    <w:lvl w:ilvl="0" w:tplc="120CC076">
      <w:start w:val="3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B1624"/>
    <w:multiLevelType w:val="hybridMultilevel"/>
    <w:tmpl w:val="E118D366"/>
    <w:lvl w:ilvl="0" w:tplc="DD5CC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C7328"/>
    <w:multiLevelType w:val="hybridMultilevel"/>
    <w:tmpl w:val="1D4C74AC"/>
    <w:lvl w:ilvl="0" w:tplc="14D6C95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84"/>
    <w:rsid w:val="000103A2"/>
    <w:rsid w:val="00023A88"/>
    <w:rsid w:val="00044E68"/>
    <w:rsid w:val="00064E29"/>
    <w:rsid w:val="00071C70"/>
    <w:rsid w:val="00077366"/>
    <w:rsid w:val="00082CB9"/>
    <w:rsid w:val="00087981"/>
    <w:rsid w:val="000967CB"/>
    <w:rsid w:val="000A4AA5"/>
    <w:rsid w:val="000A7238"/>
    <w:rsid w:val="000C06A5"/>
    <w:rsid w:val="000D6EFD"/>
    <w:rsid w:val="000E00E0"/>
    <w:rsid w:val="000E39EB"/>
    <w:rsid w:val="000E51DD"/>
    <w:rsid w:val="000F79A5"/>
    <w:rsid w:val="00103290"/>
    <w:rsid w:val="00105E32"/>
    <w:rsid w:val="0012136C"/>
    <w:rsid w:val="001357B2"/>
    <w:rsid w:val="0017285C"/>
    <w:rsid w:val="0017478F"/>
    <w:rsid w:val="00181F10"/>
    <w:rsid w:val="001B3707"/>
    <w:rsid w:val="001B6B52"/>
    <w:rsid w:val="001D64AD"/>
    <w:rsid w:val="001E0D66"/>
    <w:rsid w:val="00202A77"/>
    <w:rsid w:val="002122AC"/>
    <w:rsid w:val="002253EF"/>
    <w:rsid w:val="00225E09"/>
    <w:rsid w:val="00271222"/>
    <w:rsid w:val="00271CE5"/>
    <w:rsid w:val="00273C8E"/>
    <w:rsid w:val="00274EE2"/>
    <w:rsid w:val="00277D85"/>
    <w:rsid w:val="00282020"/>
    <w:rsid w:val="00290B3A"/>
    <w:rsid w:val="002911CB"/>
    <w:rsid w:val="002A2B69"/>
    <w:rsid w:val="002B3C5F"/>
    <w:rsid w:val="002B632C"/>
    <w:rsid w:val="002C34EE"/>
    <w:rsid w:val="002E06AD"/>
    <w:rsid w:val="0031540F"/>
    <w:rsid w:val="0034269D"/>
    <w:rsid w:val="003636BF"/>
    <w:rsid w:val="00371442"/>
    <w:rsid w:val="003845B4"/>
    <w:rsid w:val="00386593"/>
    <w:rsid w:val="00387B1A"/>
    <w:rsid w:val="003A3751"/>
    <w:rsid w:val="003B3EA9"/>
    <w:rsid w:val="003C5EE5"/>
    <w:rsid w:val="003D66BE"/>
    <w:rsid w:val="003E1C74"/>
    <w:rsid w:val="003F7614"/>
    <w:rsid w:val="0042373F"/>
    <w:rsid w:val="0042415B"/>
    <w:rsid w:val="00436FF7"/>
    <w:rsid w:val="00454570"/>
    <w:rsid w:val="00455566"/>
    <w:rsid w:val="00455B9F"/>
    <w:rsid w:val="00456CCE"/>
    <w:rsid w:val="004657EE"/>
    <w:rsid w:val="00485780"/>
    <w:rsid w:val="004A03CF"/>
    <w:rsid w:val="004A31AC"/>
    <w:rsid w:val="004B18B8"/>
    <w:rsid w:val="004E440D"/>
    <w:rsid w:val="00501D07"/>
    <w:rsid w:val="0050497B"/>
    <w:rsid w:val="00526246"/>
    <w:rsid w:val="0053054B"/>
    <w:rsid w:val="005356B5"/>
    <w:rsid w:val="0054583C"/>
    <w:rsid w:val="0055793C"/>
    <w:rsid w:val="00567106"/>
    <w:rsid w:val="00575520"/>
    <w:rsid w:val="005870BD"/>
    <w:rsid w:val="00590956"/>
    <w:rsid w:val="00590B75"/>
    <w:rsid w:val="0059422D"/>
    <w:rsid w:val="005A2483"/>
    <w:rsid w:val="005A2AA3"/>
    <w:rsid w:val="005A4185"/>
    <w:rsid w:val="005E1138"/>
    <w:rsid w:val="005E1D3C"/>
    <w:rsid w:val="005F31A3"/>
    <w:rsid w:val="005F7489"/>
    <w:rsid w:val="00603888"/>
    <w:rsid w:val="00611E9E"/>
    <w:rsid w:val="006157E6"/>
    <w:rsid w:val="0062143C"/>
    <w:rsid w:val="00625AE6"/>
    <w:rsid w:val="00627017"/>
    <w:rsid w:val="00631CB8"/>
    <w:rsid w:val="00632253"/>
    <w:rsid w:val="00642714"/>
    <w:rsid w:val="006455CE"/>
    <w:rsid w:val="00655841"/>
    <w:rsid w:val="00660769"/>
    <w:rsid w:val="006A7B7C"/>
    <w:rsid w:val="006C5755"/>
    <w:rsid w:val="006D375F"/>
    <w:rsid w:val="006E44BA"/>
    <w:rsid w:val="006F464E"/>
    <w:rsid w:val="00715A45"/>
    <w:rsid w:val="00722E28"/>
    <w:rsid w:val="00727F7E"/>
    <w:rsid w:val="00733017"/>
    <w:rsid w:val="007358B3"/>
    <w:rsid w:val="00751189"/>
    <w:rsid w:val="00777AD5"/>
    <w:rsid w:val="00783310"/>
    <w:rsid w:val="00790E95"/>
    <w:rsid w:val="007A4A6D"/>
    <w:rsid w:val="007B233B"/>
    <w:rsid w:val="007C3680"/>
    <w:rsid w:val="007D1BCF"/>
    <w:rsid w:val="007D75CF"/>
    <w:rsid w:val="007D7ECD"/>
    <w:rsid w:val="007E0440"/>
    <w:rsid w:val="007E46F0"/>
    <w:rsid w:val="007E6DC5"/>
    <w:rsid w:val="00802E84"/>
    <w:rsid w:val="00807E7F"/>
    <w:rsid w:val="00833E0C"/>
    <w:rsid w:val="008360A8"/>
    <w:rsid w:val="008367E2"/>
    <w:rsid w:val="00842522"/>
    <w:rsid w:val="00842EA4"/>
    <w:rsid w:val="0086013D"/>
    <w:rsid w:val="00872DD9"/>
    <w:rsid w:val="008740CC"/>
    <w:rsid w:val="00876190"/>
    <w:rsid w:val="0087788D"/>
    <w:rsid w:val="0088043C"/>
    <w:rsid w:val="00881B46"/>
    <w:rsid w:val="00884889"/>
    <w:rsid w:val="008906C9"/>
    <w:rsid w:val="008A0A67"/>
    <w:rsid w:val="008A4985"/>
    <w:rsid w:val="008C5738"/>
    <w:rsid w:val="008D04F0"/>
    <w:rsid w:val="008E03BF"/>
    <w:rsid w:val="008E7057"/>
    <w:rsid w:val="008F3500"/>
    <w:rsid w:val="009006E1"/>
    <w:rsid w:val="009046BC"/>
    <w:rsid w:val="00911667"/>
    <w:rsid w:val="009208B9"/>
    <w:rsid w:val="00924E3C"/>
    <w:rsid w:val="0093124C"/>
    <w:rsid w:val="00942BEB"/>
    <w:rsid w:val="009612BB"/>
    <w:rsid w:val="00991A01"/>
    <w:rsid w:val="009A369A"/>
    <w:rsid w:val="009C3DCD"/>
    <w:rsid w:val="009C740A"/>
    <w:rsid w:val="009D7207"/>
    <w:rsid w:val="00A03C12"/>
    <w:rsid w:val="00A10605"/>
    <w:rsid w:val="00A125C5"/>
    <w:rsid w:val="00A15841"/>
    <w:rsid w:val="00A23C8E"/>
    <w:rsid w:val="00A242AC"/>
    <w:rsid w:val="00A2451C"/>
    <w:rsid w:val="00A5763C"/>
    <w:rsid w:val="00A65EE7"/>
    <w:rsid w:val="00A668F3"/>
    <w:rsid w:val="00A70133"/>
    <w:rsid w:val="00A75198"/>
    <w:rsid w:val="00A756B1"/>
    <w:rsid w:val="00A770A6"/>
    <w:rsid w:val="00A813B1"/>
    <w:rsid w:val="00AA5CC0"/>
    <w:rsid w:val="00AA6DAB"/>
    <w:rsid w:val="00AB36C4"/>
    <w:rsid w:val="00AC32B2"/>
    <w:rsid w:val="00AC6D3C"/>
    <w:rsid w:val="00AD5C06"/>
    <w:rsid w:val="00B01D5D"/>
    <w:rsid w:val="00B0731F"/>
    <w:rsid w:val="00B11EFD"/>
    <w:rsid w:val="00B17141"/>
    <w:rsid w:val="00B31575"/>
    <w:rsid w:val="00B66BBE"/>
    <w:rsid w:val="00B7348C"/>
    <w:rsid w:val="00B75B8A"/>
    <w:rsid w:val="00B8547D"/>
    <w:rsid w:val="00B90196"/>
    <w:rsid w:val="00B95236"/>
    <w:rsid w:val="00BB0433"/>
    <w:rsid w:val="00BB245B"/>
    <w:rsid w:val="00BB29EC"/>
    <w:rsid w:val="00BC0F8F"/>
    <w:rsid w:val="00BD2D9E"/>
    <w:rsid w:val="00BE01B0"/>
    <w:rsid w:val="00C07632"/>
    <w:rsid w:val="00C1725B"/>
    <w:rsid w:val="00C250D5"/>
    <w:rsid w:val="00C30DB2"/>
    <w:rsid w:val="00C32291"/>
    <w:rsid w:val="00C35666"/>
    <w:rsid w:val="00C64143"/>
    <w:rsid w:val="00C66ABA"/>
    <w:rsid w:val="00C725FE"/>
    <w:rsid w:val="00C81132"/>
    <w:rsid w:val="00C82CF9"/>
    <w:rsid w:val="00C86F64"/>
    <w:rsid w:val="00C92898"/>
    <w:rsid w:val="00C947EA"/>
    <w:rsid w:val="00CA4340"/>
    <w:rsid w:val="00CB25F9"/>
    <w:rsid w:val="00CB3AA7"/>
    <w:rsid w:val="00CC752A"/>
    <w:rsid w:val="00CE5238"/>
    <w:rsid w:val="00CE7514"/>
    <w:rsid w:val="00D02840"/>
    <w:rsid w:val="00D20947"/>
    <w:rsid w:val="00D248DE"/>
    <w:rsid w:val="00D30D40"/>
    <w:rsid w:val="00D7000B"/>
    <w:rsid w:val="00D77AF1"/>
    <w:rsid w:val="00D8542D"/>
    <w:rsid w:val="00D92A35"/>
    <w:rsid w:val="00DB1919"/>
    <w:rsid w:val="00DC29C1"/>
    <w:rsid w:val="00DC6A71"/>
    <w:rsid w:val="00DD0D1B"/>
    <w:rsid w:val="00DE2AED"/>
    <w:rsid w:val="00DE6474"/>
    <w:rsid w:val="00E007CD"/>
    <w:rsid w:val="00E023C4"/>
    <w:rsid w:val="00E0357D"/>
    <w:rsid w:val="00E03CFE"/>
    <w:rsid w:val="00E04BB6"/>
    <w:rsid w:val="00E13A39"/>
    <w:rsid w:val="00E311AD"/>
    <w:rsid w:val="00E44C23"/>
    <w:rsid w:val="00E668D1"/>
    <w:rsid w:val="00E83E12"/>
    <w:rsid w:val="00E959C0"/>
    <w:rsid w:val="00E96275"/>
    <w:rsid w:val="00EB2AF7"/>
    <w:rsid w:val="00EB7A5A"/>
    <w:rsid w:val="00EC423B"/>
    <w:rsid w:val="00EC72A1"/>
    <w:rsid w:val="00ED1C3E"/>
    <w:rsid w:val="00ED78E3"/>
    <w:rsid w:val="00EE04DE"/>
    <w:rsid w:val="00F005FB"/>
    <w:rsid w:val="00F012AB"/>
    <w:rsid w:val="00F0564A"/>
    <w:rsid w:val="00F07B40"/>
    <w:rsid w:val="00F20CE2"/>
    <w:rsid w:val="00F240BB"/>
    <w:rsid w:val="00F258D4"/>
    <w:rsid w:val="00F404C5"/>
    <w:rsid w:val="00F57FED"/>
    <w:rsid w:val="00F65530"/>
    <w:rsid w:val="00F728A4"/>
    <w:rsid w:val="00F75574"/>
    <w:rsid w:val="00F90A94"/>
    <w:rsid w:val="00F91006"/>
    <w:rsid w:val="00F95433"/>
    <w:rsid w:val="00FA4051"/>
    <w:rsid w:val="00FC19AF"/>
    <w:rsid w:val="00FE2261"/>
    <w:rsid w:val="00FE3BA3"/>
    <w:rsid w:val="00FF225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871FEE7"/>
  <w15:chartTrackingRefBased/>
  <w15:docId w15:val="{6F5708D7-B196-4655-9038-93FF7E2E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5755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ECD"/>
    <w:pPr>
      <w:ind w:left="720"/>
      <w:contextualSpacing/>
    </w:pPr>
  </w:style>
  <w:style w:type="paragraph" w:customStyle="1" w:styleId="odstavek">
    <w:name w:val="odstavek"/>
    <w:basedOn w:val="Navaden"/>
    <w:rsid w:val="00E311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F728A4"/>
    <w:rPr>
      <w:rFonts w:ascii="Arial" w:hAnsi="Arial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6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E15F61-19DA-4A45-8006-515B4B1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754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Lakota</dc:creator>
  <cp:keywords/>
  <cp:lastModifiedBy>Alenka Sušnik Goričan</cp:lastModifiedBy>
  <cp:revision>54</cp:revision>
  <dcterms:created xsi:type="dcterms:W3CDTF">2022-01-14T10:44:00Z</dcterms:created>
  <dcterms:modified xsi:type="dcterms:W3CDTF">2023-01-06T07:47:00Z</dcterms:modified>
</cp:coreProperties>
</file>