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37BD" w14:textId="77777777" w:rsidR="00F309EA" w:rsidRPr="001A1564" w:rsidRDefault="00F309EA" w:rsidP="00F309EA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1A1564">
        <w:rPr>
          <w:rFonts w:ascii="Arial" w:hAnsi="Arial" w:cs="Arial"/>
          <w:b/>
          <w:sz w:val="20"/>
          <w:szCs w:val="20"/>
          <w:lang w:val="en-GB"/>
        </w:rPr>
        <w:t>DECISION DOCUMENT</w:t>
      </w:r>
    </w:p>
    <w:p w14:paraId="1B983EE1" w14:textId="3BD1696C" w:rsidR="00F309EA" w:rsidRPr="001A1564" w:rsidRDefault="00F309EA" w:rsidP="00F309EA">
      <w:pPr>
        <w:jc w:val="center"/>
        <w:rPr>
          <w:rFonts w:ascii="Arial" w:hAnsi="Arial" w:cs="Arial"/>
          <w:b/>
          <w:sz w:val="20"/>
          <w:szCs w:val="20"/>
          <w:lang w:val="en-GB" w:eastAsia="ja-JP"/>
        </w:rPr>
      </w:pPr>
      <w:r w:rsidRPr="001A1564">
        <w:rPr>
          <w:rFonts w:ascii="Arial" w:hAnsi="Arial" w:cs="Arial"/>
          <w:b/>
          <w:sz w:val="20"/>
          <w:szCs w:val="20"/>
          <w:lang w:val="en-GB"/>
        </w:rPr>
        <w:t>on co-f</w:t>
      </w:r>
      <w:r w:rsidRPr="001A1564">
        <w:rPr>
          <w:rFonts w:ascii="Arial" w:hAnsi="Arial" w:cs="Arial"/>
          <w:b/>
          <w:sz w:val="20"/>
          <w:szCs w:val="20"/>
          <w:lang w:val="en-GB" w:eastAsia="ja-JP"/>
        </w:rPr>
        <w:t>u</w:t>
      </w:r>
      <w:r w:rsidRPr="001A1564">
        <w:rPr>
          <w:rFonts w:ascii="Arial" w:hAnsi="Arial" w:cs="Arial"/>
          <w:b/>
          <w:sz w:val="20"/>
          <w:szCs w:val="20"/>
          <w:lang w:val="en-GB"/>
        </w:rPr>
        <w:t xml:space="preserve">nding </w:t>
      </w:r>
      <w:r w:rsidR="00D17472">
        <w:rPr>
          <w:rFonts w:ascii="Arial" w:hAnsi="Arial" w:cs="Arial" w:hint="eastAsia"/>
          <w:b/>
          <w:sz w:val="20"/>
          <w:szCs w:val="20"/>
          <w:lang w:val="en-GB" w:eastAsia="ja-JP"/>
        </w:rPr>
        <w:t>S</w:t>
      </w:r>
      <w:r w:rsidR="00D17472">
        <w:rPr>
          <w:rFonts w:ascii="Arial" w:hAnsi="Arial" w:cs="Arial"/>
          <w:b/>
          <w:sz w:val="20"/>
          <w:szCs w:val="20"/>
          <w:lang w:val="en-GB" w:eastAsia="ja-JP"/>
        </w:rPr>
        <w:t>lovenian</w:t>
      </w:r>
      <w:r w:rsidR="009B50FA" w:rsidRPr="001A156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9B50FA">
        <w:rPr>
          <w:rFonts w:ascii="Arial" w:hAnsi="Arial" w:cs="Arial"/>
          <w:b/>
          <w:sz w:val="20"/>
          <w:szCs w:val="20"/>
          <w:lang w:val="en-GB"/>
        </w:rPr>
        <w:t xml:space="preserve">– </w:t>
      </w:r>
      <w:r w:rsidR="00D17472">
        <w:rPr>
          <w:rFonts w:ascii="Arial" w:hAnsi="Arial" w:cs="Arial"/>
          <w:b/>
          <w:sz w:val="20"/>
          <w:szCs w:val="20"/>
          <w:lang w:val="en-GB"/>
        </w:rPr>
        <w:t>Japanese</w:t>
      </w:r>
      <w:r w:rsidR="001414D2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1A1564">
        <w:rPr>
          <w:rFonts w:ascii="Arial" w:hAnsi="Arial" w:cs="Arial"/>
          <w:b/>
          <w:sz w:val="20"/>
          <w:szCs w:val="20"/>
          <w:lang w:val="en-GB"/>
        </w:rPr>
        <w:t>joint project</w:t>
      </w:r>
      <w:r w:rsidRPr="001A1564">
        <w:rPr>
          <w:rFonts w:ascii="Arial" w:hAnsi="Arial" w:cs="Arial"/>
          <w:b/>
          <w:sz w:val="20"/>
          <w:szCs w:val="20"/>
          <w:lang w:val="en-GB" w:eastAsia="ja-JP"/>
        </w:rPr>
        <w:t>s</w:t>
      </w:r>
    </w:p>
    <w:p w14:paraId="3AB102D3" w14:textId="04220192" w:rsidR="00F309EA" w:rsidRPr="001A1564" w:rsidRDefault="00F309EA" w:rsidP="00F309EA">
      <w:pPr>
        <w:jc w:val="center"/>
        <w:rPr>
          <w:rFonts w:ascii="Arial" w:hAnsi="Arial" w:cs="Arial"/>
          <w:b/>
          <w:sz w:val="20"/>
          <w:szCs w:val="20"/>
          <w:lang w:val="en-GB" w:eastAsia="ja-JP"/>
        </w:rPr>
      </w:pPr>
      <w:r w:rsidRPr="001A1564">
        <w:rPr>
          <w:rFonts w:ascii="Arial" w:hAnsi="Arial" w:cs="Arial"/>
          <w:b/>
          <w:sz w:val="20"/>
          <w:szCs w:val="20"/>
          <w:lang w:val="en-GB"/>
        </w:rPr>
        <w:t xml:space="preserve">in FY </w:t>
      </w:r>
      <w:r w:rsidRPr="001A1564">
        <w:rPr>
          <w:rFonts w:ascii="Arial" w:hAnsi="Arial" w:cs="Arial"/>
          <w:b/>
          <w:sz w:val="20"/>
          <w:szCs w:val="20"/>
          <w:lang w:val="en-GB" w:eastAsia="ja-JP"/>
        </w:rPr>
        <w:t>202</w:t>
      </w:r>
      <w:r w:rsidR="003B7472">
        <w:rPr>
          <w:rFonts w:ascii="Arial" w:hAnsi="Arial" w:cs="Arial"/>
          <w:b/>
          <w:sz w:val="20"/>
          <w:szCs w:val="20"/>
          <w:lang w:val="en-GB" w:eastAsia="ja-JP"/>
        </w:rPr>
        <w:t>6</w:t>
      </w:r>
      <w:r w:rsidRPr="001A1564">
        <w:rPr>
          <w:rFonts w:ascii="Arial" w:hAnsi="Arial" w:cs="Arial"/>
          <w:b/>
          <w:sz w:val="20"/>
          <w:szCs w:val="20"/>
          <w:lang w:val="en-GB" w:eastAsia="ja-JP"/>
        </w:rPr>
        <w:t xml:space="preserve"> (April 1, 202</w:t>
      </w:r>
      <w:r w:rsidR="003B7472">
        <w:rPr>
          <w:rFonts w:ascii="Arial" w:hAnsi="Arial" w:cs="Arial"/>
          <w:b/>
          <w:sz w:val="20"/>
          <w:szCs w:val="20"/>
          <w:lang w:val="en-GB" w:eastAsia="ja-JP"/>
        </w:rPr>
        <w:t>6</w:t>
      </w:r>
      <w:r w:rsidRPr="001A1564">
        <w:rPr>
          <w:rFonts w:ascii="Arial" w:hAnsi="Arial" w:cs="Arial"/>
          <w:b/>
          <w:sz w:val="20"/>
          <w:szCs w:val="20"/>
          <w:lang w:val="en-GB" w:eastAsia="ja-JP"/>
        </w:rPr>
        <w:t xml:space="preserve"> – March 31, 202</w:t>
      </w:r>
      <w:r w:rsidR="003B7472">
        <w:rPr>
          <w:rFonts w:ascii="Arial" w:hAnsi="Arial" w:cs="Arial"/>
          <w:b/>
          <w:sz w:val="20"/>
          <w:szCs w:val="20"/>
          <w:lang w:val="en-GB" w:eastAsia="ja-JP"/>
        </w:rPr>
        <w:t>8</w:t>
      </w:r>
      <w:r w:rsidRPr="001A1564">
        <w:rPr>
          <w:rFonts w:ascii="Arial" w:hAnsi="Arial" w:cs="Arial"/>
          <w:b/>
          <w:sz w:val="20"/>
          <w:szCs w:val="20"/>
          <w:lang w:val="en-GB" w:eastAsia="ja-JP"/>
        </w:rPr>
        <w:t>)</w:t>
      </w:r>
    </w:p>
    <w:p w14:paraId="33C61E43" w14:textId="77777777" w:rsidR="00F309EA" w:rsidRPr="001A1564" w:rsidRDefault="00F309EA" w:rsidP="00F309EA">
      <w:pPr>
        <w:rPr>
          <w:rFonts w:ascii="Arial" w:hAnsi="Arial" w:cs="Arial"/>
          <w:b/>
          <w:sz w:val="20"/>
          <w:szCs w:val="20"/>
          <w:lang w:val="en-GB"/>
        </w:rPr>
      </w:pPr>
    </w:p>
    <w:p w14:paraId="5283C05D" w14:textId="77777777" w:rsidR="00F309EA" w:rsidRPr="001A1564" w:rsidRDefault="00F309EA" w:rsidP="00F309EA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23778954" w14:textId="575EF128" w:rsidR="00F309EA" w:rsidRPr="001A1564" w:rsidRDefault="00F309EA" w:rsidP="00F309EA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A1564">
        <w:rPr>
          <w:rFonts w:ascii="Arial" w:hAnsi="Arial" w:cs="Arial"/>
          <w:sz w:val="20"/>
          <w:szCs w:val="20"/>
          <w:lang w:val="en-GB"/>
        </w:rPr>
        <w:t>Based on Memorandum of Understanding on</w:t>
      </w:r>
      <w:r w:rsidR="00AD7704">
        <w:rPr>
          <w:rFonts w:ascii="Arial" w:hAnsi="Arial" w:cs="Arial"/>
          <w:sz w:val="20"/>
          <w:szCs w:val="20"/>
          <w:lang w:val="en-GB" w:eastAsia="ja-JP"/>
        </w:rPr>
        <w:t xml:space="preserve"> </w:t>
      </w:r>
      <w:r w:rsidRPr="001A1564">
        <w:rPr>
          <w:rFonts w:ascii="Arial" w:hAnsi="Arial" w:cs="Arial"/>
          <w:sz w:val="20"/>
          <w:szCs w:val="20"/>
          <w:lang w:val="en-GB"/>
        </w:rPr>
        <w:t>Scientific Cooperation between the</w:t>
      </w:r>
      <w:r w:rsidR="007D4E0F" w:rsidRPr="007D4E0F">
        <w:rPr>
          <w:rFonts w:ascii="Arial" w:hAnsi="Arial" w:cs="Arial"/>
          <w:sz w:val="20"/>
          <w:szCs w:val="20"/>
          <w:lang w:val="en-GB"/>
        </w:rPr>
        <w:t xml:space="preserve"> Ministry of Education, Science and Sport of the Republic of Slovenia</w:t>
      </w:r>
      <w:r w:rsidR="007D4E0F">
        <w:rPr>
          <w:rFonts w:ascii="Arial" w:hAnsi="Arial" w:cs="Arial"/>
          <w:sz w:val="20"/>
          <w:szCs w:val="20"/>
          <w:lang w:val="en-GB"/>
        </w:rPr>
        <w:t xml:space="preserve"> </w:t>
      </w:r>
      <w:r w:rsidR="00D17472">
        <w:rPr>
          <w:rFonts w:ascii="Arial" w:hAnsi="Arial" w:cs="Arial"/>
          <w:sz w:val="20"/>
          <w:szCs w:val="20"/>
          <w:lang w:val="en-GB"/>
        </w:rPr>
        <w:t xml:space="preserve">and </w:t>
      </w:r>
      <w:r w:rsidR="00D17472" w:rsidRPr="00D17472">
        <w:rPr>
          <w:rFonts w:ascii="Arial" w:hAnsi="Arial" w:cs="Arial"/>
          <w:sz w:val="20"/>
          <w:szCs w:val="20"/>
          <w:lang w:val="en-GB"/>
        </w:rPr>
        <w:t xml:space="preserve">the Japan Society for the Promotion of Science (JSPS) </w:t>
      </w:r>
      <w:r w:rsidRPr="001A1564">
        <w:rPr>
          <w:rFonts w:ascii="Arial" w:hAnsi="Arial" w:cs="Arial"/>
          <w:sz w:val="20"/>
          <w:szCs w:val="20"/>
          <w:lang w:val="en-GB"/>
        </w:rPr>
        <w:t xml:space="preserve">signed in April 2001, and on the Call for proposals for joint research projects, published by </w:t>
      </w:r>
      <w:r w:rsidR="00AD7704" w:rsidRPr="001A1564">
        <w:rPr>
          <w:rFonts w:ascii="Arial" w:hAnsi="Arial" w:cs="Arial"/>
          <w:sz w:val="20"/>
          <w:szCs w:val="20"/>
          <w:lang w:val="en-GB"/>
        </w:rPr>
        <w:t>the Slovenian Research</w:t>
      </w:r>
      <w:r w:rsidR="00AD7704">
        <w:rPr>
          <w:rFonts w:ascii="Arial" w:hAnsi="Arial" w:cs="Arial"/>
          <w:sz w:val="20"/>
          <w:szCs w:val="20"/>
          <w:lang w:val="en-GB"/>
        </w:rPr>
        <w:t xml:space="preserve"> and Innovation</w:t>
      </w:r>
      <w:r w:rsidR="00AD7704" w:rsidRPr="001A1564">
        <w:rPr>
          <w:rFonts w:ascii="Arial" w:hAnsi="Arial" w:cs="Arial"/>
          <w:sz w:val="20"/>
          <w:szCs w:val="20"/>
          <w:lang w:val="en-GB"/>
        </w:rPr>
        <w:t xml:space="preserve"> Agency (</w:t>
      </w:r>
      <w:r w:rsidR="003B7472">
        <w:rPr>
          <w:rFonts w:ascii="Arial" w:hAnsi="Arial" w:cs="Arial"/>
          <w:sz w:val="20"/>
          <w:szCs w:val="20"/>
          <w:lang w:val="en-GB"/>
        </w:rPr>
        <w:t>ARIS</w:t>
      </w:r>
      <w:r w:rsidR="00AD7704" w:rsidRPr="001A1564">
        <w:rPr>
          <w:rFonts w:ascii="Arial" w:hAnsi="Arial" w:cs="Arial"/>
          <w:sz w:val="20"/>
          <w:szCs w:val="20"/>
          <w:lang w:val="en-GB"/>
        </w:rPr>
        <w:t>)</w:t>
      </w:r>
      <w:r w:rsidR="00AD7704">
        <w:rPr>
          <w:rFonts w:ascii="Arial" w:hAnsi="Arial" w:cs="Arial"/>
          <w:sz w:val="20"/>
          <w:szCs w:val="20"/>
          <w:lang w:val="en-GB"/>
        </w:rPr>
        <w:t xml:space="preserve"> </w:t>
      </w:r>
      <w:r w:rsidR="00D17472">
        <w:rPr>
          <w:rFonts w:ascii="Arial" w:hAnsi="Arial" w:cs="Arial"/>
          <w:sz w:val="20"/>
          <w:szCs w:val="20"/>
          <w:lang w:val="en-GB"/>
        </w:rPr>
        <w:t xml:space="preserve">and </w:t>
      </w:r>
      <w:r w:rsidR="00D17472" w:rsidRPr="00D17472">
        <w:rPr>
          <w:rFonts w:ascii="Arial" w:hAnsi="Arial" w:cs="Arial"/>
          <w:sz w:val="20"/>
          <w:szCs w:val="20"/>
          <w:lang w:val="en-GB"/>
        </w:rPr>
        <w:t xml:space="preserve">the JSPS </w:t>
      </w:r>
      <w:r w:rsidRPr="001A1564">
        <w:rPr>
          <w:rFonts w:ascii="Arial" w:hAnsi="Arial" w:cs="Arial"/>
          <w:sz w:val="20"/>
          <w:szCs w:val="20"/>
          <w:lang w:val="en-GB"/>
        </w:rPr>
        <w:t>respectively in 202</w:t>
      </w:r>
      <w:r w:rsidR="003B7472">
        <w:rPr>
          <w:rFonts w:ascii="Arial" w:hAnsi="Arial" w:cs="Arial"/>
          <w:sz w:val="20"/>
          <w:szCs w:val="20"/>
          <w:lang w:val="en-GB"/>
        </w:rPr>
        <w:t>5</w:t>
      </w:r>
      <w:r w:rsidRPr="001A1564">
        <w:rPr>
          <w:rFonts w:ascii="Arial" w:hAnsi="Arial" w:cs="Arial"/>
          <w:sz w:val="20"/>
          <w:szCs w:val="20"/>
          <w:lang w:val="en-GB"/>
        </w:rPr>
        <w:t xml:space="preserve">, the two sides realize that: </w:t>
      </w:r>
    </w:p>
    <w:p w14:paraId="3BDC1151" w14:textId="77777777" w:rsidR="00F309EA" w:rsidRPr="00AD7704" w:rsidRDefault="00F309EA" w:rsidP="00F309EA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49113F1" w14:textId="7591B08D" w:rsidR="00F309EA" w:rsidRPr="001A1564" w:rsidRDefault="003B7472" w:rsidP="00F309EA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ARIS</w:t>
      </w:r>
      <w:r w:rsidR="00F309EA" w:rsidRPr="001A1564">
        <w:rPr>
          <w:rFonts w:ascii="Arial" w:hAnsi="Arial" w:cs="Arial"/>
          <w:sz w:val="20"/>
          <w:szCs w:val="20"/>
          <w:lang w:val="en-GB"/>
        </w:rPr>
        <w:t xml:space="preserve"> received </w:t>
      </w:r>
      <w:r w:rsidR="00F309EA" w:rsidRPr="001A1564">
        <w:rPr>
          <w:rFonts w:ascii="Arial" w:hAnsi="Arial" w:cs="Arial"/>
          <w:sz w:val="20"/>
          <w:szCs w:val="20"/>
          <w:lang w:val="en-GB" w:eastAsia="ja-JP"/>
        </w:rPr>
        <w:t>2</w:t>
      </w:r>
      <w:r>
        <w:rPr>
          <w:rFonts w:ascii="Arial" w:hAnsi="Arial" w:cs="Arial"/>
          <w:sz w:val="20"/>
          <w:szCs w:val="20"/>
          <w:lang w:val="en-GB" w:eastAsia="ja-JP"/>
        </w:rPr>
        <w:t>6</w:t>
      </w:r>
      <w:r w:rsidR="00F309EA" w:rsidRPr="001A1564">
        <w:rPr>
          <w:rFonts w:ascii="Arial" w:hAnsi="Arial" w:cs="Arial"/>
          <w:sz w:val="20"/>
          <w:szCs w:val="20"/>
          <w:lang w:val="en-GB"/>
        </w:rPr>
        <w:t xml:space="preserve"> (</w:t>
      </w:r>
      <w:r w:rsidR="001414D2" w:rsidRPr="001A1564">
        <w:rPr>
          <w:rFonts w:ascii="Arial" w:hAnsi="Arial" w:cs="Arial"/>
          <w:sz w:val="20"/>
          <w:szCs w:val="20"/>
          <w:lang w:val="en-GB"/>
        </w:rPr>
        <w:t>twenty</w:t>
      </w:r>
      <w:r w:rsidR="001414D2">
        <w:rPr>
          <w:rFonts w:ascii="Arial" w:hAnsi="Arial" w:cs="Arial"/>
          <w:sz w:val="20"/>
          <w:szCs w:val="20"/>
          <w:lang w:val="en-GB"/>
        </w:rPr>
        <w:t>-</w:t>
      </w:r>
      <w:r>
        <w:rPr>
          <w:rFonts w:ascii="Arial" w:hAnsi="Arial" w:cs="Arial"/>
          <w:sz w:val="20"/>
          <w:szCs w:val="20"/>
          <w:lang w:val="en-GB"/>
        </w:rPr>
        <w:t>six</w:t>
      </w:r>
      <w:r w:rsidR="00F309EA" w:rsidRPr="001A1564">
        <w:rPr>
          <w:rFonts w:ascii="Arial" w:hAnsi="Arial" w:cs="Arial"/>
          <w:sz w:val="20"/>
          <w:szCs w:val="20"/>
          <w:lang w:val="en-GB"/>
        </w:rPr>
        <w:t xml:space="preserve">) proposals for joint research projects, of which 2 (two) project proposals were not submitted to JSPS. </w:t>
      </w:r>
      <w:r w:rsidR="00D17472" w:rsidRPr="00D17472">
        <w:rPr>
          <w:rFonts w:ascii="Arial" w:hAnsi="Arial" w:cs="Arial"/>
          <w:sz w:val="20"/>
          <w:szCs w:val="20"/>
          <w:lang w:val="en-GB"/>
        </w:rPr>
        <w:t xml:space="preserve">JSPS received 24 (twenty-four) proposals for joint research projects, among which 13 (thirteen) project proposals were not recommended for joint selection. </w:t>
      </w:r>
      <w:r w:rsidR="00F309EA" w:rsidRPr="001A1564">
        <w:rPr>
          <w:rFonts w:ascii="Arial" w:hAnsi="Arial" w:cs="Arial"/>
          <w:sz w:val="20"/>
          <w:szCs w:val="20"/>
          <w:lang w:val="en-GB"/>
        </w:rPr>
        <w:t>Both sides agreed to qualify 1</w:t>
      </w:r>
      <w:r>
        <w:rPr>
          <w:rFonts w:ascii="Arial" w:hAnsi="Arial" w:cs="Arial"/>
          <w:sz w:val="20"/>
          <w:szCs w:val="20"/>
          <w:lang w:val="en-GB"/>
        </w:rPr>
        <w:t>1</w:t>
      </w:r>
      <w:r w:rsidR="00F309EA" w:rsidRPr="001A1564">
        <w:rPr>
          <w:rFonts w:ascii="Arial" w:hAnsi="Arial" w:cs="Arial"/>
          <w:sz w:val="20"/>
          <w:szCs w:val="20"/>
          <w:lang w:val="en-GB"/>
        </w:rPr>
        <w:t xml:space="preserve"> (</w:t>
      </w:r>
      <w:r>
        <w:rPr>
          <w:rFonts w:ascii="Arial" w:hAnsi="Arial" w:cs="Arial"/>
          <w:sz w:val="20"/>
          <w:szCs w:val="20"/>
          <w:lang w:val="en-GB"/>
        </w:rPr>
        <w:t>eleven</w:t>
      </w:r>
      <w:r w:rsidR="00F309EA" w:rsidRPr="001A1564">
        <w:rPr>
          <w:rFonts w:ascii="Arial" w:hAnsi="Arial" w:cs="Arial"/>
          <w:sz w:val="20"/>
          <w:szCs w:val="20"/>
          <w:lang w:val="en-GB"/>
        </w:rPr>
        <w:t>) corresponding proposals for joint selection.</w:t>
      </w:r>
    </w:p>
    <w:p w14:paraId="4CB6AAEA" w14:textId="77777777" w:rsidR="00F309EA" w:rsidRPr="001A1564" w:rsidRDefault="00F309EA" w:rsidP="00F309EA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6C7ACDA" w14:textId="26F25C28" w:rsidR="00F309EA" w:rsidRDefault="00F309EA" w:rsidP="00F309EA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A1564">
        <w:rPr>
          <w:rFonts w:ascii="Arial" w:hAnsi="Arial" w:cs="Arial"/>
          <w:sz w:val="20"/>
          <w:szCs w:val="20"/>
          <w:lang w:val="en-GB" w:eastAsia="ja-JP"/>
        </w:rPr>
        <w:t xml:space="preserve">Through the comparison of </w:t>
      </w:r>
      <w:r w:rsidRPr="001A1564">
        <w:rPr>
          <w:rFonts w:ascii="Arial" w:hAnsi="Arial" w:cs="Arial"/>
          <w:sz w:val="20"/>
          <w:szCs w:val="20"/>
          <w:lang w:val="en-GB"/>
        </w:rPr>
        <w:t xml:space="preserve">peer review screening results concluded respectively and based on </w:t>
      </w:r>
      <w:r w:rsidRPr="001A1564">
        <w:rPr>
          <w:rFonts w:ascii="Arial" w:hAnsi="Arial" w:cs="Arial"/>
          <w:sz w:val="20"/>
          <w:szCs w:val="20"/>
          <w:lang w:val="en-GB" w:eastAsia="ja-JP"/>
        </w:rPr>
        <w:t xml:space="preserve">the </w:t>
      </w:r>
      <w:r w:rsidRPr="001A1564">
        <w:rPr>
          <w:rFonts w:ascii="Arial" w:hAnsi="Arial" w:cs="Arial"/>
          <w:sz w:val="20"/>
          <w:szCs w:val="20"/>
          <w:lang w:val="en-GB"/>
        </w:rPr>
        <w:t xml:space="preserve">discussion by the email correspondence between </w:t>
      </w:r>
      <w:r w:rsidR="000C2C15">
        <w:rPr>
          <w:rFonts w:ascii="Arial" w:hAnsi="Arial" w:cs="Arial"/>
          <w:sz w:val="20"/>
          <w:szCs w:val="20"/>
          <w:lang w:val="en-GB"/>
        </w:rPr>
        <w:t>the Ministry of Higher Education, Science and Innovation</w:t>
      </w:r>
      <w:r w:rsidR="00D17472" w:rsidRPr="00D17472">
        <w:t xml:space="preserve"> </w:t>
      </w:r>
      <w:r w:rsidR="00D17472">
        <w:t xml:space="preserve">and </w:t>
      </w:r>
      <w:r w:rsidR="00D17472" w:rsidRPr="00D17472">
        <w:rPr>
          <w:rFonts w:ascii="Arial" w:hAnsi="Arial" w:cs="Arial"/>
          <w:sz w:val="20"/>
          <w:szCs w:val="20"/>
          <w:lang w:val="en-GB"/>
        </w:rPr>
        <w:t>the JSPS</w:t>
      </w:r>
      <w:r w:rsidRPr="001A1564">
        <w:rPr>
          <w:rFonts w:ascii="Arial" w:hAnsi="Arial" w:cs="Arial"/>
          <w:sz w:val="20"/>
          <w:szCs w:val="20"/>
          <w:lang w:val="en-GB"/>
        </w:rPr>
        <w:t xml:space="preserve">, the two sides </w:t>
      </w:r>
      <w:r w:rsidRPr="001A1564">
        <w:rPr>
          <w:rFonts w:ascii="Arial" w:hAnsi="Arial" w:cs="Arial"/>
          <w:sz w:val="20"/>
          <w:szCs w:val="20"/>
          <w:lang w:val="en-GB" w:eastAsia="ja-JP"/>
        </w:rPr>
        <w:t xml:space="preserve">decided to jointly </w:t>
      </w:r>
      <w:r w:rsidRPr="001A1564">
        <w:rPr>
          <w:rFonts w:ascii="Arial" w:hAnsi="Arial" w:cs="Arial"/>
          <w:sz w:val="20"/>
          <w:szCs w:val="20"/>
          <w:lang w:val="en-GB"/>
        </w:rPr>
        <w:t xml:space="preserve">fund the following </w:t>
      </w:r>
      <w:r w:rsidRPr="001A1564">
        <w:rPr>
          <w:rFonts w:ascii="Arial" w:hAnsi="Arial" w:cs="Arial"/>
          <w:sz w:val="20"/>
          <w:szCs w:val="20"/>
          <w:lang w:val="en-GB" w:eastAsia="ja-JP"/>
        </w:rPr>
        <w:t xml:space="preserve">4 (four) </w:t>
      </w:r>
      <w:r w:rsidRPr="001A1564">
        <w:rPr>
          <w:rFonts w:ascii="Arial" w:hAnsi="Arial" w:cs="Arial"/>
          <w:sz w:val="20"/>
          <w:szCs w:val="20"/>
          <w:lang w:val="en-GB"/>
        </w:rPr>
        <w:t>projects in FY 202</w:t>
      </w:r>
      <w:r w:rsidR="00BF279A">
        <w:rPr>
          <w:rFonts w:ascii="Arial" w:hAnsi="Arial" w:cs="Arial"/>
          <w:sz w:val="20"/>
          <w:szCs w:val="20"/>
          <w:lang w:val="en-GB"/>
        </w:rPr>
        <w:t xml:space="preserve">6 </w:t>
      </w:r>
      <w:r w:rsidRPr="001A1564">
        <w:rPr>
          <w:rFonts w:ascii="Arial" w:hAnsi="Arial" w:cs="Arial"/>
          <w:sz w:val="20"/>
          <w:szCs w:val="20"/>
          <w:lang w:val="en-GB" w:eastAsia="ja-JP"/>
        </w:rPr>
        <w:t>in the period from April 1, 202</w:t>
      </w:r>
      <w:r w:rsidR="00BF279A">
        <w:rPr>
          <w:rFonts w:ascii="Arial" w:hAnsi="Arial" w:cs="Arial"/>
          <w:sz w:val="20"/>
          <w:szCs w:val="20"/>
          <w:lang w:val="en-GB" w:eastAsia="ja-JP"/>
        </w:rPr>
        <w:t>6</w:t>
      </w:r>
      <w:r w:rsidRPr="001A1564">
        <w:rPr>
          <w:rFonts w:ascii="Arial" w:hAnsi="Arial" w:cs="Arial"/>
          <w:sz w:val="20"/>
          <w:szCs w:val="20"/>
          <w:lang w:val="en-GB" w:eastAsia="ja-JP"/>
        </w:rPr>
        <w:t xml:space="preserve"> until March 31, 202</w:t>
      </w:r>
      <w:r w:rsidR="00BF279A">
        <w:rPr>
          <w:rFonts w:ascii="Arial" w:hAnsi="Arial" w:cs="Arial"/>
          <w:sz w:val="20"/>
          <w:szCs w:val="20"/>
          <w:lang w:val="en-GB" w:eastAsia="ja-JP"/>
        </w:rPr>
        <w:t>8</w:t>
      </w:r>
      <w:r w:rsidRPr="001A1564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50B4B781" w14:textId="77777777" w:rsidR="004861A7" w:rsidRPr="000C2C15" w:rsidRDefault="004861A7" w:rsidP="00F309EA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53ED282" w14:textId="77777777" w:rsidR="00F309EA" w:rsidRPr="001A1564" w:rsidRDefault="00F309EA" w:rsidP="00F309EA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61E7840" w14:textId="77777777" w:rsidR="00F309EA" w:rsidRPr="001A1564" w:rsidRDefault="00F309EA" w:rsidP="00F309EA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W w:w="100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559"/>
        <w:gridCol w:w="1383"/>
        <w:gridCol w:w="1451"/>
        <w:gridCol w:w="1984"/>
        <w:gridCol w:w="1374"/>
      </w:tblGrid>
      <w:tr w:rsidR="00D17472" w:rsidRPr="001A1564" w14:paraId="0AB4D995" w14:textId="77777777" w:rsidTr="00D17472">
        <w:trPr>
          <w:trHeight w:val="470"/>
        </w:trPr>
        <w:tc>
          <w:tcPr>
            <w:tcW w:w="568" w:type="dxa"/>
            <w:shd w:val="clear" w:color="auto" w:fill="auto"/>
          </w:tcPr>
          <w:p w14:paraId="69F823D6" w14:textId="60F483BF" w:rsidR="00D17472" w:rsidRPr="001A1564" w:rsidRDefault="00D17472" w:rsidP="00D174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1564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o</w:t>
            </w:r>
            <w:r w:rsidRPr="001A1564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701" w:type="dxa"/>
          </w:tcPr>
          <w:p w14:paraId="32396095" w14:textId="7585B5D8" w:rsidR="00D17472" w:rsidRPr="001A1564" w:rsidRDefault="00D17472" w:rsidP="00D1747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1564">
              <w:rPr>
                <w:rFonts w:ascii="Arial" w:hAnsi="Arial" w:cs="Arial"/>
                <w:b/>
                <w:sz w:val="20"/>
                <w:szCs w:val="20"/>
                <w:lang w:val="en-GB"/>
              </w:rPr>
              <w:t>Institution in Slovenia</w:t>
            </w:r>
          </w:p>
        </w:tc>
        <w:tc>
          <w:tcPr>
            <w:tcW w:w="1559" w:type="dxa"/>
          </w:tcPr>
          <w:p w14:paraId="44DAC33E" w14:textId="259E109D" w:rsidR="00D17472" w:rsidRPr="001A1564" w:rsidRDefault="00D17472" w:rsidP="00D1747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1564">
              <w:rPr>
                <w:rFonts w:ascii="Arial" w:hAnsi="Arial" w:cs="Arial"/>
                <w:b/>
                <w:sz w:val="20"/>
                <w:szCs w:val="20"/>
                <w:lang w:val="en-GB"/>
              </w:rPr>
              <w:t>PI in Slovenia</w:t>
            </w:r>
          </w:p>
        </w:tc>
        <w:tc>
          <w:tcPr>
            <w:tcW w:w="1383" w:type="dxa"/>
          </w:tcPr>
          <w:p w14:paraId="1EA5B2B6" w14:textId="19272A16" w:rsidR="00D17472" w:rsidRPr="001A1564" w:rsidRDefault="00D17472" w:rsidP="00D1747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1564">
              <w:rPr>
                <w:rFonts w:ascii="Arial" w:hAnsi="Arial" w:cs="Arial"/>
                <w:b/>
                <w:sz w:val="20"/>
                <w:szCs w:val="20"/>
                <w:lang w:val="en-GB"/>
              </w:rPr>
              <w:t>Institution in Japan</w:t>
            </w:r>
          </w:p>
        </w:tc>
        <w:tc>
          <w:tcPr>
            <w:tcW w:w="1451" w:type="dxa"/>
          </w:tcPr>
          <w:p w14:paraId="55C5B008" w14:textId="0E865939" w:rsidR="00D17472" w:rsidRPr="001A1564" w:rsidRDefault="00D17472" w:rsidP="00D1747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1564">
              <w:rPr>
                <w:rFonts w:ascii="Arial" w:hAnsi="Arial" w:cs="Arial"/>
                <w:b/>
                <w:sz w:val="20"/>
                <w:szCs w:val="20"/>
                <w:lang w:val="en-GB"/>
              </w:rPr>
              <w:t>PI in Japan</w:t>
            </w:r>
          </w:p>
        </w:tc>
        <w:tc>
          <w:tcPr>
            <w:tcW w:w="1984" w:type="dxa"/>
            <w:shd w:val="clear" w:color="auto" w:fill="auto"/>
          </w:tcPr>
          <w:p w14:paraId="767364AD" w14:textId="3FAB032D" w:rsidR="00D17472" w:rsidRPr="001A1564" w:rsidRDefault="00D17472" w:rsidP="00D1747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1564">
              <w:rPr>
                <w:rFonts w:ascii="Arial" w:hAnsi="Arial" w:cs="Arial"/>
                <w:b/>
                <w:sz w:val="20"/>
                <w:szCs w:val="20"/>
                <w:lang w:val="en-GB"/>
              </w:rPr>
              <w:t>Title of project</w:t>
            </w:r>
          </w:p>
        </w:tc>
        <w:tc>
          <w:tcPr>
            <w:tcW w:w="1374" w:type="dxa"/>
            <w:shd w:val="clear" w:color="auto" w:fill="auto"/>
          </w:tcPr>
          <w:p w14:paraId="43EA330A" w14:textId="77777777" w:rsidR="00D17472" w:rsidRPr="001A1564" w:rsidRDefault="00D17472" w:rsidP="00D1747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1564">
              <w:rPr>
                <w:rFonts w:ascii="Arial" w:hAnsi="Arial" w:cs="Arial"/>
                <w:b/>
                <w:sz w:val="20"/>
                <w:szCs w:val="20"/>
                <w:lang w:val="en-GB"/>
              </w:rPr>
              <w:t>Duration</w:t>
            </w:r>
          </w:p>
        </w:tc>
      </w:tr>
      <w:tr w:rsidR="00D17472" w:rsidRPr="001A1564" w14:paraId="70479EFA" w14:textId="77777777" w:rsidTr="00D17472">
        <w:trPr>
          <w:trHeight w:val="975"/>
        </w:trPr>
        <w:tc>
          <w:tcPr>
            <w:tcW w:w="568" w:type="dxa"/>
            <w:shd w:val="clear" w:color="auto" w:fill="auto"/>
          </w:tcPr>
          <w:p w14:paraId="4D98B9CE" w14:textId="23ED2F14" w:rsidR="00D17472" w:rsidRPr="00D17472" w:rsidRDefault="00D17472" w:rsidP="00D17472">
            <w:pPr>
              <w:jc w:val="center"/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  <w:r w:rsidRPr="00D17472">
              <w:rPr>
                <w:rFonts w:ascii="Arial" w:hAnsi="Arial" w:cs="Arial"/>
                <w:sz w:val="20"/>
                <w:szCs w:val="20"/>
                <w:lang w:val="en-GB" w:eastAsia="ja-JP"/>
              </w:rPr>
              <w:t>1.</w:t>
            </w:r>
          </w:p>
        </w:tc>
        <w:tc>
          <w:tcPr>
            <w:tcW w:w="1701" w:type="dxa"/>
          </w:tcPr>
          <w:p w14:paraId="4C50B44B" w14:textId="77777777" w:rsidR="00D17472" w:rsidRPr="00D04F7B" w:rsidRDefault="00D17472" w:rsidP="00D174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4F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University of Ljubljana</w:t>
            </w:r>
          </w:p>
          <w:p w14:paraId="4F21747E" w14:textId="77777777" w:rsidR="00D17472" w:rsidRPr="00DE3130" w:rsidRDefault="00D17472" w:rsidP="00D174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7ED80B" w14:textId="77777777" w:rsidR="00D17472" w:rsidRDefault="00D17472" w:rsidP="00D174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BOHINC </w:t>
            </w:r>
          </w:p>
          <w:p w14:paraId="0A3308C6" w14:textId="77777777" w:rsidR="00D17472" w:rsidRPr="00DE3130" w:rsidRDefault="00D17472" w:rsidP="00D174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Klemen</w:t>
            </w:r>
          </w:p>
        </w:tc>
        <w:tc>
          <w:tcPr>
            <w:tcW w:w="1383" w:type="dxa"/>
          </w:tcPr>
          <w:p w14:paraId="5319A145" w14:textId="77777777" w:rsidR="00D17472" w:rsidRPr="00D04F7B" w:rsidRDefault="00D17472" w:rsidP="00D174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4F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Kyushu University</w:t>
            </w:r>
          </w:p>
          <w:p w14:paraId="1FD9E112" w14:textId="77777777" w:rsidR="00D17472" w:rsidRPr="002E2B1F" w:rsidRDefault="00D17472" w:rsidP="00D17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94CAB6F" w14:textId="77777777" w:rsidR="00D17472" w:rsidRDefault="00D17472" w:rsidP="00D174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HIGUCHI</w:t>
            </w:r>
          </w:p>
          <w:p w14:paraId="2D599339" w14:textId="77777777" w:rsidR="00D17472" w:rsidRPr="00D04F7B" w:rsidRDefault="00D17472" w:rsidP="00D174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4F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Yuji</w:t>
            </w:r>
          </w:p>
          <w:p w14:paraId="049C2F3B" w14:textId="77777777" w:rsidR="00D17472" w:rsidRPr="002E2B1F" w:rsidRDefault="00D17472" w:rsidP="00D17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2E4412F" w14:textId="1BFEFA6D" w:rsidR="00D17472" w:rsidRPr="00D04F7B" w:rsidRDefault="00D17472" w:rsidP="00D17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B1F">
              <w:rPr>
                <w:rFonts w:ascii="Arial" w:hAnsi="Arial" w:cs="Arial"/>
                <w:sz w:val="20"/>
                <w:szCs w:val="20"/>
              </w:rPr>
              <w:t>Understanding the dynamical structure of water molecules mediating interactions between zwitterions towards the design of biocompatible materials</w:t>
            </w:r>
          </w:p>
        </w:tc>
        <w:tc>
          <w:tcPr>
            <w:tcW w:w="1374" w:type="dxa"/>
            <w:shd w:val="clear" w:color="auto" w:fill="auto"/>
          </w:tcPr>
          <w:p w14:paraId="69A59D2F" w14:textId="77777777" w:rsidR="00D17472" w:rsidRDefault="00D17472" w:rsidP="00D174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</w:pPr>
            <w:r w:rsidRPr="00513AD3"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  <w:t>April 1 2026</w:t>
            </w:r>
          </w:p>
          <w:p w14:paraId="118C109C" w14:textId="77777777" w:rsidR="00D17472" w:rsidRDefault="00D17472" w:rsidP="00D174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</w:pPr>
            <w:r w:rsidRPr="00513AD3"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  <w:t>–</w:t>
            </w:r>
          </w:p>
          <w:p w14:paraId="4565DFCD" w14:textId="77777777" w:rsidR="00D17472" w:rsidRPr="001A1564" w:rsidRDefault="00D17472" w:rsidP="00D174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513AD3"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  <w:t>March 31, 2028</w:t>
            </w:r>
          </w:p>
        </w:tc>
      </w:tr>
      <w:tr w:rsidR="00D17472" w:rsidRPr="004D4548" w14:paraId="5097E289" w14:textId="77777777" w:rsidTr="00D17472">
        <w:trPr>
          <w:trHeight w:val="699"/>
        </w:trPr>
        <w:tc>
          <w:tcPr>
            <w:tcW w:w="568" w:type="dxa"/>
            <w:shd w:val="clear" w:color="auto" w:fill="auto"/>
          </w:tcPr>
          <w:p w14:paraId="06AABF0E" w14:textId="5D33E369" w:rsidR="00D17472" w:rsidRPr="004D4548" w:rsidRDefault="00D17472" w:rsidP="00D1747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Pr="004D4548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701" w:type="dxa"/>
          </w:tcPr>
          <w:p w14:paraId="2C7BF747" w14:textId="77777777" w:rsidR="00D17472" w:rsidRPr="004D4548" w:rsidRDefault="00D17472" w:rsidP="00D174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45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University of Ljubljana  &amp;  Institute for Mathematics, Physics and Mechanics (IMFM)</w:t>
            </w:r>
          </w:p>
        </w:tc>
        <w:tc>
          <w:tcPr>
            <w:tcW w:w="1559" w:type="dxa"/>
          </w:tcPr>
          <w:p w14:paraId="2ACA2839" w14:textId="77777777" w:rsidR="00D17472" w:rsidRPr="004D4548" w:rsidRDefault="00D17472" w:rsidP="00D174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45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BAUER</w:t>
            </w:r>
          </w:p>
          <w:p w14:paraId="2875ECD9" w14:textId="77777777" w:rsidR="00D17472" w:rsidRPr="004D4548" w:rsidRDefault="00D17472" w:rsidP="00D174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45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Andrej</w:t>
            </w:r>
          </w:p>
        </w:tc>
        <w:tc>
          <w:tcPr>
            <w:tcW w:w="1383" w:type="dxa"/>
          </w:tcPr>
          <w:p w14:paraId="25176B32" w14:textId="6071B9A3" w:rsidR="00D17472" w:rsidRPr="004D4548" w:rsidRDefault="00D17472" w:rsidP="00D17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5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Nagoya University</w:t>
            </w:r>
          </w:p>
        </w:tc>
        <w:tc>
          <w:tcPr>
            <w:tcW w:w="1451" w:type="dxa"/>
          </w:tcPr>
          <w:p w14:paraId="05EB8A72" w14:textId="77777777" w:rsidR="00D17472" w:rsidRDefault="00D17472" w:rsidP="00D17472">
            <w:pPr>
              <w:tabs>
                <w:tab w:val="left" w:pos="102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KIHARA</w:t>
            </w:r>
          </w:p>
          <w:p w14:paraId="0E781BBC" w14:textId="382ADDEE" w:rsidR="00D17472" w:rsidRPr="004D4548" w:rsidRDefault="00D17472" w:rsidP="00D17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548">
              <w:rPr>
                <w:rFonts w:ascii="Arial" w:hAnsi="Arial" w:cs="Arial"/>
                <w:sz w:val="20"/>
                <w:szCs w:val="20"/>
                <w:lang w:val="en-GB"/>
              </w:rPr>
              <w:t xml:space="preserve">Takayuki </w:t>
            </w:r>
          </w:p>
        </w:tc>
        <w:tc>
          <w:tcPr>
            <w:tcW w:w="1984" w:type="dxa"/>
            <w:shd w:val="clear" w:color="auto" w:fill="auto"/>
          </w:tcPr>
          <w:p w14:paraId="4F0C0803" w14:textId="76CCAD0B" w:rsidR="00D17472" w:rsidRPr="004D4548" w:rsidRDefault="00D17472" w:rsidP="00D17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548">
              <w:rPr>
                <w:rFonts w:ascii="Arial" w:hAnsi="Arial" w:cs="Arial"/>
                <w:sz w:val="20"/>
                <w:szCs w:val="20"/>
              </w:rPr>
              <w:t>Lavwere-Tierney modal operators in computability theory</w:t>
            </w:r>
          </w:p>
          <w:p w14:paraId="1B9C4A5C" w14:textId="77777777" w:rsidR="00D17472" w:rsidRPr="004D4548" w:rsidRDefault="00D17472" w:rsidP="00D1747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74" w:type="dxa"/>
            <w:shd w:val="clear" w:color="auto" w:fill="auto"/>
          </w:tcPr>
          <w:p w14:paraId="55DD7B25" w14:textId="77777777" w:rsidR="00D17472" w:rsidRPr="00D17472" w:rsidRDefault="00D17472" w:rsidP="00D174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</w:pPr>
            <w:r w:rsidRPr="00D17472"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  <w:t>April 1 2026</w:t>
            </w:r>
          </w:p>
          <w:p w14:paraId="2CCA1E79" w14:textId="77777777" w:rsidR="00D17472" w:rsidRPr="00D17472" w:rsidRDefault="00D17472" w:rsidP="00D174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</w:pPr>
            <w:r w:rsidRPr="00D17472"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  <w:t>–</w:t>
            </w:r>
          </w:p>
          <w:p w14:paraId="60FFCE3D" w14:textId="77777777" w:rsidR="00D17472" w:rsidRPr="004D4548" w:rsidRDefault="00D17472" w:rsidP="00D17472">
            <w:pPr>
              <w:jc w:val="center"/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  <w:r w:rsidRPr="00D17472"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  <w:t>March 31, 2028</w:t>
            </w:r>
          </w:p>
        </w:tc>
      </w:tr>
      <w:tr w:rsidR="00D17472" w:rsidRPr="001A1564" w14:paraId="183D29A0" w14:textId="77777777" w:rsidTr="00D17472">
        <w:trPr>
          <w:trHeight w:val="1202"/>
        </w:trPr>
        <w:tc>
          <w:tcPr>
            <w:tcW w:w="568" w:type="dxa"/>
            <w:shd w:val="clear" w:color="auto" w:fill="auto"/>
          </w:tcPr>
          <w:p w14:paraId="6DDA7C95" w14:textId="2AA8287C" w:rsidR="00D17472" w:rsidRPr="00513AD3" w:rsidRDefault="00D17472" w:rsidP="00D1747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513AD3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701" w:type="dxa"/>
          </w:tcPr>
          <w:p w14:paraId="087A783B" w14:textId="77777777" w:rsidR="00D17472" w:rsidRPr="00513AD3" w:rsidRDefault="00D17472" w:rsidP="00D174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A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University of Ljubljana</w:t>
            </w:r>
          </w:p>
        </w:tc>
        <w:tc>
          <w:tcPr>
            <w:tcW w:w="1559" w:type="dxa"/>
          </w:tcPr>
          <w:p w14:paraId="5D63369D" w14:textId="77777777" w:rsidR="00D17472" w:rsidRPr="00513AD3" w:rsidRDefault="00D17472" w:rsidP="00D174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A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ARISTOVNIK</w:t>
            </w:r>
          </w:p>
          <w:p w14:paraId="4233144E" w14:textId="77777777" w:rsidR="00D17472" w:rsidRPr="00513AD3" w:rsidRDefault="00D17472" w:rsidP="00D174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A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Aleksander</w:t>
            </w:r>
          </w:p>
        </w:tc>
        <w:tc>
          <w:tcPr>
            <w:tcW w:w="1383" w:type="dxa"/>
          </w:tcPr>
          <w:p w14:paraId="3573E975" w14:textId="5F90B4DF" w:rsidR="00D17472" w:rsidRPr="00513AD3" w:rsidRDefault="00D17472" w:rsidP="00D17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A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Meiji University</w:t>
            </w:r>
          </w:p>
        </w:tc>
        <w:tc>
          <w:tcPr>
            <w:tcW w:w="1451" w:type="dxa"/>
          </w:tcPr>
          <w:p w14:paraId="3AD00CD0" w14:textId="3826BA2F" w:rsidR="00D17472" w:rsidRPr="00513AD3" w:rsidRDefault="00D17472" w:rsidP="00D17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KIK</w:t>
            </w:r>
            <w:r w:rsidRPr="0021244A">
              <w:rPr>
                <w:rFonts w:ascii="Arial" w:hAnsi="Arial" w:cs="Arial"/>
                <w:color w:val="000000"/>
                <w:sz w:val="20"/>
                <w:szCs w:val="20"/>
                <w:lang w:eastAsia="ja-JP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CHI </w:t>
            </w:r>
            <w:r w:rsidRPr="00513A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Masao </w:t>
            </w:r>
          </w:p>
        </w:tc>
        <w:tc>
          <w:tcPr>
            <w:tcW w:w="1984" w:type="dxa"/>
            <w:shd w:val="clear" w:color="auto" w:fill="auto"/>
          </w:tcPr>
          <w:p w14:paraId="3C9EC40F" w14:textId="30CCA21C" w:rsidR="00D17472" w:rsidRPr="00885328" w:rsidRDefault="00D17472" w:rsidP="00D17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AD3">
              <w:rPr>
                <w:rFonts w:ascii="Arial" w:hAnsi="Arial" w:cs="Arial"/>
                <w:sz w:val="20"/>
                <w:szCs w:val="20"/>
              </w:rPr>
              <w:t>Disruptive Technology Capabilities in Local Public Administration: A comparison between Slovenia and Japan</w:t>
            </w:r>
          </w:p>
        </w:tc>
        <w:tc>
          <w:tcPr>
            <w:tcW w:w="1374" w:type="dxa"/>
            <w:shd w:val="clear" w:color="auto" w:fill="auto"/>
          </w:tcPr>
          <w:p w14:paraId="31D4577B" w14:textId="77777777" w:rsidR="00D17472" w:rsidRDefault="00D17472" w:rsidP="00D174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</w:pPr>
            <w:r w:rsidRPr="00513AD3"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  <w:t>April 1 2026</w:t>
            </w:r>
          </w:p>
          <w:p w14:paraId="3A2CCFF8" w14:textId="77777777" w:rsidR="00D17472" w:rsidRDefault="00D17472" w:rsidP="00D174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</w:pPr>
            <w:r w:rsidRPr="00513AD3"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  <w:t>–</w:t>
            </w:r>
          </w:p>
          <w:p w14:paraId="64331F1B" w14:textId="77777777" w:rsidR="00D17472" w:rsidRPr="001A1564" w:rsidRDefault="00D17472" w:rsidP="00D174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</w:pPr>
            <w:r w:rsidRPr="00513AD3"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  <w:t>March 31, 2028</w:t>
            </w:r>
          </w:p>
        </w:tc>
      </w:tr>
      <w:tr w:rsidR="00D17472" w:rsidRPr="001A1564" w14:paraId="63BEA5D8" w14:textId="77777777" w:rsidTr="00D17472">
        <w:trPr>
          <w:trHeight w:val="1242"/>
        </w:trPr>
        <w:tc>
          <w:tcPr>
            <w:tcW w:w="568" w:type="dxa"/>
            <w:shd w:val="clear" w:color="auto" w:fill="auto"/>
          </w:tcPr>
          <w:p w14:paraId="7D72984B" w14:textId="1025E1C2" w:rsidR="00D17472" w:rsidRPr="00513AD3" w:rsidRDefault="00D17472" w:rsidP="00D1747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Pr="00513AD3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701" w:type="dxa"/>
          </w:tcPr>
          <w:p w14:paraId="538DF7C2" w14:textId="77777777" w:rsidR="00D17472" w:rsidRPr="00885328" w:rsidRDefault="00D17472" w:rsidP="00D17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AD3">
              <w:rPr>
                <w:rFonts w:ascii="Arial" w:hAnsi="Arial" w:cs="Arial"/>
                <w:sz w:val="20"/>
                <w:szCs w:val="20"/>
              </w:rPr>
              <w:t>Research Center of the Slovenian Academy of Sciences and Arts (ZRC-SAZU)</w:t>
            </w:r>
          </w:p>
        </w:tc>
        <w:tc>
          <w:tcPr>
            <w:tcW w:w="1559" w:type="dxa"/>
          </w:tcPr>
          <w:p w14:paraId="0866B841" w14:textId="77777777" w:rsidR="00D17472" w:rsidRPr="00513AD3" w:rsidRDefault="00D17472" w:rsidP="00D174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A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LOGAR</w:t>
            </w:r>
          </w:p>
          <w:p w14:paraId="67B742DE" w14:textId="77777777" w:rsidR="00D17472" w:rsidRPr="00513AD3" w:rsidRDefault="00D17472" w:rsidP="00D174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A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Erik</w:t>
            </w:r>
          </w:p>
        </w:tc>
        <w:tc>
          <w:tcPr>
            <w:tcW w:w="1383" w:type="dxa"/>
          </w:tcPr>
          <w:p w14:paraId="3D527AFD" w14:textId="05DFBEFB" w:rsidR="00D17472" w:rsidRPr="002E2B1F" w:rsidRDefault="00D17472" w:rsidP="00D174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A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Ritsumeikan University</w:t>
            </w:r>
          </w:p>
        </w:tc>
        <w:tc>
          <w:tcPr>
            <w:tcW w:w="1451" w:type="dxa"/>
          </w:tcPr>
          <w:p w14:paraId="2044FF20" w14:textId="73AE4400" w:rsidR="00D17472" w:rsidRPr="002E2B1F" w:rsidRDefault="00D17472" w:rsidP="00D174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3A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TERATOKO Yukio</w:t>
            </w:r>
          </w:p>
        </w:tc>
        <w:tc>
          <w:tcPr>
            <w:tcW w:w="1984" w:type="dxa"/>
            <w:shd w:val="clear" w:color="auto" w:fill="auto"/>
          </w:tcPr>
          <w:p w14:paraId="7C8D33C2" w14:textId="5A886333" w:rsidR="00D17472" w:rsidRPr="00513AD3" w:rsidRDefault="00D17472" w:rsidP="00D1747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2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Geographical Indications in Slovenia and Japan: A Comparative Network Analysis through the Lens of Social Capital Theory</w:t>
            </w:r>
          </w:p>
        </w:tc>
        <w:tc>
          <w:tcPr>
            <w:tcW w:w="1374" w:type="dxa"/>
            <w:shd w:val="clear" w:color="auto" w:fill="auto"/>
          </w:tcPr>
          <w:p w14:paraId="50079602" w14:textId="77777777" w:rsidR="00D17472" w:rsidRDefault="00D17472" w:rsidP="00D174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</w:pPr>
            <w:r w:rsidRPr="001A1564"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  <w:t>April 1 202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  <w:t>6</w:t>
            </w:r>
          </w:p>
          <w:p w14:paraId="4E12A05E" w14:textId="77777777" w:rsidR="00D17472" w:rsidRDefault="00D17472" w:rsidP="00D174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</w:pPr>
            <w:r w:rsidRPr="001A1564"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  <w:t>–</w:t>
            </w:r>
          </w:p>
          <w:p w14:paraId="3B9F2797" w14:textId="77777777" w:rsidR="00D17472" w:rsidRPr="001A1564" w:rsidRDefault="00D17472" w:rsidP="00D174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</w:pPr>
            <w:r w:rsidRPr="001A1564"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  <w:t>March 31, 202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GB" w:eastAsia="ja-JP"/>
              </w:rPr>
              <w:t>8</w:t>
            </w:r>
          </w:p>
        </w:tc>
      </w:tr>
    </w:tbl>
    <w:p w14:paraId="2BA7E832" w14:textId="4C125AC6" w:rsidR="00F309EA" w:rsidRPr="001A1564" w:rsidRDefault="00F309EA" w:rsidP="00F309EA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A1564">
        <w:rPr>
          <w:rFonts w:ascii="Arial" w:hAnsi="Arial" w:cs="Arial"/>
          <w:sz w:val="20"/>
          <w:szCs w:val="20"/>
          <w:lang w:val="en-GB"/>
        </w:rPr>
        <w:br w:type="page"/>
      </w:r>
    </w:p>
    <w:p w14:paraId="24A0D3B6" w14:textId="77777777" w:rsidR="00C34EA7" w:rsidRPr="001A1564" w:rsidRDefault="00C34EA7" w:rsidP="00C34EA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A1564">
        <w:rPr>
          <w:rFonts w:ascii="Arial" w:hAnsi="Arial" w:cs="Arial"/>
          <w:sz w:val="20"/>
          <w:szCs w:val="20"/>
          <w:lang w:val="en-GB"/>
        </w:rPr>
        <w:lastRenderedPageBreak/>
        <w:t xml:space="preserve">In Slovenia each of selected projects may use up to </w:t>
      </w:r>
      <w:r w:rsidRPr="001A1564">
        <w:rPr>
          <w:rFonts w:ascii="Arial" w:hAnsi="Arial" w:cs="Arial"/>
          <w:sz w:val="20"/>
          <w:szCs w:val="20"/>
          <w:lang w:val="en-GB" w:eastAsia="ja-JP"/>
        </w:rPr>
        <w:t>6.000</w:t>
      </w:r>
      <w:r w:rsidRPr="001A1564">
        <w:rPr>
          <w:rFonts w:ascii="Arial" w:hAnsi="Arial" w:cs="Arial"/>
          <w:sz w:val="20"/>
          <w:szCs w:val="20"/>
          <w:lang w:val="en-GB"/>
        </w:rPr>
        <w:t xml:space="preserve">,00 EUR </w:t>
      </w:r>
      <w:r w:rsidRPr="001A1564">
        <w:rPr>
          <w:rFonts w:ascii="Arial" w:hAnsi="Arial" w:cs="Arial"/>
          <w:sz w:val="20"/>
          <w:szCs w:val="20"/>
          <w:lang w:val="en-GB" w:eastAsia="ja-JP"/>
        </w:rPr>
        <w:t xml:space="preserve">in 12 months (up to 12.000,00 EUR </w:t>
      </w:r>
      <w:r w:rsidRPr="001A1564">
        <w:rPr>
          <w:rFonts w:ascii="Arial" w:hAnsi="Arial" w:cs="Arial"/>
          <w:sz w:val="20"/>
          <w:szCs w:val="20"/>
          <w:lang w:val="en-GB"/>
        </w:rPr>
        <w:t>in 24 months</w:t>
      </w:r>
      <w:r w:rsidRPr="001A1564">
        <w:rPr>
          <w:rFonts w:ascii="Arial" w:hAnsi="Arial" w:cs="Arial"/>
          <w:sz w:val="20"/>
          <w:szCs w:val="20"/>
          <w:lang w:val="en-GB" w:eastAsia="ja-JP"/>
        </w:rPr>
        <w:t>)</w:t>
      </w:r>
      <w:r w:rsidRPr="001A1564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48E6A670" w14:textId="2841914F" w:rsidR="00C34EA7" w:rsidRDefault="00C34EA7" w:rsidP="00C34EA7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EC5C41F" w14:textId="77777777" w:rsidR="00BB607C" w:rsidRPr="001A1564" w:rsidRDefault="00BB607C" w:rsidP="00BB607C">
      <w:pPr>
        <w:jc w:val="both"/>
        <w:rPr>
          <w:rFonts w:ascii="Arial" w:hAnsi="Arial" w:cs="Arial"/>
          <w:sz w:val="20"/>
          <w:szCs w:val="20"/>
          <w:lang w:val="en-GB"/>
        </w:rPr>
      </w:pPr>
      <w:r w:rsidRPr="001A1564">
        <w:rPr>
          <w:rFonts w:ascii="Arial" w:hAnsi="Arial" w:cs="Arial"/>
          <w:sz w:val="20"/>
          <w:szCs w:val="20"/>
          <w:lang w:val="en-GB"/>
        </w:rPr>
        <w:t>In Japan each of selected projects may use up to JPY</w:t>
      </w:r>
      <w:r w:rsidRPr="001A1564">
        <w:rPr>
          <w:rFonts w:ascii="Arial" w:hAnsi="Arial" w:cs="Arial"/>
          <w:sz w:val="20"/>
          <w:szCs w:val="20"/>
          <w:lang w:val="en-GB" w:eastAsia="ja-JP"/>
        </w:rPr>
        <w:t xml:space="preserve"> 2,000,000 </w:t>
      </w:r>
      <w:r w:rsidRPr="001A1564">
        <w:rPr>
          <w:rFonts w:ascii="Arial" w:hAnsi="Arial" w:cs="Arial"/>
          <w:sz w:val="20"/>
          <w:szCs w:val="20"/>
          <w:lang w:val="en-GB"/>
        </w:rPr>
        <w:t>per fiscal year (up to JPY</w:t>
      </w:r>
      <w:r w:rsidRPr="001A1564">
        <w:rPr>
          <w:rFonts w:ascii="Arial" w:hAnsi="Arial" w:cs="Arial"/>
          <w:sz w:val="20"/>
          <w:szCs w:val="20"/>
          <w:lang w:val="en-GB" w:eastAsia="ja-JP"/>
        </w:rPr>
        <w:t xml:space="preserve"> 4,000,000 </w:t>
      </w:r>
      <w:r w:rsidRPr="001A1564">
        <w:rPr>
          <w:rFonts w:ascii="Arial" w:hAnsi="Arial" w:cs="Arial"/>
          <w:sz w:val="20"/>
          <w:szCs w:val="20"/>
          <w:lang w:val="en-GB"/>
        </w:rPr>
        <w:t>in two years).</w:t>
      </w:r>
    </w:p>
    <w:p w14:paraId="2CADF29F" w14:textId="77777777" w:rsidR="00BB607C" w:rsidRPr="00BB607C" w:rsidRDefault="00BB607C" w:rsidP="00C34EA7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3C23C9B" w14:textId="15632BE8" w:rsidR="00F309EA" w:rsidRPr="001A1564" w:rsidRDefault="00513AD3" w:rsidP="00F309EA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 w:eastAsia="ja-JP"/>
        </w:rPr>
        <w:t>ARIS</w:t>
      </w:r>
      <w:r w:rsidR="00F309EA" w:rsidRPr="001A1564">
        <w:rPr>
          <w:rFonts w:ascii="Arial" w:hAnsi="Arial" w:cs="Arial"/>
          <w:sz w:val="20"/>
          <w:szCs w:val="20"/>
          <w:lang w:val="en-GB" w:eastAsia="ja-JP"/>
        </w:rPr>
        <w:t xml:space="preserve"> </w:t>
      </w:r>
      <w:r w:rsidR="00F309EA" w:rsidRPr="001A1564">
        <w:rPr>
          <w:rFonts w:ascii="Arial" w:hAnsi="Arial" w:cs="Arial"/>
          <w:sz w:val="20"/>
          <w:szCs w:val="20"/>
          <w:lang w:val="en-GB"/>
        </w:rPr>
        <w:t>will cover the costs of the Slovenian team</w:t>
      </w:r>
      <w:r w:rsidR="00BB607C">
        <w:rPr>
          <w:rFonts w:ascii="Arial" w:hAnsi="Arial" w:cs="Arial"/>
          <w:sz w:val="20"/>
          <w:szCs w:val="20"/>
          <w:lang w:val="en-GB"/>
        </w:rPr>
        <w:t xml:space="preserve">, and </w:t>
      </w:r>
      <w:r w:rsidR="00BB607C" w:rsidRPr="00C34EA7">
        <w:rPr>
          <w:rFonts w:ascii="Arial" w:hAnsi="Arial" w:cs="Arial"/>
          <w:sz w:val="20"/>
          <w:szCs w:val="20"/>
          <w:lang w:val="en-GB" w:eastAsia="ja-JP"/>
        </w:rPr>
        <w:t>JSPS will cover the costs of the Japanese team</w:t>
      </w:r>
      <w:r w:rsidR="00C34EA7">
        <w:rPr>
          <w:rFonts w:ascii="Arial" w:hAnsi="Arial" w:cs="Arial"/>
          <w:sz w:val="20"/>
          <w:szCs w:val="20"/>
          <w:lang w:val="en-GB"/>
        </w:rPr>
        <w:t>.</w:t>
      </w:r>
    </w:p>
    <w:p w14:paraId="5D9BE46B" w14:textId="77777777" w:rsidR="00F309EA" w:rsidRPr="00BB607C" w:rsidRDefault="00F309EA" w:rsidP="00F309EA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096D31C" w14:textId="148C4884" w:rsidR="00F309EA" w:rsidRPr="001A1564" w:rsidRDefault="00F309EA" w:rsidP="00F309EA">
      <w:pPr>
        <w:jc w:val="both"/>
        <w:rPr>
          <w:rFonts w:ascii="Arial" w:hAnsi="Arial" w:cs="Arial"/>
          <w:sz w:val="20"/>
          <w:szCs w:val="20"/>
          <w:lang w:eastAsia="ja-JP"/>
        </w:rPr>
      </w:pPr>
      <w:r w:rsidRPr="001A1564">
        <w:rPr>
          <w:rFonts w:ascii="Arial" w:hAnsi="Arial" w:cs="Arial"/>
          <w:sz w:val="20"/>
          <w:szCs w:val="20"/>
          <w:lang w:val="en-GB" w:eastAsia="ja-JP"/>
        </w:rPr>
        <w:t xml:space="preserve">The two sides decided to publish the new call for proposals in </w:t>
      </w:r>
      <w:r>
        <w:rPr>
          <w:rFonts w:ascii="Arial" w:hAnsi="Arial" w:cs="Arial"/>
          <w:sz w:val="20"/>
          <w:szCs w:val="20"/>
          <w:lang w:val="en-GB" w:eastAsia="ja-JP"/>
        </w:rPr>
        <w:t>June</w:t>
      </w:r>
      <w:r w:rsidRPr="001A1564">
        <w:rPr>
          <w:rFonts w:ascii="Arial" w:hAnsi="Arial" w:cs="Arial"/>
          <w:sz w:val="20"/>
          <w:szCs w:val="20"/>
          <w:lang w:val="en-GB" w:eastAsia="ja-JP"/>
        </w:rPr>
        <w:t xml:space="preserve"> 202</w:t>
      </w:r>
      <w:r w:rsidR="00513AD3">
        <w:rPr>
          <w:rFonts w:ascii="Arial" w:hAnsi="Arial" w:cs="Arial"/>
          <w:sz w:val="20"/>
          <w:szCs w:val="20"/>
          <w:lang w:val="en-GB" w:eastAsia="ja-JP"/>
        </w:rPr>
        <w:t>6</w:t>
      </w:r>
      <w:r w:rsidRPr="001A1564">
        <w:rPr>
          <w:rFonts w:ascii="Arial" w:hAnsi="Arial" w:cs="Arial"/>
          <w:sz w:val="20"/>
          <w:szCs w:val="20"/>
          <w:lang w:val="en-GB" w:eastAsia="ja-JP"/>
        </w:rPr>
        <w:t xml:space="preserve"> with deadline for submission of applications not later than </w:t>
      </w:r>
      <w:r>
        <w:rPr>
          <w:rFonts w:ascii="Arial" w:hAnsi="Arial" w:cs="Arial"/>
          <w:sz w:val="20"/>
          <w:szCs w:val="20"/>
          <w:lang w:val="en-GB" w:eastAsia="ja-JP"/>
        </w:rPr>
        <w:t>September</w:t>
      </w:r>
      <w:r w:rsidRPr="001A1564">
        <w:rPr>
          <w:rFonts w:ascii="Arial" w:hAnsi="Arial" w:cs="Arial"/>
          <w:sz w:val="20"/>
          <w:szCs w:val="20"/>
          <w:lang w:val="en-GB" w:eastAsia="ja-JP"/>
        </w:rPr>
        <w:t xml:space="preserve"> 202</w:t>
      </w:r>
      <w:r w:rsidR="00C34EA7">
        <w:rPr>
          <w:rFonts w:ascii="Arial" w:hAnsi="Arial" w:cs="Arial"/>
          <w:sz w:val="20"/>
          <w:szCs w:val="20"/>
          <w:lang w:val="en-GB" w:eastAsia="ja-JP"/>
        </w:rPr>
        <w:t>6</w:t>
      </w:r>
      <w:r w:rsidRPr="001A1564">
        <w:rPr>
          <w:rFonts w:ascii="Arial" w:hAnsi="Arial" w:cs="Arial"/>
          <w:sz w:val="20"/>
          <w:szCs w:val="20"/>
          <w:lang w:val="en-GB" w:eastAsia="ja-JP"/>
        </w:rPr>
        <w:t>. The funding period will be from April 1, 202</w:t>
      </w:r>
      <w:r w:rsidR="00513AD3">
        <w:rPr>
          <w:rFonts w:ascii="Arial" w:hAnsi="Arial" w:cs="Arial"/>
          <w:sz w:val="20"/>
          <w:szCs w:val="20"/>
          <w:lang w:val="en-GB" w:eastAsia="ja-JP"/>
        </w:rPr>
        <w:t>7</w:t>
      </w:r>
      <w:r w:rsidRPr="001A1564">
        <w:rPr>
          <w:rFonts w:ascii="Arial" w:hAnsi="Arial" w:cs="Arial"/>
          <w:sz w:val="20"/>
          <w:szCs w:val="20"/>
          <w:lang w:val="en-GB" w:eastAsia="ja-JP"/>
        </w:rPr>
        <w:t xml:space="preserve"> to March 31, 202</w:t>
      </w:r>
      <w:r w:rsidR="00513AD3">
        <w:rPr>
          <w:rFonts w:ascii="Arial" w:hAnsi="Arial" w:cs="Arial"/>
          <w:sz w:val="20"/>
          <w:szCs w:val="20"/>
          <w:lang w:val="en-GB" w:eastAsia="ja-JP"/>
        </w:rPr>
        <w:t>9</w:t>
      </w:r>
      <w:r w:rsidRPr="001A1564">
        <w:rPr>
          <w:rFonts w:ascii="Arial" w:hAnsi="Arial" w:cs="Arial"/>
          <w:sz w:val="20"/>
          <w:szCs w:val="20"/>
          <w:lang w:val="en-GB" w:eastAsia="ja-JP"/>
        </w:rPr>
        <w:t xml:space="preserve">. </w:t>
      </w:r>
      <w:r w:rsidR="00C34EA7">
        <w:rPr>
          <w:rFonts w:ascii="Arial" w:hAnsi="Arial" w:cs="Arial"/>
          <w:sz w:val="20"/>
          <w:szCs w:val="20"/>
          <w:lang w:val="en-GB" w:eastAsia="ja-JP"/>
        </w:rPr>
        <w:t>In Slovenia p</w:t>
      </w:r>
      <w:r w:rsidRPr="001A1564">
        <w:rPr>
          <w:rFonts w:ascii="Arial" w:hAnsi="Arial" w:cs="Arial"/>
          <w:sz w:val="20"/>
          <w:szCs w:val="20"/>
          <w:lang w:val="en-GB" w:eastAsia="ja-JP"/>
        </w:rPr>
        <w:t>riority will be given to research exchange proposals submitted by young PIs, who have been conferred a doctor's degree within less than 5 years.</w:t>
      </w:r>
    </w:p>
    <w:p w14:paraId="752DA4C6" w14:textId="77777777" w:rsidR="00F309EA" w:rsidRPr="001A1564" w:rsidRDefault="00F309EA" w:rsidP="00F309EA">
      <w:pPr>
        <w:rPr>
          <w:rFonts w:ascii="Arial" w:hAnsi="Arial" w:cs="Arial"/>
          <w:sz w:val="20"/>
          <w:szCs w:val="20"/>
          <w:lang w:val="en-GB"/>
        </w:rPr>
      </w:pPr>
    </w:p>
    <w:p w14:paraId="73172455" w14:textId="6BCF52CE" w:rsidR="00F309EA" w:rsidRPr="001A1564" w:rsidRDefault="00F309EA" w:rsidP="00F309EA">
      <w:pPr>
        <w:rPr>
          <w:rFonts w:ascii="Arial" w:hAnsi="Arial" w:cs="Arial"/>
          <w:sz w:val="20"/>
          <w:szCs w:val="20"/>
          <w:lang w:val="en-GB"/>
        </w:rPr>
      </w:pPr>
      <w:r w:rsidRPr="001A1564">
        <w:rPr>
          <w:rFonts w:ascii="Arial" w:hAnsi="Arial" w:cs="Arial"/>
          <w:sz w:val="20"/>
          <w:szCs w:val="20"/>
          <w:lang w:val="en-GB"/>
        </w:rPr>
        <w:t xml:space="preserve">Done in </w:t>
      </w:r>
      <w:r w:rsidR="00D35319" w:rsidRPr="001A1564">
        <w:rPr>
          <w:rFonts w:ascii="Arial" w:hAnsi="Arial" w:cs="Arial"/>
          <w:sz w:val="20"/>
          <w:szCs w:val="20"/>
          <w:lang w:val="en-GB"/>
        </w:rPr>
        <w:t>Ljubljana</w:t>
      </w:r>
      <w:r w:rsidR="00BB607C">
        <w:rPr>
          <w:rFonts w:ascii="Arial" w:hAnsi="Arial" w:cs="Arial"/>
          <w:sz w:val="20"/>
          <w:szCs w:val="20"/>
          <w:lang w:val="en-GB"/>
        </w:rPr>
        <w:t xml:space="preserve"> and Tokyo</w:t>
      </w:r>
      <w:r w:rsidRPr="001A1564">
        <w:rPr>
          <w:rFonts w:ascii="Arial" w:hAnsi="Arial" w:cs="Arial"/>
          <w:sz w:val="20"/>
          <w:szCs w:val="20"/>
          <w:lang w:val="en-GB"/>
        </w:rPr>
        <w:t>, respectively, in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513AD3">
        <w:rPr>
          <w:rFonts w:ascii="Arial" w:hAnsi="Arial" w:cs="Arial"/>
          <w:sz w:val="20"/>
          <w:szCs w:val="20"/>
          <w:lang w:val="en-GB"/>
        </w:rPr>
        <w:t>January</w:t>
      </w:r>
      <w:r w:rsidRPr="001A1564">
        <w:rPr>
          <w:rFonts w:ascii="Arial" w:hAnsi="Arial" w:cs="Arial"/>
          <w:sz w:val="20"/>
          <w:szCs w:val="20"/>
          <w:lang w:val="en-GB" w:eastAsia="ja-JP"/>
        </w:rPr>
        <w:t xml:space="preserve"> 202</w:t>
      </w:r>
      <w:r w:rsidR="00E577AC">
        <w:rPr>
          <w:rFonts w:ascii="Arial" w:hAnsi="Arial" w:cs="Arial"/>
          <w:sz w:val="20"/>
          <w:szCs w:val="20"/>
          <w:lang w:val="en-GB" w:eastAsia="ja-JP"/>
        </w:rPr>
        <w:t>6</w:t>
      </w:r>
      <w:r w:rsidRPr="001A1564">
        <w:rPr>
          <w:rFonts w:ascii="Arial" w:hAnsi="Arial" w:cs="Arial"/>
          <w:sz w:val="20"/>
          <w:szCs w:val="20"/>
          <w:lang w:val="en-GB" w:eastAsia="ja-JP"/>
        </w:rPr>
        <w:t>.</w:t>
      </w:r>
    </w:p>
    <w:p w14:paraId="59D9BA01" w14:textId="77777777" w:rsidR="00F309EA" w:rsidRPr="00D35319" w:rsidRDefault="00F309EA" w:rsidP="00F309EA">
      <w:pPr>
        <w:rPr>
          <w:rFonts w:ascii="Arial" w:hAnsi="Arial" w:cs="Arial"/>
          <w:sz w:val="20"/>
          <w:szCs w:val="20"/>
          <w:lang w:val="en-GB"/>
        </w:rPr>
      </w:pPr>
    </w:p>
    <w:p w14:paraId="10C18C36" w14:textId="77777777" w:rsidR="00F309EA" w:rsidRDefault="00F309EA" w:rsidP="00F309EA">
      <w:pPr>
        <w:rPr>
          <w:rFonts w:ascii="Arial" w:hAnsi="Arial" w:cs="Arial"/>
          <w:sz w:val="20"/>
          <w:szCs w:val="20"/>
          <w:lang w:val="en-GB" w:eastAsia="ja-JP"/>
        </w:rPr>
      </w:pPr>
    </w:p>
    <w:p w14:paraId="6C2CB0E8" w14:textId="77777777" w:rsidR="00F309EA" w:rsidRDefault="00F309EA" w:rsidP="00F309EA">
      <w:pPr>
        <w:rPr>
          <w:rFonts w:ascii="Arial" w:hAnsi="Arial" w:cs="Arial"/>
          <w:sz w:val="20"/>
          <w:szCs w:val="20"/>
          <w:lang w:val="en-GB" w:eastAsia="ja-JP"/>
        </w:rPr>
      </w:pPr>
    </w:p>
    <w:p w14:paraId="668CA8BB" w14:textId="77777777" w:rsidR="001D1575" w:rsidRDefault="001D1575" w:rsidP="00F309EA">
      <w:pPr>
        <w:rPr>
          <w:rFonts w:ascii="Arial" w:hAnsi="Arial" w:cs="Arial"/>
          <w:sz w:val="20"/>
          <w:szCs w:val="20"/>
          <w:lang w:val="en-GB" w:eastAsia="ja-JP"/>
        </w:rPr>
      </w:pPr>
    </w:p>
    <w:p w14:paraId="3FE2D99A" w14:textId="77777777" w:rsidR="001D1575" w:rsidRDefault="001D1575" w:rsidP="00F309EA">
      <w:pPr>
        <w:rPr>
          <w:rFonts w:ascii="Arial" w:hAnsi="Arial" w:cs="Arial"/>
          <w:sz w:val="20"/>
          <w:szCs w:val="20"/>
          <w:lang w:val="en-GB" w:eastAsia="ja-JP"/>
        </w:rPr>
      </w:pPr>
    </w:p>
    <w:p w14:paraId="53FFC9FD" w14:textId="77777777" w:rsidR="001D1575" w:rsidRDefault="001D1575" w:rsidP="00F309EA">
      <w:pPr>
        <w:rPr>
          <w:rFonts w:ascii="Arial" w:hAnsi="Arial" w:cs="Arial"/>
          <w:sz w:val="20"/>
          <w:szCs w:val="20"/>
          <w:lang w:val="en-GB" w:eastAsia="ja-JP"/>
        </w:rPr>
      </w:pPr>
    </w:p>
    <w:p w14:paraId="5B7FDCB2" w14:textId="77777777" w:rsidR="00D04F7B" w:rsidRDefault="00D04F7B" w:rsidP="00F309EA">
      <w:pPr>
        <w:rPr>
          <w:rFonts w:ascii="Arial" w:hAnsi="Arial" w:cs="Arial"/>
          <w:sz w:val="20"/>
          <w:szCs w:val="20"/>
          <w:lang w:val="en-GB" w:eastAsia="ja-JP"/>
        </w:rPr>
      </w:pPr>
    </w:p>
    <w:p w14:paraId="36FEB2BC" w14:textId="77777777" w:rsidR="00D04F7B" w:rsidRDefault="00D04F7B" w:rsidP="00F309EA">
      <w:pPr>
        <w:rPr>
          <w:rFonts w:ascii="Arial" w:hAnsi="Arial" w:cs="Arial"/>
          <w:sz w:val="20"/>
          <w:szCs w:val="20"/>
          <w:lang w:val="en-GB" w:eastAsia="ja-JP"/>
        </w:rPr>
      </w:pPr>
    </w:p>
    <w:p w14:paraId="142FECAD" w14:textId="77777777" w:rsidR="00D04F7B" w:rsidRDefault="00D04F7B" w:rsidP="00F309EA">
      <w:pPr>
        <w:rPr>
          <w:rFonts w:ascii="Arial" w:hAnsi="Arial" w:cs="Arial"/>
          <w:sz w:val="20"/>
          <w:szCs w:val="20"/>
          <w:lang w:val="en-GB" w:eastAsia="ja-JP"/>
        </w:rPr>
      </w:pPr>
    </w:p>
    <w:p w14:paraId="098BA474" w14:textId="77777777" w:rsidR="00F309EA" w:rsidRDefault="00F309EA" w:rsidP="00F309EA">
      <w:pPr>
        <w:rPr>
          <w:rFonts w:ascii="Arial" w:hAnsi="Arial" w:cs="Arial"/>
          <w:sz w:val="20"/>
          <w:szCs w:val="20"/>
          <w:lang w:val="en-GB" w:eastAsia="ja-JP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F309EA" w:rsidRPr="00FC6E1A" w14:paraId="089B0D65" w14:textId="77777777" w:rsidTr="00FD7A1A">
        <w:trPr>
          <w:trHeight w:val="2385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55DB0" w14:textId="1DCC53A2" w:rsidR="00D35319" w:rsidRPr="00FC6E1A" w:rsidRDefault="00D35319" w:rsidP="00513A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</w:t>
            </w:r>
            <w:r w:rsidR="00BB607C">
              <w:rPr>
                <w:rFonts w:ascii="Arial" w:hAnsi="Arial" w:cs="Arial"/>
                <w:b/>
                <w:sz w:val="20"/>
                <w:szCs w:val="20"/>
                <w:lang w:val="en-GB"/>
              </w:rPr>
              <w:t>ina</w:t>
            </w:r>
            <w:r w:rsidRPr="00FC6E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BB607C">
              <w:rPr>
                <w:rFonts w:ascii="Arial" w:hAnsi="Arial" w:cs="Arial"/>
                <w:b/>
                <w:sz w:val="20"/>
                <w:szCs w:val="20"/>
                <w:lang w:val="en-GB"/>
              </w:rPr>
              <w:t>Vuga</w:t>
            </w:r>
          </w:p>
          <w:p w14:paraId="1E08162F" w14:textId="77777777" w:rsidR="00D35319" w:rsidRPr="00513AD3" w:rsidRDefault="00D35319" w:rsidP="00513AD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3AD3">
              <w:rPr>
                <w:rFonts w:ascii="Arial" w:hAnsi="Arial" w:cs="Arial"/>
                <w:bCs/>
                <w:sz w:val="20"/>
                <w:szCs w:val="20"/>
                <w:lang w:val="en-GB"/>
              </w:rPr>
              <w:t>Head</w:t>
            </w:r>
          </w:p>
          <w:p w14:paraId="3747DC9F" w14:textId="02493F78" w:rsidR="00D35319" w:rsidRPr="00513AD3" w:rsidRDefault="00BB607C" w:rsidP="00513AD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EU and International Cooperation Office </w:t>
            </w:r>
          </w:p>
          <w:p w14:paraId="5AE7878B" w14:textId="4B0BD927" w:rsidR="00D35319" w:rsidRPr="00513AD3" w:rsidRDefault="00BB607C" w:rsidP="00513AD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3AD3">
              <w:rPr>
                <w:rFonts w:ascii="Arial" w:hAnsi="Arial" w:cs="Arial"/>
                <w:bCs/>
                <w:sz w:val="20"/>
                <w:szCs w:val="20"/>
                <w:lang w:val="en-GB"/>
              </w:rPr>
              <w:t>Ministry of Higher Education, Science and</w:t>
            </w:r>
            <w:r w:rsidRPr="00B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Innovation</w:t>
            </w:r>
          </w:p>
          <w:p w14:paraId="7FB37A98" w14:textId="77777777" w:rsidR="00F309EA" w:rsidRPr="00D35319" w:rsidRDefault="00F309EA" w:rsidP="00513AD3">
            <w:pPr>
              <w:jc w:val="center"/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</w:p>
          <w:p w14:paraId="23730D49" w14:textId="77777777" w:rsidR="00F309EA" w:rsidRDefault="00F309EA" w:rsidP="00232D6C">
            <w:pPr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</w:p>
          <w:p w14:paraId="2CA46F6D" w14:textId="77777777" w:rsidR="007E1578" w:rsidRPr="00FC6E1A" w:rsidRDefault="007E1578" w:rsidP="00232D6C">
            <w:pPr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</w:p>
          <w:p w14:paraId="0FD16AEF" w14:textId="77777777" w:rsidR="00F309EA" w:rsidRPr="00FC6E1A" w:rsidRDefault="00F309EA" w:rsidP="00232D6C">
            <w:pPr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</w:p>
          <w:p w14:paraId="70001C40" w14:textId="7762A30F" w:rsidR="00F309EA" w:rsidRPr="00FC6E1A" w:rsidRDefault="00F309EA" w:rsidP="00232D6C">
            <w:pPr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0D2DA" w14:textId="32FAD1F2" w:rsidR="00D35319" w:rsidRPr="006429C5" w:rsidRDefault="00BB607C" w:rsidP="00513A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TANSHO Kumiko</w:t>
            </w:r>
          </w:p>
          <w:p w14:paraId="2705B03E" w14:textId="663DB9DF" w:rsidR="00D35319" w:rsidRPr="00513AD3" w:rsidRDefault="00D35319" w:rsidP="00513AD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3AD3">
              <w:rPr>
                <w:rFonts w:ascii="Arial" w:hAnsi="Arial" w:cs="Arial"/>
                <w:bCs/>
                <w:sz w:val="20"/>
                <w:szCs w:val="20"/>
                <w:lang w:val="en-GB"/>
              </w:rPr>
              <w:t>Head</w:t>
            </w:r>
          </w:p>
          <w:p w14:paraId="2046F319" w14:textId="455682EC" w:rsidR="00D35319" w:rsidRPr="00513AD3" w:rsidRDefault="00BB607C" w:rsidP="00513AD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International Research Cooperation Division II</w:t>
            </w:r>
          </w:p>
          <w:p w14:paraId="5CE8BEE0" w14:textId="26FAA84D" w:rsidR="00D35319" w:rsidRPr="00513AD3" w:rsidRDefault="00BB607C" w:rsidP="00513AD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 w:eastAsia="ja-JP"/>
              </w:rPr>
            </w:pPr>
            <w:r w:rsidRPr="00B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International Program Department</w:t>
            </w:r>
          </w:p>
          <w:p w14:paraId="3DF2FBBD" w14:textId="77777777" w:rsidR="00BB607C" w:rsidRPr="00513AD3" w:rsidRDefault="00BB607C" w:rsidP="00BB607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3A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Japan Society for </w:t>
            </w:r>
            <w:r w:rsidRPr="00513AD3">
              <w:rPr>
                <w:rFonts w:ascii="Arial" w:hAnsi="Arial" w:cs="Arial"/>
                <w:bCs/>
                <w:sz w:val="20"/>
                <w:szCs w:val="20"/>
                <w:lang w:val="en-GB" w:eastAsia="ja-JP"/>
              </w:rPr>
              <w:t xml:space="preserve">the </w:t>
            </w:r>
            <w:r w:rsidRPr="00513AD3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Promotion of Science</w:t>
            </w:r>
          </w:p>
          <w:p w14:paraId="2C2633D6" w14:textId="77777777" w:rsidR="006429C5" w:rsidRPr="00BB607C" w:rsidRDefault="006429C5" w:rsidP="00232D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435A93" w14:textId="1D127B37" w:rsidR="007E1578" w:rsidRDefault="007E1578" w:rsidP="00232D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0DACAB" w14:textId="4CA60518" w:rsidR="003B1094" w:rsidRDefault="003B1094" w:rsidP="00232D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1E55EB" w14:textId="77777777" w:rsidR="003B1094" w:rsidRDefault="003B1094" w:rsidP="00232D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8BC1EB" w14:textId="43EDC93C" w:rsidR="00F309EA" w:rsidRPr="002D0364" w:rsidRDefault="00F309EA" w:rsidP="00232D6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F5D97EF" w14:textId="77777777" w:rsidR="00F309EA" w:rsidRPr="001A1564" w:rsidRDefault="00F309EA" w:rsidP="00F309EA">
      <w:pPr>
        <w:rPr>
          <w:rFonts w:ascii="Arial" w:hAnsi="Arial" w:cs="Arial"/>
          <w:sz w:val="20"/>
          <w:szCs w:val="20"/>
          <w:lang w:val="en-GB" w:eastAsia="ja-JP"/>
        </w:rPr>
      </w:pPr>
    </w:p>
    <w:p w14:paraId="1746A735" w14:textId="77777777" w:rsidR="006C3328" w:rsidRDefault="006C3328"/>
    <w:sectPr w:rsidR="006C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EA"/>
    <w:rsid w:val="000C2C15"/>
    <w:rsid w:val="000D2800"/>
    <w:rsid w:val="001414D2"/>
    <w:rsid w:val="001D1575"/>
    <w:rsid w:val="0021244A"/>
    <w:rsid w:val="002E2B1F"/>
    <w:rsid w:val="003025B0"/>
    <w:rsid w:val="00310DDB"/>
    <w:rsid w:val="0037269A"/>
    <w:rsid w:val="003B1094"/>
    <w:rsid w:val="003B7472"/>
    <w:rsid w:val="003C645A"/>
    <w:rsid w:val="004861A7"/>
    <w:rsid w:val="004D4548"/>
    <w:rsid w:val="00506157"/>
    <w:rsid w:val="00513AD3"/>
    <w:rsid w:val="006429C5"/>
    <w:rsid w:val="00657516"/>
    <w:rsid w:val="006C3328"/>
    <w:rsid w:val="006D6F4F"/>
    <w:rsid w:val="007D4E0F"/>
    <w:rsid w:val="007E1578"/>
    <w:rsid w:val="008159A9"/>
    <w:rsid w:val="00841E32"/>
    <w:rsid w:val="00885328"/>
    <w:rsid w:val="008E4B88"/>
    <w:rsid w:val="009B50FA"/>
    <w:rsid w:val="00A30DA7"/>
    <w:rsid w:val="00AD7704"/>
    <w:rsid w:val="00B1042F"/>
    <w:rsid w:val="00B5268B"/>
    <w:rsid w:val="00B779D6"/>
    <w:rsid w:val="00BB607C"/>
    <w:rsid w:val="00BF279A"/>
    <w:rsid w:val="00C34EA7"/>
    <w:rsid w:val="00C516D8"/>
    <w:rsid w:val="00C60ACD"/>
    <w:rsid w:val="00D04F7B"/>
    <w:rsid w:val="00D17472"/>
    <w:rsid w:val="00D35319"/>
    <w:rsid w:val="00DE3130"/>
    <w:rsid w:val="00E400F9"/>
    <w:rsid w:val="00E577AC"/>
    <w:rsid w:val="00E95475"/>
    <w:rsid w:val="00EB06B9"/>
    <w:rsid w:val="00EC1B7B"/>
    <w:rsid w:val="00EE01EE"/>
    <w:rsid w:val="00F309EA"/>
    <w:rsid w:val="00F31079"/>
    <w:rsid w:val="00F33999"/>
    <w:rsid w:val="00F9779C"/>
    <w:rsid w:val="00FD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0B3A654E"/>
  <w15:chartTrackingRefBased/>
  <w15:docId w15:val="{ED678A50-3DD2-4BA8-8A16-6FB87FE7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09EA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B5268B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sl-SI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657516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57516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57516"/>
    <w:rPr>
      <w:rFonts w:ascii="Times New Roman" w:eastAsia="MS Mincho" w:hAnsi="Times New Roman" w:cs="Times New Roman"/>
      <w:kern w:val="0"/>
      <w:sz w:val="24"/>
      <w:szCs w:val="24"/>
      <w:lang w:eastAsia="sl-SI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575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57516"/>
    <w:rPr>
      <w:rFonts w:ascii="Times New Roman" w:eastAsia="MS Mincho" w:hAnsi="Times New Roman" w:cs="Times New Roman"/>
      <w:b/>
      <w:bCs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7A22E0-7B07-4E92-A7D3-C9AAF319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Kodra</dc:creator>
  <cp:keywords/>
  <dc:description/>
  <cp:lastModifiedBy>Petra Kodra</cp:lastModifiedBy>
  <cp:revision>2</cp:revision>
  <dcterms:created xsi:type="dcterms:W3CDTF">2026-01-23T13:56:00Z</dcterms:created>
  <dcterms:modified xsi:type="dcterms:W3CDTF">2026-01-23T13:56:00Z</dcterms:modified>
</cp:coreProperties>
</file>