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C0D5" w14:textId="68D756EB" w:rsidR="00121940" w:rsidRDefault="001F388F">
      <w:pPr>
        <w:pStyle w:val="Navadensplet"/>
        <w:widowControl/>
        <w:spacing w:before="100" w:beforeAutospacing="1" w:after="100" w:afterAutospacing="1"/>
        <w:jc w:val="center"/>
        <w:rPr>
          <w:rFonts w:ascii="Times New Roman" w:hAnsi="Times New Roman"/>
          <w:sz w:val="30"/>
          <w:szCs w:val="30"/>
        </w:rPr>
      </w:pPr>
      <w:r>
        <w:rPr>
          <w:rStyle w:val="Krepko"/>
          <w:rFonts w:ascii="Times New Roman" w:hAnsi="Times New Roman"/>
        </w:rPr>
        <w:t>DECISION DOCUMENT</w:t>
      </w:r>
      <w:r>
        <w:rPr>
          <w:rFonts w:ascii="Times New Roman" w:hAnsi="Times New Roman"/>
          <w:b/>
        </w:rPr>
        <w:br/>
        <w:t xml:space="preserve">on co-funding of Republic of </w:t>
      </w:r>
      <w:r>
        <w:rPr>
          <w:rStyle w:val="Krepko"/>
          <w:rFonts w:ascii="Times New Roman" w:hAnsi="Times New Roman"/>
        </w:rPr>
        <w:t>Slovenia</w:t>
      </w:r>
      <w:r>
        <w:rPr>
          <w:rFonts w:ascii="Times New Roman" w:hAnsi="Times New Roman"/>
          <w:b/>
        </w:rPr>
        <w:t xml:space="preserve"> – People’s Republic of China joint research projects in the period 2026 - 2028</w:t>
      </w:r>
    </w:p>
    <w:p w14:paraId="3100AA4F" w14:textId="77777777" w:rsidR="00121940" w:rsidRDefault="001F388F">
      <w:pPr>
        <w:rPr>
          <w:rFonts w:ascii="Times New Roman" w:hAnsi="Times New Roman"/>
          <w:b/>
          <w:bCs/>
          <w:i/>
          <w:iCs/>
          <w:sz w:val="24"/>
        </w:rPr>
      </w:pPr>
      <w:r>
        <w:rPr>
          <w:rFonts w:ascii="Times New Roman" w:hAnsi="Times New Roman"/>
          <w:b/>
          <w:bCs/>
          <w:i/>
          <w:iCs/>
          <w:sz w:val="24"/>
        </w:rPr>
        <w:t>I. Introduction</w:t>
      </w:r>
    </w:p>
    <w:p w14:paraId="01926727" w14:textId="208672A0" w:rsidR="00121940" w:rsidRPr="00274CC6" w:rsidRDefault="001F388F">
      <w:pPr>
        <w:widowControl/>
        <w:spacing w:afterLines="50" w:after="156"/>
        <w:rPr>
          <w:rFonts w:ascii="Times New Roman" w:hAnsi="Times New Roman"/>
          <w:i/>
          <w:iCs/>
          <w:sz w:val="24"/>
        </w:rPr>
      </w:pPr>
      <w:r w:rsidRPr="00274CC6">
        <w:rPr>
          <w:rFonts w:ascii="Times New Roman" w:hAnsi="Times New Roman"/>
          <w:sz w:val="24"/>
        </w:rPr>
        <w:t xml:space="preserve">Based on the Agreement on Scientific and Technological Cooperation between the Government of the People’s Republic of China and the Government of the Republic of Slovenia, signed in </w:t>
      </w:r>
      <w:r w:rsidRPr="00274CC6">
        <w:rPr>
          <w:rStyle w:val="Poudarek"/>
          <w:rFonts w:ascii="Times New Roman" w:hAnsi="Times New Roman"/>
          <w:i w:val="0"/>
          <w:iCs/>
          <w:kern w:val="0"/>
          <w:sz w:val="24"/>
          <w:lang w:bidi="ar"/>
        </w:rPr>
        <w:t>Ljubljana</w:t>
      </w:r>
      <w:r w:rsidRPr="00274CC6">
        <w:rPr>
          <w:rStyle w:val="Poudarek"/>
          <w:rFonts w:ascii="Times New Roman" w:hAnsi="Times New Roman"/>
          <w:kern w:val="0"/>
          <w:sz w:val="24"/>
          <w:lang w:bidi="ar"/>
        </w:rPr>
        <w:t xml:space="preserve"> </w:t>
      </w:r>
      <w:r w:rsidRPr="00274CC6">
        <w:rPr>
          <w:rStyle w:val="Poudarek"/>
          <w:rFonts w:ascii="Times New Roman" w:hAnsi="Times New Roman"/>
          <w:i w:val="0"/>
          <w:iCs/>
          <w:kern w:val="0"/>
          <w:sz w:val="24"/>
          <w:lang w:bidi="ar"/>
        </w:rPr>
        <w:t xml:space="preserve">on 13 </w:t>
      </w:r>
      <w:r w:rsidRPr="00274CC6">
        <w:rPr>
          <w:rStyle w:val="Krepko"/>
          <w:rFonts w:ascii="Times New Roman" w:hAnsi="Times New Roman"/>
          <w:b w:val="0"/>
          <w:iCs/>
          <w:kern w:val="0"/>
          <w:sz w:val="24"/>
          <w:lang w:bidi="ar"/>
        </w:rPr>
        <w:t>September 1993, the Memorandum of Understanding Between the Ministry of Education, Science and Sport of the Republic of Slovenia and the Ministry of Science and Technology of the People’s Republic of China on Joint Funding of Research and Development Projects signed in Beijing on 17 May 2019, and the Protocol of the 13</w:t>
      </w:r>
      <w:r w:rsidRPr="00274CC6">
        <w:rPr>
          <w:rStyle w:val="Krepko"/>
          <w:rFonts w:ascii="Times New Roman" w:hAnsi="Times New Roman"/>
          <w:b w:val="0"/>
          <w:iCs/>
          <w:kern w:val="0"/>
          <w:sz w:val="24"/>
          <w:vertAlign w:val="superscript"/>
          <w:lang w:bidi="ar"/>
        </w:rPr>
        <w:t>th</w:t>
      </w:r>
      <w:r w:rsidRPr="00274CC6">
        <w:rPr>
          <w:rStyle w:val="Krepko"/>
          <w:rFonts w:ascii="Times New Roman" w:hAnsi="Times New Roman"/>
          <w:b w:val="0"/>
          <w:iCs/>
          <w:kern w:val="0"/>
          <w:sz w:val="24"/>
          <w:lang w:bidi="ar"/>
        </w:rPr>
        <w:t xml:space="preserve"> Session of Slovenia-China Joint Committee for Scientific and Technological Cooperation signed on 12 June 2024 in Beijing, </w:t>
      </w:r>
      <w:r w:rsidRPr="00274CC6">
        <w:rPr>
          <w:rFonts w:ascii="Times New Roman" w:hAnsi="Times New Roman"/>
          <w:sz w:val="24"/>
        </w:rPr>
        <w:t xml:space="preserve">the Ministry of </w:t>
      </w:r>
      <w:r w:rsidRPr="00274CC6">
        <w:rPr>
          <w:rStyle w:val="Krepko"/>
          <w:rFonts w:ascii="Times New Roman" w:hAnsi="Times New Roman"/>
          <w:b w:val="0"/>
          <w:kern w:val="0"/>
          <w:sz w:val="24"/>
          <w:lang w:bidi="ar"/>
        </w:rPr>
        <w:t>Higher Education, Science and Innovation</w:t>
      </w:r>
      <w:r w:rsidRPr="00274CC6">
        <w:rPr>
          <w:rFonts w:ascii="Times New Roman" w:hAnsi="Times New Roman"/>
          <w:sz w:val="24"/>
        </w:rPr>
        <w:t xml:space="preserve"> of the Republic of Slovenia (hereinafter referred to as “MHESI”) </w:t>
      </w:r>
      <w:r>
        <w:rPr>
          <w:rFonts w:ascii="Times New Roman" w:hAnsi="Times New Roman"/>
          <w:sz w:val="24"/>
        </w:rPr>
        <w:t xml:space="preserve">and </w:t>
      </w:r>
      <w:r w:rsidRPr="00274CC6">
        <w:rPr>
          <w:rFonts w:ascii="Times New Roman" w:hAnsi="Times New Roman"/>
          <w:sz w:val="24"/>
        </w:rPr>
        <w:t>the Ministry of Science and Technology of the People’s Republic of China (hereinafter referred to as “MOST”)</w:t>
      </w:r>
      <w:r>
        <w:rPr>
          <w:rFonts w:ascii="Times New Roman" w:hAnsi="Times New Roman"/>
          <w:sz w:val="24"/>
        </w:rPr>
        <w:t xml:space="preserve"> </w:t>
      </w:r>
      <w:r w:rsidRPr="00274CC6">
        <w:rPr>
          <w:rFonts w:ascii="Times New Roman" w:hAnsi="Times New Roman"/>
          <w:sz w:val="24"/>
        </w:rPr>
        <w:t xml:space="preserve">(hereinafter referred to as “Parties”) confirm the following: </w:t>
      </w:r>
    </w:p>
    <w:p w14:paraId="688BFD76" w14:textId="77777777" w:rsidR="00121940" w:rsidRPr="00274CC6" w:rsidRDefault="001F388F">
      <w:pPr>
        <w:rPr>
          <w:rFonts w:ascii="Times New Roman" w:hAnsi="Times New Roman"/>
          <w:b/>
          <w:bCs/>
          <w:i/>
          <w:iCs/>
          <w:sz w:val="24"/>
        </w:rPr>
      </w:pPr>
      <w:r w:rsidRPr="00274CC6">
        <w:rPr>
          <w:rFonts w:ascii="Times New Roman" w:hAnsi="Times New Roman"/>
          <w:b/>
          <w:bCs/>
          <w:i/>
          <w:iCs/>
          <w:sz w:val="24"/>
        </w:rPr>
        <w:t>II. Evaluation of joint Chinese – Slovenian project proposals</w:t>
      </w:r>
    </w:p>
    <w:p w14:paraId="5D877DD8" w14:textId="77777777" w:rsidR="00121940" w:rsidRPr="00274CC6" w:rsidRDefault="001F388F">
      <w:pPr>
        <w:spacing w:afterLines="50" w:after="156"/>
        <w:rPr>
          <w:rFonts w:ascii="Times New Roman" w:hAnsi="Times New Roman"/>
          <w:sz w:val="24"/>
        </w:rPr>
      </w:pPr>
      <w:r w:rsidRPr="00274CC6">
        <w:rPr>
          <w:rFonts w:ascii="Times New Roman" w:hAnsi="Times New Roman"/>
          <w:sz w:val="24"/>
        </w:rPr>
        <w:t>The Parties announced the Call for joint project proposals in June 2025.</w:t>
      </w:r>
    </w:p>
    <w:p w14:paraId="31F3B4F1" w14:textId="3EBCEB0F" w:rsidR="00121940" w:rsidRPr="00274CC6" w:rsidRDefault="001F388F">
      <w:pPr>
        <w:spacing w:afterLines="50" w:after="156"/>
        <w:rPr>
          <w:rFonts w:ascii="Times New Roman" w:hAnsi="Times New Roman"/>
          <w:b/>
          <w:bCs/>
          <w:i/>
          <w:iCs/>
          <w:sz w:val="24"/>
        </w:rPr>
      </w:pPr>
      <w:r w:rsidRPr="00274CC6">
        <w:rPr>
          <w:rFonts w:ascii="Times New Roman" w:hAnsi="Times New Roman"/>
          <w:sz w:val="24"/>
        </w:rPr>
        <w:t xml:space="preserve">Within the Call, the Slovenian Party received </w:t>
      </w:r>
      <w:r w:rsidRPr="00274CC6">
        <w:rPr>
          <w:rFonts w:ascii="Times New Roman" w:hAnsi="Times New Roman" w:hint="eastAsia"/>
          <w:sz w:val="24"/>
        </w:rPr>
        <w:t>77</w:t>
      </w:r>
      <w:r w:rsidRPr="00274CC6">
        <w:rPr>
          <w:rFonts w:ascii="Times New Roman" w:hAnsi="Times New Roman"/>
          <w:sz w:val="24"/>
        </w:rPr>
        <w:t xml:space="preserve"> proposals for joint research projects, </w:t>
      </w:r>
      <w:r w:rsidRPr="00274CC6">
        <w:rPr>
          <w:rFonts w:ascii="Times New Roman" w:hAnsi="Times New Roman" w:hint="eastAsia"/>
          <w:sz w:val="24"/>
        </w:rPr>
        <w:t>3</w:t>
      </w:r>
      <w:r w:rsidRPr="00274CC6">
        <w:rPr>
          <w:rFonts w:ascii="Times New Roman" w:hAnsi="Times New Roman"/>
          <w:sz w:val="24"/>
        </w:rPr>
        <w:t xml:space="preserve"> of which did not pass formal conditions</w:t>
      </w:r>
      <w:r>
        <w:rPr>
          <w:rFonts w:ascii="Times New Roman" w:hAnsi="Times New Roman"/>
          <w:sz w:val="24"/>
        </w:rPr>
        <w:t xml:space="preserve">. The </w:t>
      </w:r>
      <w:r w:rsidRPr="00274CC6">
        <w:rPr>
          <w:rFonts w:ascii="Times New Roman" w:hAnsi="Times New Roman"/>
          <w:sz w:val="24"/>
        </w:rPr>
        <w:t xml:space="preserve">Chinese Party received </w:t>
      </w:r>
      <w:r w:rsidRPr="00274CC6">
        <w:rPr>
          <w:rFonts w:ascii="Times New Roman" w:hAnsi="Times New Roman" w:hint="eastAsia"/>
          <w:sz w:val="24"/>
        </w:rPr>
        <w:t>76</w:t>
      </w:r>
      <w:r w:rsidRPr="00274CC6">
        <w:rPr>
          <w:rFonts w:ascii="Times New Roman" w:hAnsi="Times New Roman"/>
          <w:sz w:val="24"/>
        </w:rPr>
        <w:t xml:space="preserve"> proposals for joint research projects, </w:t>
      </w:r>
      <w:r w:rsidRPr="00274CC6">
        <w:rPr>
          <w:rFonts w:ascii="Times New Roman" w:hAnsi="Times New Roman" w:hint="eastAsia"/>
          <w:sz w:val="24"/>
        </w:rPr>
        <w:t>2</w:t>
      </w:r>
      <w:r w:rsidRPr="00274CC6">
        <w:rPr>
          <w:rFonts w:ascii="Times New Roman" w:hAnsi="Times New Roman"/>
          <w:sz w:val="24"/>
        </w:rPr>
        <w:t xml:space="preserve"> of which did not pass formal conditions. </w:t>
      </w:r>
    </w:p>
    <w:p w14:paraId="6D71437C" w14:textId="77777777" w:rsidR="00121940" w:rsidRPr="00274CC6" w:rsidRDefault="001F388F">
      <w:pPr>
        <w:spacing w:afterLines="50" w:after="156"/>
        <w:rPr>
          <w:rFonts w:ascii="Times New Roman" w:hAnsi="Times New Roman"/>
          <w:sz w:val="24"/>
        </w:rPr>
      </w:pPr>
      <w:r w:rsidRPr="00274CC6">
        <w:rPr>
          <w:rFonts w:ascii="Times New Roman" w:hAnsi="Times New Roman"/>
          <w:sz w:val="24"/>
        </w:rPr>
        <w:t>74 project proposals passed the formal conditions and were matched and accepted for expert evaluation carried out by both Parties.</w:t>
      </w:r>
    </w:p>
    <w:p w14:paraId="2D36E642" w14:textId="77777777" w:rsidR="00121940" w:rsidRPr="00274CC6" w:rsidRDefault="001F388F">
      <w:pPr>
        <w:rPr>
          <w:rFonts w:ascii="Times New Roman" w:hAnsi="Times New Roman"/>
          <w:b/>
          <w:bCs/>
          <w:i/>
          <w:iCs/>
          <w:sz w:val="24"/>
        </w:rPr>
      </w:pPr>
      <w:r w:rsidRPr="00274CC6">
        <w:rPr>
          <w:rFonts w:ascii="Times New Roman" w:hAnsi="Times New Roman"/>
          <w:b/>
          <w:bCs/>
          <w:i/>
          <w:iCs/>
          <w:sz w:val="24"/>
        </w:rPr>
        <w:t>III. Approval of joint Chinese – Slovenian projects for funding in 2026 - 202</w:t>
      </w:r>
      <w:r w:rsidRPr="00274CC6">
        <w:rPr>
          <w:rFonts w:ascii="Times New Roman" w:hAnsi="Times New Roman" w:hint="eastAsia"/>
          <w:b/>
          <w:bCs/>
          <w:i/>
          <w:iCs/>
          <w:sz w:val="24"/>
        </w:rPr>
        <w:t>8</w:t>
      </w:r>
    </w:p>
    <w:p w14:paraId="2E2C2F58" w14:textId="77777777" w:rsidR="00121940" w:rsidRPr="00274CC6" w:rsidRDefault="001F388F">
      <w:pPr>
        <w:spacing w:afterLines="50" w:after="156"/>
        <w:rPr>
          <w:rFonts w:ascii="Times New Roman" w:hAnsi="Times New Roman"/>
          <w:sz w:val="24"/>
        </w:rPr>
      </w:pPr>
      <w:r w:rsidRPr="00274CC6">
        <w:rPr>
          <w:rFonts w:ascii="Times New Roman" w:hAnsi="Times New Roman"/>
          <w:sz w:val="24"/>
        </w:rPr>
        <w:t>The jointly agreed research areas were listed in the Call in accordance with the Protocol of the 13</w:t>
      </w:r>
      <w:r w:rsidRPr="00274CC6">
        <w:rPr>
          <w:rFonts w:ascii="Times New Roman" w:hAnsi="Times New Roman"/>
          <w:sz w:val="24"/>
          <w:vertAlign w:val="superscript"/>
        </w:rPr>
        <w:t>th</w:t>
      </w:r>
      <w:r w:rsidRPr="00274CC6">
        <w:rPr>
          <w:rFonts w:ascii="Times New Roman" w:hAnsi="Times New Roman"/>
          <w:sz w:val="24"/>
        </w:rPr>
        <w:t xml:space="preserve"> Session of the </w:t>
      </w:r>
      <w:r w:rsidRPr="00274CC6">
        <w:rPr>
          <w:rStyle w:val="Krepko"/>
          <w:rFonts w:ascii="Times New Roman" w:hAnsi="Times New Roman"/>
          <w:b w:val="0"/>
          <w:iCs/>
          <w:kern w:val="0"/>
          <w:sz w:val="24"/>
          <w:lang w:bidi="ar"/>
        </w:rPr>
        <w:t>Slovenia-China Joint Committee for Scientific and Technological Cooperation</w:t>
      </w:r>
      <w:r w:rsidRPr="00274CC6">
        <w:rPr>
          <w:rFonts w:ascii="Times New Roman" w:hAnsi="Times New Roman"/>
          <w:sz w:val="24"/>
        </w:rPr>
        <w:t xml:space="preserve"> with the note that generally, one project will be selected in each research area: computer science and its applications; energy and power engineering; nanotechnology and materials engineering; biotechnology including modern agriculture and healthcare; carbon cycle karst geology.</w:t>
      </w:r>
    </w:p>
    <w:p w14:paraId="702113BD" w14:textId="77777777" w:rsidR="00121940" w:rsidRPr="00274CC6" w:rsidRDefault="001F388F">
      <w:pPr>
        <w:spacing w:afterLines="50" w:after="156"/>
        <w:rPr>
          <w:rFonts w:ascii="Times New Roman" w:hAnsi="Times New Roman"/>
          <w:sz w:val="24"/>
        </w:rPr>
      </w:pPr>
      <w:r w:rsidRPr="00274CC6">
        <w:rPr>
          <w:rFonts w:ascii="Times New Roman" w:hAnsi="Times New Roman"/>
          <w:sz w:val="24"/>
        </w:rPr>
        <w:t xml:space="preserve">Based on the results of the expert evaluation of the project proposals both Parties came to an agreement that according to the peer review screening, 5 projects listed in Annex I, which is an integral part of this Decision Document, shall be jointly funded for the period of three years. </w:t>
      </w:r>
    </w:p>
    <w:p w14:paraId="3FFF3285" w14:textId="39507F86" w:rsidR="00121940" w:rsidRPr="00274CC6" w:rsidRDefault="001F388F">
      <w:pPr>
        <w:spacing w:afterLines="50" w:after="156"/>
        <w:rPr>
          <w:rFonts w:ascii="Times New Roman" w:hAnsi="Times New Roman"/>
          <w:sz w:val="24"/>
        </w:rPr>
      </w:pPr>
      <w:r w:rsidRPr="00274CC6">
        <w:rPr>
          <w:rFonts w:ascii="Times New Roman" w:hAnsi="Times New Roman" w:hint="eastAsia"/>
          <w:sz w:val="24"/>
        </w:rPr>
        <w:t xml:space="preserve">Regarding the field of Carbon Cycle and Karst Geology, both Parties note that only three project proposals were submitted in this field. Following the evaluation procedure conducted </w:t>
      </w:r>
      <w:r w:rsidRPr="00274CC6">
        <w:rPr>
          <w:rFonts w:ascii="Times New Roman" w:hAnsi="Times New Roman" w:hint="eastAsia"/>
          <w:sz w:val="24"/>
        </w:rPr>
        <w:lastRenderedPageBreak/>
        <w:t xml:space="preserve">on the Chinese side, none of these proposals met the established funding criteria. Consequently, no joint projects in this area were selected for support under the current </w:t>
      </w:r>
      <w:r w:rsidR="00274CC6" w:rsidRPr="00274CC6">
        <w:rPr>
          <w:rFonts w:ascii="Times New Roman" w:hAnsi="Times New Roman"/>
          <w:sz w:val="24"/>
        </w:rPr>
        <w:t>C</w:t>
      </w:r>
      <w:r w:rsidRPr="00274CC6">
        <w:rPr>
          <w:rFonts w:ascii="Times New Roman" w:hAnsi="Times New Roman" w:hint="eastAsia"/>
          <w:sz w:val="24"/>
        </w:rPr>
        <w:t>all.</w:t>
      </w:r>
    </w:p>
    <w:p w14:paraId="3C41F1B5" w14:textId="4906E428" w:rsidR="00121940" w:rsidRDefault="001F388F">
      <w:pPr>
        <w:spacing w:afterLines="50" w:after="156"/>
        <w:rPr>
          <w:rFonts w:ascii="Times New Roman" w:hAnsi="Times New Roman"/>
          <w:sz w:val="24"/>
        </w:rPr>
      </w:pPr>
      <w:r>
        <w:rPr>
          <w:rFonts w:ascii="Times New Roman" w:hAnsi="Times New Roman"/>
          <w:sz w:val="24"/>
        </w:rPr>
        <w:t>T</w:t>
      </w:r>
      <w:r>
        <w:rPr>
          <w:rFonts w:ascii="Times New Roman" w:hAnsi="Times New Roman" w:hint="eastAsia"/>
          <w:sz w:val="24"/>
        </w:rPr>
        <w:t xml:space="preserve">he </w:t>
      </w:r>
      <w:r>
        <w:rPr>
          <w:rFonts w:ascii="Times New Roman" w:hAnsi="Times New Roman"/>
          <w:sz w:val="24"/>
        </w:rPr>
        <w:t>Slovenian</w:t>
      </w:r>
      <w:r>
        <w:rPr>
          <w:rFonts w:ascii="Times New Roman" w:hAnsi="Times New Roman" w:hint="eastAsia"/>
          <w:sz w:val="24"/>
        </w:rPr>
        <w:t xml:space="preserve"> Party will provide </w:t>
      </w:r>
      <w:r>
        <w:rPr>
          <w:rFonts w:ascii="Times New Roman" w:hAnsi="Times New Roman"/>
          <w:sz w:val="24"/>
        </w:rPr>
        <w:t>500.000 EUR</w:t>
      </w:r>
      <w:r>
        <w:rPr>
          <w:rFonts w:ascii="Times New Roman" w:hAnsi="Times New Roman" w:hint="eastAsia"/>
          <w:sz w:val="24"/>
        </w:rPr>
        <w:t xml:space="preserve"> funding for the </w:t>
      </w:r>
      <w:proofErr w:type="gramStart"/>
      <w:r>
        <w:rPr>
          <w:rFonts w:ascii="Times New Roman" w:hAnsi="Times New Roman" w:hint="eastAsia"/>
          <w:sz w:val="24"/>
        </w:rPr>
        <w:t>projects</w:t>
      </w:r>
      <w:proofErr w:type="gramEnd"/>
      <w:r>
        <w:rPr>
          <w:rFonts w:ascii="Times New Roman" w:hAnsi="Times New Roman"/>
          <w:sz w:val="24"/>
        </w:rPr>
        <w:t xml:space="preserve"> and the Chinese Party will provide </w:t>
      </w:r>
      <w:r>
        <w:rPr>
          <w:rFonts w:ascii="Times New Roman" w:hAnsi="Times New Roman" w:hint="eastAsia"/>
          <w:sz w:val="24"/>
        </w:rPr>
        <w:t>5</w:t>
      </w:r>
      <w:r>
        <w:rPr>
          <w:rFonts w:ascii="Times New Roman" w:hAnsi="Times New Roman"/>
          <w:sz w:val="24"/>
        </w:rPr>
        <w:t xml:space="preserve"> million RMB funding for the projects</w:t>
      </w:r>
      <w:r>
        <w:rPr>
          <w:rFonts w:ascii="Times New Roman" w:hAnsi="Times New Roman" w:hint="eastAsia"/>
          <w:sz w:val="24"/>
        </w:rPr>
        <w:t xml:space="preserve">. </w:t>
      </w:r>
      <w:r>
        <w:rPr>
          <w:rFonts w:ascii="Times New Roman" w:hAnsi="Times New Roman"/>
          <w:sz w:val="24"/>
        </w:rPr>
        <w:t>The total support for each project is up to 100.000 EUR provided by MHESI and up to 1,000,000 RMB by MOST.</w:t>
      </w:r>
    </w:p>
    <w:p w14:paraId="48E27AFB" w14:textId="77777777" w:rsidR="00121940" w:rsidRDefault="001F388F">
      <w:pPr>
        <w:spacing w:afterLines="50" w:after="156"/>
        <w:rPr>
          <w:rFonts w:ascii="Times New Roman" w:hAnsi="Times New Roman"/>
          <w:sz w:val="24"/>
        </w:rPr>
      </w:pPr>
      <w:r>
        <w:rPr>
          <w:rFonts w:ascii="Times New Roman" w:hAnsi="Times New Roman"/>
          <w:sz w:val="24"/>
        </w:rPr>
        <w:t>The joint research activities for both Parties should be finished by 31 December 202</w:t>
      </w:r>
      <w:r>
        <w:rPr>
          <w:rFonts w:ascii="Times New Roman" w:hAnsi="Times New Roman" w:hint="eastAsia"/>
          <w:sz w:val="24"/>
        </w:rPr>
        <w:t>8</w:t>
      </w:r>
      <w:r>
        <w:rPr>
          <w:rFonts w:ascii="Times New Roman" w:hAnsi="Times New Roman"/>
          <w:sz w:val="24"/>
        </w:rPr>
        <w:t xml:space="preserve"> at the latest.</w:t>
      </w:r>
    </w:p>
    <w:p w14:paraId="3394BAF0" w14:textId="77777777" w:rsidR="00121940" w:rsidRDefault="00121940">
      <w:pPr>
        <w:spacing w:afterLines="50" w:after="156"/>
        <w:rPr>
          <w:rFonts w:ascii="Times New Roman" w:hAnsi="Times New Roman"/>
          <w:sz w:val="24"/>
        </w:rPr>
      </w:pPr>
    </w:p>
    <w:p w14:paraId="6BD4552A" w14:textId="77777777" w:rsidR="00121940" w:rsidRDefault="001F388F">
      <w:pPr>
        <w:spacing w:afterLines="50" w:after="156"/>
        <w:rPr>
          <w:rFonts w:ascii="Times New Roman" w:hAnsi="Times New Roman"/>
          <w:sz w:val="24"/>
        </w:rPr>
      </w:pPr>
      <w:r>
        <w:rPr>
          <w:rFonts w:ascii="Times New Roman" w:hAnsi="Times New Roman"/>
          <w:sz w:val="24"/>
        </w:rPr>
        <w:t>This Decision Document is signed in December 2025 by correspondence, in two copies in the English language.</w:t>
      </w:r>
    </w:p>
    <w:p w14:paraId="4BD40D24" w14:textId="77777777" w:rsidR="00121940" w:rsidRDefault="00121940">
      <w:pPr>
        <w:spacing w:beforeLines="50" w:before="156"/>
        <w:rPr>
          <w:rFonts w:ascii="Times New Roman" w:hAnsi="Times New Roman"/>
          <w:sz w:val="24"/>
        </w:rPr>
      </w:pPr>
    </w:p>
    <w:tbl>
      <w:tblPr>
        <w:tblStyle w:val="Tabelamre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394"/>
      </w:tblGrid>
      <w:tr w:rsidR="00121940" w14:paraId="70DCBD12" w14:textId="77777777">
        <w:trPr>
          <w:jc w:val="center"/>
        </w:trPr>
        <w:tc>
          <w:tcPr>
            <w:tcW w:w="4536" w:type="dxa"/>
            <w:vAlign w:val="center"/>
          </w:tcPr>
          <w:p w14:paraId="2108F2AD" w14:textId="588A96F1" w:rsidR="00121940" w:rsidRDefault="001F388F">
            <w:pPr>
              <w:jc w:val="center"/>
              <w:rPr>
                <w:rFonts w:ascii="Times New Roman" w:hAnsi="Times New Roman"/>
                <w:sz w:val="24"/>
              </w:rPr>
            </w:pPr>
            <w:r>
              <w:rPr>
                <w:rFonts w:ascii="Times New Roman" w:hAnsi="Times New Roman"/>
                <w:sz w:val="24"/>
              </w:rPr>
              <w:t>F</w:t>
            </w:r>
            <w:r>
              <w:rPr>
                <w:rFonts w:ascii="Times New Roman" w:hAnsi="Times New Roman"/>
                <w:sz w:val="24"/>
                <w:lang w:val="en-GB"/>
              </w:rPr>
              <w:t>or the Ministry of Higher Education, Science and Innovation of the Republic of Slovenia</w:t>
            </w:r>
          </w:p>
        </w:tc>
        <w:tc>
          <w:tcPr>
            <w:tcW w:w="284" w:type="dxa"/>
            <w:vAlign w:val="center"/>
          </w:tcPr>
          <w:p w14:paraId="6F528D18" w14:textId="77777777" w:rsidR="00121940" w:rsidRDefault="00121940">
            <w:pPr>
              <w:spacing w:beforeLines="50" w:before="156" w:line="240" w:lineRule="auto"/>
              <w:jc w:val="center"/>
              <w:rPr>
                <w:rFonts w:ascii="Times New Roman" w:hAnsi="Times New Roman"/>
                <w:sz w:val="24"/>
              </w:rPr>
            </w:pPr>
          </w:p>
        </w:tc>
        <w:tc>
          <w:tcPr>
            <w:tcW w:w="4394" w:type="dxa"/>
            <w:vAlign w:val="center"/>
          </w:tcPr>
          <w:p w14:paraId="4CFBBF0A" w14:textId="3EEABA62" w:rsidR="00121940" w:rsidRDefault="001F388F" w:rsidP="00FF2AD8">
            <w:pPr>
              <w:spacing w:beforeLines="50" w:before="156" w:line="240" w:lineRule="auto"/>
              <w:jc w:val="center"/>
              <w:rPr>
                <w:rFonts w:ascii="Times New Roman" w:hAnsi="Times New Roman"/>
                <w:sz w:val="24"/>
              </w:rPr>
            </w:pPr>
            <w:r>
              <w:rPr>
                <w:rFonts w:ascii="Times New Roman" w:hAnsi="Times New Roman"/>
                <w:sz w:val="24"/>
              </w:rPr>
              <w:t>F</w:t>
            </w:r>
            <w:r>
              <w:rPr>
                <w:rFonts w:ascii="Times New Roman" w:hAnsi="Times New Roman"/>
                <w:sz w:val="24"/>
                <w:lang w:val="en-GB"/>
              </w:rPr>
              <w:t>or the</w:t>
            </w:r>
            <w:r>
              <w:rPr>
                <w:sz w:val="24"/>
              </w:rPr>
              <w:t xml:space="preserve"> </w:t>
            </w:r>
            <w:r>
              <w:rPr>
                <w:rFonts w:ascii="Times New Roman" w:hAnsi="Times New Roman"/>
                <w:sz w:val="24"/>
                <w:lang w:val="en-GB"/>
              </w:rPr>
              <w:t>Ministry of Science and Technology of the People’s Republic of China</w:t>
            </w:r>
          </w:p>
        </w:tc>
      </w:tr>
      <w:tr w:rsidR="00121940" w14:paraId="5E0956AD" w14:textId="77777777">
        <w:trPr>
          <w:trHeight w:val="3149"/>
          <w:jc w:val="center"/>
        </w:trPr>
        <w:tc>
          <w:tcPr>
            <w:tcW w:w="4536" w:type="dxa"/>
            <w:vAlign w:val="center"/>
          </w:tcPr>
          <w:p w14:paraId="5F4E3E98" w14:textId="77777777" w:rsidR="00121940" w:rsidRDefault="00121940">
            <w:pPr>
              <w:spacing w:beforeLines="50" w:before="156" w:line="360" w:lineRule="exact"/>
              <w:jc w:val="center"/>
              <w:rPr>
                <w:rFonts w:ascii="Times New Roman" w:hAnsi="Times New Roman"/>
                <w:sz w:val="24"/>
              </w:rPr>
            </w:pPr>
          </w:p>
          <w:p w14:paraId="57C42C27" w14:textId="77777777" w:rsidR="00121940" w:rsidRDefault="00121940">
            <w:pPr>
              <w:spacing w:beforeLines="50" w:before="156" w:line="360" w:lineRule="exact"/>
              <w:jc w:val="center"/>
              <w:rPr>
                <w:rFonts w:ascii="Times New Roman" w:hAnsi="Times New Roman"/>
                <w:sz w:val="24"/>
              </w:rPr>
            </w:pPr>
          </w:p>
          <w:p w14:paraId="55579A4F" w14:textId="77777777" w:rsidR="001F388F" w:rsidRDefault="001F388F" w:rsidP="001F388F">
            <w:pPr>
              <w:spacing w:beforeLines="50" w:before="156"/>
              <w:rPr>
                <w:rFonts w:ascii="Times New Roman" w:hAnsi="Times New Roman"/>
                <w:sz w:val="24"/>
              </w:rPr>
            </w:pPr>
          </w:p>
          <w:p w14:paraId="1CC7B952" w14:textId="77777777" w:rsidR="001F388F" w:rsidRDefault="001F388F" w:rsidP="001F388F">
            <w:pPr>
              <w:pStyle w:val="Telobesedila"/>
              <w:spacing w:line="240" w:lineRule="auto"/>
              <w:ind w:right="-57"/>
              <w:jc w:val="center"/>
              <w:rPr>
                <w:rFonts w:ascii="Times New Roman" w:eastAsia="SimSun" w:hAnsi="Times New Roman"/>
                <w:sz w:val="24"/>
                <w:szCs w:val="24"/>
                <w:lang w:eastAsia="zh-CN"/>
              </w:rPr>
            </w:pPr>
            <w:r>
              <w:rPr>
                <w:rFonts w:ascii="Times New Roman" w:eastAsia="SimSun" w:hAnsi="Times New Roman"/>
                <w:sz w:val="24"/>
                <w:szCs w:val="24"/>
                <w:lang w:eastAsia="zh-CN"/>
              </w:rPr>
              <w:t>Tina Vuga</w:t>
            </w:r>
          </w:p>
          <w:p w14:paraId="351D327E" w14:textId="77777777" w:rsidR="001F388F" w:rsidRDefault="001F388F" w:rsidP="001F388F">
            <w:pPr>
              <w:pStyle w:val="Telobesedila"/>
              <w:spacing w:line="240" w:lineRule="auto"/>
              <w:ind w:right="-57"/>
              <w:jc w:val="center"/>
              <w:rPr>
                <w:rFonts w:ascii="Times New Roman" w:hAnsi="Times New Roman"/>
                <w:sz w:val="24"/>
                <w:szCs w:val="24"/>
                <w:lang w:val="en-GB"/>
              </w:rPr>
            </w:pPr>
            <w:r>
              <w:rPr>
                <w:rFonts w:ascii="Times New Roman" w:hAnsi="Times New Roman"/>
                <w:sz w:val="24"/>
                <w:szCs w:val="24"/>
                <w:lang w:val="en-GB"/>
              </w:rPr>
              <w:t>Head of the EU and International Cooperation Office</w:t>
            </w:r>
          </w:p>
          <w:p w14:paraId="1BDEB354" w14:textId="3C26CBFD" w:rsidR="00121940" w:rsidRDefault="001F388F" w:rsidP="001F388F">
            <w:pPr>
              <w:spacing w:beforeLines="50" w:before="156" w:line="360" w:lineRule="exact"/>
              <w:jc w:val="center"/>
              <w:rPr>
                <w:rFonts w:ascii="Times New Roman" w:hAnsi="Times New Roman"/>
                <w:sz w:val="24"/>
              </w:rPr>
            </w:pPr>
            <w:r>
              <w:rPr>
                <w:rFonts w:ascii="Times New Roman" w:hAnsi="Times New Roman"/>
                <w:sz w:val="24"/>
              </w:rPr>
              <w:t>Ministry of Higher Education, Science and Innovation of the Republic of Slovenia</w:t>
            </w:r>
          </w:p>
          <w:p w14:paraId="40FEE788" w14:textId="77777777" w:rsidR="00121940" w:rsidRDefault="00121940" w:rsidP="001F388F">
            <w:pPr>
              <w:rPr>
                <w:rFonts w:ascii="Times New Roman" w:hAnsi="Times New Roman"/>
                <w:sz w:val="24"/>
              </w:rPr>
            </w:pPr>
          </w:p>
        </w:tc>
        <w:tc>
          <w:tcPr>
            <w:tcW w:w="284" w:type="dxa"/>
            <w:vAlign w:val="center"/>
          </w:tcPr>
          <w:p w14:paraId="0E051338" w14:textId="77777777" w:rsidR="00121940" w:rsidRDefault="00121940">
            <w:pPr>
              <w:spacing w:beforeLines="50" w:before="156" w:line="360" w:lineRule="exact"/>
              <w:jc w:val="center"/>
              <w:rPr>
                <w:rFonts w:ascii="Times New Roman" w:hAnsi="Times New Roman"/>
                <w:sz w:val="24"/>
              </w:rPr>
            </w:pPr>
          </w:p>
        </w:tc>
        <w:tc>
          <w:tcPr>
            <w:tcW w:w="4394" w:type="dxa"/>
            <w:vAlign w:val="center"/>
          </w:tcPr>
          <w:p w14:paraId="262D7701" w14:textId="77777777" w:rsidR="001F388F" w:rsidRDefault="001F388F" w:rsidP="001F388F">
            <w:pPr>
              <w:spacing w:beforeLines="50" w:before="156"/>
              <w:rPr>
                <w:rFonts w:ascii="Times New Roman" w:hAnsi="Times New Roman"/>
                <w:sz w:val="24"/>
              </w:rPr>
            </w:pPr>
          </w:p>
          <w:p w14:paraId="220BDAFD" w14:textId="77777777" w:rsidR="001F388F" w:rsidRDefault="001F388F" w:rsidP="001F388F">
            <w:pPr>
              <w:spacing w:beforeLines="50" w:before="156"/>
              <w:rPr>
                <w:rFonts w:ascii="Times New Roman" w:hAnsi="Times New Roman"/>
                <w:sz w:val="24"/>
              </w:rPr>
            </w:pPr>
          </w:p>
          <w:p w14:paraId="1F074FC1" w14:textId="77777777" w:rsidR="001F388F" w:rsidRDefault="001F388F" w:rsidP="001F388F">
            <w:pPr>
              <w:pStyle w:val="Telobesedila"/>
              <w:spacing w:line="240" w:lineRule="auto"/>
              <w:ind w:right="-57"/>
              <w:jc w:val="center"/>
              <w:rPr>
                <w:rFonts w:ascii="Times New Roman" w:eastAsia="SimSun" w:hAnsi="Times New Roman"/>
                <w:sz w:val="24"/>
                <w:szCs w:val="24"/>
                <w:lang w:eastAsia="zh-CN"/>
              </w:rPr>
            </w:pPr>
            <w:r>
              <w:rPr>
                <w:rFonts w:ascii="Times New Roman" w:eastAsia="SimSun" w:hAnsi="Times New Roman" w:hint="eastAsia"/>
                <w:sz w:val="24"/>
                <w:szCs w:val="24"/>
                <w:lang w:eastAsia="zh-CN"/>
              </w:rPr>
              <w:t>Xiao Wang</w:t>
            </w:r>
          </w:p>
          <w:p w14:paraId="44C0384D" w14:textId="3BDCDB00" w:rsidR="001F388F" w:rsidRDefault="001F388F" w:rsidP="001F388F">
            <w:pPr>
              <w:pStyle w:val="Telobesedila"/>
              <w:spacing w:line="240" w:lineRule="auto"/>
              <w:ind w:right="-57"/>
              <w:jc w:val="center"/>
              <w:rPr>
                <w:rFonts w:ascii="Times New Roman" w:hAnsi="Times New Roman"/>
                <w:sz w:val="24"/>
                <w:szCs w:val="24"/>
                <w:lang w:val="en-GB"/>
              </w:rPr>
            </w:pPr>
            <w:r>
              <w:rPr>
                <w:rFonts w:ascii="Times New Roman" w:hAnsi="Times New Roman" w:hint="eastAsia"/>
                <w:sz w:val="24"/>
                <w:szCs w:val="24"/>
                <w:lang w:val="en-GB"/>
              </w:rPr>
              <w:t>Deputy Director</w:t>
            </w:r>
          </w:p>
          <w:p w14:paraId="5EB7A54E" w14:textId="77777777" w:rsidR="001F388F" w:rsidRDefault="001F388F" w:rsidP="001F388F">
            <w:pPr>
              <w:jc w:val="center"/>
              <w:rPr>
                <w:rFonts w:ascii="Times New Roman" w:hAnsi="Times New Roman"/>
                <w:sz w:val="24"/>
                <w:lang w:val="en-GB"/>
              </w:rPr>
            </w:pPr>
            <w:r>
              <w:rPr>
                <w:rFonts w:ascii="Times New Roman" w:hAnsi="Times New Roman"/>
                <w:sz w:val="24"/>
                <w:lang w:val="en-GB"/>
              </w:rPr>
              <w:t>Ministry of Science and Technology of the People’s Republic of China</w:t>
            </w:r>
          </w:p>
          <w:p w14:paraId="1F1E0743" w14:textId="53167159" w:rsidR="00121940" w:rsidRDefault="00121940">
            <w:pPr>
              <w:pStyle w:val="Telobesedila"/>
              <w:spacing w:beforeLines="50" w:before="156" w:line="240" w:lineRule="auto"/>
              <w:ind w:right="-57"/>
              <w:jc w:val="center"/>
              <w:rPr>
                <w:rFonts w:ascii="Times New Roman" w:hAnsi="Times New Roman"/>
                <w:sz w:val="24"/>
                <w:lang w:val="en-GB"/>
              </w:rPr>
            </w:pPr>
          </w:p>
        </w:tc>
      </w:tr>
    </w:tbl>
    <w:p w14:paraId="274F13AD" w14:textId="77777777" w:rsidR="00121940" w:rsidRDefault="00121940">
      <w:pPr>
        <w:spacing w:beforeLines="50" w:before="156" w:line="360" w:lineRule="exact"/>
        <w:rPr>
          <w:rFonts w:ascii="Times New Roman" w:hAnsi="Times New Roman"/>
          <w:sz w:val="24"/>
        </w:rPr>
        <w:sectPr w:rsidR="00121940">
          <w:pgSz w:w="11906" w:h="16838"/>
          <w:pgMar w:top="1440" w:right="1474" w:bottom="1440" w:left="1474" w:header="851" w:footer="992" w:gutter="0"/>
          <w:cols w:space="720"/>
          <w:docGrid w:type="lines" w:linePitch="312"/>
        </w:sectPr>
      </w:pPr>
    </w:p>
    <w:p w14:paraId="1FB28BBF" w14:textId="77777777" w:rsidR="00121940" w:rsidRDefault="001F388F">
      <w:pPr>
        <w:spacing w:beforeLines="50" w:before="156" w:line="360" w:lineRule="exact"/>
        <w:rPr>
          <w:rFonts w:ascii="Times New Roman" w:eastAsia="Times New Roman" w:hAnsi="Times New Roman"/>
          <w:b/>
          <w:color w:val="000000"/>
          <w:spacing w:val="-2"/>
          <w:kern w:val="0"/>
          <w:szCs w:val="20"/>
          <w:lang w:val="en-GB" w:eastAsia="sl-SI"/>
        </w:rPr>
      </w:pPr>
      <w:r>
        <w:rPr>
          <w:rFonts w:ascii="Times New Roman" w:eastAsia="Times New Roman" w:hAnsi="Times New Roman"/>
          <w:b/>
          <w:color w:val="000000"/>
          <w:spacing w:val="-2"/>
          <w:kern w:val="0"/>
          <w:szCs w:val="20"/>
          <w:lang w:val="en-GB" w:eastAsia="sl-SI"/>
        </w:rPr>
        <w:lastRenderedPageBreak/>
        <w:t>ANNEX I</w:t>
      </w:r>
    </w:p>
    <w:p w14:paraId="1FA7E532" w14:textId="7AA79A54" w:rsidR="00121940" w:rsidRDefault="001F388F">
      <w:pPr>
        <w:spacing w:beforeLines="50" w:before="156" w:line="360" w:lineRule="exact"/>
        <w:jc w:val="center"/>
        <w:rPr>
          <w:rFonts w:ascii="Times New Roman" w:eastAsia="Times New Roman" w:hAnsi="Times New Roman"/>
          <w:b/>
          <w:color w:val="000000"/>
          <w:spacing w:val="-2"/>
          <w:kern w:val="0"/>
          <w:sz w:val="28"/>
          <w:szCs w:val="28"/>
          <w:lang w:val="en-GB" w:eastAsia="sl-SI"/>
        </w:rPr>
      </w:pPr>
      <w:r>
        <w:rPr>
          <w:rFonts w:ascii="Times New Roman" w:eastAsia="Times New Roman" w:hAnsi="Times New Roman"/>
          <w:b/>
          <w:color w:val="000000"/>
          <w:spacing w:val="-2"/>
          <w:kern w:val="0"/>
          <w:sz w:val="28"/>
          <w:szCs w:val="28"/>
          <w:lang w:val="en-GB" w:eastAsia="sl-SI"/>
        </w:rPr>
        <w:t>2026-2028 Slovenia</w:t>
      </w:r>
      <w:r w:rsidR="00713B70">
        <w:rPr>
          <w:rFonts w:ascii="Times New Roman" w:eastAsia="Times New Roman" w:hAnsi="Times New Roman"/>
          <w:b/>
          <w:color w:val="000000"/>
          <w:spacing w:val="-2"/>
          <w:kern w:val="0"/>
          <w:sz w:val="28"/>
          <w:szCs w:val="28"/>
          <w:lang w:val="en-GB" w:eastAsia="sl-SI"/>
        </w:rPr>
        <w:t>-China</w:t>
      </w:r>
      <w:r>
        <w:rPr>
          <w:rFonts w:ascii="Times New Roman" w:eastAsia="Times New Roman" w:hAnsi="Times New Roman"/>
          <w:b/>
          <w:color w:val="000000"/>
          <w:spacing w:val="-2"/>
          <w:kern w:val="0"/>
          <w:sz w:val="28"/>
          <w:szCs w:val="28"/>
          <w:lang w:val="en-GB" w:eastAsia="sl-SI"/>
        </w:rPr>
        <w:t xml:space="preserve"> R&amp;D Cooperation Projects</w:t>
      </w:r>
    </w:p>
    <w:tbl>
      <w:tblPr>
        <w:tblStyle w:val="Tabelamrea"/>
        <w:tblW w:w="14490" w:type="dxa"/>
        <w:tblLayout w:type="fixed"/>
        <w:tblLook w:val="04A0" w:firstRow="1" w:lastRow="0" w:firstColumn="1" w:lastColumn="0" w:noHBand="0" w:noVBand="1"/>
      </w:tblPr>
      <w:tblGrid>
        <w:gridCol w:w="783"/>
        <w:gridCol w:w="4453"/>
        <w:gridCol w:w="3236"/>
        <w:gridCol w:w="3236"/>
        <w:gridCol w:w="1391"/>
        <w:gridCol w:w="1391"/>
      </w:tblGrid>
      <w:tr w:rsidR="00713B70" w14:paraId="35C3DDB2" w14:textId="699B4317" w:rsidTr="00713B70">
        <w:tc>
          <w:tcPr>
            <w:tcW w:w="783" w:type="dxa"/>
            <w:vAlign w:val="center"/>
          </w:tcPr>
          <w:p w14:paraId="07107B98" w14:textId="77777777" w:rsidR="00713B70" w:rsidRDefault="00713B70" w:rsidP="00713B70">
            <w:pPr>
              <w:widowControl/>
              <w:adjustRightInd w:val="0"/>
              <w:snapToGrid w:val="0"/>
              <w:spacing w:beforeLines="40" w:before="124" w:afterLines="40" w:after="124"/>
              <w:jc w:val="center"/>
              <w:textAlignment w:val="center"/>
              <w:rPr>
                <w:rFonts w:ascii="Arial" w:eastAsia="Times New Roman" w:hAnsi="Arial" w:cs="Arial"/>
                <w:b/>
                <w:color w:val="000000"/>
                <w:spacing w:val="-2"/>
                <w:kern w:val="0"/>
                <w:szCs w:val="20"/>
                <w:lang w:val="en-GB" w:eastAsia="sl-SI"/>
              </w:rPr>
            </w:pPr>
            <w:r>
              <w:rPr>
                <w:rFonts w:ascii="Times New Roman" w:hAnsi="Times New Roman"/>
                <w:b/>
                <w:color w:val="000000"/>
                <w:kern w:val="0"/>
                <w:sz w:val="28"/>
                <w:szCs w:val="28"/>
                <w:lang w:bidi="ar"/>
              </w:rPr>
              <w:t>No.</w:t>
            </w:r>
          </w:p>
        </w:tc>
        <w:tc>
          <w:tcPr>
            <w:tcW w:w="4453" w:type="dxa"/>
            <w:vAlign w:val="center"/>
          </w:tcPr>
          <w:p w14:paraId="1E623430" w14:textId="77777777" w:rsidR="00713B70" w:rsidRDefault="00713B70" w:rsidP="00713B70">
            <w:pPr>
              <w:widowControl/>
              <w:adjustRightInd w:val="0"/>
              <w:snapToGrid w:val="0"/>
              <w:spacing w:beforeLines="40" w:before="124" w:afterLines="40" w:after="124"/>
              <w:jc w:val="center"/>
              <w:textAlignment w:val="center"/>
              <w:rPr>
                <w:rFonts w:ascii="Arial" w:eastAsia="Times New Roman" w:hAnsi="Arial" w:cs="Arial"/>
                <w:b/>
                <w:color w:val="000000"/>
                <w:spacing w:val="-2"/>
                <w:kern w:val="0"/>
                <w:szCs w:val="20"/>
                <w:lang w:val="en-GB" w:eastAsia="sl-SI"/>
              </w:rPr>
            </w:pPr>
            <w:r>
              <w:rPr>
                <w:rFonts w:ascii="Times New Roman" w:hAnsi="Times New Roman"/>
                <w:b/>
                <w:color w:val="000000"/>
                <w:kern w:val="0"/>
                <w:sz w:val="28"/>
                <w:szCs w:val="28"/>
                <w:lang w:bidi="ar"/>
              </w:rPr>
              <w:t>Project Title</w:t>
            </w:r>
          </w:p>
        </w:tc>
        <w:tc>
          <w:tcPr>
            <w:tcW w:w="3236" w:type="dxa"/>
            <w:vAlign w:val="center"/>
          </w:tcPr>
          <w:p w14:paraId="2899D6E4" w14:textId="79BF18D2" w:rsidR="00713B70" w:rsidRDefault="00713B70" w:rsidP="00713B70">
            <w:pPr>
              <w:widowControl/>
              <w:adjustRightInd w:val="0"/>
              <w:snapToGrid w:val="0"/>
              <w:spacing w:beforeLines="40" w:before="124" w:afterLines="40" w:after="124"/>
              <w:jc w:val="center"/>
              <w:textAlignment w:val="center"/>
              <w:rPr>
                <w:rFonts w:ascii="Times New Roman" w:hAnsi="Times New Roman"/>
                <w:b/>
                <w:color w:val="000000"/>
                <w:kern w:val="0"/>
                <w:sz w:val="28"/>
                <w:szCs w:val="28"/>
                <w:lang w:bidi="ar"/>
              </w:rPr>
            </w:pPr>
            <w:r>
              <w:rPr>
                <w:rFonts w:ascii="Times New Roman" w:hAnsi="Times New Roman"/>
                <w:b/>
                <w:color w:val="000000"/>
                <w:kern w:val="0"/>
                <w:sz w:val="28"/>
                <w:szCs w:val="28"/>
                <w:lang w:bidi="ar"/>
              </w:rPr>
              <w:t>Slovenian Organization</w:t>
            </w:r>
          </w:p>
        </w:tc>
        <w:tc>
          <w:tcPr>
            <w:tcW w:w="3236" w:type="dxa"/>
            <w:vAlign w:val="center"/>
          </w:tcPr>
          <w:p w14:paraId="3878D13B" w14:textId="639F1193" w:rsidR="00713B70" w:rsidRDefault="00713B70" w:rsidP="00713B70">
            <w:pPr>
              <w:widowControl/>
              <w:adjustRightInd w:val="0"/>
              <w:snapToGrid w:val="0"/>
              <w:spacing w:beforeLines="40" w:before="124" w:afterLines="40" w:after="124"/>
              <w:jc w:val="center"/>
              <w:textAlignment w:val="center"/>
              <w:rPr>
                <w:rFonts w:ascii="Arial" w:eastAsia="Times New Roman" w:hAnsi="Arial" w:cs="Arial"/>
                <w:b/>
                <w:color w:val="000000"/>
                <w:spacing w:val="-2"/>
                <w:kern w:val="0"/>
                <w:szCs w:val="20"/>
                <w:lang w:val="en-GB" w:eastAsia="sl-SI"/>
              </w:rPr>
            </w:pPr>
            <w:r>
              <w:rPr>
                <w:rFonts w:ascii="Times New Roman" w:hAnsi="Times New Roman"/>
                <w:b/>
                <w:color w:val="000000"/>
                <w:kern w:val="0"/>
                <w:sz w:val="28"/>
                <w:szCs w:val="28"/>
                <w:lang w:bidi="ar"/>
              </w:rPr>
              <w:t>Chinese Organization</w:t>
            </w:r>
          </w:p>
        </w:tc>
        <w:tc>
          <w:tcPr>
            <w:tcW w:w="1391" w:type="dxa"/>
            <w:vAlign w:val="center"/>
          </w:tcPr>
          <w:p w14:paraId="4C74BEAD" w14:textId="77777777" w:rsidR="00713B70" w:rsidRDefault="00713B70" w:rsidP="00713B70">
            <w:pPr>
              <w:widowControl/>
              <w:adjustRightInd w:val="0"/>
              <w:snapToGrid w:val="0"/>
              <w:spacing w:beforeLines="40" w:before="124" w:afterLines="40" w:after="124" w:line="240" w:lineRule="auto"/>
              <w:jc w:val="center"/>
              <w:textAlignment w:val="center"/>
              <w:rPr>
                <w:rFonts w:ascii="Arial" w:eastAsia="Times New Roman" w:hAnsi="Arial" w:cs="Arial"/>
                <w:b/>
                <w:color w:val="000000"/>
                <w:spacing w:val="-2"/>
                <w:kern w:val="0"/>
                <w:szCs w:val="20"/>
                <w:lang w:val="en-GB" w:eastAsia="sl-SI"/>
              </w:rPr>
            </w:pPr>
            <w:r>
              <w:rPr>
                <w:rFonts w:ascii="Times New Roman" w:hAnsi="Times New Roman"/>
                <w:b/>
                <w:color w:val="000000"/>
                <w:kern w:val="0"/>
                <w:sz w:val="28"/>
                <w:szCs w:val="28"/>
                <w:lang w:bidi="ar"/>
              </w:rPr>
              <w:t>Slovenian PI</w:t>
            </w:r>
          </w:p>
        </w:tc>
        <w:tc>
          <w:tcPr>
            <w:tcW w:w="1391" w:type="dxa"/>
            <w:vAlign w:val="center"/>
          </w:tcPr>
          <w:p w14:paraId="5F55B23C" w14:textId="249842C0" w:rsidR="00713B70" w:rsidRDefault="00713B70" w:rsidP="00713B70">
            <w:pPr>
              <w:widowControl/>
              <w:adjustRightInd w:val="0"/>
              <w:snapToGrid w:val="0"/>
              <w:spacing w:beforeLines="40" w:before="124" w:afterLines="40" w:after="124" w:line="240" w:lineRule="auto"/>
              <w:jc w:val="center"/>
              <w:textAlignment w:val="center"/>
              <w:rPr>
                <w:rFonts w:ascii="Times New Roman" w:hAnsi="Times New Roman"/>
                <w:b/>
                <w:color w:val="000000"/>
                <w:kern w:val="0"/>
                <w:sz w:val="28"/>
                <w:szCs w:val="28"/>
                <w:lang w:bidi="ar"/>
              </w:rPr>
            </w:pPr>
            <w:r>
              <w:rPr>
                <w:rFonts w:ascii="Times New Roman" w:hAnsi="Times New Roman"/>
                <w:b/>
                <w:color w:val="000000"/>
                <w:kern w:val="0"/>
                <w:sz w:val="28"/>
                <w:szCs w:val="28"/>
                <w:lang w:bidi="ar"/>
              </w:rPr>
              <w:t>Chinese PI</w:t>
            </w:r>
          </w:p>
        </w:tc>
      </w:tr>
      <w:tr w:rsidR="00713B70" w14:paraId="46109D63" w14:textId="644D3F55" w:rsidTr="00713B70">
        <w:tc>
          <w:tcPr>
            <w:tcW w:w="783" w:type="dxa"/>
            <w:vAlign w:val="center"/>
          </w:tcPr>
          <w:p w14:paraId="361CD041" w14:textId="77777777" w:rsidR="00713B70" w:rsidRDefault="00713B70" w:rsidP="00713B70">
            <w:pPr>
              <w:widowControl/>
              <w:jc w:val="center"/>
              <w:textAlignment w:val="center"/>
              <w:rPr>
                <w:rFonts w:ascii="Arial" w:eastAsia="Times New Roman" w:hAnsi="Arial" w:cs="Arial"/>
                <w:b/>
                <w:color w:val="000000"/>
                <w:spacing w:val="-2"/>
                <w:kern w:val="0"/>
                <w:szCs w:val="20"/>
                <w:lang w:val="en-GB" w:eastAsia="sl-SI"/>
              </w:rPr>
            </w:pPr>
            <w:r>
              <w:rPr>
                <w:rFonts w:ascii="Times New Roman" w:hAnsi="Times New Roman"/>
                <w:color w:val="000000"/>
                <w:kern w:val="0"/>
                <w:sz w:val="28"/>
                <w:szCs w:val="28"/>
                <w:lang w:bidi="ar"/>
              </w:rPr>
              <w:t>1</w:t>
            </w:r>
          </w:p>
        </w:tc>
        <w:tc>
          <w:tcPr>
            <w:tcW w:w="4453" w:type="dxa"/>
            <w:vAlign w:val="center"/>
          </w:tcPr>
          <w:p w14:paraId="0A6E183F" w14:textId="77777777" w:rsidR="00713B70" w:rsidRDefault="00713B70" w:rsidP="00713B70">
            <w:pPr>
              <w:widowControl/>
              <w:spacing w:beforeLines="40" w:before="124" w:afterLines="40" w:after="124" w:line="240" w:lineRule="auto"/>
              <w:jc w:val="left"/>
              <w:textAlignment w:val="center"/>
              <w:rPr>
                <w:rFonts w:ascii="Arial" w:eastAsia="Times New Roman" w:hAnsi="Arial" w:cs="Arial"/>
                <w:spacing w:val="-2"/>
                <w:kern w:val="0"/>
                <w:szCs w:val="20"/>
                <w:lang w:val="en-GB" w:eastAsia="sl-SI"/>
              </w:rPr>
            </w:pPr>
            <w:r>
              <w:rPr>
                <w:rFonts w:ascii="Times New Roman" w:hAnsi="Times New Roman"/>
                <w:kern w:val="0"/>
                <w:sz w:val="24"/>
                <w:lang w:bidi="ar"/>
              </w:rPr>
              <w:t>Research on Cloud-Native Intelligent Orchestration and Efficient Scheduling Methods for Large Model Inference</w:t>
            </w:r>
          </w:p>
        </w:tc>
        <w:tc>
          <w:tcPr>
            <w:tcW w:w="3236" w:type="dxa"/>
            <w:vAlign w:val="center"/>
          </w:tcPr>
          <w:p w14:paraId="0EA364F5" w14:textId="3328240E"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University of Ljubljana, Faculty of Computer and Information Science</w:t>
            </w:r>
          </w:p>
        </w:tc>
        <w:tc>
          <w:tcPr>
            <w:tcW w:w="3236" w:type="dxa"/>
            <w:vAlign w:val="center"/>
          </w:tcPr>
          <w:p w14:paraId="3CA4D911" w14:textId="7B204C1D" w:rsidR="00713B70" w:rsidRDefault="00713B70" w:rsidP="00713B70">
            <w:pPr>
              <w:widowControl/>
              <w:spacing w:beforeLines="40" w:before="124" w:afterLines="40" w:after="124" w:line="240" w:lineRule="auto"/>
              <w:jc w:val="left"/>
              <w:textAlignment w:val="center"/>
              <w:rPr>
                <w:rFonts w:ascii="Arial" w:eastAsia="Times New Roman" w:hAnsi="Arial" w:cs="Arial"/>
                <w:spacing w:val="-2"/>
                <w:kern w:val="0"/>
                <w:szCs w:val="20"/>
                <w:lang w:val="en-GB" w:eastAsia="sl-SI"/>
              </w:rPr>
            </w:pPr>
            <w:r>
              <w:rPr>
                <w:rFonts w:ascii="Times New Roman" w:hAnsi="Times New Roman"/>
                <w:kern w:val="0"/>
                <w:sz w:val="24"/>
                <w:lang w:bidi="ar"/>
              </w:rPr>
              <w:t>Shenzhen Institutes of Advanced Technology, Chinese Academy of Sciences</w:t>
            </w:r>
          </w:p>
        </w:tc>
        <w:tc>
          <w:tcPr>
            <w:tcW w:w="1391" w:type="dxa"/>
            <w:vAlign w:val="center"/>
          </w:tcPr>
          <w:p w14:paraId="3D17687F" w14:textId="77777777" w:rsidR="00713B70" w:rsidRDefault="00713B70" w:rsidP="00713B70">
            <w:pPr>
              <w:widowControl/>
              <w:spacing w:beforeLines="40" w:before="124" w:afterLines="40" w:after="124" w:line="240" w:lineRule="auto"/>
              <w:jc w:val="left"/>
              <w:textAlignment w:val="center"/>
              <w:rPr>
                <w:rFonts w:ascii="Arial" w:eastAsia="Times New Roman" w:hAnsi="Arial" w:cs="Arial"/>
                <w:spacing w:val="-2"/>
                <w:kern w:val="0"/>
                <w:szCs w:val="20"/>
                <w:lang w:val="en-GB" w:eastAsia="sl-SI"/>
              </w:rPr>
            </w:pPr>
            <w:r>
              <w:rPr>
                <w:rFonts w:ascii="Times New Roman" w:hAnsi="Times New Roman"/>
                <w:kern w:val="0"/>
                <w:sz w:val="24"/>
                <w:lang w:bidi="ar"/>
              </w:rPr>
              <w:t>Vlado Stankovski</w:t>
            </w:r>
          </w:p>
        </w:tc>
        <w:tc>
          <w:tcPr>
            <w:tcW w:w="1391" w:type="dxa"/>
            <w:vAlign w:val="center"/>
          </w:tcPr>
          <w:p w14:paraId="1DF30D68" w14:textId="00458690"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proofErr w:type="spellStart"/>
            <w:r>
              <w:rPr>
                <w:rFonts w:ascii="Times New Roman" w:hAnsi="Times New Roman"/>
                <w:kern w:val="0"/>
                <w:sz w:val="24"/>
                <w:lang w:bidi="ar"/>
              </w:rPr>
              <w:t>Minxian</w:t>
            </w:r>
            <w:proofErr w:type="spellEnd"/>
            <w:r>
              <w:rPr>
                <w:rFonts w:ascii="Times New Roman" w:hAnsi="Times New Roman"/>
                <w:kern w:val="0"/>
                <w:sz w:val="24"/>
                <w:lang w:bidi="ar"/>
              </w:rPr>
              <w:t xml:space="preserve"> Xu</w:t>
            </w:r>
          </w:p>
        </w:tc>
      </w:tr>
      <w:tr w:rsidR="00713B70" w14:paraId="0278C9E9" w14:textId="0D3CA757" w:rsidTr="00713B70">
        <w:trPr>
          <w:trHeight w:val="1625"/>
        </w:trPr>
        <w:tc>
          <w:tcPr>
            <w:tcW w:w="783" w:type="dxa"/>
            <w:vAlign w:val="center"/>
          </w:tcPr>
          <w:p w14:paraId="0672C339" w14:textId="77777777" w:rsidR="00713B70" w:rsidRDefault="00713B70" w:rsidP="00713B70">
            <w:pPr>
              <w:widowControl/>
              <w:jc w:val="center"/>
              <w:textAlignment w:val="center"/>
              <w:rPr>
                <w:rFonts w:ascii="Times New Roman" w:hAnsi="Times New Roman"/>
                <w:color w:val="000000"/>
                <w:kern w:val="0"/>
                <w:sz w:val="28"/>
                <w:szCs w:val="28"/>
                <w:lang w:bidi="ar"/>
              </w:rPr>
            </w:pPr>
            <w:r>
              <w:rPr>
                <w:rFonts w:ascii="Times New Roman" w:hAnsi="Times New Roman" w:hint="eastAsia"/>
                <w:color w:val="000000"/>
                <w:kern w:val="0"/>
                <w:sz w:val="28"/>
                <w:szCs w:val="28"/>
                <w:lang w:bidi="ar"/>
              </w:rPr>
              <w:t>2</w:t>
            </w:r>
          </w:p>
        </w:tc>
        <w:tc>
          <w:tcPr>
            <w:tcW w:w="4453" w:type="dxa"/>
            <w:vAlign w:val="center"/>
          </w:tcPr>
          <w:p w14:paraId="7BB81687" w14:textId="7777777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 xml:space="preserve">Year-round smart thermal and humidity regulation </w:t>
            </w:r>
            <w:proofErr w:type="gramStart"/>
            <w:r>
              <w:rPr>
                <w:rFonts w:ascii="Times New Roman" w:hAnsi="Times New Roman"/>
                <w:kern w:val="0"/>
                <w:sz w:val="24"/>
                <w:lang w:bidi="ar"/>
              </w:rPr>
              <w:t>method</w:t>
            </w:r>
            <w:proofErr w:type="gramEnd"/>
            <w:r>
              <w:rPr>
                <w:rFonts w:ascii="Times New Roman" w:hAnsi="Times New Roman"/>
                <w:kern w:val="0"/>
                <w:sz w:val="24"/>
                <w:lang w:bidi="ar"/>
              </w:rPr>
              <w:t xml:space="preserve"> for buildings based on high-efficient sky radiation energy utilization</w:t>
            </w:r>
          </w:p>
        </w:tc>
        <w:tc>
          <w:tcPr>
            <w:tcW w:w="3236" w:type="dxa"/>
            <w:vAlign w:val="center"/>
          </w:tcPr>
          <w:p w14:paraId="0F9E2752" w14:textId="25FBF8FD"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University of Ljubljana, Faculty of Mechanical Engineering</w:t>
            </w:r>
          </w:p>
        </w:tc>
        <w:tc>
          <w:tcPr>
            <w:tcW w:w="3236" w:type="dxa"/>
            <w:vAlign w:val="center"/>
          </w:tcPr>
          <w:p w14:paraId="60453B6B" w14:textId="3BA4AC5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Shanghai Jiao Tong University</w:t>
            </w:r>
          </w:p>
        </w:tc>
        <w:tc>
          <w:tcPr>
            <w:tcW w:w="1391" w:type="dxa"/>
            <w:vAlign w:val="center"/>
          </w:tcPr>
          <w:p w14:paraId="4ED2A7B6" w14:textId="7777777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 xml:space="preserve">Primož </w:t>
            </w:r>
            <w:proofErr w:type="spellStart"/>
            <w:r>
              <w:rPr>
                <w:rFonts w:ascii="Times New Roman" w:hAnsi="Times New Roman"/>
                <w:kern w:val="0"/>
                <w:sz w:val="24"/>
                <w:lang w:bidi="ar"/>
              </w:rPr>
              <w:t>Poredoš</w:t>
            </w:r>
            <w:proofErr w:type="spellEnd"/>
          </w:p>
        </w:tc>
        <w:tc>
          <w:tcPr>
            <w:tcW w:w="1391" w:type="dxa"/>
            <w:vAlign w:val="center"/>
          </w:tcPr>
          <w:p w14:paraId="4E67F23C" w14:textId="0647E861"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proofErr w:type="spellStart"/>
            <w:r>
              <w:rPr>
                <w:rFonts w:ascii="Times New Roman" w:hAnsi="Times New Roman"/>
                <w:kern w:val="0"/>
                <w:sz w:val="24"/>
                <w:lang w:bidi="ar"/>
              </w:rPr>
              <w:t>Ruzhu</w:t>
            </w:r>
            <w:proofErr w:type="spellEnd"/>
            <w:r>
              <w:rPr>
                <w:rFonts w:ascii="Times New Roman" w:hAnsi="Times New Roman"/>
                <w:kern w:val="0"/>
                <w:sz w:val="24"/>
                <w:lang w:bidi="ar"/>
              </w:rPr>
              <w:t xml:space="preserve"> Wang</w:t>
            </w:r>
          </w:p>
        </w:tc>
      </w:tr>
      <w:tr w:rsidR="00713B70" w14:paraId="64013FDC" w14:textId="0C2801DD" w:rsidTr="00713B70">
        <w:tc>
          <w:tcPr>
            <w:tcW w:w="783" w:type="dxa"/>
            <w:vAlign w:val="center"/>
          </w:tcPr>
          <w:p w14:paraId="6EE6AC7C" w14:textId="77777777" w:rsidR="00713B70" w:rsidRDefault="00713B70" w:rsidP="00713B70">
            <w:pPr>
              <w:widowControl/>
              <w:jc w:val="center"/>
              <w:textAlignment w:val="center"/>
              <w:rPr>
                <w:rFonts w:ascii="Times New Roman" w:hAnsi="Times New Roman"/>
                <w:color w:val="000000"/>
                <w:kern w:val="0"/>
                <w:sz w:val="28"/>
                <w:szCs w:val="28"/>
                <w:lang w:bidi="ar"/>
              </w:rPr>
            </w:pPr>
            <w:r>
              <w:rPr>
                <w:rFonts w:ascii="Times New Roman" w:hAnsi="Times New Roman" w:hint="eastAsia"/>
                <w:color w:val="000000"/>
                <w:kern w:val="0"/>
                <w:sz w:val="28"/>
                <w:szCs w:val="28"/>
                <w:lang w:bidi="ar"/>
              </w:rPr>
              <w:t>3</w:t>
            </w:r>
          </w:p>
        </w:tc>
        <w:tc>
          <w:tcPr>
            <w:tcW w:w="4453" w:type="dxa"/>
            <w:vAlign w:val="center"/>
          </w:tcPr>
          <w:p w14:paraId="2273FDC6" w14:textId="7777777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Zinc solid-state battery based on electrolyte Integrated into the confined nanochannels and organic cathode</w:t>
            </w:r>
          </w:p>
        </w:tc>
        <w:tc>
          <w:tcPr>
            <w:tcW w:w="3236" w:type="dxa"/>
            <w:vAlign w:val="center"/>
          </w:tcPr>
          <w:p w14:paraId="48E13CAB" w14:textId="4E8BDBD3"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National Institute of Chemistry</w:t>
            </w:r>
          </w:p>
        </w:tc>
        <w:tc>
          <w:tcPr>
            <w:tcW w:w="3236" w:type="dxa"/>
            <w:vAlign w:val="center"/>
          </w:tcPr>
          <w:p w14:paraId="56DB4E8C" w14:textId="0852F502"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University of Science and Technology of China</w:t>
            </w:r>
          </w:p>
        </w:tc>
        <w:tc>
          <w:tcPr>
            <w:tcW w:w="1391" w:type="dxa"/>
            <w:vAlign w:val="center"/>
          </w:tcPr>
          <w:p w14:paraId="75309641" w14:textId="7777777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Robert Dominko</w:t>
            </w:r>
          </w:p>
        </w:tc>
        <w:tc>
          <w:tcPr>
            <w:tcW w:w="1391" w:type="dxa"/>
            <w:vAlign w:val="center"/>
          </w:tcPr>
          <w:p w14:paraId="0C0E92D6" w14:textId="0FAA8F35"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proofErr w:type="spellStart"/>
            <w:r>
              <w:rPr>
                <w:rFonts w:ascii="Times New Roman" w:hAnsi="Times New Roman"/>
                <w:kern w:val="0"/>
                <w:sz w:val="24"/>
                <w:lang w:bidi="ar"/>
              </w:rPr>
              <w:t>Longsheng</w:t>
            </w:r>
            <w:proofErr w:type="spellEnd"/>
            <w:r>
              <w:rPr>
                <w:rFonts w:ascii="Times New Roman" w:hAnsi="Times New Roman" w:hint="eastAsia"/>
                <w:kern w:val="0"/>
                <w:sz w:val="24"/>
                <w:lang w:bidi="ar"/>
              </w:rPr>
              <w:t xml:space="preserve"> </w:t>
            </w:r>
            <w:r>
              <w:rPr>
                <w:rFonts w:ascii="Times New Roman" w:hAnsi="Times New Roman"/>
                <w:kern w:val="0"/>
                <w:sz w:val="24"/>
                <w:lang w:bidi="ar"/>
              </w:rPr>
              <w:t xml:space="preserve">Cao </w:t>
            </w:r>
          </w:p>
        </w:tc>
      </w:tr>
      <w:tr w:rsidR="00713B70" w14:paraId="7DEFA255" w14:textId="1D2E272B" w:rsidTr="00713B70">
        <w:tc>
          <w:tcPr>
            <w:tcW w:w="783" w:type="dxa"/>
            <w:vAlign w:val="center"/>
          </w:tcPr>
          <w:p w14:paraId="1EFBCBB1" w14:textId="77777777" w:rsidR="00713B70" w:rsidRDefault="00713B70" w:rsidP="00713B70">
            <w:pPr>
              <w:widowControl/>
              <w:jc w:val="center"/>
              <w:textAlignment w:val="center"/>
              <w:rPr>
                <w:rFonts w:ascii="Times New Roman" w:hAnsi="Times New Roman"/>
                <w:color w:val="000000"/>
                <w:kern w:val="0"/>
                <w:sz w:val="28"/>
                <w:szCs w:val="28"/>
                <w:lang w:bidi="ar"/>
              </w:rPr>
            </w:pPr>
            <w:r>
              <w:rPr>
                <w:rFonts w:ascii="Times New Roman" w:hAnsi="Times New Roman" w:hint="eastAsia"/>
                <w:color w:val="000000"/>
                <w:kern w:val="0"/>
                <w:sz w:val="28"/>
                <w:szCs w:val="28"/>
                <w:lang w:bidi="ar"/>
              </w:rPr>
              <w:t>4</w:t>
            </w:r>
          </w:p>
        </w:tc>
        <w:tc>
          <w:tcPr>
            <w:tcW w:w="4453" w:type="dxa"/>
            <w:vAlign w:val="center"/>
          </w:tcPr>
          <w:p w14:paraId="3CC206F0" w14:textId="7777777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 xml:space="preserve">Development of Dual-Targeting </w:t>
            </w:r>
            <w:proofErr w:type="spellStart"/>
            <w:r>
              <w:rPr>
                <w:rFonts w:ascii="Times New Roman" w:hAnsi="Times New Roman"/>
                <w:kern w:val="0"/>
                <w:sz w:val="24"/>
                <w:lang w:bidi="ar"/>
              </w:rPr>
              <w:t>hTOPOII</w:t>
            </w:r>
            <w:proofErr w:type="spellEnd"/>
            <w:r>
              <w:rPr>
                <w:rFonts w:ascii="Times New Roman" w:hAnsi="Times New Roman"/>
                <w:kern w:val="0"/>
                <w:sz w:val="24"/>
                <w:lang w:bidi="ar"/>
              </w:rPr>
              <w:t>/HDAC</w:t>
            </w:r>
            <w:r>
              <w:rPr>
                <w:rFonts w:ascii="Times New Roman" w:hAnsi="Times New Roman" w:hint="eastAsia"/>
                <w:kern w:val="0"/>
                <w:sz w:val="24"/>
                <w:lang w:bidi="ar"/>
              </w:rPr>
              <w:t xml:space="preserve"> </w:t>
            </w:r>
            <w:r>
              <w:rPr>
                <w:rFonts w:ascii="Times New Roman" w:hAnsi="Times New Roman"/>
                <w:kern w:val="0"/>
                <w:sz w:val="24"/>
                <w:lang w:bidi="ar"/>
              </w:rPr>
              <w:t>Split-and-Mix-PROTAC's</w:t>
            </w:r>
          </w:p>
        </w:tc>
        <w:tc>
          <w:tcPr>
            <w:tcW w:w="3236" w:type="dxa"/>
            <w:vAlign w:val="center"/>
          </w:tcPr>
          <w:p w14:paraId="71FB5A6B" w14:textId="667D064A"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University of Ljubljana, Faculty of Pharmacy</w:t>
            </w:r>
          </w:p>
        </w:tc>
        <w:tc>
          <w:tcPr>
            <w:tcW w:w="3236" w:type="dxa"/>
            <w:vAlign w:val="center"/>
          </w:tcPr>
          <w:p w14:paraId="7A910385" w14:textId="729139E0"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Shenzhen Bay Laboratory</w:t>
            </w:r>
          </w:p>
        </w:tc>
        <w:tc>
          <w:tcPr>
            <w:tcW w:w="1391" w:type="dxa"/>
            <w:vAlign w:val="center"/>
          </w:tcPr>
          <w:p w14:paraId="4EED3AA5" w14:textId="7777777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Janez Ilaš</w:t>
            </w:r>
          </w:p>
        </w:tc>
        <w:tc>
          <w:tcPr>
            <w:tcW w:w="1391" w:type="dxa"/>
            <w:vAlign w:val="center"/>
          </w:tcPr>
          <w:p w14:paraId="498349FA" w14:textId="1D44AE6C"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Feng Yin</w:t>
            </w:r>
          </w:p>
        </w:tc>
      </w:tr>
      <w:tr w:rsidR="00713B70" w14:paraId="0A23FDD1" w14:textId="5D2EA4E4" w:rsidTr="00713B70">
        <w:tc>
          <w:tcPr>
            <w:tcW w:w="783" w:type="dxa"/>
            <w:vAlign w:val="center"/>
          </w:tcPr>
          <w:p w14:paraId="6D338146" w14:textId="77777777" w:rsidR="00713B70" w:rsidRDefault="00713B70" w:rsidP="00713B70">
            <w:pPr>
              <w:widowControl/>
              <w:jc w:val="center"/>
              <w:textAlignment w:val="center"/>
              <w:rPr>
                <w:rFonts w:ascii="Times New Roman" w:hAnsi="Times New Roman"/>
                <w:color w:val="000000"/>
                <w:kern w:val="0"/>
                <w:sz w:val="28"/>
                <w:szCs w:val="28"/>
                <w:lang w:bidi="ar"/>
              </w:rPr>
            </w:pPr>
            <w:r>
              <w:rPr>
                <w:rFonts w:ascii="Times New Roman" w:hAnsi="Times New Roman" w:hint="eastAsia"/>
                <w:color w:val="000000"/>
                <w:kern w:val="0"/>
                <w:sz w:val="28"/>
                <w:szCs w:val="28"/>
                <w:lang w:bidi="ar"/>
              </w:rPr>
              <w:t>5</w:t>
            </w:r>
          </w:p>
        </w:tc>
        <w:tc>
          <w:tcPr>
            <w:tcW w:w="4453" w:type="dxa"/>
            <w:vAlign w:val="center"/>
          </w:tcPr>
          <w:p w14:paraId="6BF357EF" w14:textId="7777777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Biotechnological Innovations for Verticillium Wilt-Resistant Crops in Sustainable Agriculture</w:t>
            </w:r>
          </w:p>
        </w:tc>
        <w:tc>
          <w:tcPr>
            <w:tcW w:w="3236" w:type="dxa"/>
            <w:vAlign w:val="center"/>
          </w:tcPr>
          <w:p w14:paraId="792DE01D" w14:textId="65674083"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University of Ljubljana, Biotechnical Faculty</w:t>
            </w:r>
          </w:p>
        </w:tc>
        <w:tc>
          <w:tcPr>
            <w:tcW w:w="3236" w:type="dxa"/>
            <w:vAlign w:val="center"/>
          </w:tcPr>
          <w:p w14:paraId="71814F40" w14:textId="14CB833E"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Huazhong Agricultural University</w:t>
            </w:r>
          </w:p>
        </w:tc>
        <w:tc>
          <w:tcPr>
            <w:tcW w:w="1391" w:type="dxa"/>
            <w:vAlign w:val="center"/>
          </w:tcPr>
          <w:p w14:paraId="03AFCBA4" w14:textId="77777777"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r>
              <w:rPr>
                <w:rFonts w:ascii="Times New Roman" w:hAnsi="Times New Roman"/>
                <w:kern w:val="0"/>
                <w:sz w:val="24"/>
                <w:lang w:bidi="ar"/>
              </w:rPr>
              <w:t xml:space="preserve">Ester </w:t>
            </w:r>
            <w:proofErr w:type="spellStart"/>
            <w:r>
              <w:rPr>
                <w:rFonts w:ascii="Times New Roman" w:hAnsi="Times New Roman"/>
                <w:kern w:val="0"/>
                <w:sz w:val="24"/>
                <w:lang w:bidi="ar"/>
              </w:rPr>
              <w:t>Stajič</w:t>
            </w:r>
            <w:proofErr w:type="spellEnd"/>
          </w:p>
        </w:tc>
        <w:tc>
          <w:tcPr>
            <w:tcW w:w="1391" w:type="dxa"/>
            <w:vAlign w:val="center"/>
          </w:tcPr>
          <w:p w14:paraId="1177385C" w14:textId="6EE42170" w:rsidR="00713B70" w:rsidRDefault="00713B70" w:rsidP="00713B70">
            <w:pPr>
              <w:widowControl/>
              <w:spacing w:beforeLines="40" w:before="124" w:afterLines="40" w:after="124" w:line="240" w:lineRule="auto"/>
              <w:jc w:val="left"/>
              <w:textAlignment w:val="center"/>
              <w:rPr>
                <w:rFonts w:ascii="Times New Roman" w:hAnsi="Times New Roman"/>
                <w:kern w:val="0"/>
                <w:sz w:val="24"/>
                <w:lang w:bidi="ar"/>
              </w:rPr>
            </w:pPr>
            <w:proofErr w:type="spellStart"/>
            <w:r>
              <w:rPr>
                <w:rFonts w:ascii="Times New Roman" w:hAnsi="Times New Roman"/>
                <w:kern w:val="0"/>
                <w:sz w:val="24"/>
                <w:lang w:bidi="ar"/>
              </w:rPr>
              <w:t>Longfu</w:t>
            </w:r>
            <w:proofErr w:type="spellEnd"/>
            <w:r>
              <w:rPr>
                <w:rFonts w:ascii="Times New Roman" w:hAnsi="Times New Roman"/>
                <w:kern w:val="0"/>
                <w:sz w:val="24"/>
                <w:lang w:bidi="ar"/>
              </w:rPr>
              <w:t xml:space="preserve"> Zhu</w:t>
            </w:r>
          </w:p>
        </w:tc>
      </w:tr>
    </w:tbl>
    <w:p w14:paraId="21CCE6FC" w14:textId="77777777" w:rsidR="00121940" w:rsidRDefault="00121940">
      <w:pPr>
        <w:spacing w:beforeLines="50" w:before="156" w:line="360" w:lineRule="exact"/>
        <w:rPr>
          <w:rFonts w:ascii="Arial" w:eastAsia="Times New Roman" w:hAnsi="Arial" w:cs="Arial"/>
          <w:b/>
          <w:color w:val="000000"/>
          <w:spacing w:val="-2"/>
          <w:kern w:val="0"/>
          <w:szCs w:val="20"/>
          <w:lang w:val="en-GB" w:eastAsia="sl-SI"/>
        </w:rPr>
      </w:pPr>
    </w:p>
    <w:sectPr w:rsidR="00121940">
      <w:pgSz w:w="16838" w:h="11906" w:orient="landscape"/>
      <w:pgMar w:top="1474" w:right="1440" w:bottom="1474"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宋体"/>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FFBF5F"/>
    <w:rsid w:val="95C03CA0"/>
    <w:rsid w:val="9BAC16FC"/>
    <w:rsid w:val="B4BE9935"/>
    <w:rsid w:val="B76E1BCA"/>
    <w:rsid w:val="BBF0A861"/>
    <w:rsid w:val="BEEE7B08"/>
    <w:rsid w:val="D66BB56C"/>
    <w:rsid w:val="E8B79D28"/>
    <w:rsid w:val="EC5BC7BC"/>
    <w:rsid w:val="EDBBB1E3"/>
    <w:rsid w:val="F51F2B67"/>
    <w:rsid w:val="FBFDC686"/>
    <w:rsid w:val="FFBF2D7E"/>
    <w:rsid w:val="00121940"/>
    <w:rsid w:val="001344B1"/>
    <w:rsid w:val="001F388F"/>
    <w:rsid w:val="00274CC6"/>
    <w:rsid w:val="0032038A"/>
    <w:rsid w:val="00426FBA"/>
    <w:rsid w:val="00443D7C"/>
    <w:rsid w:val="004D3B93"/>
    <w:rsid w:val="00605355"/>
    <w:rsid w:val="006E6B99"/>
    <w:rsid w:val="00713B70"/>
    <w:rsid w:val="00717D01"/>
    <w:rsid w:val="00743319"/>
    <w:rsid w:val="007F6C85"/>
    <w:rsid w:val="00815636"/>
    <w:rsid w:val="00842C32"/>
    <w:rsid w:val="008864B7"/>
    <w:rsid w:val="009F3000"/>
    <w:rsid w:val="00B4478A"/>
    <w:rsid w:val="00BF29CD"/>
    <w:rsid w:val="00C64A90"/>
    <w:rsid w:val="00C67CAB"/>
    <w:rsid w:val="00CC7272"/>
    <w:rsid w:val="00DB0C0E"/>
    <w:rsid w:val="00E62F18"/>
    <w:rsid w:val="00FF2AD8"/>
    <w:rsid w:val="19DDE74C"/>
    <w:rsid w:val="25BF40B0"/>
    <w:rsid w:val="27BFD84F"/>
    <w:rsid w:val="2CFD5B06"/>
    <w:rsid w:val="5FFFBF5F"/>
    <w:rsid w:val="6DCF424E"/>
    <w:rsid w:val="7F3AA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1A579"/>
  <w15:docId w15:val="{6A9CF008-E534-4F85-8C9D-948E7A8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widowControl w:val="0"/>
      <w:jc w:val="both"/>
    </w:pPr>
    <w:rPr>
      <w:rFonts w:ascii="Calibri" w:hAnsi="Calibri"/>
      <w:kern w:val="2"/>
      <w:sz w:val="21"/>
      <w:szCs w:val="24"/>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qFormat/>
    <w:pPr>
      <w:widowControl/>
      <w:spacing w:line="20" w:lineRule="atLeast"/>
      <w:ind w:right="-1617"/>
    </w:pPr>
    <w:rPr>
      <w:rFonts w:ascii="Arial" w:eastAsia="Malgun Gothic" w:hAnsi="Arial"/>
      <w:kern w:val="0"/>
      <w:sz w:val="22"/>
      <w:szCs w:val="20"/>
      <w:lang w:eastAsia="en-US"/>
    </w:rPr>
  </w:style>
  <w:style w:type="paragraph" w:styleId="Besedilooblaka">
    <w:name w:val="Balloon Text"/>
    <w:basedOn w:val="Navaden"/>
    <w:link w:val="BesedilooblakaZnak"/>
    <w:qFormat/>
    <w:rPr>
      <w:sz w:val="18"/>
      <w:szCs w:val="18"/>
    </w:rPr>
  </w:style>
  <w:style w:type="paragraph" w:styleId="Navadensplet">
    <w:name w:val="Normal (Web)"/>
    <w:basedOn w:val="Navaden"/>
    <w:qFormat/>
    <w:rPr>
      <w:sz w:val="24"/>
    </w:rPr>
  </w:style>
  <w:style w:type="table" w:styleId="Tabelamrea">
    <w:name w:val="Table Grid"/>
    <w:basedOn w:val="Navadnatabel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Pr>
      <w:b/>
    </w:rPr>
  </w:style>
  <w:style w:type="character" w:styleId="Poudarek">
    <w:name w:val="Emphasis"/>
    <w:basedOn w:val="Privzetapisavaodstavka"/>
    <w:qFormat/>
    <w:rPr>
      <w:i/>
    </w:rPr>
  </w:style>
  <w:style w:type="paragraph" w:customStyle="1" w:styleId="Revizija1">
    <w:name w:val="Revizija1"/>
    <w:hidden/>
    <w:uiPriority w:val="99"/>
    <w:unhideWhenUsed/>
    <w:qFormat/>
    <w:rPr>
      <w:rFonts w:ascii="Calibri" w:hAnsi="Calibri"/>
      <w:kern w:val="2"/>
      <w:sz w:val="21"/>
      <w:szCs w:val="24"/>
      <w:lang w:val="en-US" w:eastAsia="zh-CN"/>
    </w:rPr>
  </w:style>
  <w:style w:type="character" w:customStyle="1" w:styleId="BesedilooblakaZnak">
    <w:name w:val="Besedilo oblačka Znak"/>
    <w:basedOn w:val="Privzetapisavaodstavka"/>
    <w:link w:val="Besedilooblaka"/>
    <w:qFormat/>
    <w:rPr>
      <w:rFonts w:ascii="Calibri" w:hAnsi="Calibri"/>
      <w:kern w:val="2"/>
      <w:sz w:val="18"/>
      <w:szCs w:val="18"/>
    </w:rPr>
  </w:style>
  <w:style w:type="paragraph" w:styleId="Revizija">
    <w:name w:val="Revision"/>
    <w:hidden/>
    <w:uiPriority w:val="99"/>
    <w:unhideWhenUsed/>
    <w:rsid w:val="001344B1"/>
    <w:pPr>
      <w:spacing w:after="0" w:line="240" w:lineRule="auto"/>
    </w:pPr>
    <w:rPr>
      <w:rFonts w:ascii="Calibri" w:hAnsi="Calibr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731</Words>
  <Characters>4201</Characters>
  <Application>Microsoft Office Word</Application>
  <DocSecurity>0</DocSecurity>
  <Lines>140</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hzs_lichunqing</dc:creator>
  <cp:lastModifiedBy>Eva Čoderl Baglama</cp:lastModifiedBy>
  <cp:revision>5</cp:revision>
  <cp:lastPrinted>2025-12-18T11:48:00Z</cp:lastPrinted>
  <dcterms:created xsi:type="dcterms:W3CDTF">2025-12-18T09:32:00Z</dcterms:created>
  <dcterms:modified xsi:type="dcterms:W3CDTF">2025-12-18T12:00:00Z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