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5ED881FA" w14:textId="10ED8596" w:rsidR="00D0271B" w:rsidRPr="00D13AF3"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BE1F93">
        <w:rPr>
          <w:rFonts w:ascii="Verdana" w:eastAsia="Calibri" w:hAnsi="Verdana"/>
          <w:b/>
          <w:color w:val="0F243E"/>
          <w:sz w:val="22"/>
          <w:szCs w:val="22"/>
        </w:rPr>
        <w:t>28</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BC69F6" w:rsidRPr="00746E87">
        <w:rPr>
          <w:rFonts w:ascii="Verdana" w:eastAsia="Calibri" w:hAnsi="Verdana"/>
          <w:b/>
          <w:color w:val="0F243E"/>
          <w:sz w:val="22"/>
          <w:szCs w:val="22"/>
        </w:rPr>
        <w:t xml:space="preserve">podsekretar </w:t>
      </w:r>
      <w:r w:rsidR="006C5B9D" w:rsidRPr="00746E87">
        <w:rPr>
          <w:rFonts w:ascii="Verdana" w:eastAsia="Calibri" w:hAnsi="Verdana"/>
          <w:b/>
          <w:color w:val="0F243E"/>
          <w:sz w:val="22"/>
          <w:szCs w:val="22"/>
        </w:rPr>
        <w:t>(m/ž) v S</w:t>
      </w:r>
      <w:r w:rsidR="00BC69F6" w:rsidRPr="00746E87">
        <w:rPr>
          <w:rFonts w:ascii="Verdana" w:eastAsia="Calibri" w:hAnsi="Verdana"/>
          <w:b/>
          <w:color w:val="0F243E"/>
          <w:sz w:val="22"/>
          <w:szCs w:val="22"/>
        </w:rPr>
        <w:t xml:space="preserve">lužbi za </w:t>
      </w:r>
      <w:r w:rsidR="00466A24">
        <w:rPr>
          <w:rFonts w:ascii="Verdana" w:eastAsia="Calibri" w:hAnsi="Verdana"/>
          <w:b/>
          <w:color w:val="0F243E"/>
          <w:sz w:val="22"/>
          <w:szCs w:val="22"/>
        </w:rPr>
        <w:t>evropska sredstva</w:t>
      </w:r>
      <w:r w:rsidR="00D0271B" w:rsidRPr="00746E87">
        <w:rPr>
          <w:rFonts w:ascii="Verdana" w:eastAsia="Calibri" w:hAnsi="Verdana"/>
          <w:b/>
          <w:color w:val="0F243E"/>
          <w:sz w:val="22"/>
          <w:szCs w:val="22"/>
        </w:rPr>
        <w:t xml:space="preserve"> (šifra DM </w:t>
      </w:r>
      <w:r w:rsidR="00D603EE">
        <w:rPr>
          <w:rFonts w:ascii="Verdana" w:eastAsia="Calibri" w:hAnsi="Verdana"/>
          <w:b/>
          <w:color w:val="0F243E"/>
          <w:sz w:val="22"/>
          <w:szCs w:val="22"/>
        </w:rPr>
        <w:t>30</w:t>
      </w:r>
      <w:r w:rsidR="00D5138C">
        <w:rPr>
          <w:rFonts w:ascii="Verdana" w:eastAsia="Calibri" w:hAnsi="Verdana"/>
          <w:b/>
          <w:color w:val="0F243E"/>
          <w:sz w:val="22"/>
          <w:szCs w:val="22"/>
        </w:rPr>
        <w:t>2</w:t>
      </w:r>
      <w:r w:rsidR="00D603EE">
        <w:rPr>
          <w:rFonts w:ascii="Verdana" w:eastAsia="Calibri" w:hAnsi="Verdana"/>
          <w:b/>
          <w:color w:val="0F243E"/>
          <w:sz w:val="22"/>
          <w:szCs w:val="22"/>
        </w:rPr>
        <w:t>1</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Pr>
                <w:rFonts w:ascii="Verdana" w:eastAsia="Calibri" w:hAnsi="Verdana"/>
                <w:sz w:val="22"/>
                <w:szCs w:val="22"/>
              </w:rPr>
              <w:t>7</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B7D2554" w14:textId="77777777" w:rsidR="004D01E4" w:rsidRDefault="004D01E4" w:rsidP="00D0271B">
      <w:pPr>
        <w:spacing w:after="200" w:line="276" w:lineRule="auto"/>
        <w:rPr>
          <w:rFonts w:ascii="Verdana" w:eastAsia="Calibri" w:hAnsi="Verdana"/>
          <w:sz w:val="22"/>
          <w:szCs w:val="22"/>
        </w:rPr>
      </w:pPr>
    </w:p>
    <w:p w14:paraId="7D072330" w14:textId="77777777" w:rsidR="004D01E4" w:rsidRPr="00D0271B" w:rsidRDefault="004D01E4"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2055A61"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2643532D" w14:textId="77777777" w:rsidR="006C5B9D" w:rsidRPr="00D0271B" w:rsidRDefault="006C5B9D"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353E">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0"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353E">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353E">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353E">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D3410D5" w14:textId="22A6AC3F" w:rsid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46C31702" w14:textId="77777777" w:rsidR="00772401" w:rsidRPr="00D0271B" w:rsidRDefault="00772401" w:rsidP="00D0271B">
      <w:pPr>
        <w:spacing w:after="200" w:line="276" w:lineRule="auto"/>
        <w:rPr>
          <w:rFonts w:ascii="Verdana" w:eastAsia="Calibri" w:hAnsi="Verdan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F82B1E" w:rsidRDefault="00F82B1E" w:rsidP="00F82B1E">
            <w:pPr>
              <w:spacing w:after="200" w:line="276" w:lineRule="auto"/>
              <w:rPr>
                <w:rFonts w:ascii="Verdana" w:eastAsia="Calibri" w:hAnsi="Verdana"/>
                <w:sz w:val="18"/>
                <w:szCs w:val="18"/>
              </w:rPr>
            </w:pPr>
            <w:r w:rsidRPr="00F82B1E">
              <w:rPr>
                <w:rFonts w:ascii="Verdana" w:eastAsia="Calibri" w:hAnsi="Verdana"/>
                <w:b/>
                <w:color w:val="C00000"/>
                <w:sz w:val="22"/>
                <w:szCs w:val="22"/>
                <w:u w:val="single"/>
              </w:rPr>
              <w:t>IZPOLNJEVANJE PREDNOSTNIH KRITERIJEV ZA ZAPOSLITEV</w:t>
            </w:r>
          </w:p>
        </w:tc>
      </w:tr>
      <w:tr w:rsidR="00F82B1E" w:rsidRPr="00F82B1E" w14:paraId="79B3AE8A" w14:textId="77777777" w:rsidTr="00AA3104">
        <w:trPr>
          <w:trHeight w:val="1125"/>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7A7858E9" w14:textId="18849275" w:rsidR="006774F4" w:rsidRPr="006774F4" w:rsidRDefault="00AA3104" w:rsidP="006774F4">
            <w:pPr>
              <w:numPr>
                <w:ilvl w:val="0"/>
                <w:numId w:val="7"/>
              </w:numPr>
              <w:spacing w:before="100" w:beforeAutospacing="1" w:after="96" w:line="240" w:lineRule="auto"/>
              <w:rPr>
                <w:rFonts w:ascii="Verdana" w:hAnsi="Verdana"/>
              </w:rPr>
            </w:pPr>
            <w:r w:rsidRPr="00AA3104">
              <w:rPr>
                <w:rFonts w:ascii="Verdana" w:hAnsi="Verdana"/>
              </w:rPr>
              <w:t>Izkušnje pri finančnem upravljanju kohezijskih sredstev in sredstev iz Načrta za okrevanje in odpornost (NOO):</w:t>
            </w:r>
          </w:p>
          <w:p w14:paraId="3D3FEED2" w14:textId="77777777" w:rsidR="00F82B1E" w:rsidRPr="00F82B1E" w:rsidRDefault="00F82B1E" w:rsidP="00F82B1E">
            <w:pPr>
              <w:autoSpaceDE w:val="0"/>
              <w:autoSpaceDN w:val="0"/>
              <w:adjustRightInd w:val="0"/>
              <w:spacing w:line="240" w:lineRule="auto"/>
              <w:jc w:val="both"/>
              <w:rPr>
                <w:b/>
                <w:szCs w:val="20"/>
              </w:rPr>
            </w:pPr>
          </w:p>
          <w:p w14:paraId="58B9B731" w14:textId="77777777" w:rsidR="00F82B1E" w:rsidRPr="00F82B1E" w:rsidRDefault="00F82B1E" w:rsidP="00F82B1E">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2F40422E"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4F37B3C1"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p>
          <w:p w14:paraId="26F7D32C"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0C6D1395" w14:textId="77777777" w:rsidR="00A72626" w:rsidRPr="00A72626" w:rsidRDefault="00A72626" w:rsidP="00A72626">
            <w:pPr>
              <w:autoSpaceDE w:val="0"/>
              <w:autoSpaceDN w:val="0"/>
              <w:adjustRightInd w:val="0"/>
              <w:spacing w:line="240" w:lineRule="auto"/>
              <w:rPr>
                <w:rFonts w:ascii="Verdana" w:hAnsi="Verdana" w:cs="Helv"/>
                <w:sz w:val="18"/>
                <w:szCs w:val="18"/>
                <w:lang w:eastAsia="sl-SI"/>
              </w:rPr>
            </w:pPr>
          </w:p>
          <w:p w14:paraId="570BC5E4" w14:textId="084E4371" w:rsidR="00A72626" w:rsidRPr="00AA3104" w:rsidRDefault="00A72626" w:rsidP="00A72626">
            <w:pPr>
              <w:spacing w:after="200" w:line="276" w:lineRule="auto"/>
              <w:rPr>
                <w:rFonts w:ascii="Verdana" w:hAnsi="Verdana" w:cs="Helv"/>
                <w:sz w:val="18"/>
                <w:szCs w:val="18"/>
                <w:lang w:eastAsia="sl-SI"/>
              </w:rPr>
            </w:pPr>
            <w:r>
              <w:rPr>
                <w:rFonts w:ascii="Verdana" w:hAnsi="Verdana" w:cs="Helv"/>
                <w:sz w:val="18"/>
                <w:szCs w:val="18"/>
                <w:lang w:eastAsia="sl-SI"/>
              </w:rPr>
              <w:lastRenderedPageBreak/>
              <w:t xml:space="preserve">     </w:t>
            </w:r>
            <w:r w:rsidRPr="00A72626">
              <w:rPr>
                <w:rFonts w:ascii="Verdana" w:hAnsi="Verdana" w:cs="Helv"/>
                <w:sz w:val="18"/>
                <w:szCs w:val="18"/>
                <w:lang w:eastAsia="sl-SI"/>
              </w:rPr>
              <w:t>_____________________________________________________________________</w:t>
            </w:r>
          </w:p>
        </w:tc>
      </w:tr>
    </w:tbl>
    <w:p w14:paraId="584097A9" w14:textId="41072395" w:rsidR="00F82B1E" w:rsidRDefault="00F82B1E" w:rsidP="00D0271B">
      <w:pPr>
        <w:spacing w:after="200" w:line="276" w:lineRule="auto"/>
        <w:rPr>
          <w:rFonts w:ascii="Verdana" w:eastAsia="Calibri" w:hAnsi="Verdana"/>
          <w:sz w:val="18"/>
          <w:szCs w:val="18"/>
        </w:rPr>
      </w:pPr>
    </w:p>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D0271B" w:rsidRDefault="00F82B1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D0271B" w:rsidRDefault="00A72626"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57E80EE4" w14:textId="30ED98A7" w:rsidR="00D0271B" w:rsidRDefault="00D0271B" w:rsidP="00D0271B">
      <w:pPr>
        <w:spacing w:after="200" w:line="276" w:lineRule="auto"/>
        <w:rPr>
          <w:rFonts w:ascii="Verdana" w:eastAsia="Calibri" w:hAnsi="Verdana"/>
          <w:sz w:val="22"/>
          <w:szCs w:val="22"/>
        </w:rPr>
      </w:pPr>
    </w:p>
    <w:p w14:paraId="26061D4E" w14:textId="77777777" w:rsidR="00D13AF3" w:rsidRPr="00D0271B" w:rsidRDefault="00D13AF3"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37428">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5BC985EE" w14:textId="77777777" w:rsidR="00746E87" w:rsidRDefault="00746E87" w:rsidP="00D0271B">
      <w:pPr>
        <w:spacing w:after="200" w:line="240" w:lineRule="auto"/>
        <w:jc w:val="both"/>
        <w:rPr>
          <w:rFonts w:ascii="Verdana" w:eastAsia="Calibri" w:hAnsi="Verdana"/>
          <w:b/>
          <w:szCs w:val="20"/>
        </w:rPr>
      </w:pPr>
    </w:p>
    <w:p w14:paraId="4E0A58B4" w14:textId="77777777" w:rsidR="0051448A" w:rsidRPr="00D0271B" w:rsidRDefault="0051448A"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t>IZJAVA</w:t>
      </w:r>
    </w:p>
    <w:p w14:paraId="2D7DDE50" w14:textId="05C9F74A" w:rsidR="00D0271B" w:rsidRPr="00D0271B" w:rsidRDefault="00BE1F93" w:rsidP="00D0271B">
      <w:pPr>
        <w:spacing w:after="200" w:line="240" w:lineRule="auto"/>
        <w:jc w:val="both"/>
        <w:rPr>
          <w:rFonts w:ascii="Verdana" w:eastAsia="Calibri" w:hAnsi="Verdana"/>
          <w:szCs w:val="20"/>
        </w:rPr>
      </w:pPr>
      <w:r w:rsidRPr="00BE1F93">
        <w:rPr>
          <w:rFonts w:ascii="Verdana" w:eastAsia="Calibri" w:hAnsi="Verdana"/>
          <w:szCs w:val="20"/>
          <w:highlight w:val="lightGray"/>
        </w:rPr>
        <w:t>IME IN PRIIMEK</w:t>
      </w:r>
      <w:r>
        <w:rPr>
          <w:rFonts w:ascii="Verdana" w:eastAsia="Calibri" w:hAnsi="Verdana"/>
          <w:szCs w:val="20"/>
        </w:rPr>
        <w:t xml:space="preserve"> s </w:t>
      </w:r>
      <w:r w:rsidR="00D0271B" w:rsidRPr="00D0271B">
        <w:rPr>
          <w:rFonts w:ascii="Verdana" w:eastAsia="Calibri" w:hAnsi="Verdana"/>
          <w:szCs w:val="20"/>
        </w:rPr>
        <w:t>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6C91961B"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BE1F93">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232E0D59" w14:textId="3C1ACD57"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1FF49521" w14:textId="77777777" w:rsidR="00D0271B" w:rsidRDefault="00D0271B" w:rsidP="00D0271B">
      <w:pPr>
        <w:tabs>
          <w:tab w:val="left" w:pos="8931"/>
        </w:tabs>
        <w:spacing w:after="200" w:line="360" w:lineRule="auto"/>
        <w:jc w:val="both"/>
        <w:rPr>
          <w:rFonts w:cs="Arial"/>
          <w:color w:val="000000"/>
          <w:szCs w:val="20"/>
          <w:lang w:eastAsia="ar-SA"/>
        </w:rPr>
      </w:pPr>
    </w:p>
    <w:p w14:paraId="450460B6" w14:textId="77777777" w:rsidR="00CB084D" w:rsidRDefault="00CB084D" w:rsidP="00D0271B">
      <w:pPr>
        <w:tabs>
          <w:tab w:val="left" w:pos="8931"/>
        </w:tabs>
        <w:spacing w:after="200" w:line="360" w:lineRule="auto"/>
        <w:jc w:val="both"/>
        <w:rPr>
          <w:rFonts w:cs="Arial"/>
          <w:color w:val="000000"/>
          <w:szCs w:val="20"/>
          <w:lang w:eastAsia="ar-SA"/>
        </w:rPr>
      </w:pPr>
    </w:p>
    <w:p w14:paraId="53FF01AE" w14:textId="77777777" w:rsidR="00CB084D" w:rsidRDefault="00CB084D" w:rsidP="00D0271B">
      <w:pPr>
        <w:tabs>
          <w:tab w:val="left" w:pos="8931"/>
        </w:tabs>
        <w:spacing w:after="200" w:line="360" w:lineRule="auto"/>
        <w:jc w:val="both"/>
        <w:rPr>
          <w:rFonts w:cs="Arial"/>
          <w:color w:val="000000"/>
          <w:szCs w:val="20"/>
          <w:lang w:eastAsia="ar-SA"/>
        </w:rPr>
      </w:pPr>
    </w:p>
    <w:p w14:paraId="78F048B3" w14:textId="77777777" w:rsidR="00CB084D" w:rsidRDefault="00CB084D" w:rsidP="00D0271B">
      <w:pPr>
        <w:tabs>
          <w:tab w:val="left" w:pos="8931"/>
        </w:tabs>
        <w:spacing w:after="200" w:line="360" w:lineRule="auto"/>
        <w:jc w:val="both"/>
        <w:rPr>
          <w:rFonts w:cs="Arial"/>
          <w:color w:val="000000"/>
          <w:szCs w:val="20"/>
          <w:lang w:eastAsia="ar-SA"/>
        </w:rPr>
      </w:pPr>
    </w:p>
    <w:p w14:paraId="3521E8B9" w14:textId="77777777" w:rsidR="00CB084D" w:rsidRDefault="00CB084D" w:rsidP="00D0271B">
      <w:pPr>
        <w:tabs>
          <w:tab w:val="left" w:pos="8931"/>
        </w:tabs>
        <w:spacing w:after="200" w:line="360" w:lineRule="auto"/>
        <w:jc w:val="both"/>
        <w:rPr>
          <w:rFonts w:cs="Arial"/>
          <w:color w:val="000000"/>
          <w:szCs w:val="20"/>
          <w:lang w:eastAsia="ar-SA"/>
        </w:rPr>
      </w:pPr>
    </w:p>
    <w:p w14:paraId="70E9D80C" w14:textId="77777777" w:rsidR="00CB084D" w:rsidRDefault="00CB084D" w:rsidP="00D0271B">
      <w:pPr>
        <w:tabs>
          <w:tab w:val="left" w:pos="8931"/>
        </w:tabs>
        <w:spacing w:after="200" w:line="360" w:lineRule="auto"/>
        <w:jc w:val="both"/>
        <w:rPr>
          <w:rFonts w:cs="Arial"/>
          <w:color w:val="000000"/>
          <w:szCs w:val="20"/>
          <w:lang w:eastAsia="ar-SA"/>
        </w:rPr>
      </w:pPr>
    </w:p>
    <w:p w14:paraId="56123234" w14:textId="77777777" w:rsidR="00CB084D" w:rsidRDefault="00CB084D" w:rsidP="00D0271B">
      <w:pPr>
        <w:tabs>
          <w:tab w:val="left" w:pos="8931"/>
        </w:tabs>
        <w:spacing w:after="200" w:line="360" w:lineRule="auto"/>
        <w:jc w:val="both"/>
        <w:rPr>
          <w:rFonts w:cs="Arial"/>
          <w:color w:val="000000"/>
          <w:szCs w:val="20"/>
          <w:lang w:eastAsia="ar-SA"/>
        </w:rPr>
      </w:pPr>
    </w:p>
    <w:p w14:paraId="742187CE" w14:textId="77777777" w:rsidR="00273341" w:rsidRDefault="00273341" w:rsidP="00D0271B">
      <w:pPr>
        <w:tabs>
          <w:tab w:val="left" w:pos="8931"/>
        </w:tabs>
        <w:spacing w:after="200" w:line="360" w:lineRule="auto"/>
        <w:jc w:val="both"/>
        <w:rPr>
          <w:rFonts w:cs="Arial"/>
          <w:color w:val="000000"/>
          <w:szCs w:val="20"/>
          <w:lang w:eastAsia="ar-SA"/>
        </w:rPr>
      </w:pPr>
    </w:p>
    <w:p w14:paraId="4563D535" w14:textId="77777777" w:rsidR="00273341" w:rsidRDefault="00273341" w:rsidP="00D0271B">
      <w:pPr>
        <w:tabs>
          <w:tab w:val="left" w:pos="8931"/>
        </w:tabs>
        <w:spacing w:after="200" w:line="360" w:lineRule="auto"/>
        <w:jc w:val="both"/>
        <w:rPr>
          <w:rFonts w:cs="Arial"/>
          <w:color w:val="000000"/>
          <w:szCs w:val="20"/>
          <w:lang w:eastAsia="ar-SA"/>
        </w:rPr>
      </w:pPr>
    </w:p>
    <w:p w14:paraId="21F73756" w14:textId="77777777" w:rsidR="00273341" w:rsidRPr="00D0271B" w:rsidRDefault="00273341"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lastRenderedPageBreak/>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 ZDeb</w:t>
      </w:r>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0F41B"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33633">
    <w:abstractNumId w:val="3"/>
  </w:num>
  <w:num w:numId="2" w16cid:durableId="965433147">
    <w:abstractNumId w:val="1"/>
  </w:num>
  <w:num w:numId="3" w16cid:durableId="1415322376">
    <w:abstractNumId w:val="6"/>
  </w:num>
  <w:num w:numId="4" w16cid:durableId="1728410118">
    <w:abstractNumId w:val="2"/>
  </w:num>
  <w:num w:numId="5" w16cid:durableId="803889804">
    <w:abstractNumId w:val="4"/>
  </w:num>
  <w:num w:numId="6" w16cid:durableId="2080472151">
    <w:abstractNumId w:val="0"/>
  </w:num>
  <w:num w:numId="7" w16cid:durableId="2136560177">
    <w:abstractNumId w:val="5"/>
  </w:num>
  <w:num w:numId="8" w16cid:durableId="1076171672">
    <w:abstractNumId w:val="9"/>
  </w:num>
  <w:num w:numId="9" w16cid:durableId="1277984241">
    <w:abstractNumId w:val="7"/>
  </w:num>
  <w:num w:numId="10" w16cid:durableId="660932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A1A1E"/>
    <w:rsid w:val="0010183C"/>
    <w:rsid w:val="00121ADE"/>
    <w:rsid w:val="0012698B"/>
    <w:rsid w:val="00183057"/>
    <w:rsid w:val="00207B97"/>
    <w:rsid w:val="00225C1B"/>
    <w:rsid w:val="002322EB"/>
    <w:rsid w:val="00273341"/>
    <w:rsid w:val="002D14F3"/>
    <w:rsid w:val="002D38DE"/>
    <w:rsid w:val="00305686"/>
    <w:rsid w:val="00354FC3"/>
    <w:rsid w:val="003702FA"/>
    <w:rsid w:val="00381ED9"/>
    <w:rsid w:val="0040767D"/>
    <w:rsid w:val="00424FE3"/>
    <w:rsid w:val="00466A24"/>
    <w:rsid w:val="00486C19"/>
    <w:rsid w:val="004941CD"/>
    <w:rsid w:val="004D01E4"/>
    <w:rsid w:val="004F47BA"/>
    <w:rsid w:val="0051448A"/>
    <w:rsid w:val="0055778D"/>
    <w:rsid w:val="0062602B"/>
    <w:rsid w:val="00630D26"/>
    <w:rsid w:val="006774F4"/>
    <w:rsid w:val="00691F77"/>
    <w:rsid w:val="006A05C1"/>
    <w:rsid w:val="006C5B9D"/>
    <w:rsid w:val="006F3ABE"/>
    <w:rsid w:val="007112A6"/>
    <w:rsid w:val="007113E6"/>
    <w:rsid w:val="00722E8D"/>
    <w:rsid w:val="00732A48"/>
    <w:rsid w:val="00746409"/>
    <w:rsid w:val="00746E87"/>
    <w:rsid w:val="00772401"/>
    <w:rsid w:val="0079510C"/>
    <w:rsid w:val="007A64F5"/>
    <w:rsid w:val="0086287C"/>
    <w:rsid w:val="00863AA6"/>
    <w:rsid w:val="00872C3C"/>
    <w:rsid w:val="008A07AE"/>
    <w:rsid w:val="008A4089"/>
    <w:rsid w:val="00997CB0"/>
    <w:rsid w:val="00A352A4"/>
    <w:rsid w:val="00A54AC8"/>
    <w:rsid w:val="00A72626"/>
    <w:rsid w:val="00AA3104"/>
    <w:rsid w:val="00AB660A"/>
    <w:rsid w:val="00B12F1A"/>
    <w:rsid w:val="00B33CA5"/>
    <w:rsid w:val="00B65996"/>
    <w:rsid w:val="00BC4237"/>
    <w:rsid w:val="00BC69F6"/>
    <w:rsid w:val="00BE1F93"/>
    <w:rsid w:val="00C3025A"/>
    <w:rsid w:val="00C37D31"/>
    <w:rsid w:val="00C40B81"/>
    <w:rsid w:val="00C5034D"/>
    <w:rsid w:val="00CB084D"/>
    <w:rsid w:val="00CD1890"/>
    <w:rsid w:val="00CE3554"/>
    <w:rsid w:val="00CF4672"/>
    <w:rsid w:val="00D0271B"/>
    <w:rsid w:val="00D13AF3"/>
    <w:rsid w:val="00D26B05"/>
    <w:rsid w:val="00D5138C"/>
    <w:rsid w:val="00D52E7D"/>
    <w:rsid w:val="00D603EE"/>
    <w:rsid w:val="00DE42B8"/>
    <w:rsid w:val="00E54229"/>
    <w:rsid w:val="00ED0453"/>
    <w:rsid w:val="00ED364B"/>
    <w:rsid w:val="00EE18B7"/>
    <w:rsid w:val="00F07FA8"/>
    <w:rsid w:val="00F13FDD"/>
    <w:rsid w:val="00F17F85"/>
    <w:rsid w:val="00F80AE1"/>
    <w:rsid w:val="00F82B1E"/>
    <w:rsid w:val="00F83AF6"/>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A928E0"/>
  <w15:docId w15:val="{1E46595F-D8C5-4A0E-96ED-568DFE05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1366</Words>
  <Characters>7787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Anela Mali</cp:lastModifiedBy>
  <cp:revision>6</cp:revision>
  <cp:lastPrinted>2024-02-12T11:53:00Z</cp:lastPrinted>
  <dcterms:created xsi:type="dcterms:W3CDTF">2025-03-14T13:16:00Z</dcterms:created>
  <dcterms:modified xsi:type="dcterms:W3CDTF">2025-08-29T06:15:00Z</dcterms:modified>
</cp:coreProperties>
</file>