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C294" w14:textId="4E745125" w:rsidR="005A0AED" w:rsidRPr="002740AE" w:rsidRDefault="005A0AED" w:rsidP="005A0AED">
      <w:pPr>
        <w:rPr>
          <w:rFonts w:ascii="Arial" w:hAnsi="Arial" w:cs="Arial"/>
          <w:b/>
          <w:bCs/>
          <w:i/>
          <w:sz w:val="20"/>
          <w:szCs w:val="20"/>
        </w:rPr>
      </w:pPr>
      <w:r w:rsidRPr="002740AE">
        <w:rPr>
          <w:rFonts w:ascii="Arial" w:hAnsi="Arial" w:cs="Arial"/>
          <w:b/>
          <w:bCs/>
          <w:i/>
          <w:sz w:val="20"/>
          <w:szCs w:val="20"/>
        </w:rPr>
        <w:t xml:space="preserve">Priloga </w:t>
      </w:r>
      <w:r w:rsidR="00B7441B" w:rsidRPr="002740AE">
        <w:rPr>
          <w:rFonts w:ascii="Arial" w:hAnsi="Arial" w:cs="Arial"/>
          <w:b/>
          <w:bCs/>
          <w:i/>
          <w:sz w:val="20"/>
          <w:szCs w:val="20"/>
        </w:rPr>
        <w:t>9</w:t>
      </w:r>
    </w:p>
    <w:p w14:paraId="7D93FDB5" w14:textId="74B93E19" w:rsidR="00D52DD5" w:rsidRDefault="00331DC9" w:rsidP="00331DC9">
      <w:pPr>
        <w:pStyle w:val="Naslov1"/>
        <w:jc w:val="center"/>
      </w:pPr>
      <w:r>
        <w:t xml:space="preserve">SEZNAM KAZALNIKOV IN </w:t>
      </w:r>
      <w:r w:rsidR="00DF2184">
        <w:t xml:space="preserve">METODOLOGIJA ZA </w:t>
      </w:r>
      <w:r>
        <w:t>NJIHOVO SPREMLJANJE</w:t>
      </w:r>
    </w:p>
    <w:p w14:paraId="019029A4" w14:textId="77777777" w:rsidR="00331DC9" w:rsidRPr="00331DC9" w:rsidRDefault="00331DC9" w:rsidP="00331DC9"/>
    <w:p w14:paraId="5EC3C12F" w14:textId="4F3573E8" w:rsidR="00D52DD5" w:rsidRPr="00D52DD5" w:rsidRDefault="00D52DD5" w:rsidP="00D52DD5">
      <w:pPr>
        <w:pStyle w:val="Odstavekseznama"/>
        <w:numPr>
          <w:ilvl w:val="0"/>
          <w:numId w:val="6"/>
        </w:numPr>
        <w:spacing w:line="240" w:lineRule="auto"/>
        <w:rPr>
          <w:b/>
        </w:rPr>
      </w:pPr>
      <w:r w:rsidRPr="00D52DD5">
        <w:rPr>
          <w:b/>
        </w:rPr>
        <w:t xml:space="preserve">Kazalniki operativnega programa </w:t>
      </w:r>
    </w:p>
    <w:p w14:paraId="16D71B18" w14:textId="77777777" w:rsidR="00D52DD5" w:rsidRPr="003D400D" w:rsidRDefault="00D52DD5" w:rsidP="00D52DD5">
      <w:pPr>
        <w:spacing w:line="240" w:lineRule="auto"/>
        <w:rPr>
          <w:b/>
        </w:rPr>
      </w:pPr>
      <w:r w:rsidRPr="003D400D">
        <w:rPr>
          <w:b/>
        </w:rPr>
        <w:t>1.1. Kazalniki  učinka operativnega programa</w:t>
      </w:r>
    </w:p>
    <w:tbl>
      <w:tblPr>
        <w:tblW w:w="1417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268"/>
        <w:gridCol w:w="1701"/>
        <w:gridCol w:w="2977"/>
        <w:gridCol w:w="850"/>
        <w:gridCol w:w="1559"/>
        <w:gridCol w:w="1134"/>
      </w:tblGrid>
      <w:tr w:rsidR="00D52DD5" w:rsidRPr="003D400D" w14:paraId="451692C6" w14:textId="77777777" w:rsidTr="00446230">
        <w:tc>
          <w:tcPr>
            <w:tcW w:w="11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537143A" w14:textId="77777777" w:rsidR="00D52DD5" w:rsidRPr="003D400D" w:rsidRDefault="00D52DD5" w:rsidP="00446230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ID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D0FCADD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Ime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1E6594D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Definicija kazalnika</w:t>
            </w:r>
          </w:p>
        </w:tc>
        <w:tc>
          <w:tcPr>
            <w:tcW w:w="226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CFCB0B9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 xml:space="preserve">Metodologija za spremljanje kazalnika </w:t>
            </w:r>
          </w:p>
          <w:p w14:paraId="25146334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A2E8BFF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Dokazila za spremljanje kazalnika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6BD81C5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F2804A9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Merska enota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D4793AC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Regija izvajanja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DF903E1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Načrtovana vrednost</w:t>
            </w:r>
          </w:p>
        </w:tc>
      </w:tr>
      <w:tr w:rsidR="00D52DD5" w:rsidRPr="003D400D" w14:paraId="0D8A4EDC" w14:textId="77777777" w:rsidTr="00446230">
        <w:trPr>
          <w:trHeight w:val="2627"/>
        </w:trPr>
        <w:tc>
          <w:tcPr>
            <w:tcW w:w="1129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E098D13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47045C">
              <w:rPr>
                <w:bCs/>
                <w:color w:val="808080" w:themeColor="background1" w:themeShade="80"/>
                <w:sz w:val="18"/>
                <w:szCs w:val="18"/>
              </w:rPr>
              <w:t xml:space="preserve">CV4c 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F75CEE5" w14:textId="77777777" w:rsidR="00D52DD5" w:rsidRPr="0047045C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47045C">
              <w:rPr>
                <w:bCs/>
                <w:color w:val="808080" w:themeColor="background1" w:themeShade="80"/>
                <w:sz w:val="18"/>
                <w:szCs w:val="18"/>
              </w:rPr>
              <w:t>Vrednost informacijske tehnologije, povezane s COVID-19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, za izobraževanje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58EFB7D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Skupna vrednost nakupa informacijske tehnologije.</w:t>
            </w:r>
            <w:r w:rsidRPr="0047045C">
              <w:rPr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5952AB26" w14:textId="3AB2C5A1" w:rsidR="00D52DD5" w:rsidRPr="00106D9E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Vrednost </w:t>
            </w:r>
            <w:r w:rsidRPr="00106D9E">
              <w:rPr>
                <w:bCs/>
                <w:color w:val="808080" w:themeColor="background1" w:themeShade="80"/>
                <w:sz w:val="18"/>
                <w:szCs w:val="18"/>
              </w:rPr>
              <w:t xml:space="preserve">nakupa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IT oprem</w:t>
            </w:r>
            <w:r w:rsidR="00950D8F">
              <w:rPr>
                <w:bCs/>
                <w:color w:val="808080" w:themeColor="background1" w:themeShade="80"/>
                <w:sz w:val="18"/>
                <w:szCs w:val="18"/>
              </w:rPr>
              <w:t>e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, ki je opredeljena v priporočilih, ki jih je pripravilo ministrstvo. To je npr. naslednja oprema:</w:t>
            </w:r>
          </w:p>
          <w:p w14:paraId="537CA83F" w14:textId="77777777" w:rsidR="00D52DD5" w:rsidRPr="0014253A" w:rsidRDefault="00D52DD5" w:rsidP="00D52DD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14253A">
              <w:rPr>
                <w:bCs/>
                <w:color w:val="808080" w:themeColor="background1" w:themeShade="80"/>
                <w:sz w:val="18"/>
                <w:szCs w:val="18"/>
              </w:rPr>
              <w:t>namizni računalniki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,</w:t>
            </w:r>
          </w:p>
          <w:p w14:paraId="704F51C0" w14:textId="77777777" w:rsidR="00D52DD5" w:rsidRPr="0014253A" w:rsidRDefault="00D52DD5" w:rsidP="00D52DD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14253A">
              <w:rPr>
                <w:bCs/>
                <w:color w:val="808080" w:themeColor="background1" w:themeShade="80"/>
                <w:sz w:val="18"/>
                <w:szCs w:val="18"/>
              </w:rPr>
              <w:t>prenosni računalniki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,</w:t>
            </w:r>
          </w:p>
          <w:p w14:paraId="2E001CED" w14:textId="77777777" w:rsidR="00D52DD5" w:rsidRPr="0014253A" w:rsidRDefault="00D52DD5" w:rsidP="00D52DD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14253A">
              <w:rPr>
                <w:bCs/>
                <w:color w:val="808080" w:themeColor="background1" w:themeShade="80"/>
                <w:sz w:val="18"/>
                <w:szCs w:val="18"/>
              </w:rPr>
              <w:t>tablični računalniki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,</w:t>
            </w:r>
          </w:p>
          <w:p w14:paraId="55627269" w14:textId="77777777" w:rsidR="00D52DD5" w:rsidRPr="0014253A" w:rsidRDefault="00D52DD5" w:rsidP="00D52DD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14253A">
              <w:rPr>
                <w:bCs/>
                <w:color w:val="808080" w:themeColor="background1" w:themeShade="80"/>
                <w:sz w:val="18"/>
                <w:szCs w:val="18"/>
              </w:rPr>
              <w:t>zasloni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,</w:t>
            </w:r>
          </w:p>
          <w:p w14:paraId="3CCBF678" w14:textId="77777777" w:rsidR="00D52DD5" w:rsidRPr="0014253A" w:rsidRDefault="00D52DD5" w:rsidP="00D52DD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14253A">
              <w:rPr>
                <w:bCs/>
                <w:color w:val="808080" w:themeColor="background1" w:themeShade="80"/>
                <w:sz w:val="18"/>
                <w:szCs w:val="18"/>
              </w:rPr>
              <w:t>projektorji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,</w:t>
            </w:r>
          </w:p>
          <w:p w14:paraId="77BB28A4" w14:textId="77777777" w:rsidR="00D52DD5" w:rsidRPr="004B2441" w:rsidRDefault="00D52DD5" w:rsidP="00D52DD5">
            <w:pPr>
              <w:pStyle w:val="Odstavekseznam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75" w:hanging="175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4B2441">
              <w:rPr>
                <w:bCs/>
                <w:color w:val="808080" w:themeColor="background1" w:themeShade="80"/>
                <w:sz w:val="18"/>
                <w:szCs w:val="18"/>
              </w:rPr>
              <w:t>interaktivni zasloni,</w:t>
            </w:r>
          </w:p>
          <w:p w14:paraId="62130D9E" w14:textId="77777777" w:rsidR="00D52DD5" w:rsidRPr="0014253A" w:rsidRDefault="00D52DD5" w:rsidP="00D52DD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14253A">
              <w:rPr>
                <w:bCs/>
                <w:color w:val="808080" w:themeColor="background1" w:themeShade="80"/>
                <w:sz w:val="18"/>
                <w:szCs w:val="18"/>
              </w:rPr>
              <w:t xml:space="preserve">mobilni modemi s podatkovnimi paketi, slušalke,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spletne </w:t>
            </w:r>
            <w:r w:rsidRPr="0014253A">
              <w:rPr>
                <w:bCs/>
                <w:color w:val="808080" w:themeColor="background1" w:themeShade="80"/>
                <w:sz w:val="18"/>
                <w:szCs w:val="18"/>
              </w:rPr>
              <w:t>kamere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,</w:t>
            </w:r>
          </w:p>
          <w:p w14:paraId="0FFE51EC" w14:textId="77777777" w:rsidR="00D52DD5" w:rsidRPr="00095436" w:rsidRDefault="00D52DD5" w:rsidP="00D52DD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14253A">
              <w:rPr>
                <w:bCs/>
                <w:color w:val="808080" w:themeColor="background1" w:themeShade="80"/>
                <w:sz w:val="18"/>
                <w:szCs w:val="18"/>
              </w:rPr>
              <w:t>videokonferenčni sistem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itd.</w:t>
            </w: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2A999750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Skupna vrednost sklenjenih pogodb o dobavi opreme v EUR: pogodbe, dobavnice, prevzemni zapisniki.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14EA3F7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 xml:space="preserve">O vmesnih doseženih vrednostih se poroča ob vsakem ZZI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in na koncu operacije. </w:t>
            </w:r>
          </w:p>
          <w:p w14:paraId="20F514A6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7525D694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>Datu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m ciljne vrednosti  je </w:t>
            </w: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 xml:space="preserve">datum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ob koncu izvajanja operacije.</w:t>
            </w: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7A5E766" w14:textId="77777777" w:rsidR="00D52DD5" w:rsidRPr="003D400D" w:rsidRDefault="00D52DD5" w:rsidP="00446230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EUR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2AB02CE" w14:textId="77777777" w:rsidR="00D52DD5" w:rsidRPr="0014253A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Celotna Slovenija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5976F01" w14:textId="77777777" w:rsidR="00D52DD5" w:rsidRPr="0065032A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  <w:highlight w:val="yellow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1.400.000</w:t>
            </w:r>
          </w:p>
        </w:tc>
      </w:tr>
    </w:tbl>
    <w:p w14:paraId="0E000B11" w14:textId="77777777" w:rsidR="00D52DD5" w:rsidRDefault="00D52DD5" w:rsidP="00D52DD5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32B5470B" w14:textId="77777777" w:rsidR="00D52DD5" w:rsidRDefault="00D52DD5" w:rsidP="00D52DD5">
      <w:pPr>
        <w:spacing w:line="240" w:lineRule="auto"/>
        <w:rPr>
          <w:b/>
          <w:sz w:val="18"/>
          <w:szCs w:val="18"/>
        </w:rPr>
      </w:pPr>
    </w:p>
    <w:tbl>
      <w:tblPr>
        <w:tblW w:w="1417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268"/>
        <w:gridCol w:w="1701"/>
        <w:gridCol w:w="2977"/>
        <w:gridCol w:w="850"/>
        <w:gridCol w:w="1418"/>
        <w:gridCol w:w="1275"/>
      </w:tblGrid>
      <w:tr w:rsidR="00D52DD5" w:rsidRPr="003D400D" w14:paraId="3F6F3ED8" w14:textId="77777777" w:rsidTr="00446230">
        <w:tc>
          <w:tcPr>
            <w:tcW w:w="11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F734FDA" w14:textId="77777777" w:rsidR="00D52DD5" w:rsidRPr="003D400D" w:rsidRDefault="00D52DD5" w:rsidP="00446230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ID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5CB5CC0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Ime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5B203A5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Definicija kazalnika</w:t>
            </w:r>
          </w:p>
        </w:tc>
        <w:tc>
          <w:tcPr>
            <w:tcW w:w="226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942BF3D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 xml:space="preserve">Metodologija za spremljanje kazalnika </w:t>
            </w:r>
          </w:p>
          <w:p w14:paraId="00AF4907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F91380E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Dokazila za spremljanje kazalnika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12058DC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0FDEB2E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Merska enota</w:t>
            </w: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83415D6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Regija izvajanja</w:t>
            </w: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1366938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Načrtovana vrednost</w:t>
            </w:r>
          </w:p>
        </w:tc>
      </w:tr>
      <w:tr w:rsidR="00D52DD5" w:rsidRPr="003D400D" w14:paraId="6FCA0982" w14:textId="77777777" w:rsidTr="00446230">
        <w:trPr>
          <w:trHeight w:val="4712"/>
        </w:trPr>
        <w:tc>
          <w:tcPr>
            <w:tcW w:w="1129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29CAB279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1139EC">
              <w:rPr>
                <w:bCs/>
                <w:color w:val="808080" w:themeColor="background1" w:themeShade="80"/>
                <w:sz w:val="18"/>
                <w:szCs w:val="18"/>
              </w:rPr>
              <w:t>15.1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02D82CE" w14:textId="77777777" w:rsidR="00D52DD5" w:rsidRPr="0047045C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Število na novo opremljenih sodobnih učilnic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CFFF12D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EC1BFD">
              <w:rPr>
                <w:bCs/>
                <w:color w:val="808080" w:themeColor="background1" w:themeShade="80"/>
                <w:sz w:val="18"/>
                <w:szCs w:val="18"/>
              </w:rPr>
              <w:t xml:space="preserve">Kazalnik spremlja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število na novo opremljenih sodobnih učilnic na pedagoških študijskih programih.</w:t>
            </w:r>
          </w:p>
          <w:p w14:paraId="11D42B1C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138689E5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K</w:t>
            </w:r>
            <w:r w:rsidRPr="00095436">
              <w:rPr>
                <w:bCs/>
                <w:color w:val="808080" w:themeColor="background1" w:themeShade="80"/>
                <w:sz w:val="18"/>
                <w:szCs w:val="18"/>
              </w:rPr>
              <w:t>azalnik zajema stanje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na novo opremljenih  sodobnih učilnic</w:t>
            </w:r>
            <w:r w:rsidRPr="00095436">
              <w:rPr>
                <w:bCs/>
                <w:color w:val="808080" w:themeColor="background1" w:themeShade="80"/>
                <w:sz w:val="18"/>
                <w:szCs w:val="18"/>
              </w:rPr>
              <w:t>, ki neposredno izhaja iz financ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iranih projektov v okviru ESRR. </w:t>
            </w:r>
            <w:r w:rsidRPr="008C2616">
              <w:rPr>
                <w:bCs/>
                <w:color w:val="808080" w:themeColor="background1" w:themeShade="80"/>
                <w:sz w:val="18"/>
                <w:szCs w:val="18"/>
              </w:rPr>
              <w:t>Sodobna učilnica mora vsebovati najmanj naslednjo opremo:  interaktivno tablo oz. interaktivni zaslon, prenosne in/</w:t>
            </w:r>
            <w:r w:rsidRPr="00011975">
              <w:rPr>
                <w:bCs/>
                <w:color w:val="808080" w:themeColor="background1" w:themeShade="80"/>
                <w:sz w:val="18"/>
                <w:szCs w:val="18"/>
              </w:rPr>
              <w:t>ali stacionarn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e</w:t>
            </w:r>
            <w:r w:rsidRPr="00011975">
              <w:rPr>
                <w:bCs/>
                <w:color w:val="808080" w:themeColor="background1" w:themeShade="80"/>
                <w:sz w:val="18"/>
                <w:szCs w:val="18"/>
              </w:rPr>
              <w:t xml:space="preserve"> računalnik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e, </w:t>
            </w:r>
            <w:r w:rsidRPr="00011975">
              <w:rPr>
                <w:bCs/>
                <w:color w:val="808080" w:themeColor="background1" w:themeShade="80"/>
                <w:sz w:val="18"/>
                <w:szCs w:val="18"/>
              </w:rPr>
              <w:t xml:space="preserve"> video opremo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, tablične računalnike in </w:t>
            </w:r>
            <w:proofErr w:type="spellStart"/>
            <w:r>
              <w:rPr>
                <w:bCs/>
                <w:color w:val="808080" w:themeColor="background1" w:themeShade="80"/>
                <w:sz w:val="18"/>
                <w:szCs w:val="18"/>
              </w:rPr>
              <w:t>multifunkcijski</w:t>
            </w:r>
            <w:proofErr w:type="spellEnd"/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tiskalnik.</w:t>
            </w:r>
          </w:p>
          <w:p w14:paraId="2B64DCED" w14:textId="77777777" w:rsidR="00D52DD5" w:rsidRPr="00095436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577C358E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Pogodbe, dobavnice, prevzemni zapisniki za posamezno učilnico.</w:t>
            </w:r>
          </w:p>
          <w:p w14:paraId="531F7109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7840480C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5518F622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39A76745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663191A3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16AD16AC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094B9303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3539B5A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 xml:space="preserve">O vmesnih doseženih vrednostih se poroča ob vsakem ZZI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in na koncu operacije. </w:t>
            </w:r>
          </w:p>
          <w:p w14:paraId="297BAD8E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08BDDC9B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>Datu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m ciljne vrednosti  je </w:t>
            </w: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 xml:space="preserve">datum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ob koncu izvajanja operacije.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6C4ECBD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Število</w:t>
            </w: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BBB04F8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Celotna Slovenija</w:t>
            </w:r>
          </w:p>
          <w:p w14:paraId="50BA971A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2143A7C6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B881CEA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36 </w:t>
            </w:r>
          </w:p>
        </w:tc>
      </w:tr>
    </w:tbl>
    <w:p w14:paraId="34DBAB86" w14:textId="77777777" w:rsidR="00D52DD5" w:rsidRDefault="00D52DD5" w:rsidP="00D52DD5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B95654E" w14:textId="77777777" w:rsidR="00D52DD5" w:rsidRDefault="00D52DD5" w:rsidP="00D52DD5">
      <w:pPr>
        <w:spacing w:line="240" w:lineRule="auto"/>
        <w:rPr>
          <w:b/>
          <w:sz w:val="18"/>
          <w:szCs w:val="18"/>
        </w:rPr>
        <w:sectPr w:rsidR="00D52DD5" w:rsidSect="00D52DD5">
          <w:footerReference w:type="default" r:id="rId8"/>
          <w:headerReference w:type="first" r:id="rId9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A5011B6" w14:textId="575323E8" w:rsidR="00D52DD5" w:rsidRDefault="00D52DD5" w:rsidP="00D52DD5">
      <w:pPr>
        <w:spacing w:line="240" w:lineRule="auto"/>
        <w:rPr>
          <w:b/>
          <w:sz w:val="18"/>
          <w:szCs w:val="18"/>
        </w:rPr>
      </w:pPr>
    </w:p>
    <w:p w14:paraId="1CC471C0" w14:textId="77777777" w:rsidR="00D52DD5" w:rsidRPr="00F923FC" w:rsidRDefault="00D52DD5" w:rsidP="00D52DD5">
      <w:pPr>
        <w:spacing w:line="240" w:lineRule="auto"/>
        <w:rPr>
          <w:b/>
        </w:rPr>
      </w:pPr>
      <w:r w:rsidRPr="00F923FC">
        <w:rPr>
          <w:b/>
        </w:rPr>
        <w:t>1.2 Kazalniki rezultata operativnega programa</w:t>
      </w:r>
    </w:p>
    <w:tbl>
      <w:tblPr>
        <w:tblW w:w="1417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3260"/>
        <w:gridCol w:w="1559"/>
        <w:gridCol w:w="2127"/>
        <w:gridCol w:w="850"/>
        <w:gridCol w:w="1418"/>
        <w:gridCol w:w="1275"/>
      </w:tblGrid>
      <w:tr w:rsidR="00D52DD5" w:rsidRPr="003D400D" w14:paraId="12F3A628" w14:textId="77777777" w:rsidTr="693DB385">
        <w:tc>
          <w:tcPr>
            <w:tcW w:w="11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74C852D" w14:textId="77777777" w:rsidR="00D52DD5" w:rsidRPr="003D400D" w:rsidRDefault="00D52DD5" w:rsidP="00446230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ID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D9DF28E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Ime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F6EF7F1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Definicija kazalnika</w:t>
            </w:r>
          </w:p>
        </w:tc>
        <w:tc>
          <w:tcPr>
            <w:tcW w:w="326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F2AC7E5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7437309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Dokazila za spremljanje kazalnika</w:t>
            </w:r>
          </w:p>
        </w:tc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1A0E7C0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4E79587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Merska enota</w:t>
            </w: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36041A5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Regija izvajanja</w:t>
            </w: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EC33C78" w14:textId="77777777" w:rsidR="00D52DD5" w:rsidRPr="003D400D" w:rsidRDefault="00D52DD5" w:rsidP="00446230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D400D">
              <w:rPr>
                <w:b/>
                <w:bCs/>
                <w:color w:val="FFFFFF"/>
                <w:sz w:val="18"/>
                <w:szCs w:val="18"/>
              </w:rPr>
              <w:t>Načrtovana vrednost</w:t>
            </w:r>
          </w:p>
        </w:tc>
      </w:tr>
      <w:tr w:rsidR="00D52DD5" w:rsidRPr="003D400D" w14:paraId="65A62B93" w14:textId="77777777" w:rsidTr="693DB385">
        <w:trPr>
          <w:trHeight w:val="4392"/>
        </w:trPr>
        <w:tc>
          <w:tcPr>
            <w:tcW w:w="1129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283A08DA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0B6C86">
              <w:rPr>
                <w:bCs/>
                <w:color w:val="808080" w:themeColor="background1" w:themeShade="80"/>
                <w:sz w:val="18"/>
                <w:szCs w:val="18"/>
              </w:rPr>
              <w:t>15.2</w:t>
            </w:r>
          </w:p>
          <w:p w14:paraId="55724F23" w14:textId="77777777" w:rsidR="00D52DD5" w:rsidRPr="003D400D" w:rsidRDefault="00D52DD5" w:rsidP="0044623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D52D78B" w14:textId="02BC7852" w:rsidR="00D52DD5" w:rsidRPr="003D400D" w:rsidRDefault="00D52DD5" w:rsidP="00797AAB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C4228">
              <w:rPr>
                <w:bCs/>
                <w:color w:val="808080" w:themeColor="background1" w:themeShade="80"/>
                <w:sz w:val="18"/>
                <w:szCs w:val="18"/>
              </w:rPr>
              <w:t xml:space="preserve">Delež visokošolskih učiteljev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pedagoških študijskih programov</w:t>
            </w:r>
            <w:r w:rsidRPr="00BC4228">
              <w:rPr>
                <w:bCs/>
                <w:color w:val="808080" w:themeColor="background1" w:themeShade="80"/>
                <w:sz w:val="18"/>
                <w:szCs w:val="18"/>
              </w:rPr>
              <w:t>, ki pri pedagoškem delu več kot  25 % uporabljajo IKT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E23C392" w14:textId="77777777" w:rsidR="00D52DD5" w:rsidRPr="003D400D" w:rsidRDefault="00D52DD5" w:rsidP="0044623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61383A">
              <w:rPr>
                <w:bCs/>
                <w:color w:val="808080" w:themeColor="background1" w:themeShade="80"/>
                <w:sz w:val="18"/>
                <w:szCs w:val="18"/>
              </w:rPr>
              <w:t xml:space="preserve">Kazalnik meri delež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visokošolskih </w:t>
            </w:r>
            <w:r w:rsidRPr="0061383A">
              <w:rPr>
                <w:bCs/>
                <w:color w:val="808080" w:themeColor="background1" w:themeShade="80"/>
                <w:sz w:val="18"/>
                <w:szCs w:val="18"/>
              </w:rPr>
              <w:t>učiteljev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in sodelavcev </w:t>
            </w:r>
            <w:r w:rsidRPr="0061383A">
              <w:rPr>
                <w:bCs/>
                <w:color w:val="808080" w:themeColor="background1" w:themeShade="80"/>
                <w:sz w:val="18"/>
                <w:szCs w:val="18"/>
              </w:rPr>
              <w:t xml:space="preserve">v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visokošolskih zavodih</w:t>
            </w:r>
            <w:r w:rsidRPr="0061383A">
              <w:rPr>
                <w:bCs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ki izvajajo pedagoške študijske programe in </w:t>
            </w:r>
            <w:r w:rsidRPr="0061383A">
              <w:rPr>
                <w:bCs/>
                <w:color w:val="808080" w:themeColor="background1" w:themeShade="80"/>
                <w:sz w:val="18"/>
                <w:szCs w:val="18"/>
              </w:rPr>
              <w:t>ki pri več kot 25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1383A">
              <w:rPr>
                <w:bCs/>
                <w:color w:val="808080" w:themeColor="background1" w:themeShade="80"/>
                <w:sz w:val="18"/>
                <w:szCs w:val="18"/>
              </w:rPr>
              <w:t xml:space="preserve">%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pedagoškega dela</w:t>
            </w:r>
            <w:r w:rsidRPr="0061383A">
              <w:rPr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uporabljajo opremo sodobne učilnice</w:t>
            </w:r>
            <w:r w:rsidRPr="0061383A">
              <w:rPr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D1263E0" w14:textId="5748A10C" w:rsidR="00D52DD5" w:rsidRPr="00485F4F" w:rsidRDefault="00D52DD5" w:rsidP="693DB385">
            <w:pPr>
              <w:spacing w:after="0" w:line="240" w:lineRule="auto"/>
              <w:rPr>
                <w:color w:val="808080" w:themeColor="background1" w:themeShade="80"/>
                <w:sz w:val="18"/>
                <w:szCs w:val="18"/>
              </w:rPr>
            </w:pPr>
            <w:r w:rsidRPr="693DB385">
              <w:rPr>
                <w:color w:val="808080" w:themeColor="background1" w:themeShade="80"/>
                <w:sz w:val="18"/>
                <w:szCs w:val="18"/>
              </w:rPr>
              <w:t xml:space="preserve">Študijo bo izvedel MIZŠ, v letu </w:t>
            </w:r>
            <w:r w:rsidR="00543B6D" w:rsidRPr="693DB385">
              <w:rPr>
                <w:color w:val="808080" w:themeColor="background1" w:themeShade="80"/>
                <w:sz w:val="18"/>
                <w:szCs w:val="18"/>
              </w:rPr>
              <w:t>202</w:t>
            </w:r>
            <w:r w:rsidR="004A2953" w:rsidRPr="693DB385">
              <w:rPr>
                <w:color w:val="808080" w:themeColor="background1" w:themeShade="80"/>
                <w:sz w:val="18"/>
                <w:szCs w:val="18"/>
              </w:rPr>
              <w:t>4</w:t>
            </w:r>
            <w:r w:rsidRPr="693DB385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543B6D" w:rsidRPr="693DB385">
              <w:rPr>
                <w:color w:val="808080" w:themeColor="background1" w:themeShade="80"/>
                <w:sz w:val="18"/>
                <w:szCs w:val="18"/>
              </w:rPr>
              <w:t xml:space="preserve">ko bodo na voljo </w:t>
            </w:r>
            <w:r w:rsidR="00482ADD" w:rsidRPr="693DB385">
              <w:rPr>
                <w:color w:val="808080" w:themeColor="background1" w:themeShade="80"/>
                <w:sz w:val="18"/>
                <w:szCs w:val="18"/>
              </w:rPr>
              <w:t>merodajni</w:t>
            </w:r>
            <w:r w:rsidR="00543B6D" w:rsidRPr="693DB385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693DB385">
              <w:rPr>
                <w:color w:val="808080" w:themeColor="background1" w:themeShade="80"/>
                <w:sz w:val="18"/>
                <w:szCs w:val="18"/>
              </w:rPr>
              <w:t xml:space="preserve">podatki </w:t>
            </w:r>
            <w:r w:rsidR="00543B6D" w:rsidRPr="693DB385">
              <w:rPr>
                <w:color w:val="808080" w:themeColor="background1" w:themeShade="80"/>
                <w:sz w:val="18"/>
                <w:szCs w:val="18"/>
              </w:rPr>
              <w:t>o uporabi IKT</w:t>
            </w:r>
            <w:r w:rsidRPr="693DB385">
              <w:rPr>
                <w:color w:val="808080" w:themeColor="background1" w:themeShade="80"/>
                <w:sz w:val="18"/>
                <w:szCs w:val="18"/>
              </w:rPr>
              <w:t>. MIZŠ bo zbral podatke visokošolskih učiteljev  pedagoških študijskih programov na treh stopnjah: ISCED 6 (visokošolska 1. bolonjska stopnja), ISCED 7 (visokošolska 2. bolonjska stopnja) in stopnji ISCED 8 (visokošolska 3. bolonjska stopnja).</w:t>
            </w:r>
          </w:p>
          <w:p w14:paraId="158E45D2" w14:textId="6656C8D4" w:rsidR="00D52DD5" w:rsidRPr="00466E4C" w:rsidRDefault="00D52DD5" w:rsidP="00966E84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 xml:space="preserve">Študija vključuje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naslednje </w:t>
            </w: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 xml:space="preserve">oblikovanje vzorcev: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od trinajstih (13) visokošolskih zavodov, ki izvajajo pedagoške študijske programe in so imeli v študijskem letu 2020/21 vpisane študente</w:t>
            </w:r>
            <w:r w:rsidR="00966E84">
              <w:rPr>
                <w:bCs/>
                <w:color w:val="808080" w:themeColor="background1" w:themeShade="80"/>
                <w:sz w:val="18"/>
                <w:szCs w:val="18"/>
              </w:rPr>
              <w:t>,</w:t>
            </w: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 xml:space="preserve"> bo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šest (6) naključno izbranih</w:t>
            </w:r>
            <w:r w:rsidR="00966E84">
              <w:rPr>
                <w:bCs/>
                <w:color w:val="808080" w:themeColor="background1" w:themeShade="80"/>
                <w:sz w:val="18"/>
                <w:szCs w:val="18"/>
              </w:rPr>
              <w:t>: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od tega tri</w:t>
            </w:r>
            <w:r w:rsidR="00966E84">
              <w:rPr>
                <w:bCs/>
                <w:color w:val="808080" w:themeColor="background1" w:themeShade="80"/>
                <w:sz w:val="18"/>
                <w:szCs w:val="18"/>
              </w:rPr>
              <w:t>je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(3) iz Univerze v Ljubljani, dv</w:t>
            </w:r>
            <w:r w:rsidR="00966E84">
              <w:rPr>
                <w:bCs/>
                <w:color w:val="808080" w:themeColor="background1" w:themeShade="80"/>
                <w:sz w:val="18"/>
                <w:szCs w:val="18"/>
              </w:rPr>
              <w:t>a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(2) iz Univerze v Mariboru in e</w:t>
            </w:r>
            <w:r w:rsidR="00966E84">
              <w:rPr>
                <w:bCs/>
                <w:color w:val="808080" w:themeColor="background1" w:themeShade="80"/>
                <w:sz w:val="18"/>
                <w:szCs w:val="18"/>
              </w:rPr>
              <w:t>den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(1) iz Univerze na Primorskem. Preostalih sedem (7) visokošolskih zavodov bo </w:t>
            </w: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>določen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ih</w:t>
            </w: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 xml:space="preserve"> kot nadomestilo za zavrnitev  prvotno izbran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ih visokošolskih zavodov</w:t>
            </w: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>. Vprašalnik izpolni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jo vsi visokošolski </w:t>
            </w: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>učitelj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i in sodelavci, ki poučujejo na pedagoških študijskih programih</w:t>
            </w: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na izbranem, vključenem visokošolskem zavodu. 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E193AAC" w14:textId="408A9B33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Študija MIZŠ</w:t>
            </w:r>
            <w:r w:rsidR="00783CFC">
              <w:rPr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78EC807E" w14:textId="77777777" w:rsidR="00D52DD5" w:rsidRPr="00262DBB" w:rsidRDefault="00D52DD5" w:rsidP="0044623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240A61D4" w14:textId="4B4144B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Podatke zajamemo  na koncu operacije. </w:t>
            </w:r>
          </w:p>
          <w:p w14:paraId="3D57C5D4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  <w:p w14:paraId="6B4D1840" w14:textId="2070CBB8" w:rsidR="00D52DD5" w:rsidRPr="00682B39" w:rsidRDefault="00D52DD5" w:rsidP="007167C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>Datu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m ciljne vrednosti  je </w:t>
            </w: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 xml:space="preserve">datum </w:t>
            </w:r>
            <w:r w:rsidR="007167C0">
              <w:rPr>
                <w:bCs/>
                <w:color w:val="808080" w:themeColor="background1" w:themeShade="80"/>
                <w:sz w:val="18"/>
                <w:szCs w:val="18"/>
              </w:rPr>
              <w:t xml:space="preserve">po 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koncu izvajanja operacije. </w:t>
            </w:r>
            <w:r w:rsidRPr="00682B39">
              <w:rPr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7A83EF9" w14:textId="77777777" w:rsidR="00D52DD5" w:rsidRPr="003D400D" w:rsidRDefault="00D52DD5" w:rsidP="00446230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3D400D">
              <w:rPr>
                <w:bCs/>
                <w:color w:val="808080" w:themeColor="background1" w:themeShade="80"/>
                <w:sz w:val="18"/>
                <w:szCs w:val="18"/>
              </w:rPr>
              <w:t>Delež</w:t>
            </w:r>
          </w:p>
          <w:p w14:paraId="5C848356" w14:textId="77777777" w:rsidR="00D52DD5" w:rsidRPr="003D400D" w:rsidRDefault="00D52DD5" w:rsidP="00446230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2AF72E0" w14:textId="77777777" w:rsidR="00D52DD5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Celotna Slovenija</w:t>
            </w:r>
          </w:p>
          <w:p w14:paraId="7FD6E625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248136C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 w:rsidRPr="00485F4F">
              <w:rPr>
                <w:bCs/>
                <w:color w:val="808080" w:themeColor="background1" w:themeShade="80"/>
                <w:sz w:val="18"/>
                <w:szCs w:val="18"/>
              </w:rPr>
              <w:t>100 %</w:t>
            </w:r>
          </w:p>
          <w:p w14:paraId="521E0B59" w14:textId="77777777" w:rsidR="00D52DD5" w:rsidRPr="003D400D" w:rsidRDefault="00D52DD5" w:rsidP="00446230">
            <w:pPr>
              <w:spacing w:after="0" w:line="240" w:lineRule="auto"/>
              <w:rPr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32E282DD" w14:textId="77777777" w:rsidR="00D52DD5" w:rsidRPr="003D400D" w:rsidRDefault="00D52DD5" w:rsidP="00D52DD5">
      <w:pPr>
        <w:spacing w:line="240" w:lineRule="auto"/>
        <w:rPr>
          <w:b/>
          <w:sz w:val="18"/>
          <w:szCs w:val="18"/>
        </w:rPr>
      </w:pPr>
    </w:p>
    <w:p w14:paraId="0E31513E" w14:textId="77777777" w:rsidR="00D52DD5" w:rsidRDefault="00D52DD5" w:rsidP="00A36288">
      <w:pPr>
        <w:spacing w:line="240" w:lineRule="auto"/>
        <w:rPr>
          <w:b/>
        </w:rPr>
      </w:pPr>
    </w:p>
    <w:p w14:paraId="15066143" w14:textId="77777777" w:rsidR="00D52DD5" w:rsidRPr="00DA6182" w:rsidRDefault="00D52DD5" w:rsidP="00A36288">
      <w:pPr>
        <w:spacing w:line="240" w:lineRule="auto"/>
        <w:rPr>
          <w:b/>
        </w:rPr>
      </w:pPr>
    </w:p>
    <w:sectPr w:rsidR="00D52DD5" w:rsidRPr="00DA6182" w:rsidSect="00D52DD5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BFEE" w14:textId="77777777" w:rsidR="002D40B5" w:rsidRDefault="002D40B5" w:rsidP="00447841">
      <w:pPr>
        <w:spacing w:after="0" w:line="240" w:lineRule="auto"/>
      </w:pPr>
      <w:r>
        <w:separator/>
      </w:r>
    </w:p>
  </w:endnote>
  <w:endnote w:type="continuationSeparator" w:id="0">
    <w:p w14:paraId="4D28E96B" w14:textId="77777777" w:rsidR="002D40B5" w:rsidRDefault="002D40B5" w:rsidP="0044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4C3D" w14:textId="78C8FB21" w:rsidR="00447841" w:rsidRPr="00DF2184" w:rsidRDefault="00447841" w:rsidP="00DF2184">
    <w:pPr>
      <w:pStyle w:val="Noga"/>
    </w:pPr>
    <w:r w:rsidRPr="00DF21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80F8" w14:textId="77777777" w:rsidR="002D40B5" w:rsidRDefault="002D40B5" w:rsidP="00447841">
      <w:pPr>
        <w:spacing w:after="0" w:line="240" w:lineRule="auto"/>
      </w:pPr>
      <w:r>
        <w:separator/>
      </w:r>
    </w:p>
  </w:footnote>
  <w:footnote w:type="continuationSeparator" w:id="0">
    <w:p w14:paraId="10609297" w14:textId="77777777" w:rsidR="002D40B5" w:rsidRDefault="002D40B5" w:rsidP="0044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B725" w14:textId="75702C2A" w:rsidR="00A36288" w:rsidRDefault="00E64EEB" w:rsidP="00511322">
    <w:pPr>
      <w:pStyle w:val="Glava"/>
      <w:tabs>
        <w:tab w:val="clear" w:pos="4536"/>
        <w:tab w:val="clear" w:pos="9072"/>
        <w:tab w:val="left" w:pos="7716"/>
      </w:tabs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59E29AF3" wp14:editId="0B774552">
          <wp:simplePos x="0" y="0"/>
          <wp:positionH relativeFrom="column">
            <wp:posOffset>7150227</wp:posOffset>
          </wp:positionH>
          <wp:positionV relativeFrom="paragraph">
            <wp:posOffset>-362661</wp:posOffset>
          </wp:positionV>
          <wp:extent cx="1776730" cy="812165"/>
          <wp:effectExtent l="0" t="0" r="0" b="0"/>
          <wp:wrapTopAndBottom/>
          <wp:docPr id="6" name="Slika 6" descr="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ES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32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1322">
      <w:rPr>
        <w:noProof/>
        <w:lang w:eastAsia="sl-SI"/>
      </w:rPr>
      <w:drawing>
        <wp:anchor distT="0" distB="0" distL="114300" distR="114300" simplePos="0" relativeHeight="251660800" behindDoc="0" locked="0" layoutInCell="1" allowOverlap="1" wp14:anchorId="42BE996D" wp14:editId="6B5B2F68">
          <wp:simplePos x="0" y="0"/>
          <wp:positionH relativeFrom="column">
            <wp:posOffset>-64195</wp:posOffset>
          </wp:positionH>
          <wp:positionV relativeFrom="paragraph">
            <wp:posOffset>-62506</wp:posOffset>
          </wp:positionV>
          <wp:extent cx="2428875" cy="390525"/>
          <wp:effectExtent l="0" t="0" r="9525" b="9525"/>
          <wp:wrapThrough wrapText="bothSides">
            <wp:wrapPolygon edited="0">
              <wp:start x="0" y="0"/>
              <wp:lineTo x="0" y="21073"/>
              <wp:lineTo x="21515" y="21073"/>
              <wp:lineTo x="21515" y="0"/>
              <wp:lineTo x="0" y="0"/>
            </wp:wrapPolygon>
          </wp:wrapThrough>
          <wp:docPr id="5" name="Slika 5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3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E18"/>
    <w:multiLevelType w:val="hybridMultilevel"/>
    <w:tmpl w:val="B8A64E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2DF"/>
    <w:multiLevelType w:val="hybridMultilevel"/>
    <w:tmpl w:val="95D2155A"/>
    <w:lvl w:ilvl="0" w:tplc="42BC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C74"/>
    <w:multiLevelType w:val="hybridMultilevel"/>
    <w:tmpl w:val="F36ACD0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0DE5"/>
    <w:multiLevelType w:val="hybridMultilevel"/>
    <w:tmpl w:val="B8A64E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092E"/>
    <w:multiLevelType w:val="hybridMultilevel"/>
    <w:tmpl w:val="BC6634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 w15:restartNumberingAfterBreak="0">
    <w:nsid w:val="6885130F"/>
    <w:multiLevelType w:val="hybridMultilevel"/>
    <w:tmpl w:val="D26AB054"/>
    <w:lvl w:ilvl="0" w:tplc="4F3C2CF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82"/>
    <w:rsid w:val="000057B8"/>
    <w:rsid w:val="000D147E"/>
    <w:rsid w:val="00105C5D"/>
    <w:rsid w:val="00137015"/>
    <w:rsid w:val="00174ECB"/>
    <w:rsid w:val="001C4A89"/>
    <w:rsid w:val="001F604F"/>
    <w:rsid w:val="0023760D"/>
    <w:rsid w:val="00264F47"/>
    <w:rsid w:val="002740AE"/>
    <w:rsid w:val="002B4FDB"/>
    <w:rsid w:val="002D40B5"/>
    <w:rsid w:val="002E07DF"/>
    <w:rsid w:val="002E5863"/>
    <w:rsid w:val="00331DC9"/>
    <w:rsid w:val="00343856"/>
    <w:rsid w:val="00354CEA"/>
    <w:rsid w:val="00360C95"/>
    <w:rsid w:val="003B3B92"/>
    <w:rsid w:val="003E7E1F"/>
    <w:rsid w:val="00440460"/>
    <w:rsid w:val="00447841"/>
    <w:rsid w:val="00482ADD"/>
    <w:rsid w:val="00495AAC"/>
    <w:rsid w:val="004A2546"/>
    <w:rsid w:val="004A2953"/>
    <w:rsid w:val="00511322"/>
    <w:rsid w:val="00540EE4"/>
    <w:rsid w:val="00543B6D"/>
    <w:rsid w:val="005A0AED"/>
    <w:rsid w:val="00631079"/>
    <w:rsid w:val="00637255"/>
    <w:rsid w:val="006415B8"/>
    <w:rsid w:val="006674ED"/>
    <w:rsid w:val="006B4BC9"/>
    <w:rsid w:val="006C2EE3"/>
    <w:rsid w:val="006E6BC4"/>
    <w:rsid w:val="00704ABB"/>
    <w:rsid w:val="007167C0"/>
    <w:rsid w:val="00763412"/>
    <w:rsid w:val="00774C39"/>
    <w:rsid w:val="00783CFC"/>
    <w:rsid w:val="00797AAB"/>
    <w:rsid w:val="0080569B"/>
    <w:rsid w:val="00823832"/>
    <w:rsid w:val="008B081E"/>
    <w:rsid w:val="00934454"/>
    <w:rsid w:val="00950D8F"/>
    <w:rsid w:val="00966E84"/>
    <w:rsid w:val="009C2470"/>
    <w:rsid w:val="00A003A0"/>
    <w:rsid w:val="00A34C03"/>
    <w:rsid w:val="00A36288"/>
    <w:rsid w:val="00A42D54"/>
    <w:rsid w:val="00A67223"/>
    <w:rsid w:val="00A93E3E"/>
    <w:rsid w:val="00B31BD7"/>
    <w:rsid w:val="00B62CCA"/>
    <w:rsid w:val="00B7441B"/>
    <w:rsid w:val="00BB6CDD"/>
    <w:rsid w:val="00BC7360"/>
    <w:rsid w:val="00C17834"/>
    <w:rsid w:val="00C40DB6"/>
    <w:rsid w:val="00C47E22"/>
    <w:rsid w:val="00C87039"/>
    <w:rsid w:val="00CF73B1"/>
    <w:rsid w:val="00D52DD5"/>
    <w:rsid w:val="00DA6182"/>
    <w:rsid w:val="00DF2184"/>
    <w:rsid w:val="00E00835"/>
    <w:rsid w:val="00E426D5"/>
    <w:rsid w:val="00E64EEB"/>
    <w:rsid w:val="00F24893"/>
    <w:rsid w:val="00F42D28"/>
    <w:rsid w:val="693DB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BF816"/>
  <w15:chartTrackingRefBased/>
  <w15:docId w15:val="{5585A612-386F-4A38-B5A2-D7186EC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F2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784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4784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4784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4784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B6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1">
    <w:name w:val="Light List Accent 1"/>
    <w:basedOn w:val="Navadnatabela"/>
    <w:uiPriority w:val="61"/>
    <w:rsid w:val="00CF73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ripombasklic">
    <w:name w:val="annotation reference"/>
    <w:uiPriority w:val="99"/>
    <w:semiHidden/>
    <w:unhideWhenUsed/>
    <w:rsid w:val="008B08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081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B081E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081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B081E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081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qFormat/>
    <w:rsid w:val="006415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D52DD5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D52DD5"/>
    <w:rPr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DF21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DF21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218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povezava">
    <w:name w:val="Hyperlink"/>
    <w:rsid w:val="00540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4BFF-0BF0-4B20-8920-B80F0257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Company>Ministrstvo za šolstvo in šport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 Neubauer</dc:creator>
  <cp:keywords/>
  <cp:lastModifiedBy>Primož Kos</cp:lastModifiedBy>
  <cp:revision>7</cp:revision>
  <cp:lastPrinted>2015-10-28T05:36:00Z</cp:lastPrinted>
  <dcterms:created xsi:type="dcterms:W3CDTF">2022-01-14T12:20:00Z</dcterms:created>
  <dcterms:modified xsi:type="dcterms:W3CDTF">2022-12-15T11:24:00Z</dcterms:modified>
</cp:coreProperties>
</file>