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E03" w:rsidRPr="00B84E03" w:rsidRDefault="00B84E03" w:rsidP="00B84E03">
      <w:pPr>
        <w:pStyle w:val="Brezrazmikov"/>
        <w:rPr>
          <w:b/>
          <w:lang w:eastAsia="sl-SI"/>
        </w:rPr>
      </w:pPr>
      <w:r w:rsidRPr="00B84E03">
        <w:rPr>
          <w:b/>
          <w:lang w:eastAsia="sl-SI"/>
        </w:rPr>
        <w:t xml:space="preserve">ODGOVORI NA POGOSTA VPRAŠANJA GLEDE DOLOČITVE RSF SREDSTEV ZA OBDOBJE 2018-2020 </w:t>
      </w:r>
    </w:p>
    <w:p w:rsidR="00B84E03" w:rsidRDefault="00B84E03" w:rsidP="00B84E03">
      <w:pPr>
        <w:pStyle w:val="Brezrazmikov"/>
        <w:rPr>
          <w:sz w:val="24"/>
          <w:szCs w:val="24"/>
          <w:lang w:eastAsia="sl-SI"/>
        </w:rPr>
      </w:pPr>
    </w:p>
    <w:p w:rsidR="00B84E03" w:rsidRPr="00B84E03" w:rsidRDefault="00B84E03" w:rsidP="00B84E03">
      <w:pPr>
        <w:pStyle w:val="Brezrazmikov"/>
        <w:rPr>
          <w:b/>
          <w:i/>
          <w:sz w:val="24"/>
          <w:szCs w:val="24"/>
          <w:lang w:eastAsia="sl-SI"/>
        </w:rPr>
      </w:pPr>
      <w:r w:rsidRPr="00B84E03">
        <w:rPr>
          <w:b/>
          <w:i/>
          <w:sz w:val="24"/>
          <w:szCs w:val="24"/>
          <w:lang w:eastAsia="sl-SI"/>
        </w:rPr>
        <w:t xml:space="preserve">1. Vljudno vas prosimo za odgovor na vprašanje o določitvi RSF sredstev; morda smo spregledali kakšen dokument, ki je vseboval formulo za izračun. Torej vprašanje </w:t>
      </w:r>
      <w:proofErr w:type="spellStart"/>
      <w:r w:rsidRPr="00B84E03">
        <w:rPr>
          <w:b/>
          <w:i/>
          <w:sz w:val="24"/>
          <w:szCs w:val="24"/>
          <w:lang w:eastAsia="sl-SI"/>
        </w:rPr>
        <w:t>je,</w:t>
      </w:r>
      <w:r w:rsidRPr="00B84E03">
        <w:rPr>
          <w:b/>
          <w:i/>
          <w:iCs/>
          <w:sz w:val="24"/>
          <w:szCs w:val="24"/>
          <w:lang w:eastAsia="sl-SI"/>
        </w:rPr>
        <w:t>na</w:t>
      </w:r>
      <w:proofErr w:type="spellEnd"/>
      <w:r w:rsidRPr="00B84E03">
        <w:rPr>
          <w:b/>
          <w:i/>
          <w:iCs/>
          <w:sz w:val="24"/>
          <w:szCs w:val="24"/>
          <w:lang w:eastAsia="sl-SI"/>
        </w:rPr>
        <w:t xml:space="preserve"> kakšen način določimo višino RSF sredstev</w:t>
      </w:r>
      <w:r w:rsidRPr="00B84E03">
        <w:rPr>
          <w:b/>
          <w:i/>
          <w:sz w:val="24"/>
          <w:szCs w:val="24"/>
          <w:lang w:eastAsia="sl-SI"/>
        </w:rPr>
        <w:t>.</w:t>
      </w:r>
      <w:r w:rsidRPr="00B84E03">
        <w:rPr>
          <w:b/>
          <w:i/>
          <w:sz w:val="24"/>
          <w:szCs w:val="24"/>
          <w:lang w:eastAsia="sl-SI"/>
        </w:rPr>
        <w:br/>
        <w:t> </w:t>
      </w:r>
    </w:p>
    <w:p w:rsidR="00B84E03" w:rsidRPr="00B84E03" w:rsidRDefault="00B84E03" w:rsidP="00B84E03">
      <w:pPr>
        <w:pStyle w:val="Brezrazmikov"/>
        <w:rPr>
          <w:sz w:val="24"/>
          <w:szCs w:val="24"/>
          <w:lang w:eastAsia="sl-SI"/>
        </w:rPr>
      </w:pPr>
      <w:r w:rsidRPr="00B84E03">
        <w:rPr>
          <w:i/>
          <w:iCs/>
          <w:sz w:val="24"/>
          <w:szCs w:val="24"/>
          <w:lang w:eastAsia="sl-SI"/>
        </w:rPr>
        <w:t>Odgovor</w:t>
      </w:r>
      <w:r w:rsidRPr="00B84E03">
        <w:rPr>
          <w:sz w:val="24"/>
          <w:szCs w:val="24"/>
          <w:lang w:eastAsia="sl-SI"/>
        </w:rPr>
        <w:t>:</w:t>
      </w:r>
    </w:p>
    <w:p w:rsidR="00B84E03" w:rsidRPr="00B84E03" w:rsidRDefault="00B84E03" w:rsidP="00B84E03">
      <w:pPr>
        <w:pStyle w:val="Brezrazmikov"/>
        <w:rPr>
          <w:sz w:val="24"/>
          <w:szCs w:val="24"/>
          <w:lang w:eastAsia="sl-SI"/>
        </w:rPr>
      </w:pPr>
      <w:r w:rsidRPr="00B84E03">
        <w:rPr>
          <w:sz w:val="24"/>
          <w:szCs w:val="24"/>
          <w:lang w:eastAsia="sl-SI"/>
        </w:rPr>
        <w:t>V usmeritvah je zapisano: "80 % (okvirno 5,3 mio EUR letno) sredstev RSF se razdeli glede na sorazmerni delež, ki ga je dobil posamezni VŠZ od celotnih TSF sredstev za leto 2017.''</w:t>
      </w:r>
      <w:r w:rsidRPr="00B84E03">
        <w:rPr>
          <w:sz w:val="24"/>
          <w:szCs w:val="24"/>
          <w:lang w:eastAsia="sl-SI"/>
        </w:rPr>
        <w:br/>
        <w:t>Sorazmerni delež posameznega visokošolskega zavoda od celotnih TSF sredstev za leto 2017 je razviden iz sklepa MIZŠ o določitvi sredstev za študijsko dejavnost VŠZ za leto 2017, št. 6037-7/2017/51 z dne 19. 7. 2017. Iz tabele 1 v I. točki sklepa (določitev sredstev) so razvidni vsi VŠZ in zneski, ki so jim bili dodeljeni za leto 2017. Delež se izračuna tako, da se znesek pri posameznem zavodu deli s celoto, torej z 250.494.185,98 EUR.</w:t>
      </w:r>
      <w:r w:rsidRPr="00B84E03">
        <w:rPr>
          <w:sz w:val="24"/>
          <w:szCs w:val="24"/>
          <w:lang w:eastAsia="sl-SI"/>
        </w:rPr>
        <w:br/>
      </w:r>
      <w:r w:rsidRPr="00B84E03">
        <w:rPr>
          <w:sz w:val="24"/>
          <w:szCs w:val="24"/>
          <w:lang w:eastAsia="sl-SI"/>
        </w:rPr>
        <w:br/>
        <w:t>Delež npr. za Fakulteto za dizajn je (840.448,33 / 250.494.185,98) 0,003355, to je 0,34 %.</w:t>
      </w:r>
      <w:r w:rsidRPr="00B84E03">
        <w:rPr>
          <w:sz w:val="24"/>
          <w:szCs w:val="24"/>
          <w:lang w:eastAsia="sl-SI"/>
        </w:rPr>
        <w:br/>
        <w:t>Za RSF lahko torej ta fakulteta pričakuje okvirno 0,34 % sredstev od 5,3 mio EUR, to je 17.782,35 EUR.</w:t>
      </w:r>
      <w:r w:rsidRPr="00B84E03">
        <w:rPr>
          <w:sz w:val="24"/>
          <w:szCs w:val="24"/>
          <w:lang w:eastAsia="sl-SI"/>
        </w:rPr>
        <w:br/>
      </w:r>
      <w:r w:rsidRPr="00B84E03">
        <w:rPr>
          <w:sz w:val="24"/>
          <w:szCs w:val="24"/>
          <w:lang w:eastAsia="sl-SI"/>
        </w:rPr>
        <w:br/>
        <w:t>Delež npr. za Univerzo v Novi Gorici je (2.003.683,55 / 250.494.185,98) 0,007999, to je 0,8 %.</w:t>
      </w:r>
      <w:r w:rsidRPr="00B84E03">
        <w:rPr>
          <w:sz w:val="24"/>
          <w:szCs w:val="24"/>
          <w:lang w:eastAsia="sl-SI"/>
        </w:rPr>
        <w:br/>
        <w:t>Za RSF lahko torej ta univerza pričakuje okvirno 0,8 % sredstev od 5,3 mio EUR, to je 42.394,29 EUR.</w:t>
      </w:r>
      <w:r w:rsidRPr="00B84E03">
        <w:rPr>
          <w:sz w:val="24"/>
          <w:szCs w:val="24"/>
          <w:lang w:eastAsia="sl-SI"/>
        </w:rPr>
        <w:br/>
      </w:r>
      <w:r w:rsidRPr="00B84E03">
        <w:rPr>
          <w:sz w:val="24"/>
          <w:szCs w:val="24"/>
          <w:lang w:eastAsia="sl-SI"/>
        </w:rPr>
        <w:br/>
        <w:t>Navedeni zneski predstavljajo samo del vseh RSF sredstev posameznega visokošolskega zavoda. 1,3 mio EUR se namreč med zavode razdeli še na osnovi samih pogajanj. Kako uspešni bodo zavodi v pogajanjih oziroma koliko sredstev ocenjujejo, da bodo v pogajanjih še (lahko) pridobili, pa je ocena posameznega zavoda.</w:t>
      </w:r>
    </w:p>
    <w:p w:rsidR="00B84E03" w:rsidRPr="00B84E03" w:rsidRDefault="00B84E03" w:rsidP="00B84E03">
      <w:pPr>
        <w:pStyle w:val="Brezrazmikov"/>
        <w:rPr>
          <w:sz w:val="24"/>
          <w:szCs w:val="24"/>
          <w:lang w:eastAsia="sl-SI"/>
        </w:rPr>
      </w:pPr>
      <w:r w:rsidRPr="00B84E03">
        <w:rPr>
          <w:sz w:val="24"/>
          <w:szCs w:val="24"/>
          <w:lang w:eastAsia="sl-SI"/>
        </w:rPr>
        <w:t> </w:t>
      </w:r>
    </w:p>
    <w:p w:rsidR="00B84E03" w:rsidRPr="00B84E03" w:rsidRDefault="00B84E03" w:rsidP="00B84E03">
      <w:pPr>
        <w:pStyle w:val="Brezrazmikov"/>
        <w:rPr>
          <w:b/>
          <w:i/>
          <w:sz w:val="24"/>
          <w:szCs w:val="24"/>
          <w:lang w:eastAsia="sl-SI"/>
        </w:rPr>
      </w:pPr>
      <w:r w:rsidRPr="00B84E03">
        <w:rPr>
          <w:b/>
          <w:i/>
          <w:sz w:val="24"/>
          <w:szCs w:val="24"/>
          <w:lang w:eastAsia="sl-SI"/>
        </w:rPr>
        <w:t>2. Na kaj se veže analiza stanja; na vsebinsko poročilo ali finančno poročilo?</w:t>
      </w:r>
    </w:p>
    <w:p w:rsidR="00B84E03" w:rsidRPr="00B84E03" w:rsidRDefault="00B84E03" w:rsidP="00B84E03">
      <w:pPr>
        <w:pStyle w:val="Brezrazmikov"/>
        <w:rPr>
          <w:b/>
          <w:i/>
          <w:sz w:val="24"/>
          <w:szCs w:val="24"/>
          <w:lang w:eastAsia="sl-SI"/>
        </w:rPr>
      </w:pPr>
      <w:r w:rsidRPr="00B84E03">
        <w:rPr>
          <w:b/>
          <w:i/>
          <w:sz w:val="24"/>
          <w:szCs w:val="24"/>
          <w:lang w:eastAsia="sl-SI"/>
        </w:rPr>
        <w:t> </w:t>
      </w:r>
    </w:p>
    <w:p w:rsidR="00B84E03" w:rsidRPr="00B84E03" w:rsidRDefault="00B84E03" w:rsidP="00B84E03">
      <w:pPr>
        <w:pStyle w:val="Brezrazmikov"/>
        <w:rPr>
          <w:sz w:val="24"/>
          <w:szCs w:val="24"/>
          <w:lang w:eastAsia="sl-SI"/>
        </w:rPr>
      </w:pPr>
      <w:r w:rsidRPr="00B84E03">
        <w:rPr>
          <w:i/>
          <w:iCs/>
          <w:sz w:val="24"/>
          <w:szCs w:val="24"/>
          <w:lang w:eastAsia="sl-SI"/>
        </w:rPr>
        <w:t>Odgovor</w:t>
      </w:r>
      <w:r w:rsidRPr="00B84E03">
        <w:rPr>
          <w:sz w:val="24"/>
          <w:szCs w:val="24"/>
          <w:lang w:eastAsia="sl-SI"/>
        </w:rPr>
        <w:t>:</w:t>
      </w:r>
      <w:r w:rsidRPr="00B84E03">
        <w:rPr>
          <w:sz w:val="24"/>
          <w:szCs w:val="24"/>
          <w:lang w:eastAsia="sl-SI"/>
        </w:rPr>
        <w:br/>
        <w:t>V Usmeritvah je zapisano, da mora predlog VŠZ vsebovati tudi analizo stanja. Nanaša se na III. točko Usmeritev, se pravi na predlog razvojnih ciljev. Tudi analiza stanja se mora zato nanašati nanje, tako vsebinsko kot (na kratko) finančno.</w:t>
      </w:r>
    </w:p>
    <w:p w:rsidR="00B84E03" w:rsidRPr="00B84E03" w:rsidRDefault="00B84E03" w:rsidP="00B84E03">
      <w:pPr>
        <w:pStyle w:val="Brezrazmikov"/>
        <w:rPr>
          <w:sz w:val="24"/>
          <w:szCs w:val="24"/>
          <w:lang w:eastAsia="sl-SI"/>
        </w:rPr>
      </w:pPr>
      <w:r w:rsidRPr="00B84E03">
        <w:rPr>
          <w:sz w:val="24"/>
          <w:szCs w:val="24"/>
          <w:lang w:eastAsia="sl-SI"/>
        </w:rPr>
        <w:t> </w:t>
      </w:r>
    </w:p>
    <w:p w:rsidR="00B84E03" w:rsidRPr="00B84E03" w:rsidRDefault="00B84E03" w:rsidP="00B84E03">
      <w:pPr>
        <w:pStyle w:val="Brezrazmikov"/>
        <w:rPr>
          <w:b/>
          <w:i/>
          <w:sz w:val="24"/>
          <w:szCs w:val="24"/>
          <w:lang w:eastAsia="sl-SI"/>
        </w:rPr>
      </w:pPr>
      <w:r w:rsidRPr="00B84E03">
        <w:rPr>
          <w:b/>
          <w:i/>
          <w:sz w:val="24"/>
          <w:szCs w:val="24"/>
          <w:lang w:eastAsia="sl-SI"/>
        </w:rPr>
        <w:t>3. Ali je upravičen strošek didaktična oprema, table... ali so upravičen strošek samo plače? Se lahko v predlogu razvojnih ciljev predvidijo tudi ukrepi, ki so vezani na investicije, investicijsko vzdrževanje oz. opremo?</w:t>
      </w:r>
    </w:p>
    <w:p w:rsidR="00B84E03" w:rsidRPr="00B84E03" w:rsidRDefault="00B84E03" w:rsidP="00B84E03">
      <w:pPr>
        <w:pStyle w:val="Brezrazmikov"/>
        <w:rPr>
          <w:sz w:val="24"/>
          <w:szCs w:val="24"/>
          <w:lang w:eastAsia="sl-SI"/>
        </w:rPr>
      </w:pPr>
      <w:r w:rsidRPr="00B84E03">
        <w:rPr>
          <w:sz w:val="24"/>
          <w:szCs w:val="24"/>
          <w:lang w:eastAsia="sl-SI"/>
        </w:rPr>
        <w:t> </w:t>
      </w:r>
    </w:p>
    <w:p w:rsidR="00B84E03" w:rsidRPr="00B84E03" w:rsidRDefault="00B84E03" w:rsidP="00B84E03">
      <w:pPr>
        <w:pStyle w:val="Brezrazmikov"/>
        <w:rPr>
          <w:sz w:val="24"/>
          <w:szCs w:val="24"/>
          <w:lang w:eastAsia="sl-SI"/>
        </w:rPr>
      </w:pPr>
      <w:r w:rsidRPr="00B84E03">
        <w:rPr>
          <w:i/>
          <w:iCs/>
          <w:sz w:val="24"/>
          <w:szCs w:val="24"/>
          <w:lang w:eastAsia="sl-SI"/>
        </w:rPr>
        <w:t>Odgovor</w:t>
      </w:r>
      <w:r w:rsidRPr="00B84E03">
        <w:rPr>
          <w:sz w:val="24"/>
          <w:szCs w:val="24"/>
          <w:lang w:eastAsia="sl-SI"/>
        </w:rPr>
        <w:t>:</w:t>
      </w:r>
      <w:r w:rsidRPr="00B84E03">
        <w:rPr>
          <w:sz w:val="24"/>
          <w:szCs w:val="24"/>
          <w:lang w:eastAsia="sl-SI"/>
        </w:rPr>
        <w:br/>
        <w:t>Sredstva za študijsko dejavnost se skladno z Zakonom o visokem šolstvu delijo na temeljni steber in razvojni steber financiranja. RSF je torej del študijske dejavnosti, kot je opredeljena v tem zakonu.</w:t>
      </w:r>
    </w:p>
    <w:p w:rsidR="00B84E03" w:rsidRPr="00B84E03" w:rsidRDefault="00B84E03" w:rsidP="00B84E03">
      <w:pPr>
        <w:pStyle w:val="Brezrazmikov"/>
        <w:rPr>
          <w:sz w:val="24"/>
          <w:szCs w:val="24"/>
          <w:lang w:eastAsia="sl-SI"/>
        </w:rPr>
      </w:pPr>
      <w:r w:rsidRPr="00B84E03">
        <w:rPr>
          <w:sz w:val="24"/>
          <w:szCs w:val="24"/>
          <w:lang w:eastAsia="sl-SI"/>
        </w:rPr>
        <w:t>Ob upoštevanju, da se sredstva za investicije, investicijsko vzdrževanje in opremo dodeljujejo pod drugimi pogoji, iz drugih proračunskih postavk in kontov in da je namen porabe TSF sredstev (ki so ravno tako del študijske dejavnosti) že opredeljen v Uredbi o javnem financiranju visokošolskih zavodov in drugih zavodov (3. člen), tudi za RSF sredstva velja, da se lahko porabijo za plače in druge izdatke zaposlenim, za prispevke delodajalca, za blago (kamor sodi npr. drobni inventar) in storitve ter za premije kolektivnega dodatnega pokojninskega zavarovanja.</w:t>
      </w:r>
    </w:p>
    <w:p w:rsidR="00B84E03" w:rsidRPr="00B84E03" w:rsidRDefault="00B84E03" w:rsidP="00B84E03">
      <w:pPr>
        <w:pStyle w:val="Brezrazmikov"/>
        <w:rPr>
          <w:sz w:val="24"/>
          <w:szCs w:val="24"/>
          <w:lang w:eastAsia="sl-SI"/>
        </w:rPr>
      </w:pPr>
      <w:r w:rsidRPr="00B84E03">
        <w:rPr>
          <w:sz w:val="24"/>
          <w:szCs w:val="24"/>
          <w:lang w:eastAsia="sl-SI"/>
        </w:rPr>
        <w:t> </w:t>
      </w:r>
    </w:p>
    <w:p w:rsidR="00B84E03" w:rsidRPr="00B84E03" w:rsidRDefault="00B84E03" w:rsidP="00B84E03">
      <w:pPr>
        <w:pStyle w:val="Brezrazmikov"/>
        <w:rPr>
          <w:b/>
          <w:i/>
          <w:sz w:val="24"/>
          <w:szCs w:val="24"/>
          <w:lang w:eastAsia="sl-SI"/>
        </w:rPr>
      </w:pPr>
      <w:r w:rsidRPr="00B84E03">
        <w:rPr>
          <w:b/>
          <w:i/>
          <w:sz w:val="24"/>
          <w:szCs w:val="24"/>
          <w:lang w:eastAsia="sl-SI"/>
        </w:rPr>
        <w:t xml:space="preserve">4. Tabele pošljemo v </w:t>
      </w:r>
      <w:proofErr w:type="spellStart"/>
      <w:r w:rsidRPr="00B84E03">
        <w:rPr>
          <w:b/>
          <w:i/>
          <w:sz w:val="24"/>
          <w:szCs w:val="24"/>
          <w:lang w:eastAsia="sl-SI"/>
        </w:rPr>
        <w:t>elektornski</w:t>
      </w:r>
      <w:proofErr w:type="spellEnd"/>
      <w:r w:rsidRPr="00B84E03">
        <w:rPr>
          <w:b/>
          <w:i/>
          <w:sz w:val="24"/>
          <w:szCs w:val="24"/>
          <w:lang w:eastAsia="sl-SI"/>
        </w:rPr>
        <w:t xml:space="preserve"> obliki na gp.mizs@gov.si ali tudi po posti? Je potrebno pri </w:t>
      </w:r>
      <w:proofErr w:type="spellStart"/>
      <w:r w:rsidRPr="00B84E03">
        <w:rPr>
          <w:b/>
          <w:i/>
          <w:sz w:val="24"/>
          <w:szCs w:val="24"/>
          <w:lang w:eastAsia="sl-SI"/>
        </w:rPr>
        <w:t>posiljanju</w:t>
      </w:r>
      <w:proofErr w:type="spellEnd"/>
      <w:r w:rsidRPr="00B84E03">
        <w:rPr>
          <w:b/>
          <w:i/>
          <w:sz w:val="24"/>
          <w:szCs w:val="24"/>
          <w:lang w:eastAsia="sl-SI"/>
        </w:rPr>
        <w:t xml:space="preserve"> na kuverto oz. mail napisati kaj posebnega?</w:t>
      </w:r>
    </w:p>
    <w:p w:rsidR="00B84E03" w:rsidRPr="00B84E03" w:rsidRDefault="00B84E03" w:rsidP="00B84E03">
      <w:pPr>
        <w:pStyle w:val="Brezrazmikov"/>
        <w:rPr>
          <w:sz w:val="24"/>
          <w:szCs w:val="24"/>
          <w:lang w:eastAsia="sl-SI"/>
        </w:rPr>
      </w:pPr>
      <w:r w:rsidRPr="00B84E03">
        <w:rPr>
          <w:sz w:val="24"/>
          <w:szCs w:val="24"/>
          <w:lang w:eastAsia="sl-SI"/>
        </w:rPr>
        <w:t> </w:t>
      </w:r>
    </w:p>
    <w:p w:rsidR="00B84E03" w:rsidRPr="00B84E03" w:rsidRDefault="00B84E03" w:rsidP="00B84E03">
      <w:pPr>
        <w:pStyle w:val="Brezrazmikov"/>
        <w:rPr>
          <w:sz w:val="24"/>
          <w:szCs w:val="24"/>
          <w:lang w:eastAsia="sl-SI"/>
        </w:rPr>
      </w:pPr>
      <w:r w:rsidRPr="00B84E03">
        <w:rPr>
          <w:i/>
          <w:iCs/>
          <w:sz w:val="24"/>
          <w:szCs w:val="24"/>
          <w:lang w:eastAsia="sl-SI"/>
        </w:rPr>
        <w:t>Odgovor</w:t>
      </w:r>
      <w:r w:rsidRPr="00B84E03">
        <w:rPr>
          <w:sz w:val="24"/>
          <w:szCs w:val="24"/>
          <w:lang w:eastAsia="sl-SI"/>
        </w:rPr>
        <w:t>:</w:t>
      </w:r>
      <w:r w:rsidRPr="00B84E03">
        <w:rPr>
          <w:sz w:val="24"/>
          <w:szCs w:val="24"/>
          <w:lang w:eastAsia="sl-SI"/>
        </w:rPr>
        <w:br/>
        <w:t>Zahtevano dokumentacijo lahko pošljete samo po e-pošti (razviden mora biti podpis odgovorne osebe), na naslov ministrstva, s sklicem na našo številko 900-34/2017.</w:t>
      </w:r>
    </w:p>
    <w:p w:rsidR="00B84E03" w:rsidRPr="00B84E03" w:rsidRDefault="00B84E03" w:rsidP="00B84E03">
      <w:pPr>
        <w:pStyle w:val="Brezrazmikov"/>
        <w:rPr>
          <w:sz w:val="24"/>
          <w:szCs w:val="24"/>
          <w:lang w:eastAsia="sl-SI"/>
        </w:rPr>
      </w:pPr>
      <w:r w:rsidRPr="00B84E03">
        <w:rPr>
          <w:sz w:val="24"/>
          <w:szCs w:val="24"/>
          <w:lang w:eastAsia="sl-SI"/>
        </w:rPr>
        <w:t> </w:t>
      </w:r>
    </w:p>
    <w:p w:rsidR="00B84E03" w:rsidRPr="00B84E03" w:rsidRDefault="00B84E03" w:rsidP="00B84E03">
      <w:pPr>
        <w:pStyle w:val="Brezrazmikov"/>
        <w:rPr>
          <w:b/>
          <w:i/>
          <w:sz w:val="24"/>
          <w:szCs w:val="24"/>
          <w:lang w:eastAsia="sl-SI"/>
        </w:rPr>
      </w:pPr>
      <w:r w:rsidRPr="00B84E03">
        <w:rPr>
          <w:b/>
          <w:i/>
          <w:sz w:val="24"/>
          <w:szCs w:val="24"/>
          <w:lang w:eastAsia="sl-SI"/>
        </w:rPr>
        <w:t>5. Mora biti dokumentacija sprejeta s strani Senata/UO? Je dovolj, da se poda le informacija na organe?</w:t>
      </w:r>
    </w:p>
    <w:p w:rsidR="00B84E03" w:rsidRPr="00B84E03" w:rsidRDefault="00B84E03" w:rsidP="00B84E03">
      <w:pPr>
        <w:pStyle w:val="Brezrazmikov"/>
        <w:rPr>
          <w:b/>
          <w:i/>
          <w:sz w:val="24"/>
          <w:szCs w:val="24"/>
          <w:lang w:eastAsia="sl-SI"/>
        </w:rPr>
      </w:pPr>
      <w:r w:rsidRPr="00B84E03">
        <w:rPr>
          <w:b/>
          <w:i/>
          <w:sz w:val="24"/>
          <w:szCs w:val="24"/>
          <w:lang w:eastAsia="sl-SI"/>
        </w:rPr>
        <w:t> </w:t>
      </w:r>
      <w:bookmarkStart w:id="0" w:name="_GoBack"/>
      <w:bookmarkEnd w:id="0"/>
    </w:p>
    <w:p w:rsidR="00B84E03" w:rsidRPr="00B84E03" w:rsidRDefault="00B84E03" w:rsidP="00B84E03">
      <w:pPr>
        <w:pStyle w:val="Brezrazmikov"/>
        <w:rPr>
          <w:sz w:val="24"/>
          <w:szCs w:val="24"/>
          <w:lang w:eastAsia="sl-SI"/>
        </w:rPr>
      </w:pPr>
      <w:r w:rsidRPr="00B84E03">
        <w:rPr>
          <w:i/>
          <w:iCs/>
          <w:sz w:val="24"/>
          <w:szCs w:val="24"/>
          <w:lang w:eastAsia="sl-SI"/>
        </w:rPr>
        <w:t>Odgovor</w:t>
      </w:r>
      <w:r w:rsidRPr="00B84E03">
        <w:rPr>
          <w:sz w:val="24"/>
          <w:szCs w:val="24"/>
          <w:lang w:eastAsia="sl-SI"/>
        </w:rPr>
        <w:t>:</w:t>
      </w:r>
      <w:r w:rsidRPr="00B84E03">
        <w:rPr>
          <w:sz w:val="24"/>
          <w:szCs w:val="24"/>
          <w:lang w:eastAsia="sl-SI"/>
        </w:rPr>
        <w:br/>
        <w:t>Dokumenti, ki jih mora potrditi posamezni organ visokošolskega zavoda, so določeni v zakonodaji in vaših internih aktih. Želimo pa si, da so s (po našem mnenju) tako pomembnimi dokumenti (vsaj) seznanjeni vsi deležniki visokošolskega zavoda. Postopkovno je pomembno, da jih podpiše pristojna oseba.</w:t>
      </w:r>
    </w:p>
    <w:p w:rsidR="00BD3D8B" w:rsidRDefault="00BD3D8B" w:rsidP="00B84E03">
      <w:pPr>
        <w:pStyle w:val="Brezrazmikov"/>
      </w:pPr>
    </w:p>
    <w:sectPr w:rsidR="00BD3D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E03"/>
    <w:rsid w:val="00B84E03"/>
    <w:rsid w:val="00BD3D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B8721-1AD1-488F-B8C3-805DEC88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3">
    <w:name w:val="heading 3"/>
    <w:basedOn w:val="Navaden"/>
    <w:link w:val="Naslov3Znak"/>
    <w:uiPriority w:val="9"/>
    <w:qFormat/>
    <w:rsid w:val="00B84E03"/>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B84E03"/>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B84E0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B84E03"/>
    <w:rPr>
      <w:b/>
      <w:bCs/>
    </w:rPr>
  </w:style>
  <w:style w:type="character" w:styleId="Poudarek">
    <w:name w:val="Emphasis"/>
    <w:basedOn w:val="Privzetapisavaodstavka"/>
    <w:uiPriority w:val="20"/>
    <w:qFormat/>
    <w:rsid w:val="00B84E03"/>
    <w:rPr>
      <w:i/>
      <w:iCs/>
    </w:rPr>
  </w:style>
  <w:style w:type="paragraph" w:styleId="Brezrazmikov">
    <w:name w:val="No Spacing"/>
    <w:uiPriority w:val="1"/>
    <w:qFormat/>
    <w:rsid w:val="00B84E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009960">
      <w:bodyDiv w:val="1"/>
      <w:marLeft w:val="0"/>
      <w:marRight w:val="0"/>
      <w:marTop w:val="0"/>
      <w:marBottom w:val="0"/>
      <w:divBdr>
        <w:top w:val="none" w:sz="0" w:space="0" w:color="auto"/>
        <w:left w:val="none" w:sz="0" w:space="0" w:color="auto"/>
        <w:bottom w:val="none" w:sz="0" w:space="0" w:color="auto"/>
        <w:right w:val="none" w:sz="0" w:space="0" w:color="auto"/>
      </w:divBdr>
      <w:divsChild>
        <w:div w:id="737630519">
          <w:marLeft w:val="0"/>
          <w:marRight w:val="0"/>
          <w:marTop w:val="0"/>
          <w:marBottom w:val="0"/>
          <w:divBdr>
            <w:top w:val="none" w:sz="0" w:space="0" w:color="auto"/>
            <w:left w:val="none" w:sz="0" w:space="0" w:color="auto"/>
            <w:bottom w:val="none" w:sz="0" w:space="0" w:color="auto"/>
            <w:right w:val="none" w:sz="0" w:space="0" w:color="auto"/>
          </w:divBdr>
          <w:divsChild>
            <w:div w:id="814957974">
              <w:marLeft w:val="0"/>
              <w:marRight w:val="0"/>
              <w:marTop w:val="0"/>
              <w:marBottom w:val="0"/>
              <w:divBdr>
                <w:top w:val="none" w:sz="0" w:space="0" w:color="auto"/>
                <w:left w:val="none" w:sz="0" w:space="0" w:color="auto"/>
                <w:bottom w:val="none" w:sz="0" w:space="0" w:color="auto"/>
                <w:right w:val="none" w:sz="0" w:space="0" w:color="auto"/>
              </w:divBdr>
              <w:divsChild>
                <w:div w:id="412819523">
                  <w:marLeft w:val="0"/>
                  <w:marRight w:val="0"/>
                  <w:marTop w:val="0"/>
                  <w:marBottom w:val="0"/>
                  <w:divBdr>
                    <w:top w:val="none" w:sz="0" w:space="0" w:color="auto"/>
                    <w:left w:val="none" w:sz="0" w:space="0" w:color="auto"/>
                    <w:bottom w:val="none" w:sz="0" w:space="0" w:color="auto"/>
                    <w:right w:val="none" w:sz="0" w:space="0" w:color="auto"/>
                  </w:divBdr>
                  <w:divsChild>
                    <w:div w:id="11638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3150</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Švent</dc:creator>
  <cp:keywords/>
  <dc:description/>
  <cp:lastModifiedBy>Maja Švent</cp:lastModifiedBy>
  <cp:revision>1</cp:revision>
  <dcterms:created xsi:type="dcterms:W3CDTF">2019-09-11T08:32:00Z</dcterms:created>
  <dcterms:modified xsi:type="dcterms:W3CDTF">2019-09-11T08:34:00Z</dcterms:modified>
</cp:coreProperties>
</file>