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2103" w14:textId="77777777" w:rsidR="00B81C13" w:rsidRPr="00B81C13" w:rsidRDefault="00B81C13" w:rsidP="00B81C13">
      <w:pPr>
        <w:spacing w:after="0" w:line="240" w:lineRule="auto"/>
        <w:rPr>
          <w:rFonts w:ascii="Tahoma" w:eastAsia="Times New Roman" w:hAnsi="Tahoma" w:cs="Tahoma"/>
          <w:b/>
        </w:rPr>
      </w:pPr>
    </w:p>
    <w:tbl>
      <w:tblPr>
        <w:tblpPr w:leftFromText="142" w:rightFromText="142" w:bottomFromText="6005" w:vertAnchor="page" w:horzAnchor="page" w:tblpX="1175" w:tblpY="869"/>
        <w:tblW w:w="0" w:type="auto"/>
        <w:tblLook w:val="00A0" w:firstRow="1" w:lastRow="0" w:firstColumn="1" w:lastColumn="0" w:noHBand="0" w:noVBand="0"/>
      </w:tblPr>
      <w:tblGrid>
        <w:gridCol w:w="566"/>
      </w:tblGrid>
      <w:tr w:rsidR="00B81C13" w:rsidRPr="00B81C13" w14:paraId="0E03E27E" w14:textId="77777777" w:rsidTr="00AA4BE1">
        <w:trPr>
          <w:cantSplit/>
          <w:trHeight w:hRule="exact" w:val="847"/>
        </w:trPr>
        <w:tc>
          <w:tcPr>
            <w:tcW w:w="566" w:type="dxa"/>
          </w:tcPr>
          <w:p w14:paraId="30D03613" w14:textId="77777777" w:rsidR="00B81C13" w:rsidRPr="00B81C13" w:rsidRDefault="00B81C13" w:rsidP="00B81C13">
            <w:pPr>
              <w:spacing w:after="0" w:line="240" w:lineRule="auto"/>
              <w:rPr>
                <w:rFonts w:ascii="Tahoma" w:eastAsia="Times New Roman" w:hAnsi="Tahoma" w:cs="Tahoma"/>
              </w:rPr>
            </w:pPr>
          </w:p>
          <w:p w14:paraId="3EB74368" w14:textId="77777777" w:rsidR="00B81C13" w:rsidRPr="00B81C13" w:rsidRDefault="00B81C13" w:rsidP="00B81C13">
            <w:pPr>
              <w:spacing w:after="0" w:line="240" w:lineRule="auto"/>
              <w:rPr>
                <w:rFonts w:ascii="Tahoma" w:eastAsia="Times New Roman" w:hAnsi="Tahoma" w:cs="Tahoma"/>
              </w:rPr>
            </w:pPr>
          </w:p>
          <w:p w14:paraId="17A1B1B8" w14:textId="77777777" w:rsidR="00B81C13" w:rsidRPr="00B81C13" w:rsidRDefault="00B81C13" w:rsidP="00B81C13">
            <w:pPr>
              <w:spacing w:after="0" w:line="240" w:lineRule="auto"/>
              <w:rPr>
                <w:rFonts w:ascii="Tahoma" w:eastAsia="Times New Roman" w:hAnsi="Tahoma" w:cs="Tahoma"/>
              </w:rPr>
            </w:pPr>
          </w:p>
          <w:p w14:paraId="312B9784" w14:textId="77777777" w:rsidR="00B81C13" w:rsidRPr="00B81C13" w:rsidRDefault="00B81C13" w:rsidP="00B81C13">
            <w:pPr>
              <w:spacing w:after="0" w:line="240" w:lineRule="auto"/>
              <w:rPr>
                <w:rFonts w:ascii="Tahoma" w:eastAsia="Times New Roman" w:hAnsi="Tahoma" w:cs="Tahoma"/>
              </w:rPr>
            </w:pPr>
          </w:p>
          <w:p w14:paraId="70607B37" w14:textId="77777777" w:rsidR="00B81C13" w:rsidRPr="00B81C13" w:rsidRDefault="00B81C13" w:rsidP="00B81C13">
            <w:pPr>
              <w:spacing w:after="0" w:line="240" w:lineRule="auto"/>
              <w:rPr>
                <w:rFonts w:ascii="Tahoma" w:eastAsia="Times New Roman" w:hAnsi="Tahoma" w:cs="Tahoma"/>
              </w:rPr>
            </w:pPr>
          </w:p>
          <w:p w14:paraId="4063EC22" w14:textId="77777777" w:rsidR="00B81C13" w:rsidRPr="00B81C13" w:rsidRDefault="00B81C13" w:rsidP="00B81C13">
            <w:pPr>
              <w:spacing w:after="0" w:line="240" w:lineRule="auto"/>
              <w:rPr>
                <w:rFonts w:ascii="Tahoma" w:eastAsia="Times New Roman" w:hAnsi="Tahoma" w:cs="Tahoma"/>
              </w:rPr>
            </w:pPr>
          </w:p>
          <w:p w14:paraId="5466B7A1" w14:textId="77777777" w:rsidR="00B81C13" w:rsidRPr="00B81C13" w:rsidRDefault="00B81C13" w:rsidP="00B81C13">
            <w:pPr>
              <w:spacing w:after="0" w:line="240" w:lineRule="auto"/>
              <w:rPr>
                <w:rFonts w:ascii="Tahoma" w:eastAsia="Times New Roman" w:hAnsi="Tahoma" w:cs="Tahoma"/>
              </w:rPr>
            </w:pPr>
          </w:p>
          <w:p w14:paraId="039F8F2E" w14:textId="77777777" w:rsidR="00B81C13" w:rsidRPr="00B81C13" w:rsidRDefault="00B81C13" w:rsidP="00B81C13">
            <w:pPr>
              <w:spacing w:after="0" w:line="240" w:lineRule="auto"/>
              <w:rPr>
                <w:rFonts w:ascii="Tahoma" w:eastAsia="Times New Roman" w:hAnsi="Tahoma" w:cs="Tahoma"/>
              </w:rPr>
            </w:pPr>
          </w:p>
          <w:p w14:paraId="1B449C93" w14:textId="77777777" w:rsidR="00B81C13" w:rsidRPr="00B81C13" w:rsidRDefault="00B81C13" w:rsidP="00B81C13">
            <w:pPr>
              <w:spacing w:after="0" w:line="240" w:lineRule="auto"/>
              <w:rPr>
                <w:rFonts w:ascii="Tahoma" w:eastAsia="Times New Roman" w:hAnsi="Tahoma" w:cs="Tahoma"/>
              </w:rPr>
            </w:pPr>
          </w:p>
          <w:p w14:paraId="3237641B" w14:textId="77777777" w:rsidR="00B81C13" w:rsidRPr="00B81C13" w:rsidRDefault="00B81C13" w:rsidP="00B81C13">
            <w:pPr>
              <w:spacing w:after="0" w:line="240" w:lineRule="auto"/>
              <w:rPr>
                <w:rFonts w:ascii="Tahoma" w:eastAsia="Times New Roman" w:hAnsi="Tahoma" w:cs="Tahoma"/>
              </w:rPr>
            </w:pPr>
          </w:p>
          <w:p w14:paraId="12083C33" w14:textId="77777777" w:rsidR="00B81C13" w:rsidRPr="00B81C13" w:rsidRDefault="00B81C13" w:rsidP="00B81C13">
            <w:pPr>
              <w:spacing w:after="0" w:line="240" w:lineRule="auto"/>
              <w:rPr>
                <w:rFonts w:ascii="Tahoma" w:eastAsia="Times New Roman" w:hAnsi="Tahoma" w:cs="Tahoma"/>
              </w:rPr>
            </w:pPr>
          </w:p>
          <w:p w14:paraId="60FA2294" w14:textId="77777777" w:rsidR="00B81C13" w:rsidRPr="00B81C13" w:rsidRDefault="00B81C13" w:rsidP="00B81C13">
            <w:pPr>
              <w:spacing w:after="0" w:line="240" w:lineRule="auto"/>
              <w:rPr>
                <w:rFonts w:ascii="Tahoma" w:eastAsia="Times New Roman" w:hAnsi="Tahoma" w:cs="Tahoma"/>
              </w:rPr>
            </w:pPr>
          </w:p>
          <w:p w14:paraId="770D6E7D" w14:textId="77777777" w:rsidR="00B81C13" w:rsidRPr="00B81C13" w:rsidRDefault="00B81C13" w:rsidP="00B81C13">
            <w:pPr>
              <w:spacing w:after="0" w:line="240" w:lineRule="auto"/>
              <w:rPr>
                <w:rFonts w:ascii="Tahoma" w:eastAsia="Times New Roman" w:hAnsi="Tahoma" w:cs="Tahoma"/>
              </w:rPr>
            </w:pPr>
          </w:p>
          <w:p w14:paraId="5954B2BC" w14:textId="77777777" w:rsidR="00B81C13" w:rsidRPr="00B81C13" w:rsidRDefault="00B81C13" w:rsidP="00B81C13">
            <w:pPr>
              <w:spacing w:after="0" w:line="240" w:lineRule="auto"/>
              <w:rPr>
                <w:rFonts w:ascii="Tahoma" w:eastAsia="Times New Roman" w:hAnsi="Tahoma" w:cs="Tahoma"/>
              </w:rPr>
            </w:pPr>
          </w:p>
          <w:p w14:paraId="2159C3EB" w14:textId="77777777" w:rsidR="00B81C13" w:rsidRPr="00B81C13" w:rsidRDefault="00B81C13" w:rsidP="00B81C13">
            <w:pPr>
              <w:spacing w:after="0" w:line="240" w:lineRule="auto"/>
              <w:rPr>
                <w:rFonts w:ascii="Tahoma" w:eastAsia="Times New Roman" w:hAnsi="Tahoma" w:cs="Tahoma"/>
              </w:rPr>
            </w:pPr>
          </w:p>
          <w:p w14:paraId="0BBDDE40" w14:textId="77777777" w:rsidR="00B81C13" w:rsidRPr="00B81C13" w:rsidRDefault="00B81C13" w:rsidP="00B81C13">
            <w:pPr>
              <w:spacing w:after="0" w:line="240" w:lineRule="auto"/>
              <w:rPr>
                <w:rFonts w:ascii="Tahoma" w:eastAsia="Times New Roman" w:hAnsi="Tahoma" w:cs="Tahoma"/>
              </w:rPr>
            </w:pPr>
          </w:p>
        </w:tc>
      </w:tr>
    </w:tbl>
    <w:p w14:paraId="4614B9D0" w14:textId="2C518A6E" w:rsidR="00B81C13" w:rsidRPr="00B81C13" w:rsidRDefault="00B81C13" w:rsidP="00B81C13">
      <w:pPr>
        <w:autoSpaceDE w:val="0"/>
        <w:autoSpaceDN w:val="0"/>
        <w:adjustRightInd w:val="0"/>
        <w:spacing w:after="0" w:line="240" w:lineRule="auto"/>
        <w:rPr>
          <w:rFonts w:ascii="Tahoma" w:eastAsia="Times New Roman" w:hAnsi="Tahoma" w:cs="Tahoma"/>
        </w:rPr>
      </w:pPr>
      <w:r>
        <w:rPr>
          <w:noProof/>
          <w:lang w:eastAsia="sl-SI"/>
        </w:rPr>
        <mc:AlternateContent>
          <mc:Choice Requires="wps">
            <w:drawing>
              <wp:anchor distT="4294967294" distB="4294967294" distL="114300" distR="114300" simplePos="0" relativeHeight="251659264" behindDoc="1" locked="0" layoutInCell="0" allowOverlap="1" wp14:anchorId="242A477C" wp14:editId="4F38576E">
                <wp:simplePos x="0" y="0"/>
                <wp:positionH relativeFrom="column">
                  <wp:posOffset>-431800</wp:posOffset>
                </wp:positionH>
                <wp:positionV relativeFrom="page">
                  <wp:posOffset>3600449</wp:posOffset>
                </wp:positionV>
                <wp:extent cx="252095" cy="0"/>
                <wp:effectExtent l="0" t="0" r="1460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052803" id="Raven povezovalnik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3F7C63" w:rsidRPr="008F3500" w14:paraId="5859BEC5" w14:textId="77777777" w:rsidTr="0033076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DEDD6E3" w14:textId="77777777" w:rsidR="003F7C63" w:rsidRPr="006D42D9" w:rsidRDefault="003F7C63" w:rsidP="00330761">
            <w:pPr>
              <w:rPr>
                <w:rFonts w:ascii="Republika" w:hAnsi="Republika"/>
                <w:sz w:val="60"/>
                <w:szCs w:val="60"/>
              </w:rPr>
            </w:pPr>
          </w:p>
        </w:tc>
      </w:tr>
    </w:tbl>
    <w:p w14:paraId="05F87299" w14:textId="77777777" w:rsidR="003F7C63" w:rsidRPr="008F3500" w:rsidRDefault="003F7C63" w:rsidP="003F7C63">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61312" behindDoc="1" locked="0" layoutInCell="0" allowOverlap="1" wp14:anchorId="40C58A96" wp14:editId="75627966">
                <wp:simplePos x="0" y="0"/>
                <wp:positionH relativeFrom="column">
                  <wp:posOffset>-431800</wp:posOffset>
                </wp:positionH>
                <wp:positionV relativeFrom="page">
                  <wp:posOffset>3600450</wp:posOffset>
                </wp:positionV>
                <wp:extent cx="252095" cy="0"/>
                <wp:effectExtent l="6350" t="9525" r="8255" b="9525"/>
                <wp:wrapNone/>
                <wp:docPr id="3"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A6107" id="Line 5"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75101B2" w14:textId="77777777" w:rsidR="003F7C63" w:rsidRPr="008A4089" w:rsidRDefault="003F7C63" w:rsidP="003F7C63">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69BAC049" w14:textId="77777777" w:rsidR="003F7C63" w:rsidRPr="008F3500" w:rsidRDefault="003F7C63" w:rsidP="003F7C63">
      <w:pPr>
        <w:pStyle w:val="Glava"/>
        <w:tabs>
          <w:tab w:val="clear" w:pos="4320"/>
          <w:tab w:val="clear" w:pos="8640"/>
          <w:tab w:val="left" w:pos="5112"/>
        </w:tabs>
        <w:spacing w:before="120" w:line="240" w:lineRule="exact"/>
        <w:rPr>
          <w:rFonts w:cs="Arial"/>
          <w:sz w:val="16"/>
        </w:rPr>
      </w:pPr>
      <w:r>
        <w:rPr>
          <w:rFonts w:cs="Arial"/>
          <w:sz w:val="16"/>
        </w:rPr>
        <w:t>Masarykova cesta 16, 1000 Ljubljana</w:t>
      </w:r>
      <w:r w:rsidRPr="008F3500">
        <w:rPr>
          <w:rFonts w:cs="Arial"/>
          <w:sz w:val="16"/>
        </w:rPr>
        <w:tab/>
        <w:t xml:space="preserve">T: </w:t>
      </w:r>
      <w:r>
        <w:rPr>
          <w:rFonts w:cs="Arial"/>
          <w:sz w:val="16"/>
        </w:rPr>
        <w:t>01 400 52 00</w:t>
      </w:r>
    </w:p>
    <w:p w14:paraId="3C6F9A52" w14:textId="77777777" w:rsidR="003F7C63" w:rsidRPr="008F3500" w:rsidRDefault="003F7C63" w:rsidP="003F7C63">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01 400 53 21</w:t>
      </w:r>
    </w:p>
    <w:p w14:paraId="2080018D" w14:textId="77777777" w:rsidR="003F7C63" w:rsidRPr="008F3500" w:rsidRDefault="003F7C63" w:rsidP="003F7C63">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gp.mvi@gov.si</w:t>
      </w:r>
    </w:p>
    <w:p w14:paraId="69C835D1" w14:textId="77777777" w:rsidR="003F7C63" w:rsidRPr="008F3500" w:rsidRDefault="003F7C63" w:rsidP="003F7C63">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www.mvi.gov.si</w:t>
      </w:r>
    </w:p>
    <w:p w14:paraId="5EFCB8B5" w14:textId="3F11AE32" w:rsidR="00B81C13" w:rsidRPr="00B81C13" w:rsidRDefault="00B81C13" w:rsidP="00B81C13">
      <w:pPr>
        <w:tabs>
          <w:tab w:val="left" w:pos="5112"/>
        </w:tabs>
        <w:spacing w:before="240" w:after="0" w:line="240" w:lineRule="exact"/>
        <w:rPr>
          <w:rFonts w:ascii="Tahoma" w:eastAsia="Times New Roman" w:hAnsi="Tahoma" w:cs="Tahoma"/>
        </w:rPr>
      </w:pPr>
      <w:r w:rsidRPr="00B81C13">
        <w:rPr>
          <w:rFonts w:ascii="Tahoma" w:eastAsia="Times New Roman" w:hAnsi="Tahoma" w:cs="Tahoma"/>
        </w:rPr>
        <w:tab/>
      </w:r>
    </w:p>
    <w:p w14:paraId="2046D471" w14:textId="77777777" w:rsidR="00B81C13" w:rsidRPr="00B81C13" w:rsidRDefault="00B81C13" w:rsidP="00B81C13">
      <w:pPr>
        <w:tabs>
          <w:tab w:val="left" w:pos="5112"/>
        </w:tabs>
        <w:spacing w:after="0" w:line="240" w:lineRule="exact"/>
        <w:rPr>
          <w:rFonts w:ascii="Tahoma" w:eastAsia="Times New Roman" w:hAnsi="Tahoma" w:cs="Tahoma"/>
        </w:rPr>
      </w:pPr>
      <w:r w:rsidRPr="00B81C13">
        <w:rPr>
          <w:rFonts w:ascii="Tahoma" w:eastAsia="Times New Roman" w:hAnsi="Tahoma" w:cs="Tahoma"/>
        </w:rPr>
        <w:tab/>
      </w:r>
    </w:p>
    <w:p w14:paraId="26E2A354" w14:textId="0275B639" w:rsidR="009C40BF" w:rsidRPr="0076287C" w:rsidRDefault="009C40BF" w:rsidP="009C40BF">
      <w:pPr>
        <w:autoSpaceDE w:val="0"/>
        <w:autoSpaceDN w:val="0"/>
        <w:adjustRightInd w:val="0"/>
        <w:spacing w:after="0" w:line="240" w:lineRule="atLeast"/>
        <w:jc w:val="both"/>
        <w:rPr>
          <w:rFonts w:ascii="Arial" w:eastAsia="Times New Roman" w:hAnsi="Arial" w:cs="Arial"/>
          <w:lang w:eastAsia="sl-SI"/>
        </w:rPr>
      </w:pPr>
      <w:r w:rsidRPr="0076287C">
        <w:rPr>
          <w:rFonts w:ascii="Arial" w:eastAsia="Times New Roman" w:hAnsi="Arial" w:cs="Arial"/>
          <w:lang w:eastAsia="sl-SI"/>
        </w:rPr>
        <w:t xml:space="preserve">Številka: </w:t>
      </w:r>
      <w:r>
        <w:rPr>
          <w:rFonts w:ascii="Arial" w:eastAsia="Times New Roman" w:hAnsi="Arial" w:cs="Arial"/>
          <w:lang w:eastAsia="sl-SI"/>
        </w:rPr>
        <w:t>013-26/2012/</w:t>
      </w:r>
      <w:r w:rsidR="00DD3181">
        <w:rPr>
          <w:rFonts w:ascii="Arial" w:eastAsia="Times New Roman" w:hAnsi="Arial" w:cs="Arial"/>
          <w:lang w:eastAsia="sl-SI"/>
        </w:rPr>
        <w:t>552</w:t>
      </w:r>
    </w:p>
    <w:p w14:paraId="5FA09226" w14:textId="319446B7" w:rsidR="009C40BF" w:rsidRPr="0076287C" w:rsidRDefault="009C40BF" w:rsidP="009C40BF">
      <w:pPr>
        <w:autoSpaceDE w:val="0"/>
        <w:autoSpaceDN w:val="0"/>
        <w:adjustRightInd w:val="0"/>
        <w:spacing w:after="0" w:line="240" w:lineRule="atLeast"/>
        <w:jc w:val="both"/>
        <w:rPr>
          <w:rFonts w:ascii="Arial" w:eastAsia="Times New Roman" w:hAnsi="Arial" w:cs="Arial"/>
          <w:lang w:eastAsia="sl-SI"/>
        </w:rPr>
      </w:pPr>
      <w:r w:rsidRPr="0076287C">
        <w:rPr>
          <w:rFonts w:ascii="Arial" w:eastAsia="Times New Roman" w:hAnsi="Arial" w:cs="Arial"/>
          <w:lang w:eastAsia="sl-SI"/>
        </w:rPr>
        <w:t>Datum:</w:t>
      </w:r>
      <w:r>
        <w:rPr>
          <w:rFonts w:ascii="Arial" w:eastAsia="Times New Roman" w:hAnsi="Arial" w:cs="Arial"/>
          <w:lang w:eastAsia="sl-SI"/>
        </w:rPr>
        <w:t xml:space="preserve"> </w:t>
      </w:r>
      <w:r w:rsidR="005B3464">
        <w:rPr>
          <w:rFonts w:ascii="Arial" w:eastAsia="Times New Roman" w:hAnsi="Arial" w:cs="Arial"/>
          <w:lang w:eastAsia="sl-SI"/>
        </w:rPr>
        <w:t xml:space="preserve">  </w:t>
      </w:r>
      <w:r w:rsidR="00B8260E">
        <w:rPr>
          <w:rFonts w:ascii="Arial" w:eastAsia="Times New Roman" w:hAnsi="Arial" w:cs="Arial"/>
          <w:lang w:eastAsia="sl-SI"/>
        </w:rPr>
        <w:t>16</w:t>
      </w:r>
      <w:r>
        <w:rPr>
          <w:rFonts w:ascii="Arial" w:eastAsia="Times New Roman" w:hAnsi="Arial" w:cs="Arial"/>
          <w:lang w:eastAsia="sl-SI"/>
        </w:rPr>
        <w:t xml:space="preserve">. </w:t>
      </w:r>
      <w:r w:rsidR="002B5127">
        <w:rPr>
          <w:rFonts w:ascii="Arial" w:eastAsia="Times New Roman" w:hAnsi="Arial" w:cs="Arial"/>
          <w:lang w:eastAsia="sl-SI"/>
        </w:rPr>
        <w:t xml:space="preserve">2. </w:t>
      </w:r>
      <w:r w:rsidRPr="0076287C">
        <w:rPr>
          <w:rFonts w:ascii="Arial" w:eastAsia="Times New Roman" w:hAnsi="Arial" w:cs="Arial"/>
          <w:lang w:eastAsia="sl-SI"/>
        </w:rPr>
        <w:t>202</w:t>
      </w:r>
      <w:r w:rsidR="002B5127">
        <w:rPr>
          <w:rFonts w:ascii="Arial" w:eastAsia="Times New Roman" w:hAnsi="Arial" w:cs="Arial"/>
          <w:lang w:eastAsia="sl-SI"/>
        </w:rPr>
        <w:t>3</w:t>
      </w:r>
    </w:p>
    <w:p w14:paraId="2E13A455" w14:textId="77777777" w:rsidR="009C40BF" w:rsidRDefault="009C40BF" w:rsidP="009C40BF">
      <w:pPr>
        <w:jc w:val="both"/>
        <w:rPr>
          <w:rFonts w:ascii="Tahoma" w:hAnsi="Tahoma" w:cs="Tahoma"/>
        </w:rPr>
      </w:pPr>
    </w:p>
    <w:p w14:paraId="19E5FB33" w14:textId="3FBF7C06" w:rsidR="009C40BF" w:rsidRDefault="009C40BF" w:rsidP="00D25A98">
      <w:pPr>
        <w:jc w:val="both"/>
        <w:rPr>
          <w:rFonts w:ascii="Tahoma" w:hAnsi="Tahoma" w:cs="Tahoma"/>
        </w:rPr>
      </w:pPr>
      <w:r w:rsidRPr="002F2380">
        <w:rPr>
          <w:rFonts w:ascii="Tahoma" w:hAnsi="Tahoma" w:cs="Tahoma"/>
        </w:rPr>
        <w:t>Ministrstvo za</w:t>
      </w:r>
      <w:r w:rsidR="005B3464">
        <w:rPr>
          <w:rFonts w:ascii="Tahoma" w:hAnsi="Tahoma" w:cs="Tahoma"/>
        </w:rPr>
        <w:t xml:space="preserve"> vzgojo in</w:t>
      </w:r>
      <w:r w:rsidRPr="002F2380">
        <w:rPr>
          <w:rFonts w:ascii="Tahoma" w:hAnsi="Tahoma" w:cs="Tahoma"/>
        </w:rPr>
        <w:t xml:space="preserve"> izobraževanje na podlagi Sklepa o izb</w:t>
      </w:r>
      <w:r>
        <w:rPr>
          <w:rFonts w:ascii="Tahoma" w:hAnsi="Tahoma" w:cs="Tahoma"/>
        </w:rPr>
        <w:t>oru tem</w:t>
      </w:r>
      <w:r w:rsidRPr="002F2380">
        <w:rPr>
          <w:rFonts w:ascii="Tahoma" w:hAnsi="Tahoma" w:cs="Tahoma"/>
        </w:rPr>
        <w:t xml:space="preserve"> nacionalni</w:t>
      </w:r>
      <w:r>
        <w:rPr>
          <w:rFonts w:ascii="Tahoma" w:hAnsi="Tahoma" w:cs="Tahoma"/>
        </w:rPr>
        <w:t>h</w:t>
      </w:r>
      <w:r w:rsidRPr="002F2380">
        <w:rPr>
          <w:rFonts w:ascii="Tahoma" w:hAnsi="Tahoma" w:cs="Tahoma"/>
        </w:rPr>
        <w:t xml:space="preserve"> evalvacijski</w:t>
      </w:r>
      <w:r>
        <w:rPr>
          <w:rFonts w:ascii="Tahoma" w:hAnsi="Tahoma" w:cs="Tahoma"/>
        </w:rPr>
        <w:t>h</w:t>
      </w:r>
      <w:r w:rsidRPr="002F2380">
        <w:rPr>
          <w:rFonts w:ascii="Tahoma" w:hAnsi="Tahoma" w:cs="Tahoma"/>
        </w:rPr>
        <w:t xml:space="preserve"> študij in </w:t>
      </w:r>
      <w:r>
        <w:rPr>
          <w:rFonts w:ascii="Tahoma" w:hAnsi="Tahoma" w:cs="Tahoma"/>
        </w:rPr>
        <w:t xml:space="preserve">njihovem financiranju </w:t>
      </w:r>
      <w:r w:rsidRPr="002F2380">
        <w:rPr>
          <w:rFonts w:ascii="Tahoma" w:hAnsi="Tahoma" w:cs="Tahoma"/>
        </w:rPr>
        <w:t xml:space="preserve">za obdobje 24 mesecev št. </w:t>
      </w:r>
      <w:r>
        <w:rPr>
          <w:rFonts w:ascii="Tahoma" w:hAnsi="Tahoma" w:cs="Tahoma"/>
        </w:rPr>
        <w:t>013-26/2012/507</w:t>
      </w:r>
      <w:r w:rsidRPr="002F2380">
        <w:rPr>
          <w:rFonts w:ascii="Tahoma" w:hAnsi="Tahoma" w:cs="Tahoma"/>
        </w:rPr>
        <w:t xml:space="preserve"> </w:t>
      </w:r>
      <w:r>
        <w:rPr>
          <w:rFonts w:ascii="Tahoma" w:hAnsi="Tahoma" w:cs="Tahoma"/>
        </w:rPr>
        <w:t>z dne 6. 4. 202</w:t>
      </w:r>
      <w:r w:rsidR="005B3464">
        <w:rPr>
          <w:rFonts w:ascii="Tahoma" w:hAnsi="Tahoma" w:cs="Tahoma"/>
        </w:rPr>
        <w:t xml:space="preserve"> </w:t>
      </w:r>
      <w:bookmarkStart w:id="0" w:name="_Hlk126839854"/>
      <w:r w:rsidR="005B3464">
        <w:rPr>
          <w:rFonts w:ascii="Tahoma" w:hAnsi="Tahoma" w:cs="Tahoma"/>
        </w:rPr>
        <w:t xml:space="preserve">in spremembe Sklepa o izboru tem </w:t>
      </w:r>
      <w:r w:rsidR="005B3464" w:rsidRPr="002F2380">
        <w:rPr>
          <w:rFonts w:ascii="Tahoma" w:hAnsi="Tahoma" w:cs="Tahoma"/>
        </w:rPr>
        <w:t>nacionalni</w:t>
      </w:r>
      <w:r w:rsidR="005B3464">
        <w:rPr>
          <w:rFonts w:ascii="Tahoma" w:hAnsi="Tahoma" w:cs="Tahoma"/>
        </w:rPr>
        <w:t>h</w:t>
      </w:r>
      <w:r w:rsidR="005B3464" w:rsidRPr="002F2380">
        <w:rPr>
          <w:rFonts w:ascii="Tahoma" w:hAnsi="Tahoma" w:cs="Tahoma"/>
        </w:rPr>
        <w:t xml:space="preserve"> </w:t>
      </w:r>
      <w:proofErr w:type="spellStart"/>
      <w:r w:rsidR="005B3464" w:rsidRPr="002F2380">
        <w:rPr>
          <w:rFonts w:ascii="Tahoma" w:hAnsi="Tahoma" w:cs="Tahoma"/>
        </w:rPr>
        <w:t>evalvacijski</w:t>
      </w:r>
      <w:r w:rsidR="005B3464">
        <w:rPr>
          <w:rFonts w:ascii="Tahoma" w:hAnsi="Tahoma" w:cs="Tahoma"/>
        </w:rPr>
        <w:t>h</w:t>
      </w:r>
      <w:proofErr w:type="spellEnd"/>
      <w:r w:rsidR="005B3464" w:rsidRPr="002F2380">
        <w:rPr>
          <w:rFonts w:ascii="Tahoma" w:hAnsi="Tahoma" w:cs="Tahoma"/>
        </w:rPr>
        <w:t xml:space="preserve"> študij </w:t>
      </w:r>
      <w:r w:rsidR="005B3464">
        <w:rPr>
          <w:rFonts w:ascii="Tahoma" w:hAnsi="Tahoma" w:cs="Tahoma"/>
        </w:rPr>
        <w:t xml:space="preserve">in njihovem financiranju za obdobje 24 mesecev št. 013-26/2012/  dne </w:t>
      </w:r>
      <w:r>
        <w:rPr>
          <w:rFonts w:ascii="Tahoma" w:hAnsi="Tahoma" w:cs="Tahoma"/>
        </w:rPr>
        <w:t>2</w:t>
      </w:r>
      <w:r w:rsidR="005B3464">
        <w:rPr>
          <w:rFonts w:ascii="Tahoma" w:hAnsi="Tahoma" w:cs="Tahoma"/>
        </w:rPr>
        <w:t>023</w:t>
      </w:r>
      <w:bookmarkEnd w:id="0"/>
      <w:r>
        <w:rPr>
          <w:rFonts w:ascii="Tahoma" w:hAnsi="Tahoma" w:cs="Tahoma"/>
        </w:rPr>
        <w:t xml:space="preserve">, </w:t>
      </w:r>
      <w:r w:rsidRPr="004D34B1">
        <w:rPr>
          <w:rFonts w:ascii="Tahoma" w:hAnsi="Tahoma" w:cs="Tahoma"/>
        </w:rPr>
        <w:t xml:space="preserve">na podlagi 19. člena </w:t>
      </w:r>
      <w:r w:rsidRPr="004D34B1">
        <w:rPr>
          <w:rFonts w:ascii="Tahoma" w:eastAsiaTheme="minorHAnsi" w:hAnsi="Tahoma" w:cs="Tahoma"/>
          <w:color w:val="000000"/>
        </w:rPr>
        <w:t>Pravilnika o posodabljanju vzgojno-izobraževalnega dela (Uradni list RS, št. 7/14, 27/17 in 47/19) v zvezi s</w:t>
      </w:r>
      <w:r>
        <w:rPr>
          <w:rFonts w:ascii="Helv" w:eastAsiaTheme="minorHAnsi" w:hAnsi="Helv" w:cs="Helv"/>
          <w:color w:val="000000"/>
          <w:sz w:val="20"/>
          <w:szCs w:val="20"/>
        </w:rPr>
        <w:t xml:space="preserve"> </w:t>
      </w:r>
      <w:r w:rsidRPr="002F2380">
        <w:rPr>
          <w:rFonts w:ascii="Tahoma" w:hAnsi="Tahoma" w:cs="Tahoma"/>
        </w:rPr>
        <w:t xml:space="preserve"> 5.</w:t>
      </w:r>
      <w:r>
        <w:rPr>
          <w:rFonts w:ascii="Tahoma" w:hAnsi="Tahoma" w:cs="Tahoma"/>
        </w:rPr>
        <w:t xml:space="preserve"> in 6.</w:t>
      </w:r>
      <w:r w:rsidRPr="002F2380">
        <w:rPr>
          <w:rFonts w:ascii="Tahoma" w:hAnsi="Tahoma" w:cs="Tahoma"/>
        </w:rPr>
        <w:t xml:space="preserve"> člen</w:t>
      </w:r>
      <w:r>
        <w:rPr>
          <w:rFonts w:ascii="Tahoma" w:hAnsi="Tahoma" w:cs="Tahoma"/>
        </w:rPr>
        <w:t>om</w:t>
      </w:r>
      <w:r w:rsidRPr="002F2380">
        <w:rPr>
          <w:rFonts w:ascii="Tahoma" w:hAnsi="Tahoma" w:cs="Tahoma"/>
        </w:rPr>
        <w:t xml:space="preserve"> Protokola o določanju in načinu izvajanja nacionalnih evalvacijskih študij z dne </w:t>
      </w:r>
      <w:r>
        <w:rPr>
          <w:rFonts w:ascii="Tahoma" w:hAnsi="Tahoma" w:cs="Tahoma"/>
        </w:rPr>
        <w:t xml:space="preserve">5.2.2015, 17.5.2018 in 14.12.2018 (v nadaljevanju Protokol) </w:t>
      </w:r>
      <w:r w:rsidRPr="002F2380">
        <w:rPr>
          <w:rFonts w:ascii="Tahoma" w:hAnsi="Tahoma" w:cs="Tahoma"/>
        </w:rPr>
        <w:t>objavlja</w:t>
      </w:r>
    </w:p>
    <w:p w14:paraId="4B885E22" w14:textId="77777777" w:rsidR="00D25A98" w:rsidRPr="00D25A98" w:rsidRDefault="00D25A98" w:rsidP="00D25A98">
      <w:pPr>
        <w:jc w:val="both"/>
        <w:rPr>
          <w:rFonts w:ascii="Tahoma" w:hAnsi="Tahoma" w:cs="Tahoma"/>
        </w:rPr>
      </w:pPr>
    </w:p>
    <w:p w14:paraId="2D61B64A" w14:textId="77777777" w:rsidR="00F946F0" w:rsidRPr="00B74545" w:rsidRDefault="00F946F0" w:rsidP="00F946F0">
      <w:pPr>
        <w:autoSpaceDE w:val="0"/>
        <w:autoSpaceDN w:val="0"/>
        <w:adjustRightInd w:val="0"/>
        <w:spacing w:line="360" w:lineRule="auto"/>
        <w:jc w:val="center"/>
        <w:rPr>
          <w:rFonts w:ascii="Tahoma" w:eastAsia="Times New Roman" w:hAnsi="Tahoma" w:cs="Tahoma"/>
          <w:b/>
          <w:sz w:val="24"/>
          <w:szCs w:val="24"/>
          <w:lang w:eastAsia="sl-SI"/>
        </w:rPr>
      </w:pPr>
      <w:r w:rsidRPr="00B74545">
        <w:rPr>
          <w:rFonts w:ascii="Tahoma" w:eastAsia="Times New Roman" w:hAnsi="Tahoma" w:cs="Tahoma"/>
          <w:b/>
          <w:sz w:val="24"/>
          <w:szCs w:val="24"/>
          <w:lang w:eastAsia="sl-SI"/>
        </w:rPr>
        <w:t>JAVNO POVABILO</w:t>
      </w:r>
    </w:p>
    <w:p w14:paraId="189AF83F" w14:textId="5E5795C0" w:rsidR="00F946F0" w:rsidRPr="00B74545" w:rsidRDefault="00F946F0" w:rsidP="00F946F0">
      <w:pPr>
        <w:autoSpaceDE w:val="0"/>
        <w:autoSpaceDN w:val="0"/>
        <w:adjustRightInd w:val="0"/>
        <w:spacing w:line="360" w:lineRule="auto"/>
        <w:jc w:val="center"/>
        <w:rPr>
          <w:rFonts w:ascii="Tahoma" w:eastAsia="Times New Roman" w:hAnsi="Tahoma" w:cs="Tahoma"/>
          <w:b/>
          <w:lang w:eastAsia="sl-SI"/>
        </w:rPr>
      </w:pPr>
      <w:r w:rsidRPr="00B74545">
        <w:rPr>
          <w:rFonts w:ascii="Tahoma" w:eastAsia="Times New Roman" w:hAnsi="Tahoma" w:cs="Tahoma"/>
          <w:b/>
          <w:lang w:eastAsia="sl-SI"/>
        </w:rPr>
        <w:t xml:space="preserve">za zbiranje predlogov za nacionalno evalvacijsko študijo s trajanjem </w:t>
      </w:r>
      <w:r w:rsidR="007B106D" w:rsidRPr="00B74545">
        <w:rPr>
          <w:rFonts w:ascii="Tahoma" w:eastAsia="Times New Roman" w:hAnsi="Tahoma" w:cs="Tahoma"/>
          <w:b/>
          <w:lang w:eastAsia="sl-SI"/>
        </w:rPr>
        <w:t>24</w:t>
      </w:r>
      <w:r w:rsidRPr="00B74545">
        <w:rPr>
          <w:rFonts w:ascii="Tahoma" w:eastAsia="Times New Roman" w:hAnsi="Tahoma" w:cs="Tahoma"/>
          <w:b/>
          <w:lang w:eastAsia="sl-SI"/>
        </w:rPr>
        <w:t xml:space="preserve"> mesecev z naslovom</w:t>
      </w:r>
    </w:p>
    <w:p w14:paraId="0C3247AE" w14:textId="305F8D03" w:rsidR="00F946F0" w:rsidRPr="00B74545" w:rsidRDefault="00F946F0" w:rsidP="00F946F0">
      <w:pPr>
        <w:autoSpaceDE w:val="0"/>
        <w:autoSpaceDN w:val="0"/>
        <w:adjustRightInd w:val="0"/>
        <w:spacing w:line="360" w:lineRule="auto"/>
        <w:jc w:val="center"/>
        <w:textDirection w:val="btLr"/>
        <w:rPr>
          <w:rFonts w:ascii="Tahoma" w:eastAsia="Times New Roman" w:hAnsi="Tahoma" w:cs="Tahoma"/>
          <w:b/>
          <w:sz w:val="24"/>
          <w:szCs w:val="24"/>
          <w:lang w:eastAsia="sl-SI"/>
        </w:rPr>
      </w:pPr>
      <w:r w:rsidRPr="00B74545">
        <w:rPr>
          <w:rFonts w:ascii="Tahoma" w:eastAsia="Times New Roman" w:hAnsi="Tahoma" w:cs="Tahoma"/>
          <w:b/>
          <w:sz w:val="24"/>
          <w:szCs w:val="24"/>
          <w:lang w:eastAsia="sl-SI"/>
        </w:rPr>
        <w:t xml:space="preserve">ANALIZA DEJAVNIKOV VPLIVA NA KARIERNE IZBIRE OTROK IN MLADOSTNIKOV TER ODLOČITVE GLEDE NJIHOVE IZOBRAŽEVALNE POTI OB KONCU OSNOVNE IN SREDNJE ŠOLE </w:t>
      </w:r>
    </w:p>
    <w:p w14:paraId="7FF499ED" w14:textId="5150FBA6" w:rsidR="00F946F0" w:rsidRPr="00B74545" w:rsidRDefault="00F946F0" w:rsidP="00F946F0">
      <w:pPr>
        <w:spacing w:after="0" w:line="240" w:lineRule="auto"/>
        <w:jc w:val="both"/>
        <w:rPr>
          <w:rFonts w:ascii="Tahoma" w:hAnsi="Tahoma" w:cs="Tahoma"/>
        </w:rPr>
      </w:pPr>
      <w:r w:rsidRPr="00B74545">
        <w:rPr>
          <w:rFonts w:ascii="Tahoma" w:hAnsi="Tahoma" w:cs="Tahoma"/>
        </w:rPr>
        <w:t>Karierne odločitve so za posameznika pomembni mejniki v življenju. Te morajo mladi sprejemati že zelo zgodaj, zato so lahko še toliko bolj pogosto povezane s pozitivnimi, pa tudi negativnimi psihološkimi, fiziološkimi ter družbeno-ekonomskimi dejavniki, ki bodo te posameznike zaznamovale tudi po opravljeni tranziciji v odraslost (glej npr. Robertson, 2014). Kompleksnost kariernega odločanja s starostjo sicer narašča (Gati in Saka, 2001), saj otroci pod vtisom idealnih karier in utopičnih pričakovanj pogosto poročajo neuresničljive želje, ko pa začnejo odraščati, te odločitve postanejo dinamičen preplet razvojnih stopenj in prevladujočih okoljskih okoliščin (Howard in Walsh, 2011). Zato je za karierno odločanje mladih izjemnega pomena razumevanje njihovih individualnih želja ter s tem povezano odkrivanje različnih kariernih možnosti, ki se jim ponujajo. To mora biti storjeno na primeren način, da se utrujejo posameznikovi identitetni vzorci ter povečuje dobro počutje, zadovoljstvo s kariero in vnaša stabilnost v življenje posameznika (Kunnen, 2013).</w:t>
      </w:r>
    </w:p>
    <w:p w14:paraId="6970972F" w14:textId="1F64E72E" w:rsidR="00F946F0" w:rsidRPr="00B74545" w:rsidRDefault="00F946F0" w:rsidP="00F946F0">
      <w:pPr>
        <w:spacing w:after="0" w:line="240" w:lineRule="auto"/>
        <w:jc w:val="both"/>
        <w:rPr>
          <w:rFonts w:ascii="Tahoma" w:hAnsi="Tahoma" w:cs="Tahoma"/>
        </w:rPr>
      </w:pPr>
    </w:p>
    <w:p w14:paraId="7D0581E9" w14:textId="4B3EE619" w:rsidR="00F946F0" w:rsidRPr="00B74545" w:rsidRDefault="00F946F0" w:rsidP="00F946F0">
      <w:pPr>
        <w:spacing w:after="0" w:line="240" w:lineRule="auto"/>
        <w:jc w:val="both"/>
        <w:rPr>
          <w:rFonts w:ascii="Tahoma" w:hAnsi="Tahoma" w:cs="Tahoma"/>
        </w:rPr>
      </w:pPr>
      <w:r w:rsidRPr="00B74545">
        <w:rPr>
          <w:rFonts w:ascii="Tahoma" w:hAnsi="Tahoma" w:cs="Tahoma"/>
        </w:rPr>
        <w:lastRenderedPageBreak/>
        <w:t>Na področju karier je v veljavi mnogo teorij in pristopov, ko gre za karierno odločanje posameznikov, pri čemer so navadno socialno-kognitivni procesi (prepričanja o samoučinkovitosti, pričakovani izidi ter karierni cilji) v interakciji z dejavniki kot so spol, narodnost, družbeno-ekonomski status, podporna mreža, ovire na izobraževalni ali poklicni poti ipd. (Blanco, 2011). Pri kariernih izbirah gre tako za preplet osebnih ambicij in zunanjih vplivov, ki determinirajo karierne izbire. Carpenter in Foster (1977) tako pravita, da so faktorji, ki vplivajo na karierne odločitve posameznikov, intrinzične, ekstrinzične ali medosebne narave.</w:t>
      </w:r>
      <w:r w:rsidR="00672096" w:rsidRPr="00B74545">
        <w:rPr>
          <w:rStyle w:val="Sprotnaopomba-sklic"/>
          <w:rFonts w:ascii="Tahoma" w:hAnsi="Tahoma" w:cs="Tahoma"/>
        </w:rPr>
        <w:footnoteReference w:id="1"/>
      </w:r>
      <w:r w:rsidRPr="00B74545">
        <w:rPr>
          <w:rFonts w:ascii="Tahoma" w:hAnsi="Tahoma" w:cs="Tahoma"/>
        </w:rPr>
        <w:t xml:space="preserve"> Intrinzično dimenzijo predstavlja niz interesov, ki so povezani s profesijo in njeno vlogo v družbi, ekstrinzično želja po družbeni prepoznavi in socialni varnosti, medtem ko je medosebna povezana z vplivom družine, prijateljev, učiteljev in ostalih, ki imajo neposreden vpliv na posameznika (ibid.). </w:t>
      </w:r>
    </w:p>
    <w:p w14:paraId="0B119111" w14:textId="3BF6FC16" w:rsidR="00F946F0" w:rsidRPr="00B74545" w:rsidRDefault="00F946F0" w:rsidP="00F946F0">
      <w:pPr>
        <w:spacing w:after="0" w:line="240" w:lineRule="auto"/>
        <w:jc w:val="both"/>
        <w:rPr>
          <w:rFonts w:ascii="Tahoma" w:hAnsi="Tahoma" w:cs="Tahoma"/>
        </w:rPr>
      </w:pPr>
    </w:p>
    <w:p w14:paraId="0D31B9B4" w14:textId="63588671" w:rsidR="00F946F0" w:rsidRPr="00B74545" w:rsidRDefault="00F946F0" w:rsidP="00F946F0">
      <w:pPr>
        <w:spacing w:after="0" w:line="240" w:lineRule="auto"/>
        <w:jc w:val="both"/>
        <w:rPr>
          <w:rFonts w:ascii="Tahoma" w:hAnsi="Tahoma" w:cs="Tahoma"/>
        </w:rPr>
      </w:pPr>
      <w:r w:rsidRPr="00B74545">
        <w:rPr>
          <w:rFonts w:ascii="Tahoma" w:hAnsi="Tahoma" w:cs="Tahoma"/>
        </w:rPr>
        <w:t>Posameznike pod vplivom intrinzičnih faktorjev tako vleče zanimanje za določene poklice in profesije in te razumejo tudi kot osebno zadovoljujoče. Gre za izbire, ki izhajajo iz posameznika in so posledica njihovega zanimanja za profesijo ter zadovoljstva, ki ga ob tem doživljajo. Ekstrinzični faktorji se, po drugi strani, vrtijo okoli zunanje regulacije in po večini materialnimi pridobitvami, ki jih posamezni poklici oz. profesije prinašajo. Tu gre za prestiž poklica, dostopnost zaposlitve, dobro plačilo, zaposlitveno varnost in druge s tem povezane faktorje, ki motivirajo posameznike za takšne karierne odločitve. Medosebni faktorji pa vključujejo aktivnosti socializacijskih akterjev v posameznikovem življenju, vključno z željo po zadovoljevanju želja družine in pomembnih drugih, s katerimi se posvetujejo in so zanje tudi pripravljeni korigirati svoj osebni interes.</w:t>
      </w:r>
    </w:p>
    <w:p w14:paraId="562A8B7E" w14:textId="393656F0" w:rsidR="00F946F0" w:rsidRPr="00B74545" w:rsidRDefault="00F946F0" w:rsidP="00F946F0">
      <w:pPr>
        <w:spacing w:after="0" w:line="240" w:lineRule="auto"/>
        <w:jc w:val="both"/>
        <w:rPr>
          <w:rFonts w:ascii="Tahoma" w:hAnsi="Tahoma" w:cs="Tahoma"/>
        </w:rPr>
      </w:pPr>
    </w:p>
    <w:p w14:paraId="06407E52" w14:textId="66CC4288" w:rsidR="00F946F0" w:rsidRPr="00B74545" w:rsidRDefault="00F946F0" w:rsidP="00F946F0">
      <w:pPr>
        <w:spacing w:after="0" w:line="240" w:lineRule="auto"/>
        <w:jc w:val="both"/>
        <w:rPr>
          <w:rFonts w:ascii="Tahoma" w:hAnsi="Tahoma" w:cs="Tahoma"/>
        </w:rPr>
      </w:pPr>
      <w:r w:rsidRPr="00B74545">
        <w:rPr>
          <w:rFonts w:ascii="Tahoma" w:hAnsi="Tahoma" w:cs="Tahoma"/>
        </w:rPr>
        <w:t>Da bi bili izobraževalni sistemi alokacijsko učinkoviti – t.j. da bi produkti izobraževalnega sistema bili usklajeni s potrebami na trgu dela z vidika številčnosti kadrov po področjih – je potrebno torej upoštevati niz zgoraj omenjenih faktorjev, ki vplivajo na karierno izbiro posameznikov, saj neupoštevanje teh faktorjev lahko vodi do neuspešnih zunanjih intervencij v to področje, bodisi v obliki ukrepov, ki ne delujejo, bodisi v obliki dejanskih premikov v izobraževalnih izbirah, ki pa na koncu povzročijo nezadovoljstvo s samim področje</w:t>
      </w:r>
      <w:r w:rsidR="0078389B" w:rsidRPr="00B74545">
        <w:rPr>
          <w:rFonts w:ascii="Tahoma" w:hAnsi="Tahoma" w:cs="Tahoma"/>
        </w:rPr>
        <w:t>m</w:t>
      </w:r>
      <w:r w:rsidRPr="00B74545">
        <w:rPr>
          <w:rFonts w:ascii="Tahoma" w:hAnsi="Tahoma" w:cs="Tahoma"/>
        </w:rPr>
        <w:t xml:space="preserve"> izobraževanja ali celo delom, nizko motiviranost in podobne posledice z negativnim vplivom na učinkovitost dela. Pri tem je nujno omeniti, da je ožje razumevanje alokacijske učinkovitosti potrebno korigirati z dejstvom, da je trg dela za slovenski izobraževalni sistem, predvsem ko gre za visoko izobražene kadre, vsaj evropski (notranji trg EU), če ne globalni, ko gre za najkonkurenčnejše kadre, ki zasedajo najprestižnejša in najzahtevnejša delovna mesta. Druga pomembna korekcija ožjemu razumevanju alokacijske učinkovitosti so tudi razvojne potrebe slovenske družbe, saj Slovenija za razvojni »zeleni« preboj in uspešen digitalen prehod, kot to narekajo nacionalni strateški dokumenti, potrebuje kadre, ki jih trenutno slovenski trg dela sploh še ni sposoben vključiti, vsaj ne v zadostnem številu in pod zadostnimi pogoji (t.j. verti</w:t>
      </w:r>
      <w:r w:rsidR="0078389B" w:rsidRPr="00B74545">
        <w:rPr>
          <w:rFonts w:ascii="Tahoma" w:hAnsi="Tahoma" w:cs="Tahoma"/>
        </w:rPr>
        <w:t>k</w:t>
      </w:r>
      <w:r w:rsidRPr="00B74545">
        <w:rPr>
          <w:rFonts w:ascii="Tahoma" w:hAnsi="Tahoma" w:cs="Tahoma"/>
        </w:rPr>
        <w:t xml:space="preserve">alnim in horizontalnim ujemanjem izobrazbe in delovnega mesta, kar omogoča tudi najboljšo produktivnost, zadovoljstvo na delovnem mestu, karierni razvoj). </w:t>
      </w:r>
    </w:p>
    <w:p w14:paraId="334A57E1" w14:textId="77777777" w:rsidR="00F946F0" w:rsidRPr="00B74545" w:rsidRDefault="00F946F0" w:rsidP="00F946F0">
      <w:pPr>
        <w:spacing w:after="0" w:line="240" w:lineRule="auto"/>
        <w:jc w:val="both"/>
        <w:rPr>
          <w:rFonts w:ascii="Tahoma" w:hAnsi="Tahoma" w:cs="Tahoma"/>
        </w:rPr>
      </w:pPr>
    </w:p>
    <w:p w14:paraId="74B1F9D2" w14:textId="4401C1E7" w:rsidR="00F946F0" w:rsidRPr="00B74545" w:rsidRDefault="00F946F0" w:rsidP="00F946F0">
      <w:pPr>
        <w:spacing w:after="0" w:line="240" w:lineRule="auto"/>
        <w:jc w:val="both"/>
        <w:rPr>
          <w:rFonts w:ascii="Tahoma" w:hAnsi="Tahoma" w:cs="Tahoma"/>
        </w:rPr>
      </w:pPr>
      <w:r w:rsidRPr="00B74545">
        <w:rPr>
          <w:rFonts w:ascii="Tahoma" w:hAnsi="Tahoma" w:cs="Tahoma"/>
        </w:rPr>
        <w:t xml:space="preserve">Namen </w:t>
      </w:r>
      <w:r w:rsidR="00B663E4">
        <w:rPr>
          <w:rFonts w:ascii="Tahoma" w:hAnsi="Tahoma" w:cs="Tahoma"/>
        </w:rPr>
        <w:t xml:space="preserve">nacionalne </w:t>
      </w:r>
      <w:proofErr w:type="spellStart"/>
      <w:r w:rsidRPr="00B74545">
        <w:rPr>
          <w:rFonts w:ascii="Tahoma" w:hAnsi="Tahoma" w:cs="Tahoma"/>
        </w:rPr>
        <w:t>evalvacijske</w:t>
      </w:r>
      <w:proofErr w:type="spellEnd"/>
      <w:r w:rsidRPr="00B74545">
        <w:rPr>
          <w:rFonts w:ascii="Tahoma" w:hAnsi="Tahoma" w:cs="Tahoma"/>
        </w:rPr>
        <w:t xml:space="preserve"> študije je celostno pregledati področje usklajenosti izobraževalnih izbir srednješolskega in visokošolskega izobraževanja s potrebami na trgu dela ter faktorje, ki vplivajo na obstoječe izobraževalne izbire glede srednješolskega in visokošolskega izobraževanja. Pri tem je potrebno ocene potreb po kadrih tudi korigirati s potrebo po kadrih, ki se jih bo potrebovalo, glede na razvojne projekcije za udejanjanje nacionalnih strateških ciljev zelenega in digitalnega prehoda. Podatki iz evalvacijske študije bodo podlaga sistemskim ukrepom tudi na področju napovedovanja potreb po različnih profilih učiteljev. </w:t>
      </w:r>
    </w:p>
    <w:p w14:paraId="4A8D9768" w14:textId="34F64560" w:rsidR="00F946F0" w:rsidRPr="00B74545" w:rsidRDefault="00F946F0" w:rsidP="00F946F0">
      <w:pPr>
        <w:spacing w:after="0" w:line="240" w:lineRule="auto"/>
        <w:jc w:val="both"/>
        <w:rPr>
          <w:rFonts w:ascii="Tahoma" w:hAnsi="Tahoma" w:cs="Tahoma"/>
        </w:rPr>
      </w:pPr>
    </w:p>
    <w:p w14:paraId="66D0507C" w14:textId="59AE2F81" w:rsidR="00F946F0" w:rsidRPr="00B74545" w:rsidRDefault="00F946F0" w:rsidP="00F946F0">
      <w:pPr>
        <w:spacing w:after="0" w:line="240" w:lineRule="auto"/>
        <w:jc w:val="both"/>
        <w:rPr>
          <w:rFonts w:ascii="Tahoma" w:hAnsi="Tahoma" w:cs="Tahoma"/>
        </w:rPr>
      </w:pPr>
      <w:r w:rsidRPr="00B74545">
        <w:rPr>
          <w:rFonts w:ascii="Tahoma" w:hAnsi="Tahoma" w:cs="Tahoma"/>
        </w:rPr>
        <w:lastRenderedPageBreak/>
        <w:t xml:space="preserve">Cilji </w:t>
      </w:r>
      <w:r w:rsidR="00B663E4">
        <w:rPr>
          <w:rFonts w:ascii="Tahoma" w:hAnsi="Tahoma" w:cs="Tahoma"/>
        </w:rPr>
        <w:t xml:space="preserve">nacionalne </w:t>
      </w:r>
      <w:proofErr w:type="spellStart"/>
      <w:r w:rsidRPr="00B74545">
        <w:rPr>
          <w:rFonts w:ascii="Tahoma" w:hAnsi="Tahoma" w:cs="Tahoma"/>
        </w:rPr>
        <w:t>evalvacijske</w:t>
      </w:r>
      <w:proofErr w:type="spellEnd"/>
      <w:r w:rsidRPr="00B74545">
        <w:rPr>
          <w:rFonts w:ascii="Tahoma" w:hAnsi="Tahoma" w:cs="Tahoma"/>
        </w:rPr>
        <w:t xml:space="preserve"> študije so tako:</w:t>
      </w:r>
    </w:p>
    <w:p w14:paraId="0677B37F" w14:textId="3735D133" w:rsidR="00F946F0" w:rsidRPr="00B74545" w:rsidRDefault="00F946F0" w:rsidP="00F946F0">
      <w:pPr>
        <w:pStyle w:val="Odstavekseznama"/>
        <w:numPr>
          <w:ilvl w:val="0"/>
          <w:numId w:val="6"/>
        </w:numPr>
        <w:spacing w:after="0" w:line="240" w:lineRule="auto"/>
        <w:jc w:val="both"/>
        <w:rPr>
          <w:rFonts w:ascii="Tahoma" w:hAnsi="Tahoma" w:cs="Tahoma"/>
        </w:rPr>
      </w:pPr>
      <w:r w:rsidRPr="00B74545">
        <w:rPr>
          <w:rFonts w:ascii="Tahoma" w:hAnsi="Tahoma" w:cs="Tahoma"/>
        </w:rPr>
        <w:t>Pregled ujemanja med izobraževalnimi izbirami in potrebami na trgu dela</w:t>
      </w:r>
      <w:r w:rsidR="00422EF0" w:rsidRPr="00B74545">
        <w:rPr>
          <w:rFonts w:ascii="Tahoma" w:hAnsi="Tahoma" w:cs="Tahoma"/>
        </w:rPr>
        <w:t xml:space="preserve"> (s poudarkom na prehodu iz sekundarnega v terciarno izobraževanje, hkrati pa tudi primarnega v sekundarno)</w:t>
      </w:r>
      <w:r w:rsidRPr="00B74545">
        <w:rPr>
          <w:rFonts w:ascii="Tahoma" w:hAnsi="Tahoma" w:cs="Tahoma"/>
        </w:rPr>
        <w:t>, ob upoštevanju korekcije razvojnih usmeritev Slovenije in njene vloge v notranjem trgu dela EU.</w:t>
      </w:r>
    </w:p>
    <w:p w14:paraId="05AA4F4D" w14:textId="53FB6275" w:rsidR="00F946F0" w:rsidRPr="00B74545" w:rsidRDefault="00F946F0" w:rsidP="00F946F0">
      <w:pPr>
        <w:pStyle w:val="Odstavekseznama"/>
        <w:numPr>
          <w:ilvl w:val="0"/>
          <w:numId w:val="6"/>
        </w:numPr>
        <w:spacing w:after="0" w:line="240" w:lineRule="auto"/>
        <w:jc w:val="both"/>
        <w:rPr>
          <w:rFonts w:ascii="Tahoma" w:hAnsi="Tahoma" w:cs="Tahoma"/>
        </w:rPr>
      </w:pPr>
      <w:r w:rsidRPr="00B74545">
        <w:rPr>
          <w:rFonts w:ascii="Tahoma" w:hAnsi="Tahoma" w:cs="Tahoma"/>
        </w:rPr>
        <w:t xml:space="preserve">Pregled in ocena </w:t>
      </w:r>
      <w:r w:rsidR="00C634D7" w:rsidRPr="00B74545">
        <w:rPr>
          <w:rFonts w:ascii="Tahoma" w:hAnsi="Tahoma" w:cs="Tahoma"/>
        </w:rPr>
        <w:t>vpliva</w:t>
      </w:r>
      <w:r w:rsidRPr="00B74545">
        <w:rPr>
          <w:rFonts w:ascii="Tahoma" w:hAnsi="Tahoma" w:cs="Tahoma"/>
        </w:rPr>
        <w:t xml:space="preserve"> intrinzičnih, ekstrinzičnih in medosebnih faktorjev</w:t>
      </w:r>
      <w:r w:rsidR="00C634D7" w:rsidRPr="00B74545">
        <w:rPr>
          <w:rFonts w:ascii="Tahoma" w:hAnsi="Tahoma" w:cs="Tahoma"/>
        </w:rPr>
        <w:t xml:space="preserve"> </w:t>
      </w:r>
      <w:r w:rsidRPr="00B74545">
        <w:rPr>
          <w:rFonts w:ascii="Tahoma" w:hAnsi="Tahoma" w:cs="Tahoma"/>
        </w:rPr>
        <w:t>na izobraževalne izbire posameznikov.</w:t>
      </w:r>
    </w:p>
    <w:p w14:paraId="4A25B70C" w14:textId="73C3EA02" w:rsidR="00F946F0" w:rsidRPr="00B74545" w:rsidRDefault="00F946F0" w:rsidP="00F946F0">
      <w:pPr>
        <w:pStyle w:val="Odstavekseznama"/>
        <w:numPr>
          <w:ilvl w:val="0"/>
          <w:numId w:val="6"/>
        </w:numPr>
        <w:spacing w:after="0" w:line="240" w:lineRule="auto"/>
        <w:jc w:val="both"/>
        <w:rPr>
          <w:rFonts w:ascii="Tahoma" w:hAnsi="Tahoma" w:cs="Tahoma"/>
        </w:rPr>
      </w:pPr>
      <w:r w:rsidRPr="00B74545">
        <w:rPr>
          <w:rFonts w:ascii="Tahoma" w:hAnsi="Tahoma" w:cs="Tahoma"/>
        </w:rPr>
        <w:t>Identifikacija povezav med izobraževalnimi izbirami in sklopi različnih intrinzičnih, ekstrinzinčnih in medosebnih faktorjev.</w:t>
      </w:r>
    </w:p>
    <w:p w14:paraId="271406C0" w14:textId="6DFD0196" w:rsidR="00F946F0" w:rsidRPr="00B74545" w:rsidRDefault="00F946F0" w:rsidP="00F946F0">
      <w:pPr>
        <w:pStyle w:val="Odstavekseznama"/>
        <w:numPr>
          <w:ilvl w:val="0"/>
          <w:numId w:val="6"/>
        </w:numPr>
        <w:spacing w:after="0" w:line="240" w:lineRule="auto"/>
        <w:jc w:val="both"/>
        <w:rPr>
          <w:rFonts w:ascii="Tahoma" w:hAnsi="Tahoma" w:cs="Tahoma"/>
        </w:rPr>
      </w:pPr>
      <w:r w:rsidRPr="00B74545">
        <w:rPr>
          <w:rFonts w:ascii="Tahoma" w:hAnsi="Tahoma" w:cs="Tahoma"/>
        </w:rPr>
        <w:t xml:space="preserve">Identifikacija faktorjev, ki odvračajo posameznike od izbire izobraževalnih programov, ki </w:t>
      </w:r>
      <w:r w:rsidR="00F82540" w:rsidRPr="00B74545">
        <w:rPr>
          <w:rFonts w:ascii="Tahoma" w:hAnsi="Tahoma" w:cs="Tahoma"/>
        </w:rPr>
        <w:t>razvijajo</w:t>
      </w:r>
      <w:r w:rsidRPr="00B74545">
        <w:rPr>
          <w:rFonts w:ascii="Tahoma" w:hAnsi="Tahoma" w:cs="Tahoma"/>
        </w:rPr>
        <w:t xml:space="preserve"> kadre, po katerih trg dela najbolj povprašuje.</w:t>
      </w:r>
    </w:p>
    <w:p w14:paraId="75C80964" w14:textId="7C609E5E" w:rsidR="00F946F0" w:rsidRPr="00B74545" w:rsidRDefault="00F946F0" w:rsidP="00F946F0">
      <w:pPr>
        <w:pStyle w:val="Odstavekseznama"/>
        <w:numPr>
          <w:ilvl w:val="0"/>
          <w:numId w:val="6"/>
        </w:numPr>
        <w:spacing w:after="0" w:line="240" w:lineRule="auto"/>
        <w:jc w:val="both"/>
        <w:rPr>
          <w:rFonts w:ascii="Tahoma" w:hAnsi="Tahoma" w:cs="Tahoma"/>
        </w:rPr>
      </w:pPr>
      <w:r w:rsidRPr="00B74545">
        <w:rPr>
          <w:rFonts w:ascii="Tahoma" w:hAnsi="Tahoma" w:cs="Tahoma"/>
        </w:rPr>
        <w:t xml:space="preserve">Predlog sistemskih ukrepov za povečanje atraktivnosti izobraževalnih programov, ki </w:t>
      </w:r>
      <w:r w:rsidR="00F82540" w:rsidRPr="00B74545">
        <w:rPr>
          <w:rFonts w:ascii="Tahoma" w:hAnsi="Tahoma" w:cs="Tahoma"/>
        </w:rPr>
        <w:t>razvijajo</w:t>
      </w:r>
      <w:r w:rsidRPr="00B74545">
        <w:rPr>
          <w:rFonts w:ascii="Tahoma" w:hAnsi="Tahoma" w:cs="Tahoma"/>
        </w:rPr>
        <w:t xml:space="preserve"> kadre, po katerih trg dela najbolj povprašuje ali bo najbolj povpraševal (ob upoštevanju dejstva, da se ne želi poseči v izobraževalne izbire na način, ki bi imel za posledico nižjo stopnjo zadovoljstva in posledično tudi negativne posledice tako za posameznika kot za delovno organizacijo).</w:t>
      </w:r>
    </w:p>
    <w:p w14:paraId="5C1C7563" w14:textId="77777777" w:rsidR="00F946F0" w:rsidRPr="00B74545" w:rsidRDefault="00F946F0" w:rsidP="00F946F0">
      <w:pPr>
        <w:spacing w:after="0" w:line="240" w:lineRule="auto"/>
        <w:jc w:val="both"/>
        <w:rPr>
          <w:rFonts w:ascii="Tahoma" w:hAnsi="Tahoma" w:cs="Tahoma"/>
        </w:rPr>
      </w:pPr>
    </w:p>
    <w:p w14:paraId="6A7E6367" w14:textId="72F953CD" w:rsidR="00F946F0" w:rsidRPr="00B74545" w:rsidRDefault="00F946F0" w:rsidP="00F946F0">
      <w:pPr>
        <w:spacing w:after="0" w:line="240" w:lineRule="auto"/>
        <w:jc w:val="both"/>
        <w:rPr>
          <w:rFonts w:ascii="Tahoma" w:hAnsi="Tahoma" w:cs="Tahoma"/>
        </w:rPr>
      </w:pPr>
    </w:p>
    <w:p w14:paraId="4BD92116" w14:textId="57B24B69" w:rsidR="00F946F0" w:rsidRPr="00B74545" w:rsidRDefault="00F946F0" w:rsidP="00F946F0">
      <w:pPr>
        <w:spacing w:after="0" w:line="240" w:lineRule="auto"/>
        <w:jc w:val="both"/>
        <w:rPr>
          <w:rFonts w:ascii="Tahoma" w:hAnsi="Tahoma" w:cs="Tahoma"/>
        </w:rPr>
      </w:pPr>
      <w:r w:rsidRPr="00B74545">
        <w:rPr>
          <w:rFonts w:ascii="Tahoma" w:hAnsi="Tahoma" w:cs="Tahoma"/>
        </w:rPr>
        <w:t xml:space="preserve">Z </w:t>
      </w:r>
      <w:r w:rsidR="00B663E4">
        <w:rPr>
          <w:rFonts w:ascii="Tahoma" w:hAnsi="Tahoma" w:cs="Tahoma"/>
        </w:rPr>
        <w:t xml:space="preserve">nacionalno </w:t>
      </w:r>
      <w:proofErr w:type="spellStart"/>
      <w:r w:rsidRPr="00B74545">
        <w:rPr>
          <w:rFonts w:ascii="Tahoma" w:hAnsi="Tahoma" w:cs="Tahoma"/>
        </w:rPr>
        <w:t>evalvacijsko</w:t>
      </w:r>
      <w:proofErr w:type="spellEnd"/>
      <w:r w:rsidRPr="00B74545">
        <w:rPr>
          <w:rFonts w:ascii="Tahoma" w:hAnsi="Tahoma" w:cs="Tahoma"/>
        </w:rPr>
        <w:t xml:space="preserve"> študijo bo</w:t>
      </w:r>
      <w:r w:rsidR="00426A09" w:rsidRPr="00B74545">
        <w:rPr>
          <w:rFonts w:ascii="Tahoma" w:hAnsi="Tahoma" w:cs="Tahoma"/>
        </w:rPr>
        <w:t>do</w:t>
      </w:r>
      <w:r w:rsidRPr="00B74545">
        <w:rPr>
          <w:rFonts w:ascii="Tahoma" w:hAnsi="Tahoma" w:cs="Tahoma"/>
        </w:rPr>
        <w:t xml:space="preserve"> tako: </w:t>
      </w:r>
    </w:p>
    <w:p w14:paraId="126125DE" w14:textId="5307F3AC" w:rsidR="00F946F0" w:rsidRPr="00B74545" w:rsidRDefault="00F946F0" w:rsidP="00F946F0">
      <w:pPr>
        <w:pStyle w:val="Odstavekseznama"/>
        <w:numPr>
          <w:ilvl w:val="0"/>
          <w:numId w:val="7"/>
        </w:numPr>
        <w:spacing w:after="0" w:line="240" w:lineRule="auto"/>
        <w:jc w:val="both"/>
        <w:rPr>
          <w:rFonts w:ascii="Tahoma" w:hAnsi="Tahoma" w:cs="Tahoma"/>
        </w:rPr>
      </w:pPr>
      <w:r w:rsidRPr="00B74545">
        <w:rPr>
          <w:rFonts w:ascii="Tahoma" w:hAnsi="Tahoma" w:cs="Tahoma"/>
        </w:rPr>
        <w:t xml:space="preserve">Izdelan popis faktorjev, ki vplivajo na izobraževalne izbire posameznikov ter ocena izvedljivosti vplivanja nanje. </w:t>
      </w:r>
    </w:p>
    <w:p w14:paraId="0B193DDD" w14:textId="7C0CD6A8" w:rsidR="00F946F0" w:rsidRPr="00B74545" w:rsidRDefault="00F946F0" w:rsidP="00F946F0">
      <w:pPr>
        <w:pStyle w:val="Odstavekseznama"/>
        <w:numPr>
          <w:ilvl w:val="0"/>
          <w:numId w:val="7"/>
        </w:numPr>
        <w:spacing w:after="0" w:line="240" w:lineRule="auto"/>
        <w:jc w:val="both"/>
        <w:rPr>
          <w:rFonts w:ascii="Tahoma" w:hAnsi="Tahoma" w:cs="Tahoma"/>
        </w:rPr>
      </w:pPr>
      <w:r w:rsidRPr="00B74545">
        <w:rPr>
          <w:rFonts w:ascii="Tahoma" w:hAnsi="Tahoma" w:cs="Tahoma"/>
        </w:rPr>
        <w:t>Pripravljen</w:t>
      </w:r>
      <w:r w:rsidR="00BE1477" w:rsidRPr="00B74545">
        <w:rPr>
          <w:rFonts w:ascii="Tahoma" w:hAnsi="Tahoma" w:cs="Tahoma"/>
        </w:rPr>
        <w:t>a</w:t>
      </w:r>
      <w:r w:rsidRPr="00B74545">
        <w:rPr>
          <w:rFonts w:ascii="Tahoma" w:hAnsi="Tahoma" w:cs="Tahoma"/>
        </w:rPr>
        <w:t xml:space="preserve"> </w:t>
      </w:r>
      <w:r w:rsidR="00C634D7" w:rsidRPr="00B74545">
        <w:rPr>
          <w:rFonts w:ascii="Tahoma" w:hAnsi="Tahoma" w:cs="Tahoma"/>
        </w:rPr>
        <w:t xml:space="preserve">priporočila </w:t>
      </w:r>
      <w:r w:rsidRPr="00B74545">
        <w:rPr>
          <w:rFonts w:ascii="Tahoma" w:hAnsi="Tahoma" w:cs="Tahoma"/>
        </w:rPr>
        <w:t>za krepitev kompetenc strokovn</w:t>
      </w:r>
      <w:r w:rsidR="00422EF0" w:rsidRPr="00B74545">
        <w:rPr>
          <w:rFonts w:ascii="Tahoma" w:hAnsi="Tahoma" w:cs="Tahoma"/>
        </w:rPr>
        <w:t>ih</w:t>
      </w:r>
      <w:r w:rsidRPr="00B74545">
        <w:rPr>
          <w:rFonts w:ascii="Tahoma" w:hAnsi="Tahoma" w:cs="Tahoma"/>
        </w:rPr>
        <w:t xml:space="preserve"> delavcev, ki so zadolženi za strokovno podporo posameznikom pri njihovi izobraževalni izbiri (svetovalni delavci v šolah ipd.)</w:t>
      </w:r>
      <w:r w:rsidR="00422EF0" w:rsidRPr="00B74545">
        <w:rPr>
          <w:rFonts w:ascii="Tahoma" w:hAnsi="Tahoma" w:cs="Tahoma"/>
        </w:rPr>
        <w:t>, tudi v kontekstu (samo)evalvacije njihovega dela/svetovanja.</w:t>
      </w:r>
    </w:p>
    <w:p w14:paraId="55D405FE" w14:textId="1FC1E912" w:rsidR="00F946F0" w:rsidRDefault="00F946F0" w:rsidP="00F946F0">
      <w:pPr>
        <w:pStyle w:val="Odstavekseznama"/>
        <w:numPr>
          <w:ilvl w:val="0"/>
          <w:numId w:val="7"/>
        </w:numPr>
        <w:spacing w:after="0" w:line="240" w:lineRule="auto"/>
        <w:jc w:val="both"/>
        <w:rPr>
          <w:rFonts w:ascii="Tahoma" w:hAnsi="Tahoma" w:cs="Tahoma"/>
        </w:rPr>
      </w:pPr>
      <w:r w:rsidRPr="00B74545">
        <w:rPr>
          <w:rFonts w:ascii="Tahoma" w:hAnsi="Tahoma" w:cs="Tahoma"/>
        </w:rPr>
        <w:t xml:space="preserve">Oblikovana priporočila za povečanje </w:t>
      </w:r>
      <w:r w:rsidR="00C634D7" w:rsidRPr="00B74545">
        <w:rPr>
          <w:rFonts w:ascii="Tahoma" w:hAnsi="Tahoma" w:cs="Tahoma"/>
        </w:rPr>
        <w:t xml:space="preserve">interesa za vpis v </w:t>
      </w:r>
      <w:r w:rsidRPr="00B74545">
        <w:rPr>
          <w:rFonts w:ascii="Tahoma" w:hAnsi="Tahoma" w:cs="Tahoma"/>
        </w:rPr>
        <w:t>izobraževaln</w:t>
      </w:r>
      <w:r w:rsidR="00C634D7" w:rsidRPr="00B74545">
        <w:rPr>
          <w:rFonts w:ascii="Tahoma" w:hAnsi="Tahoma" w:cs="Tahoma"/>
        </w:rPr>
        <w:t>e</w:t>
      </w:r>
      <w:r w:rsidRPr="00B74545">
        <w:rPr>
          <w:rFonts w:ascii="Tahoma" w:hAnsi="Tahoma" w:cs="Tahoma"/>
        </w:rPr>
        <w:t xml:space="preserve"> program</w:t>
      </w:r>
      <w:r w:rsidR="00C634D7" w:rsidRPr="00B74545">
        <w:rPr>
          <w:rFonts w:ascii="Tahoma" w:hAnsi="Tahoma" w:cs="Tahoma"/>
        </w:rPr>
        <w:t>e</w:t>
      </w:r>
      <w:r w:rsidRPr="00B74545">
        <w:rPr>
          <w:rFonts w:ascii="Tahoma" w:hAnsi="Tahoma" w:cs="Tahoma"/>
        </w:rPr>
        <w:t xml:space="preserve">, ki </w:t>
      </w:r>
      <w:r w:rsidR="00F82540" w:rsidRPr="00B74545">
        <w:rPr>
          <w:rFonts w:ascii="Tahoma" w:hAnsi="Tahoma" w:cs="Tahoma"/>
        </w:rPr>
        <w:t xml:space="preserve">razvijajo </w:t>
      </w:r>
      <w:r w:rsidRPr="00B74545">
        <w:rPr>
          <w:rFonts w:ascii="Tahoma" w:hAnsi="Tahoma" w:cs="Tahoma"/>
        </w:rPr>
        <w:t>kadre, deficitarn</w:t>
      </w:r>
      <w:r w:rsidR="00C634D7" w:rsidRPr="00B74545">
        <w:rPr>
          <w:rFonts w:ascii="Tahoma" w:hAnsi="Tahoma" w:cs="Tahoma"/>
        </w:rPr>
        <w:t>e</w:t>
      </w:r>
      <w:r w:rsidRPr="00B74545">
        <w:rPr>
          <w:rFonts w:ascii="Tahoma" w:hAnsi="Tahoma" w:cs="Tahoma"/>
        </w:rPr>
        <w:t xml:space="preserve"> na trgu dela.</w:t>
      </w:r>
    </w:p>
    <w:p w14:paraId="6D172D68" w14:textId="77777777" w:rsidR="00A00D61" w:rsidRPr="00B74545" w:rsidRDefault="00A00D61" w:rsidP="00A00D61">
      <w:pPr>
        <w:pStyle w:val="Odstavekseznama"/>
        <w:spacing w:after="0" w:line="240" w:lineRule="auto"/>
        <w:ind w:left="720"/>
        <w:jc w:val="both"/>
        <w:rPr>
          <w:rFonts w:ascii="Tahoma" w:hAnsi="Tahoma" w:cs="Tahoma"/>
        </w:rPr>
      </w:pPr>
    </w:p>
    <w:p w14:paraId="3D50C9D1" w14:textId="77777777" w:rsidR="00E54FF0" w:rsidRPr="00B74545" w:rsidRDefault="00E54FF0" w:rsidP="00F946F0">
      <w:pPr>
        <w:spacing w:after="0" w:line="240" w:lineRule="auto"/>
        <w:jc w:val="both"/>
        <w:rPr>
          <w:rFonts w:ascii="Tahoma" w:hAnsi="Tahoma" w:cs="Tahoma"/>
        </w:rPr>
      </w:pPr>
    </w:p>
    <w:p w14:paraId="3B5C02B3" w14:textId="047536BF" w:rsidR="00E54FF0" w:rsidRPr="00B74545" w:rsidRDefault="00B32D8C" w:rsidP="00E54FF0">
      <w:pPr>
        <w:jc w:val="both"/>
        <w:rPr>
          <w:rFonts w:ascii="Tahoma" w:hAnsi="Tahoma" w:cs="Tahoma"/>
          <w:b/>
          <w:bCs/>
        </w:rPr>
      </w:pPr>
      <w:r w:rsidRPr="00B74545">
        <w:rPr>
          <w:rFonts w:ascii="Tahoma" w:hAnsi="Tahoma" w:cs="Tahoma"/>
          <w:b/>
          <w:bCs/>
        </w:rPr>
        <w:t>P</w:t>
      </w:r>
      <w:r w:rsidR="00E54FF0" w:rsidRPr="00B74545">
        <w:rPr>
          <w:rFonts w:ascii="Tahoma" w:hAnsi="Tahoma" w:cs="Tahoma"/>
          <w:b/>
          <w:bCs/>
        </w:rPr>
        <w:t xml:space="preserve">redlog </w:t>
      </w:r>
      <w:r w:rsidR="00A00D61">
        <w:rPr>
          <w:rFonts w:ascii="Tahoma" w:hAnsi="Tahoma" w:cs="Tahoma"/>
          <w:b/>
          <w:bCs/>
        </w:rPr>
        <w:t xml:space="preserve">za </w:t>
      </w:r>
      <w:r w:rsidR="00E54FF0" w:rsidRPr="00B74545">
        <w:rPr>
          <w:rFonts w:ascii="Tahoma" w:hAnsi="Tahoma" w:cs="Tahoma"/>
          <w:b/>
          <w:bCs/>
        </w:rPr>
        <w:t>nacionaln</w:t>
      </w:r>
      <w:r w:rsidR="00A00D61">
        <w:rPr>
          <w:rFonts w:ascii="Tahoma" w:hAnsi="Tahoma" w:cs="Tahoma"/>
          <w:b/>
          <w:bCs/>
        </w:rPr>
        <w:t>o</w:t>
      </w:r>
      <w:r w:rsidR="00E54FF0" w:rsidRPr="00B74545">
        <w:rPr>
          <w:rFonts w:ascii="Tahoma" w:hAnsi="Tahoma" w:cs="Tahoma"/>
          <w:b/>
          <w:bCs/>
        </w:rPr>
        <w:t xml:space="preserve"> evalvacijsk</w:t>
      </w:r>
      <w:r w:rsidR="00A00D61">
        <w:rPr>
          <w:rFonts w:ascii="Tahoma" w:hAnsi="Tahoma" w:cs="Tahoma"/>
          <w:b/>
          <w:bCs/>
        </w:rPr>
        <w:t>o</w:t>
      </w:r>
      <w:r w:rsidR="00E54FF0" w:rsidRPr="00B74545">
        <w:rPr>
          <w:rFonts w:ascii="Tahoma" w:hAnsi="Tahoma" w:cs="Tahoma"/>
          <w:b/>
          <w:bCs/>
        </w:rPr>
        <w:t xml:space="preserve"> študij</w:t>
      </w:r>
      <w:r w:rsidR="00A00D61">
        <w:rPr>
          <w:rFonts w:ascii="Tahoma" w:hAnsi="Tahoma" w:cs="Tahoma"/>
          <w:b/>
          <w:bCs/>
        </w:rPr>
        <w:t>o</w:t>
      </w:r>
      <w:r w:rsidR="00E54FF0" w:rsidRPr="00B74545">
        <w:rPr>
          <w:rFonts w:ascii="Tahoma" w:hAnsi="Tahoma" w:cs="Tahoma"/>
          <w:b/>
          <w:bCs/>
        </w:rPr>
        <w:t xml:space="preserve"> </w:t>
      </w:r>
      <w:r w:rsidRPr="00B74545">
        <w:rPr>
          <w:rFonts w:ascii="Tahoma" w:hAnsi="Tahoma" w:cs="Tahoma"/>
          <w:b/>
          <w:bCs/>
        </w:rPr>
        <w:t xml:space="preserve">naj </w:t>
      </w:r>
      <w:r w:rsidR="00E54FF0" w:rsidRPr="00B74545">
        <w:rPr>
          <w:rFonts w:ascii="Tahoma" w:hAnsi="Tahoma" w:cs="Tahoma"/>
          <w:b/>
          <w:bCs/>
        </w:rPr>
        <w:t xml:space="preserve">vsebuje naslednje elemente: </w:t>
      </w:r>
    </w:p>
    <w:p w14:paraId="53E05688" w14:textId="77A8E81B" w:rsidR="00E54FF0" w:rsidRPr="00B74545" w:rsidRDefault="00E54FF0" w:rsidP="00426A09">
      <w:pPr>
        <w:pStyle w:val="Odstavekseznama"/>
        <w:numPr>
          <w:ilvl w:val="0"/>
          <w:numId w:val="17"/>
        </w:numPr>
        <w:jc w:val="both"/>
        <w:rPr>
          <w:rFonts w:ascii="Tahoma" w:hAnsi="Tahoma" w:cs="Tahoma"/>
        </w:rPr>
      </w:pPr>
      <w:r w:rsidRPr="00B74545">
        <w:rPr>
          <w:rFonts w:ascii="Tahoma" w:hAnsi="Tahoma" w:cs="Tahoma"/>
        </w:rPr>
        <w:t>Uvod, ki vsebuje vsaj naslednje elemente:</w:t>
      </w:r>
    </w:p>
    <w:p w14:paraId="60648083" w14:textId="4FEAE693" w:rsidR="00E54FF0" w:rsidRPr="00B74545" w:rsidRDefault="00426A09" w:rsidP="00AB2711">
      <w:pPr>
        <w:numPr>
          <w:ilvl w:val="0"/>
          <w:numId w:val="14"/>
        </w:numPr>
        <w:jc w:val="both"/>
        <w:rPr>
          <w:rFonts w:ascii="Tahoma" w:hAnsi="Tahoma" w:cs="Tahoma"/>
        </w:rPr>
      </w:pPr>
      <w:r w:rsidRPr="00B74545">
        <w:rPr>
          <w:rFonts w:ascii="Tahoma" w:hAnsi="Tahoma" w:cs="Tahoma"/>
        </w:rPr>
        <w:t>f</w:t>
      </w:r>
      <w:r w:rsidR="00E54FF0" w:rsidRPr="00B74545">
        <w:rPr>
          <w:rFonts w:ascii="Tahoma" w:hAnsi="Tahoma" w:cs="Tahoma"/>
        </w:rPr>
        <w:t>ormalni okvir študije</w:t>
      </w:r>
      <w:r w:rsidRPr="00B74545">
        <w:rPr>
          <w:rFonts w:ascii="Tahoma" w:hAnsi="Tahoma" w:cs="Tahoma"/>
        </w:rPr>
        <w:t>;</w:t>
      </w:r>
    </w:p>
    <w:p w14:paraId="0AA30B04" w14:textId="6C838B3E" w:rsidR="00E54FF0" w:rsidRPr="00B74545" w:rsidRDefault="00426A09" w:rsidP="00AB2711">
      <w:pPr>
        <w:numPr>
          <w:ilvl w:val="0"/>
          <w:numId w:val="14"/>
        </w:numPr>
        <w:jc w:val="both"/>
        <w:rPr>
          <w:rFonts w:ascii="Tahoma" w:hAnsi="Tahoma" w:cs="Tahoma"/>
        </w:rPr>
      </w:pPr>
      <w:r w:rsidRPr="00B74545">
        <w:rPr>
          <w:rFonts w:ascii="Tahoma" w:hAnsi="Tahoma" w:cs="Tahoma"/>
        </w:rPr>
        <w:t>o</w:t>
      </w:r>
      <w:r w:rsidR="00E54FF0" w:rsidRPr="00B74545">
        <w:rPr>
          <w:rFonts w:ascii="Tahoma" w:hAnsi="Tahoma" w:cs="Tahoma"/>
        </w:rPr>
        <w:t>predelitev ciljev študije</w:t>
      </w:r>
      <w:r w:rsidRPr="00B74545">
        <w:rPr>
          <w:rFonts w:ascii="Tahoma" w:hAnsi="Tahoma" w:cs="Tahoma"/>
        </w:rPr>
        <w:t>;</w:t>
      </w:r>
    </w:p>
    <w:p w14:paraId="2BEA61BC" w14:textId="421CFBCB" w:rsidR="00E54FF0" w:rsidRPr="00B74545" w:rsidRDefault="00426A09" w:rsidP="00AB2711">
      <w:pPr>
        <w:numPr>
          <w:ilvl w:val="0"/>
          <w:numId w:val="14"/>
        </w:numPr>
        <w:jc w:val="both"/>
        <w:rPr>
          <w:rFonts w:ascii="Tahoma" w:hAnsi="Tahoma" w:cs="Tahoma"/>
        </w:rPr>
      </w:pPr>
      <w:r w:rsidRPr="00B74545">
        <w:rPr>
          <w:rFonts w:ascii="Tahoma" w:hAnsi="Tahoma" w:cs="Tahoma"/>
        </w:rPr>
        <w:t>a</w:t>
      </w:r>
      <w:r w:rsidR="00E54FF0" w:rsidRPr="00B74545">
        <w:rPr>
          <w:rFonts w:ascii="Tahoma" w:hAnsi="Tahoma" w:cs="Tahoma"/>
        </w:rPr>
        <w:t>rgumentacija smiselnosti vsakega opredeljenega cilja</w:t>
      </w:r>
      <w:r w:rsidRPr="00B74545">
        <w:rPr>
          <w:rFonts w:ascii="Tahoma" w:hAnsi="Tahoma" w:cs="Tahoma"/>
        </w:rPr>
        <w:t>;</w:t>
      </w:r>
    </w:p>
    <w:p w14:paraId="59B4357F" w14:textId="386E2121" w:rsidR="00E54FF0" w:rsidRPr="00B74545" w:rsidRDefault="00426A09" w:rsidP="00AB2711">
      <w:pPr>
        <w:numPr>
          <w:ilvl w:val="0"/>
          <w:numId w:val="14"/>
        </w:numPr>
        <w:jc w:val="both"/>
        <w:rPr>
          <w:rFonts w:ascii="Tahoma" w:hAnsi="Tahoma" w:cs="Tahoma"/>
        </w:rPr>
      </w:pPr>
      <w:r w:rsidRPr="00B74545">
        <w:rPr>
          <w:rFonts w:ascii="Tahoma" w:hAnsi="Tahoma" w:cs="Tahoma"/>
        </w:rPr>
        <w:t>o</w:t>
      </w:r>
      <w:r w:rsidR="00E54FF0" w:rsidRPr="00B74545">
        <w:rPr>
          <w:rFonts w:ascii="Tahoma" w:hAnsi="Tahoma" w:cs="Tahoma"/>
        </w:rPr>
        <w:t>cena stopnje uresničljivosti raziskovalnih ciljev in opredelitev morebitnih omejitev glede doseganja posameznih raziskovalnih ciljev.</w:t>
      </w:r>
    </w:p>
    <w:p w14:paraId="71753EEC" w14:textId="27E309C1" w:rsidR="00E54FF0" w:rsidRPr="00B74545" w:rsidRDefault="00E54FF0" w:rsidP="00426A09">
      <w:pPr>
        <w:pStyle w:val="Odstavekseznama"/>
        <w:numPr>
          <w:ilvl w:val="0"/>
          <w:numId w:val="17"/>
        </w:numPr>
        <w:jc w:val="both"/>
        <w:rPr>
          <w:rFonts w:ascii="Tahoma" w:hAnsi="Tahoma" w:cs="Tahoma"/>
        </w:rPr>
      </w:pPr>
      <w:r w:rsidRPr="00B74545">
        <w:rPr>
          <w:rFonts w:ascii="Tahoma" w:hAnsi="Tahoma" w:cs="Tahoma"/>
        </w:rPr>
        <w:t>Metode raziskovanja, ki zajemajo vsaj naslednje elemente:</w:t>
      </w:r>
    </w:p>
    <w:p w14:paraId="39FBD241" w14:textId="77777777" w:rsidR="00E54FF0" w:rsidRPr="00B74545" w:rsidRDefault="00E54FF0" w:rsidP="00AB2711">
      <w:pPr>
        <w:pStyle w:val="Odstavekseznama"/>
        <w:numPr>
          <w:ilvl w:val="0"/>
          <w:numId w:val="15"/>
        </w:numPr>
        <w:jc w:val="both"/>
        <w:rPr>
          <w:rFonts w:ascii="Tahoma" w:hAnsi="Tahoma" w:cs="Tahoma"/>
        </w:rPr>
      </w:pPr>
      <w:r w:rsidRPr="00B74545">
        <w:rPr>
          <w:rFonts w:ascii="Tahoma" w:hAnsi="Tahoma" w:cs="Tahoma"/>
        </w:rPr>
        <w:t>Predvidene metode raziskovanja glede na posamezne raziskovalne cilje (za vsak cilj posebej se opredelijo vse predvidene raziskovalne metode).</w:t>
      </w:r>
    </w:p>
    <w:p w14:paraId="0CBDDE75" w14:textId="77777777" w:rsidR="00E54FF0" w:rsidRPr="00B74545" w:rsidRDefault="00E54FF0" w:rsidP="00426A09">
      <w:pPr>
        <w:pStyle w:val="Odstavekseznama"/>
        <w:numPr>
          <w:ilvl w:val="0"/>
          <w:numId w:val="15"/>
        </w:numPr>
        <w:jc w:val="both"/>
        <w:rPr>
          <w:rFonts w:ascii="Tahoma" w:hAnsi="Tahoma" w:cs="Tahoma"/>
        </w:rPr>
      </w:pPr>
      <w:r w:rsidRPr="00B74545">
        <w:rPr>
          <w:rFonts w:ascii="Tahoma" w:hAnsi="Tahoma" w:cs="Tahoma"/>
        </w:rPr>
        <w:t>Za kvantitativne metode neposrednega zbiranja podatkov (npr. anketa, strukturirano opazovanje) je potrebno opredeliti:</w:t>
      </w:r>
    </w:p>
    <w:p w14:paraId="6B0BF5FC" w14:textId="63C340B8" w:rsidR="00E54FF0" w:rsidRPr="00B74545" w:rsidRDefault="00E54FF0" w:rsidP="00426A09">
      <w:pPr>
        <w:numPr>
          <w:ilvl w:val="1"/>
          <w:numId w:val="18"/>
        </w:numPr>
        <w:jc w:val="both"/>
        <w:rPr>
          <w:rFonts w:ascii="Tahoma" w:hAnsi="Tahoma" w:cs="Tahoma"/>
        </w:rPr>
      </w:pPr>
      <w:r w:rsidRPr="00B74545">
        <w:rPr>
          <w:rFonts w:ascii="Tahoma" w:hAnsi="Tahoma" w:cs="Tahoma"/>
        </w:rPr>
        <w:t>osnovno populacijo ter tip, osnovno strukturo in obseg raziskovalnega vzorca</w:t>
      </w:r>
      <w:r w:rsidR="00B32D8C" w:rsidRPr="00B74545">
        <w:rPr>
          <w:rFonts w:ascii="Tahoma" w:hAnsi="Tahoma" w:cs="Tahoma"/>
        </w:rPr>
        <w:t>;</w:t>
      </w:r>
    </w:p>
    <w:p w14:paraId="44E8A953" w14:textId="34F55588" w:rsidR="00E54FF0" w:rsidRPr="00B74545" w:rsidRDefault="00E54FF0" w:rsidP="00426A09">
      <w:pPr>
        <w:numPr>
          <w:ilvl w:val="1"/>
          <w:numId w:val="18"/>
        </w:numPr>
        <w:jc w:val="both"/>
        <w:rPr>
          <w:rFonts w:ascii="Tahoma" w:hAnsi="Tahoma" w:cs="Tahoma"/>
        </w:rPr>
      </w:pPr>
      <w:r w:rsidRPr="00B74545">
        <w:rPr>
          <w:rFonts w:ascii="Tahoma" w:hAnsi="Tahoma" w:cs="Tahoma"/>
        </w:rPr>
        <w:lastRenderedPageBreak/>
        <w:t>način zbiranja podatkov z opredelitvijo načina zagotovitve ustrezne (načelno vsaj 50%) stopnje realizacije vzorca na vseh ravneh oz. z argumentacijo o zagotavljanju nepristranskosti vzorca</w:t>
      </w:r>
      <w:r w:rsidR="00B32D8C" w:rsidRPr="00B74545">
        <w:rPr>
          <w:rFonts w:ascii="Tahoma" w:hAnsi="Tahoma" w:cs="Tahoma"/>
        </w:rPr>
        <w:t>;</w:t>
      </w:r>
    </w:p>
    <w:p w14:paraId="2CB4BAD5" w14:textId="001B3ECD" w:rsidR="00E54FF0" w:rsidRPr="00B74545" w:rsidRDefault="00E54FF0" w:rsidP="00426A09">
      <w:pPr>
        <w:numPr>
          <w:ilvl w:val="1"/>
          <w:numId w:val="18"/>
        </w:numPr>
        <w:jc w:val="both"/>
        <w:rPr>
          <w:rFonts w:ascii="Tahoma" w:hAnsi="Tahoma" w:cs="Tahoma"/>
        </w:rPr>
      </w:pPr>
      <w:r w:rsidRPr="00B74545">
        <w:rPr>
          <w:rFonts w:ascii="Tahoma" w:hAnsi="Tahoma" w:cs="Tahoma"/>
        </w:rPr>
        <w:t>uporabljen inštrument (okvirna vsebina vprašalnika/načrt opazovanja...)</w:t>
      </w:r>
      <w:r w:rsidR="00B32D8C" w:rsidRPr="00B74545">
        <w:rPr>
          <w:rFonts w:ascii="Tahoma" w:hAnsi="Tahoma" w:cs="Tahoma"/>
        </w:rPr>
        <w:t>;</w:t>
      </w:r>
    </w:p>
    <w:p w14:paraId="2C704383" w14:textId="77777777" w:rsidR="00E54FF0" w:rsidRPr="00B74545" w:rsidRDefault="00E54FF0" w:rsidP="00426A09">
      <w:pPr>
        <w:numPr>
          <w:ilvl w:val="1"/>
          <w:numId w:val="18"/>
        </w:numPr>
        <w:jc w:val="both"/>
        <w:rPr>
          <w:rFonts w:ascii="Tahoma" w:hAnsi="Tahoma" w:cs="Tahoma"/>
        </w:rPr>
      </w:pPr>
      <w:r w:rsidRPr="00B74545">
        <w:rPr>
          <w:rFonts w:ascii="Tahoma" w:hAnsi="Tahoma" w:cs="Tahoma"/>
        </w:rPr>
        <w:t>predvidene postopke analize pridobljenih podatkov.</w:t>
      </w:r>
    </w:p>
    <w:p w14:paraId="69DAD307" w14:textId="77777777" w:rsidR="00E54FF0" w:rsidRPr="00B74545" w:rsidRDefault="00E54FF0" w:rsidP="00AB2711">
      <w:pPr>
        <w:pStyle w:val="Odstavekseznama"/>
        <w:numPr>
          <w:ilvl w:val="0"/>
          <w:numId w:val="16"/>
        </w:numPr>
        <w:jc w:val="both"/>
        <w:rPr>
          <w:rFonts w:ascii="Tahoma" w:hAnsi="Tahoma" w:cs="Tahoma"/>
        </w:rPr>
      </w:pPr>
      <w:r w:rsidRPr="00B74545">
        <w:rPr>
          <w:rFonts w:ascii="Tahoma" w:hAnsi="Tahoma" w:cs="Tahoma"/>
        </w:rPr>
        <w:t>Za kvalitativne metode neposrednega zbiranja podatkov (intervju, fokusna skupina, opazovanje z udeležbo) je potrebno opredeliti:</w:t>
      </w:r>
    </w:p>
    <w:p w14:paraId="0ADE969A" w14:textId="60562533" w:rsidR="00E54FF0" w:rsidRPr="00B74545" w:rsidRDefault="00E54FF0" w:rsidP="00426A09">
      <w:pPr>
        <w:numPr>
          <w:ilvl w:val="1"/>
          <w:numId w:val="19"/>
        </w:numPr>
        <w:jc w:val="both"/>
        <w:rPr>
          <w:rFonts w:ascii="Tahoma" w:hAnsi="Tahoma" w:cs="Tahoma"/>
        </w:rPr>
      </w:pPr>
      <w:r w:rsidRPr="00B74545">
        <w:rPr>
          <w:rFonts w:ascii="Tahoma" w:hAnsi="Tahoma" w:cs="Tahoma"/>
        </w:rPr>
        <w:t>populacijo, ki jo raziskujemo ter način vzorčenja</w:t>
      </w:r>
      <w:r w:rsidR="00B32D8C" w:rsidRPr="00B74545">
        <w:rPr>
          <w:rFonts w:ascii="Tahoma" w:hAnsi="Tahoma" w:cs="Tahoma"/>
        </w:rPr>
        <w:t>;</w:t>
      </w:r>
    </w:p>
    <w:p w14:paraId="18444A5E" w14:textId="55A1CA65" w:rsidR="00E54FF0" w:rsidRPr="00B74545" w:rsidRDefault="00E54FF0" w:rsidP="00426A09">
      <w:pPr>
        <w:numPr>
          <w:ilvl w:val="1"/>
          <w:numId w:val="19"/>
        </w:numPr>
        <w:jc w:val="both"/>
        <w:rPr>
          <w:rFonts w:ascii="Tahoma" w:hAnsi="Tahoma" w:cs="Tahoma"/>
        </w:rPr>
      </w:pPr>
      <w:r w:rsidRPr="00B74545">
        <w:rPr>
          <w:rFonts w:ascii="Tahoma" w:hAnsi="Tahoma" w:cs="Tahoma"/>
        </w:rPr>
        <w:t>uporabljeni inštrument (usmeritvena vprašanja za intervju ali fokusno skupino / načrt opazovanja)</w:t>
      </w:r>
      <w:r w:rsidR="00B32D8C" w:rsidRPr="00B74545">
        <w:rPr>
          <w:rFonts w:ascii="Tahoma" w:hAnsi="Tahoma" w:cs="Tahoma"/>
        </w:rPr>
        <w:t>;</w:t>
      </w:r>
    </w:p>
    <w:p w14:paraId="0EE5C960" w14:textId="77777777" w:rsidR="00E54FF0" w:rsidRPr="00B74545" w:rsidRDefault="00E54FF0" w:rsidP="00426A09">
      <w:pPr>
        <w:numPr>
          <w:ilvl w:val="1"/>
          <w:numId w:val="19"/>
        </w:numPr>
        <w:jc w:val="both"/>
        <w:rPr>
          <w:rFonts w:ascii="Tahoma" w:hAnsi="Tahoma" w:cs="Tahoma"/>
        </w:rPr>
      </w:pPr>
      <w:r w:rsidRPr="00B74545">
        <w:rPr>
          <w:rFonts w:ascii="Tahoma" w:hAnsi="Tahoma" w:cs="Tahoma"/>
        </w:rPr>
        <w:t>predvidene postopke analize pridobljenih podatkov.</w:t>
      </w:r>
    </w:p>
    <w:p w14:paraId="206B1775" w14:textId="77777777" w:rsidR="00E54FF0" w:rsidRPr="00B74545" w:rsidRDefault="00E54FF0" w:rsidP="00B32D8C">
      <w:pPr>
        <w:pStyle w:val="Odstavekseznama"/>
        <w:numPr>
          <w:ilvl w:val="0"/>
          <w:numId w:val="19"/>
        </w:numPr>
        <w:jc w:val="both"/>
        <w:rPr>
          <w:rFonts w:ascii="Tahoma" w:hAnsi="Tahoma" w:cs="Tahoma"/>
        </w:rPr>
      </w:pPr>
      <w:r w:rsidRPr="00B74545">
        <w:rPr>
          <w:rFonts w:ascii="Tahoma" w:hAnsi="Tahoma" w:cs="Tahoma"/>
        </w:rPr>
        <w:t>Za sekundarno analizo podatkov je potrebno navesti vir in značilnost podatkov ter predvidene metode njihove obdelave.</w:t>
      </w:r>
    </w:p>
    <w:p w14:paraId="476FA418" w14:textId="6F267848" w:rsidR="00E54FF0" w:rsidRPr="00B74545" w:rsidRDefault="00E54FF0" w:rsidP="00426A09">
      <w:pPr>
        <w:pStyle w:val="Odstavekseznama"/>
        <w:numPr>
          <w:ilvl w:val="0"/>
          <w:numId w:val="17"/>
        </w:numPr>
        <w:jc w:val="both"/>
        <w:rPr>
          <w:rFonts w:ascii="Tahoma" w:hAnsi="Tahoma" w:cs="Tahoma"/>
        </w:rPr>
      </w:pPr>
      <w:r w:rsidRPr="00B74545">
        <w:rPr>
          <w:rFonts w:ascii="Tahoma" w:hAnsi="Tahoma" w:cs="Tahoma"/>
        </w:rPr>
        <w:t>Strokovni življenjepisi nosilca predloga in članov raziskovalne skupine, iz katerih so razvidni podatki za ugotavljanje raziskovalne usposobljenosti (9. člen Protokola). Življenjepisi morajo biti predloženi v skladu z obrazcem EUROPASS v slovenskem jeziku.</w:t>
      </w:r>
    </w:p>
    <w:p w14:paraId="09C9C618" w14:textId="0D251873" w:rsidR="00414F0B" w:rsidRPr="00B74545" w:rsidRDefault="00E54FF0" w:rsidP="00426A09">
      <w:pPr>
        <w:pStyle w:val="Odstavekseznama"/>
        <w:numPr>
          <w:ilvl w:val="0"/>
          <w:numId w:val="17"/>
        </w:numPr>
        <w:jc w:val="both"/>
        <w:rPr>
          <w:rFonts w:ascii="Tahoma" w:eastAsia="Times New Roman" w:hAnsi="Tahoma" w:cs="Tahoma"/>
          <w:color w:val="000000"/>
          <w:lang w:eastAsia="sl-SI"/>
        </w:rPr>
      </w:pPr>
      <w:r w:rsidRPr="00B74545">
        <w:rPr>
          <w:rFonts w:ascii="Tahoma" w:hAnsi="Tahoma" w:cs="Tahoma"/>
        </w:rPr>
        <w:t>Časovni načrt nacionalne evalvacijske študije s predvidenim obsegom financiranja</w:t>
      </w:r>
      <w:r w:rsidRPr="00B74545">
        <w:rPr>
          <w:rFonts w:ascii="Tahoma" w:eastAsia="Times New Roman" w:hAnsi="Tahoma" w:cs="Tahoma"/>
          <w:color w:val="000000"/>
          <w:lang w:eastAsia="sl-SI"/>
        </w:rPr>
        <w:t xml:space="preserve">. </w:t>
      </w:r>
    </w:p>
    <w:p w14:paraId="1F4C18A5" w14:textId="73CD687E" w:rsidR="00F946F0" w:rsidRPr="00B74545" w:rsidRDefault="0040306C" w:rsidP="00607AA9">
      <w:pPr>
        <w:jc w:val="both"/>
        <w:rPr>
          <w:rFonts w:ascii="Tahoma" w:hAnsi="Tahoma" w:cs="Tahoma"/>
        </w:rPr>
      </w:pPr>
      <w:r w:rsidRPr="00B74545">
        <w:rPr>
          <w:rFonts w:ascii="Tahoma" w:eastAsia="Times New Roman" w:hAnsi="Tahoma" w:cs="Tahoma"/>
          <w:lang w:eastAsia="sl-SI"/>
        </w:rPr>
        <w:t xml:space="preserve">Finančna sredstva, namenjena za izvedbo </w:t>
      </w:r>
      <w:r w:rsidR="00B663E4">
        <w:rPr>
          <w:rFonts w:ascii="Tahoma" w:eastAsia="Times New Roman" w:hAnsi="Tahoma" w:cs="Tahoma"/>
          <w:lang w:eastAsia="sl-SI"/>
        </w:rPr>
        <w:t xml:space="preserve">nacionalne </w:t>
      </w:r>
      <w:proofErr w:type="spellStart"/>
      <w:r w:rsidR="005B3464">
        <w:rPr>
          <w:rFonts w:ascii="Tahoma" w:eastAsia="Times New Roman" w:hAnsi="Tahoma" w:cs="Tahoma"/>
          <w:lang w:eastAsia="sl-SI"/>
        </w:rPr>
        <w:t>evalvacijske</w:t>
      </w:r>
      <w:proofErr w:type="spellEnd"/>
      <w:r w:rsidR="005B3464">
        <w:rPr>
          <w:rFonts w:ascii="Tahoma" w:eastAsia="Times New Roman" w:hAnsi="Tahoma" w:cs="Tahoma"/>
          <w:lang w:eastAsia="sl-SI"/>
        </w:rPr>
        <w:t xml:space="preserve"> </w:t>
      </w:r>
      <w:r w:rsidRPr="00B74545">
        <w:rPr>
          <w:rFonts w:ascii="Tahoma" w:eastAsia="Times New Roman" w:hAnsi="Tahoma" w:cs="Tahoma"/>
          <w:lang w:eastAsia="sl-SI"/>
        </w:rPr>
        <w:t xml:space="preserve">študije, znašajo </w:t>
      </w:r>
      <w:r w:rsidR="002B5127">
        <w:rPr>
          <w:rFonts w:ascii="Tahoma" w:eastAsia="Times New Roman" w:hAnsi="Tahoma" w:cs="Tahoma"/>
          <w:lang w:eastAsia="sl-SI"/>
        </w:rPr>
        <w:t>4</w:t>
      </w:r>
      <w:r w:rsidRPr="00B74545">
        <w:rPr>
          <w:rFonts w:ascii="Tahoma" w:eastAsia="Times New Roman" w:hAnsi="Tahoma" w:cs="Tahoma"/>
          <w:lang w:eastAsia="sl-SI"/>
        </w:rPr>
        <w:t xml:space="preserve">0.000 EUR. </w:t>
      </w:r>
    </w:p>
    <w:p w14:paraId="42B30AEF" w14:textId="34027ADE" w:rsidR="00D93C11" w:rsidRPr="00B74545" w:rsidRDefault="00D93C11" w:rsidP="00D93C11">
      <w:pPr>
        <w:autoSpaceDE w:val="0"/>
        <w:autoSpaceDN w:val="0"/>
        <w:adjustRightInd w:val="0"/>
        <w:spacing w:after="0" w:line="240" w:lineRule="auto"/>
        <w:jc w:val="both"/>
        <w:rPr>
          <w:rFonts w:ascii="Tahoma" w:eastAsiaTheme="minorHAnsi" w:hAnsi="Tahoma" w:cs="Tahoma"/>
          <w:color w:val="000000"/>
          <w:sz w:val="20"/>
          <w:szCs w:val="20"/>
        </w:rPr>
      </w:pPr>
      <w:r w:rsidRPr="00B74545">
        <w:rPr>
          <w:rFonts w:ascii="Tahoma" w:hAnsi="Tahoma" w:cs="Tahoma"/>
        </w:rPr>
        <w:t>V izbirni postopek se bodo uvrstile vse prijave, ki bodo v roku 30 dni o</w:t>
      </w:r>
      <w:r w:rsidR="003D6D57">
        <w:rPr>
          <w:rFonts w:ascii="Tahoma" w:hAnsi="Tahoma" w:cs="Tahoma"/>
        </w:rPr>
        <w:t>d objave</w:t>
      </w:r>
      <w:r w:rsidR="001B2D75">
        <w:rPr>
          <w:rFonts w:ascii="Tahoma" w:hAnsi="Tahoma" w:cs="Tahoma"/>
        </w:rPr>
        <w:t xml:space="preserve"> na spletnih straneh Ministrstva za </w:t>
      </w:r>
      <w:r w:rsidR="00E13205">
        <w:rPr>
          <w:rFonts w:ascii="Tahoma" w:hAnsi="Tahoma" w:cs="Tahoma"/>
        </w:rPr>
        <w:t xml:space="preserve">vzgojo in izobraževanje </w:t>
      </w:r>
      <w:r w:rsidR="001B2D75">
        <w:rPr>
          <w:rFonts w:ascii="Tahoma" w:hAnsi="Tahoma" w:cs="Tahoma"/>
        </w:rPr>
        <w:t>in na spletnih straneh Inštituta za narodnostna vprašanja</w:t>
      </w:r>
      <w:r w:rsidR="00E757EC">
        <w:rPr>
          <w:rFonts w:ascii="Tahoma" w:hAnsi="Tahoma" w:cs="Tahoma"/>
        </w:rPr>
        <w:t xml:space="preserve"> </w:t>
      </w:r>
      <w:r w:rsidRPr="00B74545">
        <w:rPr>
          <w:rFonts w:ascii="Tahoma" w:hAnsi="Tahoma" w:cs="Tahoma"/>
        </w:rPr>
        <w:t>poslane ali dostavljene na naslov</w:t>
      </w:r>
      <w:r w:rsidRPr="00B74545">
        <w:rPr>
          <w:rFonts w:ascii="Tahoma" w:eastAsiaTheme="minorHAnsi" w:hAnsi="Tahoma" w:cs="Tahoma"/>
          <w:color w:val="000000"/>
          <w:sz w:val="20"/>
          <w:szCs w:val="20"/>
        </w:rPr>
        <w:t xml:space="preserve"> </w:t>
      </w:r>
      <w:r w:rsidRPr="00B74545">
        <w:rPr>
          <w:rFonts w:ascii="Tahoma" w:eastAsia="Times New Roman" w:hAnsi="Tahoma" w:cs="Tahoma"/>
          <w:b/>
          <w:color w:val="000000"/>
          <w:lang w:eastAsia="sl-SI"/>
        </w:rPr>
        <w:t>Inštitut za narodnostna vprašanja,</w:t>
      </w:r>
      <w:r w:rsidRPr="00B74545">
        <w:rPr>
          <w:rFonts w:ascii="Tahoma" w:hAnsi="Tahoma" w:cs="Tahoma"/>
          <w:b/>
        </w:rPr>
        <w:t xml:space="preserve"> </w:t>
      </w:r>
      <w:r w:rsidRPr="00B74545">
        <w:rPr>
          <w:rFonts w:ascii="Tahoma" w:eastAsia="Times New Roman" w:hAnsi="Tahoma" w:cs="Tahoma"/>
          <w:b/>
          <w:color w:val="000000"/>
          <w:lang w:eastAsia="sl-SI"/>
        </w:rPr>
        <w:t>Erjavčeva cesta 26, 1000 Ljubljana</w:t>
      </w:r>
      <w:r w:rsidRPr="00B74545">
        <w:rPr>
          <w:rFonts w:ascii="Tahoma" w:eastAsia="Times New Roman" w:hAnsi="Tahoma" w:cs="Tahoma"/>
          <w:color w:val="000000"/>
          <w:lang w:eastAsia="sl-SI"/>
        </w:rPr>
        <w:t>, z</w:t>
      </w:r>
      <w:r w:rsidRPr="00B74545">
        <w:rPr>
          <w:rFonts w:ascii="Tahoma" w:hAnsi="Tahoma" w:cs="Tahoma"/>
        </w:rPr>
        <w:t xml:space="preserve"> oznako »NE ODPIRAJ – PRIJAVA NA JAVNO POVABILO - EVALVACIJSKE ŠTUDIJE«. Šteje se, da je prijava  prispela pravočasno, če je bila (najkasneje) zadnji dan roka za oddajo prijav oddana na pošti priporočeno ali do 12.00 ure oddana v vložišču </w:t>
      </w:r>
      <w:r w:rsidRPr="00B74545">
        <w:rPr>
          <w:rFonts w:ascii="Tahoma" w:eastAsia="Times New Roman" w:hAnsi="Tahoma" w:cs="Tahoma"/>
          <w:b/>
          <w:color w:val="000000"/>
          <w:lang w:eastAsia="sl-SI"/>
        </w:rPr>
        <w:t>Inštituta za narodnostna vprašanja,</w:t>
      </w:r>
      <w:r w:rsidRPr="00B74545">
        <w:rPr>
          <w:rFonts w:ascii="Tahoma" w:hAnsi="Tahoma" w:cs="Tahoma"/>
          <w:b/>
        </w:rPr>
        <w:t xml:space="preserve"> </w:t>
      </w:r>
      <w:r w:rsidRPr="00B74545">
        <w:rPr>
          <w:rFonts w:ascii="Tahoma" w:eastAsia="Times New Roman" w:hAnsi="Tahoma" w:cs="Tahoma"/>
          <w:b/>
          <w:color w:val="000000"/>
          <w:lang w:eastAsia="sl-SI"/>
        </w:rPr>
        <w:t>Erjavčeva cesta 26, 1000 Ljubljana</w:t>
      </w:r>
      <w:r w:rsidRPr="00B74545">
        <w:rPr>
          <w:rFonts w:ascii="Tahoma" w:eastAsiaTheme="minorHAnsi" w:hAnsi="Tahoma" w:cs="Tahoma"/>
          <w:color w:val="000000"/>
          <w:sz w:val="20"/>
          <w:szCs w:val="20"/>
        </w:rPr>
        <w:t>.</w:t>
      </w:r>
    </w:p>
    <w:p w14:paraId="7633DB60" w14:textId="77777777" w:rsidR="00F946F0" w:rsidRPr="00B74545" w:rsidRDefault="00F946F0" w:rsidP="00F946F0">
      <w:pPr>
        <w:spacing w:after="0" w:line="240" w:lineRule="auto"/>
        <w:jc w:val="both"/>
        <w:rPr>
          <w:rFonts w:ascii="Tahoma" w:hAnsi="Tahoma" w:cs="Tahoma"/>
        </w:rPr>
      </w:pPr>
    </w:p>
    <w:p w14:paraId="3E73EA49" w14:textId="77777777" w:rsidR="00F946F0" w:rsidRPr="00B74545" w:rsidRDefault="00F946F0" w:rsidP="00F946F0">
      <w:pPr>
        <w:spacing w:after="0" w:line="240" w:lineRule="auto"/>
        <w:jc w:val="both"/>
        <w:rPr>
          <w:rFonts w:ascii="Tahoma" w:hAnsi="Tahoma" w:cs="Tahoma"/>
        </w:rPr>
      </w:pPr>
    </w:p>
    <w:p w14:paraId="5BD54C12" w14:textId="77777777" w:rsidR="00E84F21" w:rsidRPr="00B74545" w:rsidRDefault="00E84F21" w:rsidP="00F946F0">
      <w:pPr>
        <w:spacing w:after="0" w:line="240" w:lineRule="auto"/>
        <w:jc w:val="both"/>
        <w:rPr>
          <w:rFonts w:ascii="Tahoma" w:hAnsi="Tahoma" w:cs="Tahoma"/>
        </w:rPr>
      </w:pPr>
    </w:p>
    <w:p w14:paraId="2ADE83DC" w14:textId="77777777" w:rsidR="00AB2711" w:rsidRPr="00B74545" w:rsidRDefault="00506F96" w:rsidP="00506F96">
      <w:pPr>
        <w:spacing w:after="0" w:line="240" w:lineRule="auto"/>
        <w:jc w:val="center"/>
        <w:rPr>
          <w:rFonts w:ascii="Tahoma" w:hAnsi="Tahoma" w:cs="Tahoma"/>
        </w:rPr>
      </w:pPr>
      <w:r w:rsidRPr="00B74545">
        <w:rPr>
          <w:rFonts w:ascii="Tahoma" w:hAnsi="Tahoma" w:cs="Tahoma"/>
        </w:rPr>
        <w:t xml:space="preserve">                                                               </w:t>
      </w:r>
    </w:p>
    <w:p w14:paraId="07D3DB8D" w14:textId="6802F0B2" w:rsidR="00F946F0" w:rsidRPr="00B74545" w:rsidRDefault="00AB2711" w:rsidP="00506F96">
      <w:pPr>
        <w:spacing w:after="0" w:line="240" w:lineRule="auto"/>
        <w:jc w:val="center"/>
        <w:rPr>
          <w:rFonts w:ascii="Tahoma" w:hAnsi="Tahoma" w:cs="Tahoma"/>
        </w:rPr>
      </w:pPr>
      <w:r w:rsidRPr="00B74545">
        <w:rPr>
          <w:rFonts w:ascii="Tahoma" w:hAnsi="Tahoma" w:cs="Tahoma"/>
        </w:rPr>
        <w:t xml:space="preserve">                                                                </w:t>
      </w:r>
      <w:r w:rsidR="00F946F0" w:rsidRPr="00B74545">
        <w:rPr>
          <w:rFonts w:ascii="Tahoma" w:hAnsi="Tahoma" w:cs="Tahoma"/>
        </w:rPr>
        <w:t xml:space="preserve">Dr. </w:t>
      </w:r>
      <w:r w:rsidR="002B5127">
        <w:rPr>
          <w:rFonts w:ascii="Tahoma" w:hAnsi="Tahoma" w:cs="Tahoma"/>
        </w:rPr>
        <w:t>Darjo Felda</w:t>
      </w:r>
    </w:p>
    <w:p w14:paraId="7FEFC875" w14:textId="2C40033A" w:rsidR="00F946F0" w:rsidRPr="00B74545" w:rsidRDefault="00506F96" w:rsidP="00506F96">
      <w:pPr>
        <w:spacing w:after="0" w:line="240" w:lineRule="auto"/>
        <w:jc w:val="center"/>
        <w:rPr>
          <w:rFonts w:ascii="Tahoma" w:hAnsi="Tahoma" w:cs="Tahoma"/>
        </w:rPr>
      </w:pPr>
      <w:r w:rsidRPr="00B74545">
        <w:rPr>
          <w:rFonts w:ascii="Tahoma" w:hAnsi="Tahoma" w:cs="Tahoma"/>
        </w:rPr>
        <w:t xml:space="preserve">                                                                </w:t>
      </w:r>
      <w:r w:rsidR="00F946F0" w:rsidRPr="00B74545">
        <w:rPr>
          <w:rFonts w:ascii="Tahoma" w:hAnsi="Tahoma" w:cs="Tahoma"/>
        </w:rPr>
        <w:t>MINISTER</w:t>
      </w:r>
    </w:p>
    <w:p w14:paraId="00BC1B82" w14:textId="4B77FE14" w:rsidR="00F946F0" w:rsidRPr="00B74545" w:rsidRDefault="00F946F0" w:rsidP="00F946F0">
      <w:pPr>
        <w:spacing w:after="0" w:line="240" w:lineRule="auto"/>
        <w:jc w:val="both"/>
        <w:rPr>
          <w:rFonts w:ascii="Tahoma" w:hAnsi="Tahoma" w:cs="Tahoma"/>
        </w:rPr>
      </w:pPr>
    </w:p>
    <w:p w14:paraId="7D8F8CFB" w14:textId="180C3C1E" w:rsidR="00F946F0" w:rsidRPr="00B74545" w:rsidRDefault="00F946F0" w:rsidP="00AB2711">
      <w:pPr>
        <w:spacing w:after="0" w:line="240" w:lineRule="auto"/>
        <w:rPr>
          <w:rFonts w:ascii="Tahoma" w:hAnsi="Tahoma" w:cs="Tahoma"/>
          <w:lang w:val="en-US"/>
        </w:rPr>
      </w:pPr>
    </w:p>
    <w:sectPr w:rsidR="00F946F0" w:rsidRPr="00B745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C6A1" w14:textId="77777777" w:rsidR="0097058A" w:rsidRDefault="0097058A" w:rsidP="00672096">
      <w:pPr>
        <w:spacing w:after="0" w:line="240" w:lineRule="auto"/>
      </w:pPr>
      <w:r>
        <w:separator/>
      </w:r>
    </w:p>
  </w:endnote>
  <w:endnote w:type="continuationSeparator" w:id="0">
    <w:p w14:paraId="0EC5B674" w14:textId="77777777" w:rsidR="0097058A" w:rsidRDefault="0097058A" w:rsidP="0067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83A4" w14:textId="77777777" w:rsidR="0097058A" w:rsidRDefault="0097058A" w:rsidP="00672096">
      <w:pPr>
        <w:spacing w:after="0" w:line="240" w:lineRule="auto"/>
      </w:pPr>
      <w:r>
        <w:separator/>
      </w:r>
    </w:p>
  </w:footnote>
  <w:footnote w:type="continuationSeparator" w:id="0">
    <w:p w14:paraId="6B9AE4C9" w14:textId="77777777" w:rsidR="0097058A" w:rsidRDefault="0097058A" w:rsidP="00672096">
      <w:pPr>
        <w:spacing w:after="0" w:line="240" w:lineRule="auto"/>
      </w:pPr>
      <w:r>
        <w:continuationSeparator/>
      </w:r>
    </w:p>
  </w:footnote>
  <w:footnote w:id="1">
    <w:p w14:paraId="470E22BA" w14:textId="1ADA2D9A" w:rsidR="00672096" w:rsidRDefault="00672096">
      <w:pPr>
        <w:pStyle w:val="Sprotnaopomba-besedilo"/>
      </w:pPr>
      <w:r>
        <w:rPr>
          <w:rStyle w:val="Sprotnaopomba-sklic"/>
        </w:rPr>
        <w:footnoteRef/>
      </w:r>
      <w:r>
        <w:t xml:space="preserve"> Za več o faktorjih karierne izbire glej Akosah-Twumasi in dr. (2018).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6825"/>
    <w:multiLevelType w:val="hybridMultilevel"/>
    <w:tmpl w:val="9FC4B944"/>
    <w:lvl w:ilvl="0" w:tplc="E80A44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E18FA"/>
    <w:multiLevelType w:val="hybridMultilevel"/>
    <w:tmpl w:val="152EF986"/>
    <w:lvl w:ilvl="0" w:tplc="F1F4BF9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AF7C30"/>
    <w:multiLevelType w:val="hybridMultilevel"/>
    <w:tmpl w:val="0FB6F51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6E7FD3"/>
    <w:multiLevelType w:val="hybridMultilevel"/>
    <w:tmpl w:val="27BCBB7C"/>
    <w:lvl w:ilvl="0" w:tplc="FFFFFFFF">
      <w:numFmt w:val="bullet"/>
      <w:lvlText w:val="-"/>
      <w:lvlJc w:val="left"/>
      <w:pPr>
        <w:ind w:left="720" w:hanging="360"/>
      </w:pPr>
      <w:rPr>
        <w:rFonts w:ascii="Calibri" w:eastAsia="Calibri" w:hAnsi="Calibri" w:cs="Calibri" w:hint="default"/>
      </w:rPr>
    </w:lvl>
    <w:lvl w:ilvl="1" w:tplc="F1F4BF9A">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032489"/>
    <w:multiLevelType w:val="hybridMultilevel"/>
    <w:tmpl w:val="AC00EE4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802747"/>
    <w:multiLevelType w:val="hybridMultilevel"/>
    <w:tmpl w:val="F69E8DD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5A169B1"/>
    <w:multiLevelType w:val="hybridMultilevel"/>
    <w:tmpl w:val="472019F2"/>
    <w:lvl w:ilvl="0" w:tplc="FFFFFFFF">
      <w:numFmt w:val="bullet"/>
      <w:lvlText w:val="-"/>
      <w:lvlJc w:val="left"/>
      <w:pPr>
        <w:ind w:left="720" w:hanging="360"/>
      </w:pPr>
      <w:rPr>
        <w:rFonts w:ascii="Calibri" w:eastAsia="Calibri" w:hAnsi="Calibri" w:cs="Calibri" w:hint="default"/>
      </w:rPr>
    </w:lvl>
    <w:lvl w:ilvl="1" w:tplc="F1F4BF9A">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A34FA1"/>
    <w:multiLevelType w:val="hybridMultilevel"/>
    <w:tmpl w:val="18B08546"/>
    <w:lvl w:ilvl="0" w:tplc="F1F4BF9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93D"/>
    <w:multiLevelType w:val="hybridMultilevel"/>
    <w:tmpl w:val="4278568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156C28"/>
    <w:multiLevelType w:val="hybridMultilevel"/>
    <w:tmpl w:val="27A8E47E"/>
    <w:lvl w:ilvl="0" w:tplc="F1F4BF9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16647"/>
    <w:multiLevelType w:val="hybridMultilevel"/>
    <w:tmpl w:val="DEB8F97A"/>
    <w:lvl w:ilvl="0" w:tplc="B7BAF4CC">
      <w:start w:val="8"/>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75D88"/>
    <w:multiLevelType w:val="hybridMultilevel"/>
    <w:tmpl w:val="DC041DF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6A6735E"/>
    <w:multiLevelType w:val="hybridMultilevel"/>
    <w:tmpl w:val="6DC484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16628C"/>
    <w:multiLevelType w:val="hybridMultilevel"/>
    <w:tmpl w:val="D1B0C8AE"/>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611124A3"/>
    <w:multiLevelType w:val="hybridMultilevel"/>
    <w:tmpl w:val="FB8817CA"/>
    <w:lvl w:ilvl="0" w:tplc="F1F4BF9A">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6813873"/>
    <w:multiLevelType w:val="hybridMultilevel"/>
    <w:tmpl w:val="B3C2A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1CA2144"/>
    <w:multiLevelType w:val="hybridMultilevel"/>
    <w:tmpl w:val="AE6AB6A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8C20640"/>
    <w:multiLevelType w:val="hybridMultilevel"/>
    <w:tmpl w:val="076AE634"/>
    <w:lvl w:ilvl="0" w:tplc="0CC43E3C">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BC037CF"/>
    <w:multiLevelType w:val="hybridMultilevel"/>
    <w:tmpl w:val="412A5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1"/>
  </w:num>
  <w:num w:numId="4">
    <w:abstractNumId w:val="17"/>
  </w:num>
  <w:num w:numId="5">
    <w:abstractNumId w:val="1"/>
  </w:num>
  <w:num w:numId="6">
    <w:abstractNumId w:val="10"/>
  </w:num>
  <w:num w:numId="7">
    <w:abstractNumId w:val="18"/>
  </w:num>
  <w:num w:numId="8">
    <w:abstractNumId w:val="8"/>
  </w:num>
  <w:num w:numId="9">
    <w:abstractNumId w:val="13"/>
  </w:num>
  <w:num w:numId="10">
    <w:abstractNumId w:val="4"/>
  </w:num>
  <w:num w:numId="11">
    <w:abstractNumId w:val="5"/>
  </w:num>
  <w:num w:numId="12">
    <w:abstractNumId w:val="2"/>
  </w:num>
  <w:num w:numId="13">
    <w:abstractNumId w:val="16"/>
  </w:num>
  <w:num w:numId="14">
    <w:abstractNumId w:val="14"/>
  </w:num>
  <w:num w:numId="15">
    <w:abstractNumId w:val="7"/>
  </w:num>
  <w:num w:numId="16">
    <w:abstractNumId w:val="9"/>
  </w:num>
  <w:num w:numId="17">
    <w:abstractNumId w:val="0"/>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6F0"/>
    <w:rsid w:val="001B2D75"/>
    <w:rsid w:val="002B5127"/>
    <w:rsid w:val="0036096B"/>
    <w:rsid w:val="003C0D2C"/>
    <w:rsid w:val="003D6D57"/>
    <w:rsid w:val="003F7C63"/>
    <w:rsid w:val="0040306C"/>
    <w:rsid w:val="00414F0B"/>
    <w:rsid w:val="00422EF0"/>
    <w:rsid w:val="00426A09"/>
    <w:rsid w:val="004C0B82"/>
    <w:rsid w:val="00506F96"/>
    <w:rsid w:val="0058505B"/>
    <w:rsid w:val="005B3464"/>
    <w:rsid w:val="0060214E"/>
    <w:rsid w:val="00607AA9"/>
    <w:rsid w:val="00672096"/>
    <w:rsid w:val="00672BC3"/>
    <w:rsid w:val="00675DD1"/>
    <w:rsid w:val="006E0A7A"/>
    <w:rsid w:val="006F3289"/>
    <w:rsid w:val="00751C67"/>
    <w:rsid w:val="0078389B"/>
    <w:rsid w:val="007B106D"/>
    <w:rsid w:val="00803904"/>
    <w:rsid w:val="0084266C"/>
    <w:rsid w:val="008A472A"/>
    <w:rsid w:val="008B071E"/>
    <w:rsid w:val="008D7170"/>
    <w:rsid w:val="0097058A"/>
    <w:rsid w:val="009C40BF"/>
    <w:rsid w:val="009E46C7"/>
    <w:rsid w:val="00A00D61"/>
    <w:rsid w:val="00A01423"/>
    <w:rsid w:val="00A74695"/>
    <w:rsid w:val="00A92C25"/>
    <w:rsid w:val="00AB2711"/>
    <w:rsid w:val="00B002FC"/>
    <w:rsid w:val="00B32D8C"/>
    <w:rsid w:val="00B47E11"/>
    <w:rsid w:val="00B53E60"/>
    <w:rsid w:val="00B663E4"/>
    <w:rsid w:val="00B74545"/>
    <w:rsid w:val="00B81C13"/>
    <w:rsid w:val="00B8260E"/>
    <w:rsid w:val="00BE1477"/>
    <w:rsid w:val="00C111F7"/>
    <w:rsid w:val="00C634D7"/>
    <w:rsid w:val="00C911D3"/>
    <w:rsid w:val="00CF49C7"/>
    <w:rsid w:val="00D25A98"/>
    <w:rsid w:val="00D82394"/>
    <w:rsid w:val="00D93C11"/>
    <w:rsid w:val="00DA07EA"/>
    <w:rsid w:val="00DC679D"/>
    <w:rsid w:val="00DD3181"/>
    <w:rsid w:val="00E13205"/>
    <w:rsid w:val="00E244E5"/>
    <w:rsid w:val="00E50C60"/>
    <w:rsid w:val="00E54FF0"/>
    <w:rsid w:val="00E757EC"/>
    <w:rsid w:val="00E84F21"/>
    <w:rsid w:val="00E948BA"/>
    <w:rsid w:val="00EA6002"/>
    <w:rsid w:val="00EC191C"/>
    <w:rsid w:val="00EE2D4B"/>
    <w:rsid w:val="00F56057"/>
    <w:rsid w:val="00F82540"/>
    <w:rsid w:val="00F830CD"/>
    <w:rsid w:val="00F94049"/>
    <w:rsid w:val="00F946F0"/>
    <w:rsid w:val="00FD3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521D"/>
  <w15:docId w15:val="{5630A5D6-71C9-4E82-9A69-B004CDD3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946F0"/>
    <w:pPr>
      <w:spacing w:after="200" w:line="276" w:lineRule="auto"/>
    </w:pPr>
    <w:rPr>
      <w:rFonts w:ascii="Calibri" w:eastAsia="Calibri" w:hAnsi="Calibri" w:cs="Times New Roman"/>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946F0"/>
    <w:pPr>
      <w:ind w:left="708"/>
    </w:pPr>
  </w:style>
  <w:style w:type="character" w:styleId="Hiperpovezava">
    <w:name w:val="Hyperlink"/>
    <w:basedOn w:val="Privzetapisavaodstavka"/>
    <w:uiPriority w:val="99"/>
    <w:unhideWhenUsed/>
    <w:rsid w:val="00F946F0"/>
    <w:rPr>
      <w:color w:val="0563C1" w:themeColor="hyperlink"/>
      <w:u w:val="single"/>
    </w:rPr>
  </w:style>
  <w:style w:type="character" w:customStyle="1" w:styleId="UnresolvedMention1">
    <w:name w:val="Unresolved Mention1"/>
    <w:basedOn w:val="Privzetapisavaodstavka"/>
    <w:uiPriority w:val="99"/>
    <w:rsid w:val="00F946F0"/>
    <w:rPr>
      <w:color w:val="605E5C"/>
      <w:shd w:val="clear" w:color="auto" w:fill="E1DFDD"/>
    </w:rPr>
  </w:style>
  <w:style w:type="character" w:customStyle="1" w:styleId="apple-converted-space">
    <w:name w:val="apple-converted-space"/>
    <w:basedOn w:val="Privzetapisavaodstavka"/>
    <w:rsid w:val="00F946F0"/>
  </w:style>
  <w:style w:type="paragraph" w:styleId="Revizija">
    <w:name w:val="Revision"/>
    <w:hidden/>
    <w:uiPriority w:val="99"/>
    <w:semiHidden/>
    <w:rsid w:val="00C634D7"/>
    <w:rPr>
      <w:rFonts w:ascii="Calibri" w:eastAsia="Calibri" w:hAnsi="Calibri" w:cs="Times New Roman"/>
      <w:sz w:val="22"/>
      <w:szCs w:val="22"/>
      <w:lang w:val="sl-SI"/>
    </w:rPr>
  </w:style>
  <w:style w:type="paragraph" w:styleId="Besedilooblaka">
    <w:name w:val="Balloon Text"/>
    <w:basedOn w:val="Navaden"/>
    <w:link w:val="BesedilooblakaZnak"/>
    <w:uiPriority w:val="99"/>
    <w:semiHidden/>
    <w:unhideWhenUsed/>
    <w:rsid w:val="0078389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389B"/>
    <w:rPr>
      <w:rFonts w:ascii="Segoe UI" w:eastAsia="Calibri" w:hAnsi="Segoe UI" w:cs="Segoe UI"/>
      <w:sz w:val="18"/>
      <w:szCs w:val="18"/>
      <w:lang w:val="sl-SI"/>
    </w:rPr>
  </w:style>
  <w:style w:type="character" w:styleId="Pripombasklic">
    <w:name w:val="annotation reference"/>
    <w:basedOn w:val="Privzetapisavaodstavka"/>
    <w:uiPriority w:val="99"/>
    <w:semiHidden/>
    <w:unhideWhenUsed/>
    <w:rsid w:val="008A472A"/>
    <w:rPr>
      <w:sz w:val="16"/>
      <w:szCs w:val="16"/>
    </w:rPr>
  </w:style>
  <w:style w:type="paragraph" w:styleId="Pripombabesedilo">
    <w:name w:val="annotation text"/>
    <w:basedOn w:val="Navaden"/>
    <w:link w:val="PripombabesediloZnak"/>
    <w:uiPriority w:val="99"/>
    <w:semiHidden/>
    <w:unhideWhenUsed/>
    <w:rsid w:val="008A472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A472A"/>
    <w:rPr>
      <w:rFonts w:ascii="Calibri" w:eastAsia="Calibri" w:hAnsi="Calibri" w:cs="Times New Roman"/>
      <w:sz w:val="20"/>
      <w:szCs w:val="20"/>
      <w:lang w:val="sl-SI"/>
    </w:rPr>
  </w:style>
  <w:style w:type="paragraph" w:styleId="Zadevapripombe">
    <w:name w:val="annotation subject"/>
    <w:basedOn w:val="Pripombabesedilo"/>
    <w:next w:val="Pripombabesedilo"/>
    <w:link w:val="ZadevapripombeZnak"/>
    <w:uiPriority w:val="99"/>
    <w:semiHidden/>
    <w:unhideWhenUsed/>
    <w:rsid w:val="008A472A"/>
    <w:rPr>
      <w:b/>
      <w:bCs/>
    </w:rPr>
  </w:style>
  <w:style w:type="character" w:customStyle="1" w:styleId="ZadevapripombeZnak">
    <w:name w:val="Zadeva pripombe Znak"/>
    <w:basedOn w:val="PripombabesediloZnak"/>
    <w:link w:val="Zadevapripombe"/>
    <w:uiPriority w:val="99"/>
    <w:semiHidden/>
    <w:rsid w:val="008A472A"/>
    <w:rPr>
      <w:rFonts w:ascii="Calibri" w:eastAsia="Calibri" w:hAnsi="Calibri" w:cs="Times New Roman"/>
      <w:b/>
      <w:bCs/>
      <w:sz w:val="20"/>
      <w:szCs w:val="20"/>
      <w:lang w:val="sl-SI"/>
    </w:rPr>
  </w:style>
  <w:style w:type="paragraph" w:styleId="Sprotnaopomba-besedilo">
    <w:name w:val="footnote text"/>
    <w:basedOn w:val="Navaden"/>
    <w:link w:val="Sprotnaopomba-besediloZnak"/>
    <w:uiPriority w:val="99"/>
    <w:semiHidden/>
    <w:unhideWhenUsed/>
    <w:rsid w:val="0067209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72096"/>
    <w:rPr>
      <w:rFonts w:ascii="Calibri" w:eastAsia="Calibri" w:hAnsi="Calibri" w:cs="Times New Roman"/>
      <w:sz w:val="20"/>
      <w:szCs w:val="20"/>
      <w:lang w:val="sl-SI"/>
    </w:rPr>
  </w:style>
  <w:style w:type="character" w:styleId="Sprotnaopomba-sklic">
    <w:name w:val="footnote reference"/>
    <w:basedOn w:val="Privzetapisavaodstavka"/>
    <w:uiPriority w:val="99"/>
    <w:semiHidden/>
    <w:unhideWhenUsed/>
    <w:rsid w:val="00672096"/>
    <w:rPr>
      <w:vertAlign w:val="superscript"/>
    </w:rPr>
  </w:style>
  <w:style w:type="paragraph" w:styleId="Glava">
    <w:name w:val="header"/>
    <w:basedOn w:val="Navaden"/>
    <w:link w:val="GlavaZnak"/>
    <w:rsid w:val="003F7C63"/>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rsid w:val="003F7C63"/>
    <w:rPr>
      <w:rFonts w:ascii="Arial" w:eastAsia="Times New Roman" w:hAnsi="Arial" w:cs="Times New Roman"/>
      <w:sz w:val="20"/>
      <w:lang w:val="sl-SI"/>
    </w:rPr>
  </w:style>
  <w:style w:type="table" w:styleId="Navadnatabela4">
    <w:name w:val="Plain Table 4"/>
    <w:basedOn w:val="Navadnatabela"/>
    <w:uiPriority w:val="44"/>
    <w:rsid w:val="003F7C63"/>
    <w:rPr>
      <w:rFonts w:ascii="Times New Roman" w:eastAsia="Times New Roman" w:hAnsi="Times New Roman" w:cs="Times New Roman"/>
      <w:sz w:val="20"/>
      <w:szCs w:val="20"/>
      <w:lang w:val="sl-SI"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228">
      <w:bodyDiv w:val="1"/>
      <w:marLeft w:val="0"/>
      <w:marRight w:val="0"/>
      <w:marTop w:val="0"/>
      <w:marBottom w:val="0"/>
      <w:divBdr>
        <w:top w:val="none" w:sz="0" w:space="0" w:color="auto"/>
        <w:left w:val="none" w:sz="0" w:space="0" w:color="auto"/>
        <w:bottom w:val="none" w:sz="0" w:space="0" w:color="auto"/>
        <w:right w:val="none" w:sz="0" w:space="0" w:color="auto"/>
      </w:divBdr>
    </w:div>
    <w:div w:id="564414571">
      <w:bodyDiv w:val="1"/>
      <w:marLeft w:val="0"/>
      <w:marRight w:val="0"/>
      <w:marTop w:val="0"/>
      <w:marBottom w:val="0"/>
      <w:divBdr>
        <w:top w:val="none" w:sz="0" w:space="0" w:color="auto"/>
        <w:left w:val="none" w:sz="0" w:space="0" w:color="auto"/>
        <w:bottom w:val="none" w:sz="0" w:space="0" w:color="auto"/>
        <w:right w:val="none" w:sz="0" w:space="0" w:color="auto"/>
      </w:divBdr>
    </w:div>
    <w:div w:id="599535247">
      <w:bodyDiv w:val="1"/>
      <w:marLeft w:val="0"/>
      <w:marRight w:val="0"/>
      <w:marTop w:val="0"/>
      <w:marBottom w:val="0"/>
      <w:divBdr>
        <w:top w:val="none" w:sz="0" w:space="0" w:color="auto"/>
        <w:left w:val="none" w:sz="0" w:space="0" w:color="auto"/>
        <w:bottom w:val="none" w:sz="0" w:space="0" w:color="auto"/>
        <w:right w:val="none" w:sz="0" w:space="0" w:color="auto"/>
      </w:divBdr>
    </w:div>
    <w:div w:id="1009790591">
      <w:bodyDiv w:val="1"/>
      <w:marLeft w:val="0"/>
      <w:marRight w:val="0"/>
      <w:marTop w:val="0"/>
      <w:marBottom w:val="0"/>
      <w:divBdr>
        <w:top w:val="none" w:sz="0" w:space="0" w:color="auto"/>
        <w:left w:val="none" w:sz="0" w:space="0" w:color="auto"/>
        <w:bottom w:val="none" w:sz="0" w:space="0" w:color="auto"/>
        <w:right w:val="none" w:sz="0" w:space="0" w:color="auto"/>
      </w:divBdr>
    </w:div>
    <w:div w:id="1027560880">
      <w:bodyDiv w:val="1"/>
      <w:marLeft w:val="0"/>
      <w:marRight w:val="0"/>
      <w:marTop w:val="0"/>
      <w:marBottom w:val="0"/>
      <w:divBdr>
        <w:top w:val="none" w:sz="0" w:space="0" w:color="auto"/>
        <w:left w:val="none" w:sz="0" w:space="0" w:color="auto"/>
        <w:bottom w:val="none" w:sz="0" w:space="0" w:color="auto"/>
        <w:right w:val="none" w:sz="0" w:space="0" w:color="auto"/>
      </w:divBdr>
    </w:div>
    <w:div w:id="1048990262">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382896777">
      <w:bodyDiv w:val="1"/>
      <w:marLeft w:val="0"/>
      <w:marRight w:val="0"/>
      <w:marTop w:val="0"/>
      <w:marBottom w:val="0"/>
      <w:divBdr>
        <w:top w:val="none" w:sz="0" w:space="0" w:color="auto"/>
        <w:left w:val="none" w:sz="0" w:space="0" w:color="auto"/>
        <w:bottom w:val="none" w:sz="0" w:space="0" w:color="auto"/>
        <w:right w:val="none" w:sz="0" w:space="0" w:color="auto"/>
      </w:divBdr>
    </w:div>
    <w:div w:id="157994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1584</Words>
  <Characters>9034</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šolstvo in šport</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Tomaž Deželan</dc:creator>
  <cp:lastModifiedBy>Verena Balažic</cp:lastModifiedBy>
  <cp:revision>4</cp:revision>
  <dcterms:created xsi:type="dcterms:W3CDTF">2023-02-10T10:45:00Z</dcterms:created>
  <dcterms:modified xsi:type="dcterms:W3CDTF">2023-02-13T08:48:00Z</dcterms:modified>
</cp:coreProperties>
</file>