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D6B" w14:textId="02C0CD7C" w:rsidR="00055BF6" w:rsidRPr="0038738F" w:rsidRDefault="00055BF6" w:rsidP="00055BF6">
      <w:pPr>
        <w:pStyle w:val="Naslov2"/>
        <w:rPr>
          <w:color w:val="000000"/>
          <w:shd w:val="clear" w:color="auto" w:fill="FFFFFF"/>
        </w:rPr>
      </w:pPr>
      <w:r w:rsidRPr="0038738F">
        <w:t>Priloga 2</w:t>
      </w:r>
      <w:r>
        <w:t>:</w:t>
      </w:r>
      <w:r w:rsidRPr="0038738F">
        <w:t xml:space="preserve"> </w:t>
      </w:r>
      <w:r>
        <w:t xml:space="preserve">Izvajanje varstva učencev – orientacijska </w:t>
      </w:r>
      <w:r w:rsidR="00330758">
        <w:t>preglednica</w:t>
      </w:r>
    </w:p>
    <w:tbl>
      <w:tblPr>
        <w:tblStyle w:val="Tabelamre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523"/>
        <w:gridCol w:w="2523"/>
        <w:gridCol w:w="2523"/>
        <w:gridCol w:w="2523"/>
        <w:gridCol w:w="2523"/>
      </w:tblGrid>
      <w:tr w:rsidR="00055BF6" w:rsidRPr="0054627F" w14:paraId="6DBBEDF0" w14:textId="77777777" w:rsidTr="009D5C8C">
        <w:tc>
          <w:tcPr>
            <w:tcW w:w="1701" w:type="dxa"/>
          </w:tcPr>
          <w:p w14:paraId="6B93D5E6" w14:textId="77777777" w:rsidR="00055BF6" w:rsidRPr="0054627F" w:rsidRDefault="00055BF6" w:rsidP="009D5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Oblika</w:t>
            </w:r>
          </w:p>
        </w:tc>
        <w:tc>
          <w:tcPr>
            <w:tcW w:w="993" w:type="dxa"/>
          </w:tcPr>
          <w:p w14:paraId="2181C547" w14:textId="77777777" w:rsidR="00055BF6" w:rsidRPr="0054627F" w:rsidRDefault="00055BF6" w:rsidP="009D5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ZOFVI</w:t>
            </w:r>
          </w:p>
        </w:tc>
        <w:tc>
          <w:tcPr>
            <w:tcW w:w="2523" w:type="dxa"/>
          </w:tcPr>
          <w:p w14:paraId="0A79FDDA" w14:textId="77777777" w:rsidR="00055BF6" w:rsidRPr="0054627F" w:rsidRDefault="00055BF6" w:rsidP="009D5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ZOsn</w:t>
            </w:r>
          </w:p>
        </w:tc>
        <w:tc>
          <w:tcPr>
            <w:tcW w:w="2523" w:type="dxa"/>
          </w:tcPr>
          <w:p w14:paraId="050C4B7F" w14:textId="77777777" w:rsidR="00055BF6" w:rsidRPr="0054627F" w:rsidRDefault="00055BF6" w:rsidP="009D5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Pravilnik standardi in normativ</w:t>
            </w:r>
          </w:p>
        </w:tc>
        <w:tc>
          <w:tcPr>
            <w:tcW w:w="2523" w:type="dxa"/>
          </w:tcPr>
          <w:p w14:paraId="43B8FC90" w14:textId="77777777" w:rsidR="00055BF6" w:rsidRPr="0054627F" w:rsidRDefault="00055BF6" w:rsidP="009D5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Kolektivna</w:t>
            </w:r>
          </w:p>
        </w:tc>
        <w:tc>
          <w:tcPr>
            <w:tcW w:w="2523" w:type="dxa"/>
          </w:tcPr>
          <w:p w14:paraId="2ABDE759" w14:textId="77777777" w:rsidR="00055BF6" w:rsidRPr="0054627F" w:rsidRDefault="00055BF6" w:rsidP="009D5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</w:tc>
        <w:tc>
          <w:tcPr>
            <w:tcW w:w="2523" w:type="dxa"/>
          </w:tcPr>
          <w:p w14:paraId="5260FC4D" w14:textId="77777777" w:rsidR="00055BF6" w:rsidRPr="0054627F" w:rsidRDefault="00055BF6" w:rsidP="009D5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27F">
              <w:rPr>
                <w:rFonts w:ascii="Arial" w:hAnsi="Arial" w:cs="Arial"/>
                <w:b/>
                <w:sz w:val="20"/>
                <w:szCs w:val="20"/>
              </w:rPr>
              <w:t>Posebnost/opomba</w:t>
            </w:r>
          </w:p>
        </w:tc>
      </w:tr>
      <w:tr w:rsidR="00055BF6" w:rsidRPr="00A43AD2" w14:paraId="5673C964" w14:textId="77777777" w:rsidTr="009D5C8C">
        <w:tc>
          <w:tcPr>
            <w:tcW w:w="1701" w:type="dxa"/>
          </w:tcPr>
          <w:p w14:paraId="5DA3F377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Jutranje varstvo</w:t>
            </w:r>
          </w:p>
        </w:tc>
        <w:tc>
          <w:tcPr>
            <w:tcW w:w="993" w:type="dxa"/>
            <w:vMerge w:val="restart"/>
            <w:textDirection w:val="btLr"/>
          </w:tcPr>
          <w:p w14:paraId="75C00FFE" w14:textId="77777777" w:rsidR="00055BF6" w:rsidRPr="006A701C" w:rsidRDefault="00055BF6" w:rsidP="009D5C8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V skladu s cilji vzgoje in izobraževanja v RS (2. člen ZOFVI) šola zagotavlja varno in spodbudno učno okolje,</w:t>
            </w:r>
          </w:p>
        </w:tc>
        <w:tc>
          <w:tcPr>
            <w:tcW w:w="2523" w:type="dxa"/>
          </w:tcPr>
          <w:p w14:paraId="64327576" w14:textId="77777777" w:rsidR="00055BF6" w:rsidRPr="006A701C" w:rsidRDefault="00055BF6" w:rsidP="009D5C8C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701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Osnovna šola organizira jutranje varstvo učencev prvega razreda.</w:t>
            </w:r>
          </w:p>
          <w:p w14:paraId="7ED1292C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3925801C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Normativ za oblikovanje skupine je 28 učencev. Skupina se oblikuje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če je vanjo vključen</w:t>
            </w:r>
            <w:r>
              <w:rPr>
                <w:rFonts w:ascii="Arial" w:hAnsi="Arial" w:cs="Arial"/>
                <w:sz w:val="18"/>
                <w:szCs w:val="18"/>
              </w:rPr>
              <w:t>ih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najmanj 10 učencev 1. razreda oziroma 5 učencev na podružničnih šolah, ki 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na območju s posebnimi razvojnimi problemu (*)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23" w:type="dxa"/>
          </w:tcPr>
          <w:p w14:paraId="6EB08737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Druge oblike organiziranega dela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ki so element za sistemizacijo v skladu z normativi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40290B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33961" w14:textId="55913E64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I. steber</w:t>
            </w:r>
          </w:p>
        </w:tc>
        <w:tc>
          <w:tcPr>
            <w:tcW w:w="2523" w:type="dxa"/>
          </w:tcPr>
          <w:p w14:paraId="246D026D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Sistemizira se največ 2 uri za skupino učencev.</w:t>
            </w:r>
          </w:p>
          <w:p w14:paraId="0502CE51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Tedenska učna obveznost strokovnega delavca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6A701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izražena v urah po 60 minut, je 35 ur.</w:t>
            </w:r>
          </w:p>
        </w:tc>
        <w:tc>
          <w:tcPr>
            <w:tcW w:w="2523" w:type="dxa"/>
          </w:tcPr>
          <w:p w14:paraId="57B1AE2D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Posamezne šol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omogočajo tudi vključitev učencev 2. in 3. razreda v okviru normativov do izpolnitve mest. Nekaj šol omogoča vključitev tudi starejših učencev ob plačilu staršev ali ustanovitelja.</w:t>
            </w:r>
          </w:p>
        </w:tc>
      </w:tr>
      <w:tr w:rsidR="00055BF6" w:rsidRPr="00A43AD2" w14:paraId="23085A75" w14:textId="77777777" w:rsidTr="009D5C8C">
        <w:tc>
          <w:tcPr>
            <w:tcW w:w="1701" w:type="dxa"/>
          </w:tcPr>
          <w:p w14:paraId="3301E163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Nadzor nad učenci, ki prihajajo k pouku</w:t>
            </w:r>
          </w:p>
        </w:tc>
        <w:tc>
          <w:tcPr>
            <w:tcW w:w="993" w:type="dxa"/>
            <w:vMerge/>
          </w:tcPr>
          <w:p w14:paraId="6A30678E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14:paraId="5E01B58F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Šola s hišnim redom določi organizacijo nadzora in ukrepe za zagotavljanje varnosti.</w:t>
            </w:r>
          </w:p>
        </w:tc>
        <w:tc>
          <w:tcPr>
            <w:tcW w:w="2523" w:type="dxa"/>
          </w:tcPr>
          <w:p w14:paraId="029F1C46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D0C5D6E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Opravljanje drugih nalog, določenih z letnim delovnim načrtom zavoda.</w:t>
            </w:r>
          </w:p>
          <w:p w14:paraId="4E69210D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5C345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III. steber</w:t>
            </w:r>
          </w:p>
        </w:tc>
        <w:tc>
          <w:tcPr>
            <w:tcW w:w="2523" w:type="dxa"/>
          </w:tcPr>
          <w:p w14:paraId="6DC0F5D8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 xml:space="preserve">Razpored izvajanja dežurstev pripravi ravnatelj. Določi prostor, kjer se zbirajo učenci, ki čakajo na organiziran prevoz domov. </w:t>
            </w:r>
          </w:p>
        </w:tc>
        <w:tc>
          <w:tcPr>
            <w:tcW w:w="2523" w:type="dxa"/>
          </w:tcPr>
          <w:p w14:paraId="1EA4601F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F6" w:rsidRPr="00A43AD2" w14:paraId="2738AE71" w14:textId="77777777" w:rsidTr="009D5C8C">
        <w:tc>
          <w:tcPr>
            <w:tcW w:w="1701" w:type="dxa"/>
          </w:tcPr>
          <w:p w14:paraId="12830223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Varstvo vozačev po</w:t>
            </w:r>
          </w:p>
          <w:p w14:paraId="46F5C511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obveznem programu</w:t>
            </w:r>
          </w:p>
        </w:tc>
        <w:tc>
          <w:tcPr>
            <w:tcW w:w="993" w:type="dxa"/>
            <w:vMerge/>
          </w:tcPr>
          <w:p w14:paraId="5D95FA89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14:paraId="5DB9400C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6DAE3E1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3664E836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Opravljanje drugih nalog, določenih z letnim delovnim načrtom zavoda.</w:t>
            </w:r>
          </w:p>
          <w:p w14:paraId="582D1F4E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6DC4F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III. steber</w:t>
            </w:r>
          </w:p>
        </w:tc>
        <w:tc>
          <w:tcPr>
            <w:tcW w:w="2523" w:type="dxa"/>
          </w:tcPr>
          <w:p w14:paraId="460EAEE5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 xml:space="preserve">Razpored izvajanja dežurstev pripravi ravnatelj. Določi prostor, kjer se zbirajo učenci, ki čakajo na organiziran prevoz domov. </w:t>
            </w:r>
          </w:p>
        </w:tc>
        <w:tc>
          <w:tcPr>
            <w:tcW w:w="2523" w:type="dxa"/>
          </w:tcPr>
          <w:p w14:paraId="3C586C1F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Skladno z 81. členom ZOFVI so sredstva za varstvo učencev, katerih pot v šolo je ogrožena zaradi velikih zveri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zagotovljena v državnem proračunu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55BF6" w:rsidRPr="00A43AD2" w14:paraId="531D79BF" w14:textId="77777777" w:rsidTr="009D5C8C">
        <w:tc>
          <w:tcPr>
            <w:tcW w:w="1701" w:type="dxa"/>
          </w:tcPr>
          <w:p w14:paraId="4488DBF9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Varstvo po končanem razširjenem programu – podaljšanem bivanju</w:t>
            </w:r>
          </w:p>
        </w:tc>
        <w:tc>
          <w:tcPr>
            <w:tcW w:w="993" w:type="dxa"/>
            <w:vMerge/>
          </w:tcPr>
          <w:p w14:paraId="516BBEC4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D8240D8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Osnovna šola organizira podaljšano bivanje za učence od 1. do 5. razreda. V času podaljšanega bivanja se učenci učijo, opravljajo domače naloge in druge obveznosti in sodelujejo pri kulturnih, športnih, umetniških in drugih dejavnostih.</w:t>
            </w:r>
          </w:p>
          <w:p w14:paraId="78FE5790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507218E3" w14:textId="77777777" w:rsidR="00055BF6" w:rsidRPr="006A701C" w:rsidRDefault="00055BF6" w:rsidP="009D5C8C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</w:pPr>
            <w:r w:rsidRPr="006A701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Tedenska učna </w:t>
            </w:r>
            <w:r w:rsidRPr="006A701C">
              <w:rPr>
                <w:rFonts w:ascii="Arial" w:hAnsi="Arial" w:cs="Arial"/>
                <w:sz w:val="18"/>
                <w:szCs w:val="18"/>
              </w:rPr>
              <w:t>obveznost, izražena v urah po 50 minut, je 25 ur za učitelje v podaljšanem bivanju.</w:t>
            </w:r>
          </w:p>
          <w:p w14:paraId="443193C2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E4468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I. steber</w:t>
            </w:r>
          </w:p>
          <w:p w14:paraId="019315D6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(dela in naloge, ki so element za sistemizacijo v skladu z normativi)</w:t>
            </w:r>
          </w:p>
        </w:tc>
        <w:tc>
          <w:tcPr>
            <w:tcW w:w="2523" w:type="dxa"/>
          </w:tcPr>
          <w:p w14:paraId="02B9743C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Izvajanje razširjenega programa v obsegu 250 minut, sodi v sklop I. stebra.</w:t>
            </w:r>
          </w:p>
          <w:p w14:paraId="1FACCBD6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48BE5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V I. steber sodi tudi izvajanje varstva, če je to posledica združevanja skupin in v okviru 250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A701C">
              <w:rPr>
                <w:rFonts w:ascii="Arial" w:hAnsi="Arial" w:cs="Arial"/>
                <w:sz w:val="18"/>
                <w:szCs w:val="18"/>
              </w:rPr>
              <w:t>minutnega programa podaljšanega bivanja.</w:t>
            </w:r>
          </w:p>
        </w:tc>
        <w:tc>
          <w:tcPr>
            <w:tcW w:w="2523" w:type="dxa"/>
          </w:tcPr>
          <w:p w14:paraId="0647B5C3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 xml:space="preserve">Šola oblikuje </w:t>
            </w:r>
            <w:proofErr w:type="spellStart"/>
            <w:r w:rsidRPr="006A701C">
              <w:rPr>
                <w:rFonts w:ascii="Arial" w:hAnsi="Arial" w:cs="Arial"/>
                <w:sz w:val="18"/>
                <w:szCs w:val="18"/>
              </w:rPr>
              <w:t>časovnico</w:t>
            </w:r>
            <w:proofErr w:type="spellEnd"/>
            <w:r w:rsidRPr="006A701C">
              <w:rPr>
                <w:rFonts w:ascii="Arial" w:hAnsi="Arial" w:cs="Arial"/>
                <w:sz w:val="18"/>
                <w:szCs w:val="18"/>
              </w:rPr>
              <w:t xml:space="preserve"> izvajanja razširjenega programa glede na program in dogovorjene vsebine. V okviru razširjenega programa, najpogosteje je to podaljšano bivanje, šola upošteva, da se po odhodu glavnine učencev oddelki združujejo v manjše skupine, kjer se nato praviloma izvajajo prostočasne dejavnosti (varstvo). </w:t>
            </w:r>
          </w:p>
          <w:p w14:paraId="0814A24E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1AA3411C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 xml:space="preserve">Obseg razširjenega programa se med šolami razlikuje. Pomemben </w:t>
            </w:r>
            <w:r>
              <w:rPr>
                <w:rFonts w:ascii="Arial" w:hAnsi="Arial" w:cs="Arial"/>
                <w:sz w:val="18"/>
                <w:szCs w:val="18"/>
              </w:rPr>
              <w:t>dejavnik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so časi odhodov šolskih avtobusov in potrebe staršev.</w:t>
            </w:r>
          </w:p>
          <w:p w14:paraId="0405A08C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Po zaključku izvajanja razširjenega programa se lahko organizira 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701C">
              <w:rPr>
                <w:rFonts w:ascii="Arial" w:hAnsi="Arial" w:cs="Arial"/>
                <w:sz w:val="18"/>
                <w:szCs w:val="18"/>
              </w:rPr>
              <w:t>i. popoldansko varstvo, ki je za starše plačljivo.</w:t>
            </w:r>
          </w:p>
          <w:p w14:paraId="66ECD860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5B996" w14:textId="77777777" w:rsidR="00055BF6" w:rsidRPr="006A701C" w:rsidRDefault="00055BF6" w:rsidP="009D5C8C">
            <w:pPr>
              <w:rPr>
                <w:rFonts w:ascii="Arial" w:hAnsi="Arial" w:cs="Arial"/>
                <w:sz w:val="18"/>
                <w:szCs w:val="18"/>
              </w:rPr>
            </w:pPr>
            <w:r w:rsidRPr="006A701C">
              <w:rPr>
                <w:rFonts w:ascii="Arial" w:hAnsi="Arial" w:cs="Arial"/>
                <w:sz w:val="18"/>
                <w:szCs w:val="18"/>
              </w:rPr>
              <w:t>Obseg programa podaljšanega bivanja se določi v LDN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Temu se prilagodi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6A701C">
              <w:rPr>
                <w:rFonts w:ascii="Arial" w:hAnsi="Arial" w:cs="Arial"/>
                <w:sz w:val="18"/>
                <w:szCs w:val="18"/>
              </w:rPr>
              <w:t xml:space="preserve"> tudi časovna obveznost zaposlenih in sistemizacija.</w:t>
            </w:r>
          </w:p>
        </w:tc>
      </w:tr>
    </w:tbl>
    <w:p w14:paraId="2CD46E74" w14:textId="77777777" w:rsidR="00055BF6" w:rsidRDefault="00055BF6" w:rsidP="00055BF6">
      <w:pPr>
        <w:spacing w:after="0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5689F90E" w14:textId="26981C18" w:rsidR="00243120" w:rsidRPr="00055BF6" w:rsidRDefault="00055BF6" w:rsidP="00055BF6">
      <w:pPr>
        <w:spacing w:after="0"/>
        <w:rPr>
          <w:rFonts w:ascii="Arial" w:eastAsia="Times New Roman" w:hAnsi="Arial" w:cs="Arial"/>
          <w:i/>
          <w:sz w:val="19"/>
          <w:szCs w:val="19"/>
          <w:lang w:eastAsia="sl-SI"/>
        </w:rPr>
      </w:pPr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 xml:space="preserve">(*) Območja s posebnimi razvojnimi problemi. Novo poimenovanje: </w:t>
      </w:r>
      <w:r w:rsidR="00A6472E">
        <w:rPr>
          <w:rFonts w:ascii="Arial" w:eastAsia="Times New Roman" w:hAnsi="Arial" w:cs="Arial"/>
          <w:i/>
          <w:sz w:val="19"/>
          <w:szCs w:val="19"/>
          <w:lang w:eastAsia="sl-SI"/>
        </w:rPr>
        <w:t>o</w:t>
      </w:r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bmejna problemska območja.</w:t>
      </w:r>
      <w:r>
        <w:rPr>
          <w:rFonts w:ascii="Arial" w:eastAsia="Times New Roman" w:hAnsi="Arial" w:cs="Arial"/>
          <w:i/>
          <w:sz w:val="19"/>
          <w:szCs w:val="19"/>
          <w:lang w:eastAsia="sl-SI"/>
        </w:rPr>
        <w:t xml:space="preserve"> </w:t>
      </w:r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 xml:space="preserve">Glej: </w:t>
      </w:r>
      <w:hyperlink r:id="rId6" w:history="1">
        <w:r w:rsidRPr="00A6472E">
          <w:rPr>
            <w:rStyle w:val="Hiperpovezava"/>
            <w:rFonts w:ascii="Arial" w:eastAsia="Times New Roman" w:hAnsi="Arial" w:cs="Arial"/>
            <w:i/>
            <w:sz w:val="19"/>
            <w:szCs w:val="19"/>
            <w:lang w:eastAsia="sl-SI"/>
          </w:rPr>
          <w:t>Uredba o določitvi obmejnih problemskih območij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 xml:space="preserve"> (Uradni list RS, št. </w:t>
      </w:r>
      <w:hyperlink r:id="rId7" w:tgtFrame="_blank" w:tooltip="Uredba o določitvi obmejnih problemskih območij" w:history="1">
        <w:r w:rsidRPr="00B87AF2">
          <w:rPr>
            <w:rFonts w:ascii="Arial" w:eastAsia="Times New Roman" w:hAnsi="Arial" w:cs="Arial"/>
            <w:i/>
            <w:sz w:val="19"/>
            <w:szCs w:val="19"/>
            <w:lang w:eastAsia="sl-SI"/>
          </w:rPr>
          <w:t>22/11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, </w:t>
      </w:r>
      <w:hyperlink r:id="rId8" w:tgtFrame="_blank" w:tooltip="Uredba o spremembah Uredbe o določitvi obmejnih problemskih območij" w:history="1">
        <w:r w:rsidRPr="00B87AF2">
          <w:rPr>
            <w:rFonts w:ascii="Arial" w:eastAsia="Times New Roman" w:hAnsi="Arial" w:cs="Arial"/>
            <w:i/>
            <w:sz w:val="19"/>
            <w:szCs w:val="19"/>
            <w:lang w:eastAsia="sl-SI"/>
          </w:rPr>
          <w:t>97/12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, </w:t>
      </w:r>
      <w:hyperlink r:id="rId9" w:tgtFrame="_blank" w:tooltip="Uredba o spremembi Uredbe o določitvi obmejnih problemskih območij" w:history="1">
        <w:r w:rsidRPr="00B87AF2">
          <w:rPr>
            <w:rFonts w:ascii="Arial" w:eastAsia="Times New Roman" w:hAnsi="Arial" w:cs="Arial"/>
            <w:i/>
            <w:sz w:val="19"/>
            <w:szCs w:val="19"/>
            <w:lang w:eastAsia="sl-SI"/>
          </w:rPr>
          <w:t>24/15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, </w:t>
      </w:r>
      <w:hyperlink r:id="rId10" w:tgtFrame="_blank" w:tooltip="Uredba o spremembi Uredbe o določitvi obmejnih problemskih območij" w:history="1">
        <w:r w:rsidRPr="00B87AF2">
          <w:rPr>
            <w:rFonts w:ascii="Arial" w:eastAsia="Times New Roman" w:hAnsi="Arial" w:cs="Arial"/>
            <w:i/>
            <w:sz w:val="19"/>
            <w:szCs w:val="19"/>
            <w:lang w:eastAsia="sl-SI"/>
          </w:rPr>
          <w:t>35/17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, </w:t>
      </w:r>
      <w:hyperlink r:id="rId11" w:tgtFrame="_blank" w:tooltip="Uredba o spremembi Uredbe o določitvi obmejnih problemskih območij" w:history="1">
        <w:r w:rsidRPr="00B87AF2">
          <w:rPr>
            <w:rFonts w:ascii="Arial" w:eastAsia="Times New Roman" w:hAnsi="Arial" w:cs="Arial"/>
            <w:i/>
            <w:sz w:val="19"/>
            <w:szCs w:val="19"/>
            <w:lang w:eastAsia="sl-SI"/>
          </w:rPr>
          <w:t>101/20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 in </w:t>
      </w:r>
      <w:hyperlink r:id="rId12" w:tgtFrame="_blank" w:tooltip="Uredba o spremembah Uredbe o določitvi obmejnih problemskih območij" w:history="1">
        <w:r w:rsidRPr="00B87AF2">
          <w:rPr>
            <w:rFonts w:ascii="Arial" w:eastAsia="Times New Roman" w:hAnsi="Arial" w:cs="Arial"/>
            <w:i/>
            <w:sz w:val="19"/>
            <w:szCs w:val="19"/>
            <w:lang w:eastAsia="sl-SI"/>
          </w:rPr>
          <w:t>112/22</w:t>
        </w:r>
      </w:hyperlink>
      <w:r w:rsidRPr="00B87AF2">
        <w:rPr>
          <w:rFonts w:ascii="Arial" w:eastAsia="Times New Roman" w:hAnsi="Arial" w:cs="Arial"/>
          <w:i/>
          <w:sz w:val="19"/>
          <w:szCs w:val="19"/>
          <w:lang w:eastAsia="sl-SI"/>
        </w:rPr>
        <w:t>)</w:t>
      </w:r>
      <w:r w:rsidRPr="00B87AF2" w:rsidDel="0038738F">
        <w:rPr>
          <w:rFonts w:ascii="Arial" w:eastAsia="Times New Roman" w:hAnsi="Arial" w:cs="Arial"/>
          <w:i/>
          <w:sz w:val="19"/>
          <w:szCs w:val="19"/>
          <w:lang w:eastAsia="sl-SI"/>
        </w:rPr>
        <w:t xml:space="preserve"> </w:t>
      </w:r>
    </w:p>
    <w:sectPr w:rsidR="00243120" w:rsidRPr="00055BF6" w:rsidSect="00DA5FD6">
      <w:footerReference w:type="default" r:id="rId13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045B" w14:textId="77777777" w:rsidR="0006194B" w:rsidRDefault="00330758">
      <w:pPr>
        <w:spacing w:after="0" w:line="240" w:lineRule="auto"/>
      </w:pPr>
      <w:r>
        <w:separator/>
      </w:r>
    </w:p>
  </w:endnote>
  <w:endnote w:type="continuationSeparator" w:id="0">
    <w:p w14:paraId="70A93C6C" w14:textId="77777777" w:rsidR="0006194B" w:rsidRDefault="0033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1736"/>
      <w:docPartObj>
        <w:docPartGallery w:val="Page Numbers (Bottom of Page)"/>
        <w:docPartUnique/>
      </w:docPartObj>
    </w:sdtPr>
    <w:sdtEndPr/>
    <w:sdtContent>
      <w:p w14:paraId="08192817" w14:textId="77777777" w:rsidR="006A701C" w:rsidRDefault="00A6472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823A357" w14:textId="77777777" w:rsidR="006A701C" w:rsidRDefault="004161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6167" w14:textId="77777777" w:rsidR="0006194B" w:rsidRDefault="00330758">
      <w:pPr>
        <w:spacing w:after="0" w:line="240" w:lineRule="auto"/>
      </w:pPr>
      <w:r>
        <w:separator/>
      </w:r>
    </w:p>
  </w:footnote>
  <w:footnote w:type="continuationSeparator" w:id="0">
    <w:p w14:paraId="29797F1D" w14:textId="77777777" w:rsidR="0006194B" w:rsidRDefault="0033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F6"/>
    <w:rsid w:val="00055BF6"/>
    <w:rsid w:val="0006194B"/>
    <w:rsid w:val="00243120"/>
    <w:rsid w:val="00330758"/>
    <w:rsid w:val="004161AE"/>
    <w:rsid w:val="0055789F"/>
    <w:rsid w:val="00A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B029"/>
  <w15:chartTrackingRefBased/>
  <w15:docId w15:val="{88F16B85-7A68-46DB-BE1A-8F71E092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5BF6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55BF6"/>
    <w:pPr>
      <w:keepNext/>
      <w:keepLines/>
      <w:spacing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5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BF6"/>
  </w:style>
  <w:style w:type="character" w:customStyle="1" w:styleId="Naslov2Znak">
    <w:name w:val="Naslov 2 Znak"/>
    <w:basedOn w:val="Privzetapisavaodstavka"/>
    <w:link w:val="Naslov2"/>
    <w:uiPriority w:val="9"/>
    <w:rsid w:val="00055BF6"/>
    <w:rPr>
      <w:rFonts w:ascii="Arial" w:eastAsiaTheme="majorEastAsia" w:hAnsi="Arial" w:cstheme="majorBidi"/>
      <w:b/>
      <w:sz w:val="24"/>
      <w:szCs w:val="26"/>
    </w:rPr>
  </w:style>
  <w:style w:type="character" w:styleId="Hiperpovezava">
    <w:name w:val="Hyperlink"/>
    <w:basedOn w:val="Privzetapisavaodstavka"/>
    <w:uiPriority w:val="99"/>
    <w:unhideWhenUsed/>
    <w:rsid w:val="00A647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4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370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1-01-0954" TargetMode="External"/><Relationship Id="rId12" Type="http://schemas.openxmlformats.org/officeDocument/2006/relationships/hyperlink" Target="http://www.uradni-list.si/1/objava.jsp?sop=2022-01-2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rs.si/Pis.web/pregledPredpisa?id=URED5758" TargetMode="External"/><Relationship Id="rId11" Type="http://schemas.openxmlformats.org/officeDocument/2006/relationships/hyperlink" Target="http://www.uradni-list.si/1/objava.jsp?sop=2020-01-190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7-01-19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5-01-0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Uršič</dc:creator>
  <cp:keywords/>
  <dc:description/>
  <cp:lastModifiedBy>Julija Uršič</cp:lastModifiedBy>
  <cp:revision>2</cp:revision>
  <dcterms:created xsi:type="dcterms:W3CDTF">2023-03-01T06:21:00Z</dcterms:created>
  <dcterms:modified xsi:type="dcterms:W3CDTF">2023-03-01T06:21:00Z</dcterms:modified>
</cp:coreProperties>
</file>