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BC" w:rsidRDefault="00551BBC" w:rsidP="00217564">
      <w:pPr>
        <w:pStyle w:val="Naslov2"/>
        <w:spacing w:before="0"/>
        <w:rPr>
          <w:rFonts w:ascii="Arial Narrow" w:hAnsi="Arial Narrow"/>
          <w:b/>
          <w:szCs w:val="20"/>
          <w:u w:val="none"/>
          <w:lang w:val="sl-SI"/>
        </w:rPr>
      </w:pPr>
      <w:bookmarkStart w:id="0" w:name="_&quot;Varnostna&quot;_izjema_za"/>
      <w:bookmarkStart w:id="1" w:name="_GoBack"/>
      <w:bookmarkEnd w:id="0"/>
      <w:bookmarkEnd w:id="1"/>
    </w:p>
    <w:p w:rsidR="00551BBC" w:rsidRDefault="00551BBC" w:rsidP="00217564">
      <w:pPr>
        <w:pStyle w:val="Naslov2"/>
        <w:spacing w:before="0"/>
        <w:rPr>
          <w:rFonts w:ascii="Arial Narrow" w:hAnsi="Arial Narrow"/>
          <w:b/>
          <w:szCs w:val="20"/>
          <w:u w:val="none"/>
          <w:lang w:val="sl-SI"/>
        </w:rPr>
      </w:pPr>
    </w:p>
    <w:p w:rsidR="00217564" w:rsidRPr="00217564" w:rsidRDefault="00217564" w:rsidP="00217564">
      <w:pPr>
        <w:pStyle w:val="Naslov2"/>
        <w:spacing w:before="0"/>
        <w:rPr>
          <w:rFonts w:ascii="Arial Narrow" w:hAnsi="Arial Narrow"/>
          <w:b/>
          <w:szCs w:val="20"/>
          <w:u w:val="none"/>
          <w:lang w:val="sl-SI"/>
        </w:rPr>
      </w:pPr>
      <w:r w:rsidRPr="00217564">
        <w:rPr>
          <w:rFonts w:ascii="Arial Narrow" w:hAnsi="Arial Narrow"/>
          <w:b/>
          <w:szCs w:val="20"/>
          <w:u w:val="none"/>
          <w:lang w:val="sl-SI"/>
        </w:rPr>
        <w:t>"Varnostna" izjema za razprodana dela (člen 7(1a), zdaj člen 8(1a))</w:t>
      </w:r>
    </w:p>
    <w:p w:rsidR="00217564" w:rsidRPr="00010C90" w:rsidRDefault="00217564" w:rsidP="00217564">
      <w:pPr>
        <w:spacing w:line="240" w:lineRule="auto"/>
        <w:jc w:val="both"/>
        <w:rPr>
          <w:rFonts w:ascii="Arial Narrow" w:hAnsi="Arial Narrow"/>
          <w:sz w:val="22"/>
          <w:szCs w:val="20"/>
        </w:rPr>
      </w:pPr>
    </w:p>
    <w:p w:rsidR="00551BBC" w:rsidRDefault="00551BBC" w:rsidP="00217564">
      <w:pPr>
        <w:spacing w:line="240" w:lineRule="auto"/>
        <w:jc w:val="both"/>
        <w:rPr>
          <w:rFonts w:ascii="Arial Narrow" w:hAnsi="Arial Narrow"/>
          <w:sz w:val="22"/>
          <w:szCs w:val="20"/>
        </w:rPr>
      </w:pPr>
    </w:p>
    <w:p w:rsidR="00217564" w:rsidRPr="00010C90" w:rsidRDefault="00217564" w:rsidP="00217564">
      <w:pPr>
        <w:spacing w:line="240" w:lineRule="auto"/>
        <w:jc w:val="both"/>
        <w:rPr>
          <w:rFonts w:ascii="Arial Narrow" w:hAnsi="Arial Narrow"/>
          <w:sz w:val="22"/>
          <w:szCs w:val="20"/>
        </w:rPr>
      </w:pPr>
      <w:r w:rsidRPr="00010C90">
        <w:rPr>
          <w:rFonts w:ascii="Arial Narrow" w:hAnsi="Arial Narrow"/>
          <w:sz w:val="22"/>
          <w:szCs w:val="20"/>
        </w:rPr>
        <w:t>Ustanove za varstvo kulturne dediščine, kot so muzeji, arhivi in knjižnice, bi lahko preko procesov digitalizacije avtorska dela dale na voljo na spletu in s tem širši javnosti omogočile dostop do del, ki so sicer zaprta v njihovih arhivih. Vendar pa te institucije pogosto niso imetniki pravic na delih, ki jih hranijo v svojih zbirkah, in je zanje zelo zamudno in finančno obremenjujoče razčiščevati avtorske pravice, zlasti ko gre za starejša dela, ki jih imetniki pravic ne izkoriščajo več. Predlog Direktive v členih 7 do 9a (zdaj 8 do 12) vsebuje ukrepe, katerih namen je pomagati muzejem, arhivom in knjižnicam, da zagotavljajo, da dela iz svojih zbirk, ki niso komercialno dostopna, dajejo na voljo javnosti na spletu, vendar pa ti mehanizmi pogosto predvidevajo, da institucije pridobijo licence za uporabo del s strani kolektivnih organizacij.</w:t>
      </w:r>
    </w:p>
    <w:p w:rsidR="00217564" w:rsidRPr="00010C90" w:rsidRDefault="00217564" w:rsidP="00217564">
      <w:pPr>
        <w:spacing w:line="240" w:lineRule="auto"/>
        <w:jc w:val="both"/>
        <w:rPr>
          <w:rFonts w:ascii="Arial Narrow" w:hAnsi="Arial Narrow"/>
          <w:sz w:val="22"/>
          <w:szCs w:val="20"/>
        </w:rPr>
      </w:pPr>
    </w:p>
    <w:p w:rsidR="00217564" w:rsidRPr="00010C90" w:rsidRDefault="00217564" w:rsidP="00217564">
      <w:pPr>
        <w:spacing w:line="240" w:lineRule="auto"/>
        <w:jc w:val="both"/>
        <w:rPr>
          <w:rFonts w:ascii="Arial Narrow" w:hAnsi="Arial Narrow"/>
          <w:sz w:val="22"/>
          <w:szCs w:val="20"/>
        </w:rPr>
      </w:pPr>
      <w:r w:rsidRPr="00010C90">
        <w:rPr>
          <w:rFonts w:ascii="Arial Narrow" w:hAnsi="Arial Narrow"/>
          <w:sz w:val="22"/>
          <w:szCs w:val="20"/>
        </w:rPr>
        <w:t>MIZŠ podpira predlog Parlamenta, da se v primeru, kadar za določeno delo ali vrsto uporabe ni mogoče dobiti licence s strani kolektivne organizacije (ker taka KO ne obstaja ali pa ni pooblaščena za upravljanje za določene načine izkoriščanja), ustanove za varstvo kulturne dediščine lahko sklicujejo na izjemo za prosto uporabo razprodanih del in določeno delo vendarle objavijo. Brez te izjeme bodo vsa dela, za katera pravic ne bo mogoče razčistiti na individualni ali kolektivni ravni, ostala zaprta v arhivih. MIZŠ se strinja s pogoji, da se pri tem navede avtor/imetnik pravic, če je to mogoče, in da se sme delo objaviti le na nekomercialnih spletnih straneh.</w:t>
      </w:r>
    </w:p>
    <w:p w:rsidR="00217564" w:rsidRPr="00010C90" w:rsidRDefault="00217564" w:rsidP="00217564">
      <w:pPr>
        <w:spacing w:line="240" w:lineRule="auto"/>
        <w:jc w:val="both"/>
        <w:rPr>
          <w:rFonts w:ascii="Arial Narrow" w:hAnsi="Arial Narrow"/>
          <w:sz w:val="22"/>
          <w:szCs w:val="20"/>
        </w:rPr>
      </w:pPr>
    </w:p>
    <w:p w:rsidR="00217564" w:rsidRPr="00010C90" w:rsidRDefault="00217564" w:rsidP="00217564">
      <w:pPr>
        <w:spacing w:line="240" w:lineRule="auto"/>
        <w:jc w:val="both"/>
        <w:rPr>
          <w:rFonts w:ascii="Arial Narrow" w:hAnsi="Arial Narrow"/>
          <w:sz w:val="22"/>
          <w:szCs w:val="20"/>
        </w:rPr>
      </w:pPr>
      <w:r w:rsidRPr="00010C90">
        <w:rPr>
          <w:rFonts w:ascii="Arial Narrow" w:hAnsi="Arial Narrow"/>
          <w:sz w:val="22"/>
          <w:szCs w:val="20"/>
        </w:rPr>
        <w:t xml:space="preserve">Težavo je večkrat izpostavila tudi organizacija </w:t>
      </w:r>
      <w:proofErr w:type="spellStart"/>
      <w:r w:rsidRPr="00010C90">
        <w:rPr>
          <w:rFonts w:ascii="Arial Narrow" w:hAnsi="Arial Narrow"/>
          <w:sz w:val="22"/>
          <w:szCs w:val="20"/>
        </w:rPr>
        <w:t>Europeana</w:t>
      </w:r>
      <w:proofErr w:type="spellEnd"/>
      <w:r w:rsidRPr="00010C90">
        <w:rPr>
          <w:rFonts w:ascii="Arial Narrow" w:hAnsi="Arial Narrow"/>
          <w:sz w:val="22"/>
          <w:szCs w:val="20"/>
        </w:rPr>
        <w:t xml:space="preserve">: </w:t>
      </w:r>
      <w:hyperlink r:id="rId7" w:history="1">
        <w:r w:rsidRPr="00010C90">
          <w:rPr>
            <w:rStyle w:val="Hiperpovezava"/>
            <w:rFonts w:ascii="Arial Narrow" w:hAnsi="Arial Narrow"/>
            <w:sz w:val="22"/>
            <w:szCs w:val="20"/>
          </w:rPr>
          <w:t>tukaj</w:t>
        </w:r>
      </w:hyperlink>
      <w:r w:rsidRPr="00010C90">
        <w:rPr>
          <w:rFonts w:ascii="Arial Narrow" w:hAnsi="Arial Narrow"/>
          <w:sz w:val="22"/>
          <w:szCs w:val="20"/>
        </w:rPr>
        <w:t xml:space="preserve"> in </w:t>
      </w:r>
      <w:hyperlink r:id="rId8" w:history="1">
        <w:r w:rsidRPr="00010C90">
          <w:rPr>
            <w:rStyle w:val="Hiperpovezava"/>
            <w:rFonts w:ascii="Arial Narrow" w:hAnsi="Arial Narrow"/>
            <w:sz w:val="22"/>
            <w:szCs w:val="20"/>
          </w:rPr>
          <w:t>tukaj</w:t>
        </w:r>
      </w:hyperlink>
      <w:r w:rsidRPr="00010C90">
        <w:rPr>
          <w:rFonts w:ascii="Arial Narrow" w:hAnsi="Arial Narrow"/>
          <w:sz w:val="22"/>
          <w:szCs w:val="20"/>
        </w:rPr>
        <w:t>.</w:t>
      </w:r>
    </w:p>
    <w:p w:rsidR="00217564" w:rsidRPr="00010C90" w:rsidRDefault="00217564" w:rsidP="00217564">
      <w:pPr>
        <w:spacing w:line="240" w:lineRule="auto"/>
        <w:jc w:val="both"/>
        <w:rPr>
          <w:rFonts w:ascii="Arial Narrow" w:hAnsi="Arial Narrow"/>
          <w:sz w:val="22"/>
          <w:szCs w:val="20"/>
          <w:u w:val="single"/>
        </w:rPr>
      </w:pPr>
    </w:p>
    <w:sectPr w:rsidR="00217564" w:rsidRPr="00010C90" w:rsidSect="00783310">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8FC" w:rsidRDefault="006808FC">
      <w:r>
        <w:separator/>
      </w:r>
    </w:p>
  </w:endnote>
  <w:endnote w:type="continuationSeparator" w:id="0">
    <w:p w:rsidR="006808FC" w:rsidRDefault="0068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8FC" w:rsidRDefault="006808FC">
      <w:r>
        <w:separator/>
      </w:r>
    </w:p>
  </w:footnote>
  <w:footnote w:type="continuationSeparator" w:id="0">
    <w:p w:rsidR="006808FC" w:rsidRDefault="0068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5C3" w:rsidRDefault="00C765C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110CBD" w:rsidRDefault="00D9242E"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8F3500" w:rsidRDefault="00217564"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1906"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960248" w:rsidP="00924E3C">
    <w:pPr>
      <w:pStyle w:val="Glava"/>
      <w:tabs>
        <w:tab w:val="clear" w:pos="4320"/>
        <w:tab w:val="clear" w:pos="8640"/>
        <w:tab w:val="left" w:pos="5112"/>
      </w:tabs>
      <w:spacing w:before="240" w:line="240" w:lineRule="exact"/>
      <w:rPr>
        <w:rFonts w:cs="Arial"/>
        <w:sz w:val="16"/>
      </w:rPr>
    </w:pP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800717E"/>
    <w:multiLevelType w:val="hybridMultilevel"/>
    <w:tmpl w:val="8C54F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331790"/>
    <w:multiLevelType w:val="hybridMultilevel"/>
    <w:tmpl w:val="516AB1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D890BE4"/>
    <w:multiLevelType w:val="hybridMultilevel"/>
    <w:tmpl w:val="9A902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64"/>
    <w:rsid w:val="00023A88"/>
    <w:rsid w:val="00062F06"/>
    <w:rsid w:val="0008173B"/>
    <w:rsid w:val="000A7238"/>
    <w:rsid w:val="0011666A"/>
    <w:rsid w:val="001357B2"/>
    <w:rsid w:val="001772FC"/>
    <w:rsid w:val="001A7691"/>
    <w:rsid w:val="001F2D26"/>
    <w:rsid w:val="00202A77"/>
    <w:rsid w:val="00217564"/>
    <w:rsid w:val="00271CE5"/>
    <w:rsid w:val="0028101B"/>
    <w:rsid w:val="00282020"/>
    <w:rsid w:val="003636BF"/>
    <w:rsid w:val="00373F7D"/>
    <w:rsid w:val="0037479F"/>
    <w:rsid w:val="003845B4"/>
    <w:rsid w:val="00387B1A"/>
    <w:rsid w:val="003E1C74"/>
    <w:rsid w:val="003E3CE7"/>
    <w:rsid w:val="00416F49"/>
    <w:rsid w:val="00436A4F"/>
    <w:rsid w:val="00463315"/>
    <w:rsid w:val="00491E9C"/>
    <w:rsid w:val="0051651F"/>
    <w:rsid w:val="00526246"/>
    <w:rsid w:val="00551BBC"/>
    <w:rsid w:val="00567106"/>
    <w:rsid w:val="005C4E20"/>
    <w:rsid w:val="005D255D"/>
    <w:rsid w:val="005E1D3C"/>
    <w:rsid w:val="0062480D"/>
    <w:rsid w:val="00632253"/>
    <w:rsid w:val="00642714"/>
    <w:rsid w:val="006455CE"/>
    <w:rsid w:val="006808FC"/>
    <w:rsid w:val="00691985"/>
    <w:rsid w:val="006D42D9"/>
    <w:rsid w:val="006D77B2"/>
    <w:rsid w:val="006F5F9C"/>
    <w:rsid w:val="00712FBB"/>
    <w:rsid w:val="00733017"/>
    <w:rsid w:val="00783310"/>
    <w:rsid w:val="007A4A6D"/>
    <w:rsid w:val="007D1BCF"/>
    <w:rsid w:val="007D75CF"/>
    <w:rsid w:val="007E6DC5"/>
    <w:rsid w:val="0088043C"/>
    <w:rsid w:val="008906C9"/>
    <w:rsid w:val="008B6BB1"/>
    <w:rsid w:val="008C5738"/>
    <w:rsid w:val="008D04F0"/>
    <w:rsid w:val="008D45D5"/>
    <w:rsid w:val="008F3500"/>
    <w:rsid w:val="00924E3C"/>
    <w:rsid w:val="00930F71"/>
    <w:rsid w:val="00960248"/>
    <w:rsid w:val="009612BB"/>
    <w:rsid w:val="009A13F9"/>
    <w:rsid w:val="00A125C5"/>
    <w:rsid w:val="00A40CF9"/>
    <w:rsid w:val="00A5039D"/>
    <w:rsid w:val="00A6415D"/>
    <w:rsid w:val="00A65EE7"/>
    <w:rsid w:val="00A70133"/>
    <w:rsid w:val="00A85530"/>
    <w:rsid w:val="00AA4873"/>
    <w:rsid w:val="00AC354A"/>
    <w:rsid w:val="00AE76B9"/>
    <w:rsid w:val="00AF5020"/>
    <w:rsid w:val="00B0192F"/>
    <w:rsid w:val="00B10E0A"/>
    <w:rsid w:val="00B17141"/>
    <w:rsid w:val="00B31575"/>
    <w:rsid w:val="00B36462"/>
    <w:rsid w:val="00B8547D"/>
    <w:rsid w:val="00C250D5"/>
    <w:rsid w:val="00C329B1"/>
    <w:rsid w:val="00C765C3"/>
    <w:rsid w:val="00C92898"/>
    <w:rsid w:val="00CE7514"/>
    <w:rsid w:val="00D10141"/>
    <w:rsid w:val="00D248DE"/>
    <w:rsid w:val="00D56FF7"/>
    <w:rsid w:val="00D62EBB"/>
    <w:rsid w:val="00D65ACD"/>
    <w:rsid w:val="00D8542D"/>
    <w:rsid w:val="00D9242E"/>
    <w:rsid w:val="00DC6A71"/>
    <w:rsid w:val="00DE5B46"/>
    <w:rsid w:val="00E0357D"/>
    <w:rsid w:val="00E24EC2"/>
    <w:rsid w:val="00E5468F"/>
    <w:rsid w:val="00E71FBA"/>
    <w:rsid w:val="00EB0910"/>
    <w:rsid w:val="00F11622"/>
    <w:rsid w:val="00F240BB"/>
    <w:rsid w:val="00F46724"/>
    <w:rsid w:val="00F52539"/>
    <w:rsid w:val="00F57FED"/>
    <w:rsid w:val="00FA22E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38EDE289-D824-468D-9486-4E35092D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7564"/>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unhideWhenUsed/>
    <w:qFormat/>
    <w:rsid w:val="00217564"/>
    <w:pPr>
      <w:keepNext/>
      <w:keepLines/>
      <w:spacing w:before="40" w:line="240" w:lineRule="auto"/>
      <w:outlineLvl w:val="1"/>
    </w:pPr>
    <w:rPr>
      <w:rFonts w:ascii="Calibri" w:hAnsi="Calibri"/>
      <w:sz w:val="22"/>
      <w:szCs w:val="26"/>
      <w:u w:val="single"/>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uiPriority w:val="9"/>
    <w:rsid w:val="00217564"/>
    <w:rPr>
      <w:rFonts w:ascii="Calibri" w:hAnsi="Calibri"/>
      <w:sz w:val="22"/>
      <w:szCs w:val="26"/>
      <w:u w:val="single"/>
      <w:lang w:val="en-GB" w:eastAsia="en-GB"/>
    </w:rPr>
  </w:style>
  <w:style w:type="paragraph" w:styleId="Sprotnaopomba-besedilo">
    <w:name w:val="footnote text"/>
    <w:basedOn w:val="Navaden"/>
    <w:link w:val="Sprotnaopomba-besediloZnak"/>
    <w:uiPriority w:val="99"/>
    <w:unhideWhenUsed/>
    <w:rsid w:val="00217564"/>
    <w:pPr>
      <w:spacing w:line="240" w:lineRule="auto"/>
    </w:pPr>
    <w:rPr>
      <w:sz w:val="24"/>
    </w:rPr>
  </w:style>
  <w:style w:type="character" w:customStyle="1" w:styleId="Sprotnaopomba-besediloZnak">
    <w:name w:val="Sprotna opomba - besedilo Znak"/>
    <w:basedOn w:val="Privzetapisavaodstavka"/>
    <w:link w:val="Sprotnaopomba-besedilo"/>
    <w:uiPriority w:val="99"/>
    <w:rsid w:val="00217564"/>
    <w:rPr>
      <w:rFonts w:ascii="Arial" w:hAnsi="Arial"/>
      <w:sz w:val="24"/>
      <w:szCs w:val="24"/>
      <w:lang w:eastAsia="en-US"/>
    </w:rPr>
  </w:style>
  <w:style w:type="character" w:styleId="Sprotnaopomba-sklic">
    <w:name w:val="footnote reference"/>
    <w:uiPriority w:val="99"/>
    <w:unhideWhenUsed/>
    <w:rsid w:val="00217564"/>
    <w:rPr>
      <w:vertAlign w:val="superscript"/>
    </w:rPr>
  </w:style>
  <w:style w:type="paragraph" w:styleId="Odstavekseznama">
    <w:name w:val="List Paragraph"/>
    <w:basedOn w:val="Navaden"/>
    <w:uiPriority w:val="34"/>
    <w:qFormat/>
    <w:rsid w:val="00217564"/>
    <w:pPr>
      <w:spacing w:line="240" w:lineRule="auto"/>
      <w:ind w:left="720"/>
      <w:contextualSpacing/>
    </w:pPr>
    <w:rPr>
      <w:rFonts w:ascii="Times New Roman" w:eastAsia="Calibri"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europeana.eu/post/a-better-solution-to-making-out-of-commerce-works-available-onlin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ro.europeana.eu/post/the-missing-decades-the-20th-century-black-hole-in-european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Predloga_MIZŠ_SLO</Template>
  <TotalTime>0</TotalTime>
  <Pages>1</Pages>
  <Words>282</Words>
  <Characters>1608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Maja Pucelj</dc:creator>
  <cp:keywords/>
  <cp:lastModifiedBy>Sebastijan Magdič</cp:lastModifiedBy>
  <cp:revision>2</cp:revision>
  <cp:lastPrinted>2010-07-05T10:38:00Z</cp:lastPrinted>
  <dcterms:created xsi:type="dcterms:W3CDTF">2020-03-12T11:21:00Z</dcterms:created>
  <dcterms:modified xsi:type="dcterms:W3CDTF">2020-03-12T11:21:00Z</dcterms:modified>
</cp:coreProperties>
</file>