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1712" w:rsidRDefault="00091712" w:rsidP="007D5AFE">
      <w:pPr>
        <w:spacing w:line="240" w:lineRule="auto"/>
        <w:rPr>
          <w:rFonts w:ascii="Arial Narrow" w:hAnsi="Arial Narrow"/>
          <w:b/>
          <w:sz w:val="22"/>
          <w:szCs w:val="20"/>
        </w:rPr>
      </w:pPr>
      <w:bookmarkStart w:id="0" w:name="_GoBack"/>
      <w:bookmarkEnd w:id="0"/>
    </w:p>
    <w:p w:rsidR="00091712" w:rsidRDefault="00091712" w:rsidP="007D5AFE">
      <w:pPr>
        <w:spacing w:line="240" w:lineRule="auto"/>
        <w:rPr>
          <w:rFonts w:ascii="Arial Narrow" w:hAnsi="Arial Narrow"/>
          <w:b/>
          <w:sz w:val="22"/>
          <w:szCs w:val="20"/>
        </w:rPr>
      </w:pPr>
    </w:p>
    <w:p w:rsidR="00091712" w:rsidRDefault="00091712" w:rsidP="007D5AFE">
      <w:pPr>
        <w:spacing w:line="240" w:lineRule="auto"/>
        <w:rPr>
          <w:rFonts w:ascii="Arial Narrow" w:hAnsi="Arial Narrow"/>
          <w:b/>
          <w:sz w:val="22"/>
          <w:szCs w:val="20"/>
        </w:rPr>
      </w:pPr>
    </w:p>
    <w:p w:rsidR="00091712" w:rsidRDefault="00091712" w:rsidP="007D5AFE">
      <w:pPr>
        <w:spacing w:line="240" w:lineRule="auto"/>
        <w:rPr>
          <w:rFonts w:ascii="Arial Narrow" w:hAnsi="Arial Narrow"/>
          <w:b/>
          <w:sz w:val="22"/>
          <w:szCs w:val="20"/>
        </w:rPr>
      </w:pPr>
    </w:p>
    <w:p w:rsidR="00091712" w:rsidRDefault="00091712" w:rsidP="007D5AFE">
      <w:pPr>
        <w:spacing w:line="240" w:lineRule="auto"/>
        <w:rPr>
          <w:rFonts w:ascii="Arial Narrow" w:hAnsi="Arial Narrow"/>
          <w:b/>
          <w:sz w:val="22"/>
          <w:szCs w:val="20"/>
        </w:rPr>
      </w:pPr>
    </w:p>
    <w:p w:rsidR="007D5AFE" w:rsidRPr="007D5AFE" w:rsidRDefault="007D5AFE" w:rsidP="007D5AFE">
      <w:pPr>
        <w:spacing w:line="240" w:lineRule="auto"/>
        <w:rPr>
          <w:rFonts w:ascii="Arial Narrow" w:hAnsi="Arial Narrow"/>
          <w:b/>
          <w:sz w:val="22"/>
          <w:szCs w:val="20"/>
        </w:rPr>
      </w:pPr>
      <w:r w:rsidRPr="007D5AFE">
        <w:rPr>
          <w:rFonts w:ascii="Arial Narrow" w:hAnsi="Arial Narrow"/>
          <w:b/>
          <w:sz w:val="22"/>
          <w:szCs w:val="20"/>
        </w:rPr>
        <w:t>Tekstovno in podatkovno rudarjenje (člena 3 in 3a, zdaj 3 in 4)</w:t>
      </w:r>
    </w:p>
    <w:p w:rsidR="007D5AFE" w:rsidRPr="00010C90" w:rsidRDefault="007D5AFE" w:rsidP="007D5AFE">
      <w:pPr>
        <w:spacing w:line="240" w:lineRule="auto"/>
        <w:jc w:val="both"/>
        <w:rPr>
          <w:rFonts w:ascii="Arial Narrow" w:hAnsi="Arial Narrow"/>
          <w:sz w:val="22"/>
          <w:szCs w:val="20"/>
        </w:rPr>
      </w:pPr>
    </w:p>
    <w:p w:rsidR="00091712" w:rsidRDefault="00091712" w:rsidP="007D5AFE">
      <w:pPr>
        <w:spacing w:line="240" w:lineRule="auto"/>
        <w:jc w:val="both"/>
        <w:rPr>
          <w:rFonts w:ascii="Arial Narrow" w:hAnsi="Arial Narrow"/>
          <w:sz w:val="22"/>
          <w:szCs w:val="20"/>
        </w:rPr>
      </w:pPr>
    </w:p>
    <w:p w:rsidR="00091712" w:rsidRDefault="00091712" w:rsidP="007D5AFE">
      <w:pPr>
        <w:spacing w:line="240" w:lineRule="auto"/>
        <w:jc w:val="both"/>
        <w:rPr>
          <w:rFonts w:ascii="Arial Narrow" w:hAnsi="Arial Narrow"/>
          <w:sz w:val="22"/>
          <w:szCs w:val="20"/>
        </w:rPr>
      </w:pPr>
    </w:p>
    <w:p w:rsidR="007D5AFE" w:rsidRPr="00010C90" w:rsidRDefault="007D5AFE" w:rsidP="007D5AFE">
      <w:pPr>
        <w:spacing w:line="240" w:lineRule="auto"/>
        <w:jc w:val="both"/>
        <w:rPr>
          <w:rFonts w:ascii="Arial Narrow" w:hAnsi="Arial Narrow"/>
          <w:sz w:val="22"/>
          <w:szCs w:val="20"/>
        </w:rPr>
      </w:pPr>
      <w:r w:rsidRPr="00010C90">
        <w:rPr>
          <w:rFonts w:ascii="Arial Narrow" w:hAnsi="Arial Narrow"/>
          <w:sz w:val="22"/>
          <w:szCs w:val="20"/>
        </w:rPr>
        <w:t>Predlog direktive je v členu 3 predvidel vpeljavo nove izjeme za tekstovno in podatkovno rudarjenje (TDM), v skladu s katero bi smeli uporabniki brez dovoljenja avtorja in brez plačila posebnega nadomestila z orodji za tekstovno in podatkovno rudarjenje zbirati podatke, do katerih imajo zakonit dostop. Koristniki te izjeme naj bi bile znanstvene ustanove in ustanove za varovanje kulturne dediščine, države članice pa bi lahko uvedle tudi opcijsko izjemo, ki TDM dovoljuje tudi drugim subjektom. Predlog direktive predvideva, da bi se lahko podatki hranili le za omejen čas, ki je potreben za doseganje namena zbiranja podatkov.</w:t>
      </w:r>
    </w:p>
    <w:p w:rsidR="007D5AFE" w:rsidRPr="00010C90" w:rsidRDefault="007D5AFE" w:rsidP="007D5AFE">
      <w:pPr>
        <w:spacing w:line="240" w:lineRule="auto"/>
        <w:jc w:val="both"/>
        <w:rPr>
          <w:rFonts w:ascii="Arial Narrow" w:hAnsi="Arial Narrow"/>
          <w:sz w:val="22"/>
          <w:szCs w:val="20"/>
        </w:rPr>
      </w:pPr>
    </w:p>
    <w:p w:rsidR="007D5AFE" w:rsidRPr="00010C90" w:rsidRDefault="007D5AFE" w:rsidP="007D5AFE">
      <w:pPr>
        <w:pStyle w:val="Odstavekseznama"/>
        <w:numPr>
          <w:ilvl w:val="0"/>
          <w:numId w:val="1"/>
        </w:numPr>
        <w:ind w:left="360"/>
        <w:jc w:val="both"/>
        <w:rPr>
          <w:rFonts w:ascii="Arial Narrow" w:hAnsi="Arial Narrow"/>
          <w:sz w:val="22"/>
          <w:szCs w:val="20"/>
          <w:lang w:val="sl-SI"/>
        </w:rPr>
      </w:pPr>
      <w:r w:rsidRPr="00010C90">
        <w:rPr>
          <w:rFonts w:ascii="Arial Narrow" w:hAnsi="Arial Narrow"/>
          <w:sz w:val="22"/>
          <w:szCs w:val="20"/>
          <w:lang w:val="sl-SI"/>
        </w:rPr>
        <w:t>MIZŠ podpira stališče, da je pravica do branja tudi pravica do rudarjenja, zato bi se Izjema za tekstovno in podatkovno rudarjenje (TDM) morala nanašati na vse osebe v javnem in zasebnem sektorju, ki smejo izvajati TDM za vse namene. Rudarjenje po javno dostopnih podatkih je ključnega pomena za razvoj znanosti in družbe, saj omogoča neomejene možnosti za raziskovanje in inovacije ter krepi civilno iniciativo v znanosti in gospodarstvu.</w:t>
      </w:r>
    </w:p>
    <w:p w:rsidR="007D5AFE" w:rsidRPr="00010C90" w:rsidRDefault="007D5AFE" w:rsidP="007D5AFE">
      <w:pPr>
        <w:spacing w:line="240" w:lineRule="auto"/>
        <w:jc w:val="both"/>
        <w:rPr>
          <w:rFonts w:ascii="Arial Narrow" w:hAnsi="Arial Narrow"/>
          <w:sz w:val="22"/>
          <w:szCs w:val="20"/>
        </w:rPr>
      </w:pPr>
    </w:p>
    <w:p w:rsidR="007D5AFE" w:rsidRPr="00010C90" w:rsidRDefault="007D5AFE" w:rsidP="007D5AFE">
      <w:pPr>
        <w:pStyle w:val="Odstavekseznama"/>
        <w:numPr>
          <w:ilvl w:val="0"/>
          <w:numId w:val="1"/>
        </w:numPr>
        <w:ind w:left="360"/>
        <w:jc w:val="both"/>
        <w:rPr>
          <w:rFonts w:ascii="Arial Narrow" w:hAnsi="Arial Narrow"/>
          <w:sz w:val="22"/>
          <w:szCs w:val="20"/>
          <w:lang w:val="sl-SI"/>
        </w:rPr>
      </w:pPr>
      <w:r w:rsidRPr="00010C90">
        <w:rPr>
          <w:rFonts w:ascii="Arial Narrow" w:hAnsi="Arial Narrow"/>
          <w:sz w:val="22"/>
          <w:szCs w:val="20"/>
          <w:lang w:val="sl-SI"/>
        </w:rPr>
        <w:t>MIZŠ se zavzema za uvedbo obvezne izjeme za vse uporabnike v javnem in zasebnem sektorju, ki smejo izvajati TDM za vse namene. Skladno s tem MIZŠ podpira obvezno izjemo za raziskovalne institucije in institucije za varstvo kulturne dediščine, obenem pa se zavzema, da bi opcijska izjema iz člena 3a (zdaj 4), ki predvideva TDM tudi za vse ostale subjekte, postala obvezna.</w:t>
      </w:r>
    </w:p>
    <w:p w:rsidR="007D5AFE" w:rsidRPr="00010C90" w:rsidRDefault="007D5AFE" w:rsidP="007D5AFE">
      <w:pPr>
        <w:spacing w:line="240" w:lineRule="auto"/>
        <w:jc w:val="both"/>
        <w:rPr>
          <w:rFonts w:ascii="Arial Narrow" w:hAnsi="Arial Narrow"/>
          <w:sz w:val="22"/>
          <w:szCs w:val="20"/>
        </w:rPr>
      </w:pPr>
    </w:p>
    <w:p w:rsidR="007D5AFE" w:rsidRPr="00010C90" w:rsidRDefault="007D5AFE" w:rsidP="007D5AFE">
      <w:pPr>
        <w:pStyle w:val="Odstavekseznama"/>
        <w:numPr>
          <w:ilvl w:val="0"/>
          <w:numId w:val="1"/>
        </w:numPr>
        <w:ind w:left="360"/>
        <w:jc w:val="both"/>
        <w:rPr>
          <w:rFonts w:ascii="Arial Narrow" w:hAnsi="Arial Narrow"/>
          <w:sz w:val="22"/>
          <w:szCs w:val="20"/>
          <w:lang w:val="sl-SI"/>
        </w:rPr>
      </w:pPr>
      <w:r w:rsidRPr="00010C90">
        <w:rPr>
          <w:rFonts w:ascii="Arial Narrow" w:hAnsi="Arial Narrow"/>
          <w:sz w:val="22"/>
          <w:szCs w:val="20"/>
          <w:lang w:val="sl-SI"/>
        </w:rPr>
        <w:t>MIZŠ se zavzema, da bi se smeli podatki hraniti neomejen čas, kar je nujni pogoj za preverljivost znanstvenih raziskav.</w:t>
      </w:r>
    </w:p>
    <w:p w:rsidR="007D5AFE" w:rsidRPr="00010C90" w:rsidRDefault="007D5AFE" w:rsidP="007D5AFE">
      <w:pPr>
        <w:spacing w:line="240" w:lineRule="auto"/>
        <w:jc w:val="both"/>
        <w:rPr>
          <w:rFonts w:ascii="Arial Narrow" w:hAnsi="Arial Narrow"/>
          <w:sz w:val="22"/>
          <w:szCs w:val="20"/>
        </w:rPr>
      </w:pPr>
    </w:p>
    <w:p w:rsidR="007D5AFE" w:rsidRPr="00010C90" w:rsidRDefault="007D5AFE" w:rsidP="007D5AFE">
      <w:pPr>
        <w:pStyle w:val="Odstavekseznama"/>
        <w:numPr>
          <w:ilvl w:val="0"/>
          <w:numId w:val="1"/>
        </w:numPr>
        <w:ind w:left="360"/>
        <w:jc w:val="both"/>
        <w:rPr>
          <w:rFonts w:ascii="Arial Narrow" w:hAnsi="Arial Narrow"/>
          <w:sz w:val="22"/>
          <w:szCs w:val="20"/>
          <w:lang w:val="sl-SI"/>
        </w:rPr>
      </w:pPr>
      <w:r w:rsidRPr="00010C90">
        <w:rPr>
          <w:rFonts w:ascii="Arial Narrow" w:hAnsi="Arial Narrow"/>
          <w:sz w:val="22"/>
          <w:szCs w:val="20"/>
          <w:lang w:val="sl-SI"/>
        </w:rPr>
        <w:t>MIZŠ se zavzema, da imetniki pravic ne bi smeli imeti možnosti, da rudarjenje po zakonito dostopnih podatkih preprečijo s tehničnimi ukrepi ali splošnimi klavzulami, kot je "vse pravice pridržane".</w:t>
      </w:r>
    </w:p>
    <w:p w:rsidR="007D5AFE" w:rsidRPr="00010C90" w:rsidRDefault="007D5AFE" w:rsidP="007D5AFE">
      <w:pPr>
        <w:spacing w:line="240" w:lineRule="auto"/>
        <w:jc w:val="both"/>
        <w:rPr>
          <w:rFonts w:ascii="Arial Narrow" w:hAnsi="Arial Narrow"/>
          <w:sz w:val="22"/>
          <w:szCs w:val="20"/>
        </w:rPr>
      </w:pPr>
    </w:p>
    <w:p w:rsidR="007D5AFE" w:rsidRPr="00010C90" w:rsidRDefault="007D5AFE" w:rsidP="007D5AFE">
      <w:pPr>
        <w:spacing w:line="240" w:lineRule="auto"/>
        <w:jc w:val="both"/>
        <w:rPr>
          <w:rFonts w:ascii="Arial Narrow" w:hAnsi="Arial Narrow"/>
          <w:sz w:val="22"/>
          <w:szCs w:val="20"/>
        </w:rPr>
      </w:pPr>
      <w:r w:rsidRPr="00010C90">
        <w:rPr>
          <w:rFonts w:ascii="Arial Narrow" w:hAnsi="Arial Narrow"/>
          <w:sz w:val="22"/>
          <w:szCs w:val="20"/>
        </w:rPr>
        <w:t xml:space="preserve">Skupina znanstvenikov pravne, ekonomske in družboslovne stroke iz vodilnih raziskovalnih centrov po Evropi je na Evropski parlament in Svet EU naslovila </w:t>
      </w:r>
      <w:hyperlink r:id="rId7" w:history="1">
        <w:r w:rsidRPr="00010C90">
          <w:rPr>
            <w:rStyle w:val="Hiperpovezava"/>
            <w:rFonts w:ascii="Arial Narrow" w:hAnsi="Arial Narrow"/>
            <w:sz w:val="22"/>
            <w:szCs w:val="20"/>
          </w:rPr>
          <w:t>odprto pismo</w:t>
        </w:r>
      </w:hyperlink>
      <w:r w:rsidRPr="00010C90">
        <w:rPr>
          <w:rFonts w:ascii="Arial Narrow" w:hAnsi="Arial Narrow"/>
          <w:sz w:val="22"/>
          <w:szCs w:val="20"/>
        </w:rPr>
        <w:t>, v katerem izpostavljajo stališča, ki jih zastopa tudi MIZŠ.</w:t>
      </w:r>
    </w:p>
    <w:p w:rsidR="007D5AFE" w:rsidRPr="00010C90" w:rsidRDefault="007D5AFE" w:rsidP="007D5AFE">
      <w:pPr>
        <w:spacing w:line="240" w:lineRule="auto"/>
        <w:jc w:val="both"/>
        <w:rPr>
          <w:rFonts w:ascii="Arial Narrow" w:hAnsi="Arial Narrow"/>
          <w:sz w:val="22"/>
          <w:szCs w:val="20"/>
        </w:rPr>
      </w:pPr>
    </w:p>
    <w:p w:rsidR="007D5AFE" w:rsidRPr="00010C90" w:rsidRDefault="007D5AFE" w:rsidP="007D5AFE">
      <w:pPr>
        <w:spacing w:line="240" w:lineRule="auto"/>
        <w:jc w:val="both"/>
        <w:rPr>
          <w:rFonts w:ascii="Arial Narrow" w:hAnsi="Arial Narrow"/>
          <w:sz w:val="22"/>
          <w:szCs w:val="20"/>
        </w:rPr>
      </w:pPr>
      <w:r w:rsidRPr="00010C90">
        <w:rPr>
          <w:rFonts w:ascii="Arial Narrow" w:hAnsi="Arial Narrow"/>
          <w:sz w:val="22"/>
          <w:szCs w:val="20"/>
        </w:rPr>
        <w:t xml:space="preserve">Enaka stališča v svojem </w:t>
      </w:r>
      <w:hyperlink r:id="rId8" w:history="1">
        <w:r w:rsidRPr="00010C90">
          <w:rPr>
            <w:rStyle w:val="Hiperpovezava"/>
            <w:rFonts w:ascii="Arial Narrow" w:hAnsi="Arial Narrow"/>
            <w:sz w:val="22"/>
            <w:szCs w:val="20"/>
          </w:rPr>
          <w:t>odprtem pismu</w:t>
        </w:r>
      </w:hyperlink>
      <w:r w:rsidRPr="00010C90">
        <w:rPr>
          <w:rFonts w:ascii="Arial Narrow" w:hAnsi="Arial Narrow"/>
          <w:sz w:val="22"/>
          <w:szCs w:val="20"/>
        </w:rPr>
        <w:t xml:space="preserve"> zastopa tudi 28 organizacij, ki predstavljajo univerze, tehnološka podjetja, ponudnike telekomunikacijskih storitev, start-upe, knjižnice, znanstvene ustanove, open </w:t>
      </w:r>
      <w:proofErr w:type="spellStart"/>
      <w:r w:rsidRPr="00010C90">
        <w:rPr>
          <w:rFonts w:ascii="Arial Narrow" w:hAnsi="Arial Narrow"/>
          <w:sz w:val="22"/>
          <w:szCs w:val="20"/>
        </w:rPr>
        <w:t>access</w:t>
      </w:r>
      <w:proofErr w:type="spellEnd"/>
      <w:r w:rsidRPr="00010C90">
        <w:rPr>
          <w:rFonts w:ascii="Arial Narrow" w:hAnsi="Arial Narrow"/>
          <w:sz w:val="22"/>
          <w:szCs w:val="20"/>
        </w:rPr>
        <w:t xml:space="preserve"> založnike, nevladne organizacije in novinarje.</w:t>
      </w:r>
    </w:p>
    <w:p w:rsidR="007D5AFE" w:rsidRPr="00010C90" w:rsidRDefault="007D5AFE" w:rsidP="007D5AFE">
      <w:pPr>
        <w:spacing w:line="240" w:lineRule="auto"/>
        <w:jc w:val="both"/>
        <w:rPr>
          <w:rFonts w:ascii="Arial Narrow" w:hAnsi="Arial Narrow"/>
          <w:sz w:val="22"/>
          <w:szCs w:val="20"/>
        </w:rPr>
      </w:pPr>
    </w:p>
    <w:p w:rsidR="007D5AFE" w:rsidRPr="00010C90" w:rsidRDefault="007D5AFE" w:rsidP="007D5AFE">
      <w:pPr>
        <w:spacing w:line="240" w:lineRule="auto"/>
        <w:jc w:val="both"/>
        <w:rPr>
          <w:rFonts w:ascii="Arial Narrow" w:hAnsi="Arial Narrow"/>
          <w:sz w:val="22"/>
          <w:szCs w:val="20"/>
        </w:rPr>
      </w:pPr>
      <w:r w:rsidRPr="00010C90">
        <w:rPr>
          <w:rFonts w:ascii="Arial Narrow" w:hAnsi="Arial Narrow"/>
          <w:sz w:val="22"/>
          <w:szCs w:val="20"/>
        </w:rPr>
        <w:t xml:space="preserve">Pravni aspekti nove izjeme so podrobno pojasnjeni tudi v </w:t>
      </w:r>
      <w:hyperlink r:id="rId9" w:history="1">
        <w:r w:rsidRPr="00010C90">
          <w:rPr>
            <w:rStyle w:val="Hiperpovezava"/>
            <w:rFonts w:ascii="Arial Narrow" w:hAnsi="Arial Narrow"/>
            <w:sz w:val="22"/>
            <w:szCs w:val="20"/>
          </w:rPr>
          <w:t>poročilu</w:t>
        </w:r>
      </w:hyperlink>
      <w:r w:rsidRPr="00010C90">
        <w:rPr>
          <w:rFonts w:ascii="Arial Narrow" w:hAnsi="Arial Narrow"/>
          <w:sz w:val="22"/>
          <w:szCs w:val="20"/>
        </w:rPr>
        <w:t xml:space="preserve"> odbora JURI.</w:t>
      </w:r>
    </w:p>
    <w:p w:rsidR="007D5AFE" w:rsidRPr="00010C90" w:rsidRDefault="007D5AFE" w:rsidP="007D5AFE">
      <w:pPr>
        <w:spacing w:line="240" w:lineRule="auto"/>
        <w:jc w:val="both"/>
        <w:rPr>
          <w:rFonts w:ascii="Arial Narrow" w:hAnsi="Arial Narrow"/>
          <w:sz w:val="22"/>
          <w:szCs w:val="20"/>
        </w:rPr>
      </w:pPr>
    </w:p>
    <w:p w:rsidR="007D5AFE" w:rsidRPr="00010C90" w:rsidRDefault="007D5AFE" w:rsidP="007D5AFE">
      <w:pPr>
        <w:spacing w:line="240" w:lineRule="auto"/>
        <w:jc w:val="both"/>
        <w:rPr>
          <w:rFonts w:ascii="Arial Narrow" w:hAnsi="Arial Narrow"/>
          <w:sz w:val="22"/>
          <w:szCs w:val="20"/>
        </w:rPr>
      </w:pPr>
      <w:r w:rsidRPr="00010C90">
        <w:rPr>
          <w:rFonts w:ascii="Arial Narrow" w:hAnsi="Arial Narrow"/>
          <w:sz w:val="22"/>
          <w:szCs w:val="20"/>
        </w:rPr>
        <w:t xml:space="preserve">MIZŠ je februarja letos, ko je postalo očitno, da izjema za izobraževanje v Predlogu direktive ni dobra, v postopku sprejemanja novele Zakona o avtorski in sorodnih pravicah (ZASP - H), predlagalo spremembo obstoječe izjeme za pouk v 49. členu ZASP v novo izjemo za poučevanje in znanstveno raziskovanje, zato da bi bilo področje primerneje urejeno. </w:t>
      </w:r>
    </w:p>
    <w:p w:rsidR="007D5AFE" w:rsidRPr="00010C90" w:rsidRDefault="007D5AFE" w:rsidP="007D5AFE">
      <w:pPr>
        <w:spacing w:line="240" w:lineRule="auto"/>
        <w:jc w:val="both"/>
        <w:rPr>
          <w:rFonts w:ascii="Arial Narrow" w:hAnsi="Arial Narrow"/>
          <w:sz w:val="22"/>
          <w:szCs w:val="20"/>
        </w:rPr>
      </w:pPr>
    </w:p>
    <w:sectPr w:rsidR="007D5AFE" w:rsidRPr="00010C90" w:rsidSect="0060077B">
      <w:footerReference w:type="default" r:id="rId10"/>
      <w:headerReference w:type="first" r:id="rId11"/>
      <w:foot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6AF1" w:rsidRDefault="002D6AF1" w:rsidP="007D5AFE">
      <w:pPr>
        <w:spacing w:line="240" w:lineRule="auto"/>
      </w:pPr>
      <w:r>
        <w:separator/>
      </w:r>
    </w:p>
  </w:endnote>
  <w:endnote w:type="continuationSeparator" w:id="0">
    <w:p w:rsidR="002D6AF1" w:rsidRDefault="002D6AF1" w:rsidP="007D5AF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Republika">
    <w:altName w:val="Franklin Gothic Medium Cond"/>
    <w:charset w:val="EE"/>
    <w:family w:val="auto"/>
    <w:pitch w:val="variable"/>
    <w:sig w:usb0="00000001" w:usb1="4000205B" w:usb2="00000000" w:usb3="00000000" w:csb0="00000093" w:csb1="00000000"/>
  </w:font>
  <w:font w:name="Republika Bold">
    <w:altName w:val="Courier New"/>
    <w:panose1 w:val="00000000000000000000"/>
    <w:charset w:val="00"/>
    <w:family w:val="auto"/>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33CF" w:rsidRDefault="00DF46FB">
    <w:pPr>
      <w:pStyle w:val="Noga"/>
      <w:jc w:val="right"/>
    </w:pPr>
    <w:r>
      <w:fldChar w:fldCharType="begin"/>
    </w:r>
    <w:r>
      <w:instrText>PAGE   \* MERGEFORMAT</w:instrText>
    </w:r>
    <w:r>
      <w:fldChar w:fldCharType="separate"/>
    </w:r>
    <w:r w:rsidR="007D5AFE">
      <w:rPr>
        <w:noProof/>
      </w:rPr>
      <w:t>5</w:t>
    </w:r>
    <w:r>
      <w:fldChar w:fldCharType="end"/>
    </w:r>
  </w:p>
  <w:p w:rsidR="009633CF" w:rsidRDefault="002D6AF1">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40BD" w:rsidRDefault="00DF46FB">
    <w:pPr>
      <w:pStyle w:val="Noga"/>
      <w:jc w:val="right"/>
    </w:pPr>
    <w:r>
      <w:fldChar w:fldCharType="begin"/>
    </w:r>
    <w:r>
      <w:instrText>PAGE   \* MERGEFORMAT</w:instrText>
    </w:r>
    <w:r>
      <w:fldChar w:fldCharType="separate"/>
    </w:r>
    <w:r w:rsidR="004C4D69" w:rsidRPr="004C4D69">
      <w:rPr>
        <w:noProof/>
        <w:lang w:val="sl-SI"/>
      </w:rPr>
      <w:t>1</w:t>
    </w:r>
    <w:r>
      <w:fldChar w:fldCharType="end"/>
    </w:r>
  </w:p>
  <w:p w:rsidR="007840BD" w:rsidRDefault="002D6AF1">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6AF1" w:rsidRDefault="002D6AF1" w:rsidP="007D5AFE">
      <w:pPr>
        <w:spacing w:line="240" w:lineRule="auto"/>
      </w:pPr>
      <w:r>
        <w:separator/>
      </w:r>
    </w:p>
  </w:footnote>
  <w:footnote w:type="continuationSeparator" w:id="0">
    <w:p w:rsidR="002D6AF1" w:rsidRDefault="002D6AF1" w:rsidP="007D5AF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33CF" w:rsidRPr="008F3500" w:rsidRDefault="007D5AFE" w:rsidP="0060077B">
    <w:pPr>
      <w:autoSpaceDE w:val="0"/>
      <w:autoSpaceDN w:val="0"/>
      <w:adjustRightInd w:val="0"/>
      <w:spacing w:line="240" w:lineRule="auto"/>
      <w:rPr>
        <w:rFonts w:ascii="Republika" w:hAnsi="Republika"/>
      </w:rPr>
    </w:pPr>
    <w:r>
      <w:rPr>
        <w:noProof/>
        <w:lang w:eastAsia="sl-SI"/>
      </w:rPr>
      <w:drawing>
        <wp:anchor distT="0" distB="0" distL="114300" distR="114300" simplePos="0" relativeHeight="251659264" behindDoc="1" locked="0" layoutInCell="1" allowOverlap="1">
          <wp:simplePos x="0" y="0"/>
          <wp:positionH relativeFrom="column">
            <wp:posOffset>-483870</wp:posOffset>
          </wp:positionH>
          <wp:positionV relativeFrom="paragraph">
            <wp:posOffset>4445</wp:posOffset>
          </wp:positionV>
          <wp:extent cx="2426970" cy="391795"/>
          <wp:effectExtent l="0" t="0" r="0" b="8255"/>
          <wp:wrapNone/>
          <wp:docPr id="2" name="Slika 2" descr="MIZS_slovenšč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MIZS_slovenščin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6970" cy="3917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90499">
      <w:rPr>
        <w:noProof/>
        <w:szCs w:val="20"/>
        <w:lang w:eastAsia="sl-SI"/>
      </w:rPr>
      <mc:AlternateContent>
        <mc:Choice Requires="wps">
          <w:drawing>
            <wp:anchor distT="4294967295" distB="4294967295" distL="114300" distR="114300" simplePos="0" relativeHeight="251660288" behindDoc="1" locked="0" layoutInCell="0" allowOverlap="1">
              <wp:simplePos x="0" y="0"/>
              <wp:positionH relativeFrom="column">
                <wp:posOffset>-431800</wp:posOffset>
              </wp:positionH>
              <wp:positionV relativeFrom="page">
                <wp:posOffset>3600449</wp:posOffset>
              </wp:positionV>
              <wp:extent cx="252095" cy="0"/>
              <wp:effectExtent l="0" t="0" r="33655" b="19050"/>
              <wp:wrapNone/>
              <wp:docPr id="1" name="Raven povezovalnik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7A3781" id="Raven povezovalnik 1"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" o:allowincell="f" strokecolor="#428299" strokeweight=".5pt">
              <w10:wrap anchory="page"/>
            </v:line>
          </w:pict>
        </mc:Fallback>
      </mc:AlternateContent>
    </w:r>
  </w:p>
  <w:p w:rsidR="009633CF" w:rsidRPr="0028101B" w:rsidRDefault="002D6AF1" w:rsidP="0060077B">
    <w:pPr>
      <w:pStyle w:val="Glava"/>
      <w:tabs>
        <w:tab w:val="left" w:pos="5112"/>
      </w:tabs>
      <w:spacing w:after="120" w:line="240" w:lineRule="exact"/>
      <w:rPr>
        <w:rFonts w:ascii="Republika Bold" w:hAnsi="Republika Bold"/>
        <w:b/>
        <w:caps/>
      </w:rPr>
    </w:pPr>
  </w:p>
  <w:p w:rsidR="009633CF" w:rsidRDefault="002D6AF1" w:rsidP="0060077B">
    <w:pPr>
      <w:pStyle w:val="Glava"/>
      <w:tabs>
        <w:tab w:val="left" w:pos="5112"/>
      </w:tabs>
      <w:spacing w:before="240" w:line="240" w:lineRule="exact"/>
      <w:rPr>
        <w:rFonts w:cs="Arial"/>
        <w:sz w:val="16"/>
      </w:rPr>
    </w:pPr>
  </w:p>
  <w:p w:rsidR="009633CF" w:rsidRPr="008F3500" w:rsidRDefault="00DF46FB" w:rsidP="0060077B">
    <w:pPr>
      <w:pStyle w:val="Glava"/>
      <w:tabs>
        <w:tab w:val="left" w:pos="5112"/>
      </w:tabs>
      <w:spacing w:before="240" w:line="240" w:lineRule="exact"/>
      <w:rPr>
        <w:rFonts w:cs="Arial"/>
        <w:sz w:val="16"/>
      </w:rPr>
    </w:pPr>
    <w:r>
      <w:rPr>
        <w:rFonts w:cs="Arial"/>
        <w:sz w:val="16"/>
      </w:rPr>
      <w:t>Masarykova cesta 16</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01 400 52 00</w:t>
    </w:r>
  </w:p>
  <w:p w:rsidR="009633CF" w:rsidRPr="008F3500" w:rsidRDefault="00DF46FB" w:rsidP="0060077B">
    <w:pPr>
      <w:pStyle w:val="Glava"/>
      <w:tabs>
        <w:tab w:val="left" w:pos="5112"/>
      </w:tabs>
      <w:spacing w:line="240" w:lineRule="exact"/>
      <w:rPr>
        <w:rFonts w:cs="Arial"/>
        <w:sz w:val="16"/>
      </w:rPr>
    </w:pPr>
    <w:r w:rsidRPr="008F3500">
      <w:rPr>
        <w:rFonts w:cs="Arial"/>
        <w:sz w:val="16"/>
      </w:rPr>
      <w:tab/>
      <w:t xml:space="preserve">F: </w:t>
    </w:r>
    <w:r>
      <w:rPr>
        <w:rFonts w:cs="Arial"/>
        <w:sz w:val="16"/>
      </w:rPr>
      <w:t>01 400 53 21</w:t>
    </w:r>
    <w:r w:rsidRPr="008F3500">
      <w:rPr>
        <w:rFonts w:cs="Arial"/>
        <w:sz w:val="16"/>
      </w:rPr>
      <w:t xml:space="preserve"> </w:t>
    </w:r>
  </w:p>
  <w:p w:rsidR="009633CF" w:rsidRPr="0060077B" w:rsidRDefault="002D6AF1" w:rsidP="0060077B">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00717E"/>
    <w:multiLevelType w:val="hybridMultilevel"/>
    <w:tmpl w:val="8C54F2C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F331790"/>
    <w:multiLevelType w:val="hybridMultilevel"/>
    <w:tmpl w:val="516AB1C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2D890BE4"/>
    <w:multiLevelType w:val="hybridMultilevel"/>
    <w:tmpl w:val="9A902EB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B962DF2"/>
    <w:multiLevelType w:val="hybridMultilevel"/>
    <w:tmpl w:val="26B2027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AFE"/>
    <w:rsid w:val="00091712"/>
    <w:rsid w:val="002D6AF1"/>
    <w:rsid w:val="004C4D69"/>
    <w:rsid w:val="00723C2B"/>
    <w:rsid w:val="007D5AFE"/>
    <w:rsid w:val="00B15186"/>
    <w:rsid w:val="00B365C6"/>
    <w:rsid w:val="00DF46F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242DF97-3B00-4AD0-8BEE-687D171E4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7D5AFE"/>
    <w:pPr>
      <w:spacing w:after="0" w:line="260" w:lineRule="atLeast"/>
    </w:pPr>
    <w:rPr>
      <w:rFonts w:ascii="Arial" w:eastAsia="Times New Roman" w:hAnsi="Arial" w:cs="Times New Roman"/>
      <w:sz w:val="20"/>
      <w:szCs w:val="24"/>
    </w:rPr>
  </w:style>
  <w:style w:type="paragraph" w:styleId="Naslov1">
    <w:name w:val="heading 1"/>
    <w:basedOn w:val="Navaden"/>
    <w:next w:val="Navaden"/>
    <w:link w:val="Naslov1Znak"/>
    <w:uiPriority w:val="9"/>
    <w:qFormat/>
    <w:rsid w:val="007D5AFE"/>
    <w:pPr>
      <w:keepNext/>
      <w:keepLines/>
      <w:spacing w:before="240" w:line="240" w:lineRule="auto"/>
      <w:outlineLvl w:val="0"/>
    </w:pPr>
    <w:rPr>
      <w:rFonts w:ascii="Calibri" w:hAnsi="Calibri"/>
      <w:b/>
      <w:sz w:val="22"/>
      <w:szCs w:val="32"/>
      <w:u w:val="single"/>
      <w:lang w:val="en-GB" w:eastAsia="en-GB"/>
    </w:rPr>
  </w:style>
  <w:style w:type="paragraph" w:styleId="Naslov2">
    <w:name w:val="heading 2"/>
    <w:basedOn w:val="Navaden"/>
    <w:next w:val="Navaden"/>
    <w:link w:val="Naslov2Znak"/>
    <w:uiPriority w:val="9"/>
    <w:unhideWhenUsed/>
    <w:qFormat/>
    <w:rsid w:val="007D5AFE"/>
    <w:pPr>
      <w:keepNext/>
      <w:keepLines/>
      <w:spacing w:before="40" w:line="240" w:lineRule="auto"/>
      <w:outlineLvl w:val="1"/>
    </w:pPr>
    <w:rPr>
      <w:rFonts w:ascii="Calibri" w:hAnsi="Calibri"/>
      <w:sz w:val="22"/>
      <w:szCs w:val="26"/>
      <w:u w:val="single"/>
      <w:lang w:val="en-GB" w:eastAsia="en-GB"/>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7D5AFE"/>
    <w:rPr>
      <w:rFonts w:ascii="Calibri" w:eastAsia="Times New Roman" w:hAnsi="Calibri" w:cs="Times New Roman"/>
      <w:b/>
      <w:szCs w:val="32"/>
      <w:u w:val="single"/>
      <w:lang w:val="en-GB" w:eastAsia="en-GB"/>
    </w:rPr>
  </w:style>
  <w:style w:type="character" w:customStyle="1" w:styleId="Naslov2Znak">
    <w:name w:val="Naslov 2 Znak"/>
    <w:basedOn w:val="Privzetapisavaodstavka"/>
    <w:link w:val="Naslov2"/>
    <w:uiPriority w:val="9"/>
    <w:rsid w:val="007D5AFE"/>
    <w:rPr>
      <w:rFonts w:ascii="Calibri" w:eastAsia="Times New Roman" w:hAnsi="Calibri" w:cs="Times New Roman"/>
      <w:szCs w:val="26"/>
      <w:u w:val="single"/>
      <w:lang w:val="en-GB" w:eastAsia="en-GB"/>
    </w:rPr>
  </w:style>
  <w:style w:type="paragraph" w:styleId="Glava">
    <w:name w:val="header"/>
    <w:basedOn w:val="Navaden"/>
    <w:link w:val="GlavaZnak"/>
    <w:unhideWhenUsed/>
    <w:rsid w:val="007D5AFE"/>
    <w:pPr>
      <w:tabs>
        <w:tab w:val="center" w:pos="4536"/>
        <w:tab w:val="right" w:pos="9072"/>
      </w:tabs>
    </w:pPr>
    <w:rPr>
      <w:rFonts w:ascii="Times New Roman" w:hAnsi="Times New Roman"/>
      <w:szCs w:val="20"/>
      <w:lang w:val="x-none" w:eastAsia="sl-SI"/>
    </w:rPr>
  </w:style>
  <w:style w:type="character" w:customStyle="1" w:styleId="GlavaZnak">
    <w:name w:val="Glava Znak"/>
    <w:basedOn w:val="Privzetapisavaodstavka"/>
    <w:link w:val="Glava"/>
    <w:rsid w:val="007D5AFE"/>
    <w:rPr>
      <w:rFonts w:ascii="Times New Roman" w:eastAsia="Times New Roman" w:hAnsi="Times New Roman" w:cs="Times New Roman"/>
      <w:sz w:val="20"/>
      <w:szCs w:val="20"/>
      <w:lang w:val="x-none" w:eastAsia="sl-SI"/>
    </w:rPr>
  </w:style>
  <w:style w:type="paragraph" w:styleId="Noga">
    <w:name w:val="footer"/>
    <w:basedOn w:val="Navaden"/>
    <w:link w:val="NogaZnak"/>
    <w:uiPriority w:val="99"/>
    <w:unhideWhenUsed/>
    <w:rsid w:val="007D5AFE"/>
    <w:pPr>
      <w:tabs>
        <w:tab w:val="center" w:pos="4536"/>
        <w:tab w:val="right" w:pos="9072"/>
      </w:tabs>
    </w:pPr>
    <w:rPr>
      <w:rFonts w:ascii="Times New Roman" w:hAnsi="Times New Roman"/>
      <w:szCs w:val="20"/>
      <w:lang w:val="x-none" w:eastAsia="sl-SI"/>
    </w:rPr>
  </w:style>
  <w:style w:type="character" w:customStyle="1" w:styleId="NogaZnak">
    <w:name w:val="Noga Znak"/>
    <w:basedOn w:val="Privzetapisavaodstavka"/>
    <w:link w:val="Noga"/>
    <w:uiPriority w:val="99"/>
    <w:rsid w:val="007D5AFE"/>
    <w:rPr>
      <w:rFonts w:ascii="Times New Roman" w:eastAsia="Times New Roman" w:hAnsi="Times New Roman" w:cs="Times New Roman"/>
      <w:sz w:val="20"/>
      <w:szCs w:val="20"/>
      <w:lang w:val="x-none" w:eastAsia="sl-SI"/>
    </w:rPr>
  </w:style>
  <w:style w:type="character" w:styleId="Hiperpovezava">
    <w:name w:val="Hyperlink"/>
    <w:uiPriority w:val="99"/>
    <w:unhideWhenUsed/>
    <w:rsid w:val="007D5AFE"/>
    <w:rPr>
      <w:color w:val="0000FF"/>
      <w:u w:val="single"/>
    </w:rPr>
  </w:style>
  <w:style w:type="paragraph" w:styleId="Sprotnaopomba-besedilo">
    <w:name w:val="footnote text"/>
    <w:basedOn w:val="Navaden"/>
    <w:link w:val="Sprotnaopomba-besediloZnak"/>
    <w:uiPriority w:val="99"/>
    <w:unhideWhenUsed/>
    <w:rsid w:val="007D5AFE"/>
    <w:pPr>
      <w:spacing w:line="240" w:lineRule="auto"/>
    </w:pPr>
    <w:rPr>
      <w:sz w:val="24"/>
    </w:rPr>
  </w:style>
  <w:style w:type="character" w:customStyle="1" w:styleId="Sprotnaopomba-besediloZnak">
    <w:name w:val="Sprotna opomba - besedilo Znak"/>
    <w:basedOn w:val="Privzetapisavaodstavka"/>
    <w:link w:val="Sprotnaopomba-besedilo"/>
    <w:uiPriority w:val="99"/>
    <w:rsid w:val="007D5AFE"/>
    <w:rPr>
      <w:rFonts w:ascii="Arial" w:eastAsia="Times New Roman" w:hAnsi="Arial" w:cs="Times New Roman"/>
      <w:sz w:val="24"/>
      <w:szCs w:val="24"/>
    </w:rPr>
  </w:style>
  <w:style w:type="character" w:styleId="Sprotnaopomba-sklic">
    <w:name w:val="footnote reference"/>
    <w:uiPriority w:val="99"/>
    <w:unhideWhenUsed/>
    <w:rsid w:val="007D5AFE"/>
    <w:rPr>
      <w:vertAlign w:val="superscript"/>
    </w:rPr>
  </w:style>
  <w:style w:type="paragraph" w:styleId="Odstavekseznama">
    <w:name w:val="List Paragraph"/>
    <w:basedOn w:val="Navaden"/>
    <w:uiPriority w:val="34"/>
    <w:qFormat/>
    <w:rsid w:val="007D5AFE"/>
    <w:pPr>
      <w:spacing w:line="240" w:lineRule="auto"/>
      <w:ind w:left="720"/>
      <w:contextualSpacing/>
    </w:pPr>
    <w:rPr>
      <w:rFonts w:ascii="Times New Roman" w:eastAsia="Calibri" w:hAnsi="Times New Roman"/>
      <w:sz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are.eu/assets/uploads/2018/03/OpenLetter-to-JURI-Committee-on-TDM_26March2018.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reate.ac.uk/wp-content/uploads/2018/04/OpenLetter_EU_Copyright_Research_Centres_26_04_2018.pdf"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europarl.europa.eu/RegData/etudes/IDAN/2018/604941/IPOL_IDA(2018)604941_EN.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461</Words>
  <Characters>2632</Characters>
  <Application>Microsoft Office Word</Application>
  <DocSecurity>0</DocSecurity>
  <Lines>21</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Pucelj</dc:creator>
  <cp:keywords/>
  <dc:description/>
  <cp:lastModifiedBy>Sebastijan Magdič</cp:lastModifiedBy>
  <cp:revision>2</cp:revision>
  <dcterms:created xsi:type="dcterms:W3CDTF">2020-03-12T11:17:00Z</dcterms:created>
  <dcterms:modified xsi:type="dcterms:W3CDTF">2020-03-12T11:17:00Z</dcterms:modified>
</cp:coreProperties>
</file>