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0A" w:rsidRDefault="00DC000A" w:rsidP="00DC00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3CC4" w:rsidRDefault="00DC000A" w:rsidP="00BA4CAD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0A75A9" w:rsidRPr="000A75A9">
        <w:rPr>
          <w:rFonts w:ascii="Arial" w:hAnsi="Arial" w:cs="Arial"/>
          <w:b/>
          <w:sz w:val="28"/>
          <w:szCs w:val="28"/>
        </w:rPr>
        <w:t xml:space="preserve"> </w:t>
      </w:r>
      <w:r w:rsidR="005450F2">
        <w:rPr>
          <w:rFonts w:ascii="Arial" w:hAnsi="Arial" w:cs="Arial"/>
          <w:b/>
          <w:sz w:val="28"/>
          <w:szCs w:val="28"/>
        </w:rPr>
        <w:t>SO</w:t>
      </w:r>
      <w:r w:rsidR="000A75A9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477AD" w:rsidRPr="00201108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Temeljni namen zbiranja podatkov o udeležencih v okviru operacij evropske kohezijske politike je spremljanje, vrednotenje</w:t>
      </w:r>
      <w:r w:rsidR="000255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preverjanje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in zagotavljanje skladnosti ukrepov s cilji Strategije Evropa 2020 za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>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>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zagotavljajo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učinkovito, transparentno in k ciljem usmerjeno porabo javnih (EU in nacionalnih) sredstev. </w:t>
      </w:r>
    </w:p>
    <w:p w:rsidR="00D93077" w:rsidRPr="00201108" w:rsidRDefault="00D9307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12F2" w:rsidRDefault="00DC000A" w:rsidP="00DC000A">
      <w:pPr>
        <w:spacing w:before="60" w:after="60" w:line="264" w:lineRule="auto"/>
        <w:jc w:val="both"/>
      </w:pP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operacij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1304/2013,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ustrezna dokazila in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, sofinanciranih iz sredstev evropske kohezijske politike v programskem obdobju 2014–2020, na podlagi vprašalnika zbira spodnje podatke o udeležencih:</w:t>
      </w:r>
    </w:p>
    <w:tbl>
      <w:tblPr>
        <w:tblW w:w="94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2340"/>
        <w:gridCol w:w="3472"/>
        <w:gridCol w:w="634"/>
      </w:tblGrid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70199B" w:rsidRPr="0070199B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Da – ni potrebno sodelovati</w:t>
            </w:r>
          </w:p>
          <w:p w:rsidR="00DC000A" w:rsidRPr="00D65F60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Ne – potrebno izpolniti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DC000A">
            <w:r w:rsidRPr="00BB49E9">
              <w:rPr>
                <w:rStyle w:val="Besediloograde"/>
                <w:b/>
                <w:sz w:val="16"/>
                <w:szCs w:val="16"/>
              </w:rPr>
              <w:t xml:space="preserve"> 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>
            <w:pPr>
              <w:rPr>
                <w:rStyle w:val="Besediloograde"/>
                <w:b/>
                <w:sz w:val="16"/>
                <w:szCs w:val="16"/>
              </w:rPr>
            </w:pPr>
            <w:r>
              <w:rPr>
                <w:rStyle w:val="Besediloograde"/>
                <w:b/>
                <w:sz w:val="16"/>
                <w:szCs w:val="16"/>
              </w:rPr>
              <w:t>Manj kot 25 let</w:t>
            </w:r>
          </w:p>
          <w:p w:rsidR="00DC000A" w:rsidRDefault="00DC000A" w:rsidP="00A45681">
            <w:pPr>
              <w:rPr>
                <w:rStyle w:val="Besediloograde"/>
                <w:b/>
                <w:sz w:val="16"/>
                <w:szCs w:val="16"/>
              </w:rPr>
            </w:pPr>
            <w:r>
              <w:rPr>
                <w:rStyle w:val="Besediloograde"/>
                <w:b/>
                <w:sz w:val="16"/>
                <w:szCs w:val="16"/>
              </w:rPr>
              <w:t>25-29 let</w:t>
            </w:r>
          </w:p>
          <w:p w:rsidR="00DC000A" w:rsidRDefault="00DC000A" w:rsidP="00A45681">
            <w:pPr>
              <w:rPr>
                <w:rStyle w:val="Besediloograde"/>
                <w:b/>
                <w:sz w:val="16"/>
                <w:szCs w:val="16"/>
              </w:rPr>
            </w:pPr>
            <w:r>
              <w:rPr>
                <w:rStyle w:val="Besediloograde"/>
                <w:b/>
                <w:sz w:val="16"/>
                <w:szCs w:val="16"/>
              </w:rPr>
              <w:t>30-44 let</w:t>
            </w:r>
          </w:p>
          <w:p w:rsidR="00DC000A" w:rsidRDefault="00DC000A" w:rsidP="00A45681">
            <w:pPr>
              <w:rPr>
                <w:rStyle w:val="Besediloograde"/>
                <w:b/>
                <w:sz w:val="16"/>
                <w:szCs w:val="16"/>
              </w:rPr>
            </w:pPr>
            <w:r>
              <w:rPr>
                <w:rStyle w:val="Besediloograde"/>
                <w:b/>
                <w:sz w:val="16"/>
                <w:szCs w:val="16"/>
              </w:rPr>
              <w:t>45</w:t>
            </w:r>
            <w:r w:rsidR="007513A5">
              <w:rPr>
                <w:rStyle w:val="Besediloograde"/>
                <w:b/>
                <w:sz w:val="16"/>
                <w:szCs w:val="16"/>
              </w:rPr>
              <w:t>-</w:t>
            </w:r>
            <w:r>
              <w:rPr>
                <w:rStyle w:val="Besediloograde"/>
                <w:b/>
                <w:sz w:val="16"/>
                <w:szCs w:val="16"/>
              </w:rPr>
              <w:t>54 let</w:t>
            </w:r>
          </w:p>
          <w:p w:rsidR="00DC000A" w:rsidRPr="005747E9" w:rsidRDefault="00DC000A" w:rsidP="00A45681">
            <w:r>
              <w:rPr>
                <w:rStyle w:val="Besediloograde"/>
                <w:b/>
                <w:sz w:val="16"/>
                <w:szCs w:val="16"/>
              </w:rPr>
              <w:t>Več kot 54 let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lastRenderedPageBreak/>
              <w:t>OBČINA STALNEGA BIVALIŠČA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Pr="005747E9" w:rsidRDefault="00DC000A" w:rsidP="00A45681"/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  <w:r w:rsidRPr="00DC000A">
              <w:rPr>
                <w:b/>
                <w:color w:val="8080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Nepopolna osnovna izobrazba  (ISCED 0)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Osnovna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1-2)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Del="007A7C1D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Nižja poklicna in srednja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3-4)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Terciarna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5-8)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Default="00DC000A" w:rsidP="00A45681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DC000A" w:rsidRPr="005747E9" w:rsidRDefault="00DC000A" w:rsidP="00A45681">
            <w:pPr>
              <w:spacing w:after="0" w:line="240" w:lineRule="auto"/>
              <w:rPr>
                <w:b/>
              </w:rPr>
            </w:pP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Zaposlen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Zaposlitev za nedoločen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Samozaposlen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Podzaposlen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597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Brezposeln</w:t>
            </w:r>
            <w:r w:rsidRPr="00DC000A">
              <w:rPr>
                <w:color w:val="808080"/>
                <w:sz w:val="16"/>
                <w:szCs w:val="16"/>
              </w:rPr>
              <w:t xml:space="preserve"> </w:t>
            </w:r>
            <w:r w:rsidRPr="00DC000A">
              <w:rPr>
                <w:rFonts w:ascii="MS Gothic" w:eastAsia="MS Gothic" w:hAnsi="MS Gothic" w:hint="eastAsia"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4A3A54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Registrirano brezposeln pri ZRSZ in brezposeln, ki </w:t>
            </w:r>
            <w:r w:rsidR="004A3A54">
              <w:rPr>
                <w:b/>
                <w:color w:val="808080"/>
                <w:sz w:val="16"/>
                <w:szCs w:val="16"/>
              </w:rPr>
              <w:t>je</w:t>
            </w:r>
            <w:r w:rsidRPr="00DC000A">
              <w:rPr>
                <w:b/>
                <w:color w:val="8080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Del="00655E51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Dolgotrajno brezposeln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Neaktiven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Niti zaposlen, niti nezaposlen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Default="00DC000A" w:rsidP="00DC000A">
      <w:pPr>
        <w:spacing w:after="0" w:line="240" w:lineRule="auto"/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DC000A" w:rsidTr="007513A5">
        <w:trPr>
          <w:trHeight w:val="917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DA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 želim odgovoriti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Brezdomci ali prizadeti na področju nastanitve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Pr="007C1B50" w:rsidRDefault="00DC000A" w:rsidP="00DC000A">
      <w:r w:rsidRPr="007C1B50">
        <w:t xml:space="preserve">** podatki, o katerih se udeležencu ni treba opredeliti </w:t>
      </w:r>
    </w:p>
    <w:p w:rsidR="00DD1A2D" w:rsidRDefault="00A912F2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912F2">
        <w:rPr>
          <w:rFonts w:ascii="Arial" w:eastAsia="Times New Roman" w:hAnsi="Arial" w:cs="Arial"/>
          <w:sz w:val="20"/>
          <w:szCs w:val="24"/>
          <w:lang w:eastAsia="sl-SI"/>
        </w:rPr>
        <w:t>Udeleženec mora vprašalnik izpolniti v celoti, z izjemo dela vprašalnika, ki se navezuje na podatke označene z **, zato v tistem delu lahko navede, da o podatku ne želi odgovoriti.</w:t>
      </w:r>
    </w:p>
    <w:p w:rsidR="00A0600A" w:rsidRDefault="00A0600A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odgovoren upravičenec operacije, sofinancirane iz sredstev evropske kohezijske politike, k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>i podatke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zbira, obdeluje in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posreduje v obdelavo na ministrstvo.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C000A" w:rsidRPr="00992673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Ministrstvo 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F06210">
        <w:rPr>
          <w:rFonts w:ascii="Arial" w:eastAsia="Times New Roman" w:hAnsi="Arial" w:cs="Arial"/>
          <w:sz w:val="20"/>
          <w:szCs w:val="20"/>
          <w:lang w:eastAsia="sl-SI"/>
        </w:rPr>
        <w:t>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21F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 ravni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ovenije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>1303/2013</w:t>
      </w:r>
      <w:r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ter četrtega odstavka 19. člena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1304/2013 uporabi pri pripravi nacionalnih letnih izvedbenih poročil, ki jih pošlje Evropski komisiji. Evropska komisija po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datke uporabi za pripravo skupnega poročila.  </w:t>
      </w:r>
    </w:p>
    <w:p w:rsidR="00545932" w:rsidRDefault="00545932" w:rsidP="0058501C">
      <w:pPr>
        <w:spacing w:before="60" w:after="60" w:line="264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C000A" w:rsidRDefault="002471ED" w:rsidP="00DC00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1901190"/>
                <wp:effectExtent l="0" t="0" r="19685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A" w:rsidRDefault="00DC000A" w:rsidP="00DC000A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="00C4362D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navede doseženo raven izobraževanja. Izjema so osnovnošolski učenci, ki se beležijo v kategorijo osnovna izobrazba; 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5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="0003711B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star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">
                <v:textbox>
                  <w:txbxContent>
                    <w:p w:rsidR="00DC000A" w:rsidRDefault="00DC000A" w:rsidP="00DC000A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="00C4362D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navede doseženo raven izobraževanja. Izjema so osnovnošolski učenci, ki se beležijo v kategorijo osnovna izobrazba; 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93E5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="0003711B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star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65C3" w:rsidRDefault="00E865C3"/>
    <w:sectPr w:rsidR="00E865C3" w:rsidSect="00A45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3" w:rsidRDefault="00396873">
      <w:pPr>
        <w:spacing w:after="0" w:line="240" w:lineRule="auto"/>
      </w:pPr>
      <w:r>
        <w:separator/>
      </w:r>
    </w:p>
  </w:endnote>
  <w:endnote w:type="continuationSeparator" w:id="0">
    <w:p w:rsidR="00396873" w:rsidRDefault="003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2471ED">
      <w:rPr>
        <w:rFonts w:ascii="Arial" w:hAnsi="Arial"/>
        <w:noProof/>
        <w:sz w:val="16"/>
      </w:rPr>
      <w:t>4</w:t>
    </w:r>
    <w:r w:rsidRPr="00A32C83">
      <w:rPr>
        <w:rFonts w:ascii="Arial" w:hAnsi="Arial"/>
        <w:sz w:val="16"/>
      </w:rPr>
      <w:fldChar w:fldCharType="end"/>
    </w:r>
  </w:p>
  <w:p w:rsidR="00A45681" w:rsidRDefault="00A456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2471ED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A45681" w:rsidRDefault="00A456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3" w:rsidRDefault="00396873">
      <w:pPr>
        <w:spacing w:after="0" w:line="240" w:lineRule="auto"/>
      </w:pPr>
      <w:r>
        <w:separator/>
      </w:r>
    </w:p>
  </w:footnote>
  <w:footnote w:type="continuationSeparator" w:id="0">
    <w:p w:rsidR="00396873" w:rsidRDefault="00396873">
      <w:pPr>
        <w:spacing w:after="0" w:line="240" w:lineRule="auto"/>
      </w:pPr>
      <w:r>
        <w:continuationSeparator/>
      </w:r>
    </w:p>
  </w:footnote>
  <w:footnote w:id="1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2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041B9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1" w:rsidRDefault="00A45681" w:rsidP="00A45681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1" w:rsidRPr="008F3500" w:rsidRDefault="002471ED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4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3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A45681" w:rsidRDefault="00A456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A"/>
    <w:rsid w:val="00014539"/>
    <w:rsid w:val="00025585"/>
    <w:rsid w:val="0003711B"/>
    <w:rsid w:val="00041B98"/>
    <w:rsid w:val="0005534F"/>
    <w:rsid w:val="00063A53"/>
    <w:rsid w:val="0008021F"/>
    <w:rsid w:val="00086D2C"/>
    <w:rsid w:val="000942C3"/>
    <w:rsid w:val="000A10CF"/>
    <w:rsid w:val="000A42B7"/>
    <w:rsid w:val="000A75A9"/>
    <w:rsid w:val="000B7164"/>
    <w:rsid w:val="000C149D"/>
    <w:rsid w:val="000E2BCC"/>
    <w:rsid w:val="000F46D6"/>
    <w:rsid w:val="00134E71"/>
    <w:rsid w:val="00147096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471ED"/>
    <w:rsid w:val="00251EE8"/>
    <w:rsid w:val="00270A93"/>
    <w:rsid w:val="00282C5F"/>
    <w:rsid w:val="00283CC4"/>
    <w:rsid w:val="00286237"/>
    <w:rsid w:val="002B25BE"/>
    <w:rsid w:val="002B410B"/>
    <w:rsid w:val="002C35C4"/>
    <w:rsid w:val="002C43D6"/>
    <w:rsid w:val="002C55C0"/>
    <w:rsid w:val="002D2CA9"/>
    <w:rsid w:val="002E507B"/>
    <w:rsid w:val="002F584B"/>
    <w:rsid w:val="003013AD"/>
    <w:rsid w:val="00316F72"/>
    <w:rsid w:val="0033197C"/>
    <w:rsid w:val="00353822"/>
    <w:rsid w:val="00370662"/>
    <w:rsid w:val="00381E09"/>
    <w:rsid w:val="00382079"/>
    <w:rsid w:val="00384C24"/>
    <w:rsid w:val="0039355D"/>
    <w:rsid w:val="00396873"/>
    <w:rsid w:val="003A28E8"/>
    <w:rsid w:val="003A5EBA"/>
    <w:rsid w:val="003B36A1"/>
    <w:rsid w:val="003B44FE"/>
    <w:rsid w:val="003D546F"/>
    <w:rsid w:val="003D5BFE"/>
    <w:rsid w:val="003E07A5"/>
    <w:rsid w:val="003F4A1C"/>
    <w:rsid w:val="004065C3"/>
    <w:rsid w:val="004071EF"/>
    <w:rsid w:val="004110C2"/>
    <w:rsid w:val="0041590A"/>
    <w:rsid w:val="0044671F"/>
    <w:rsid w:val="0045393D"/>
    <w:rsid w:val="004633F0"/>
    <w:rsid w:val="00465919"/>
    <w:rsid w:val="00471485"/>
    <w:rsid w:val="00472BC9"/>
    <w:rsid w:val="004A3A54"/>
    <w:rsid w:val="004B469A"/>
    <w:rsid w:val="004D6A1B"/>
    <w:rsid w:val="004E3DF1"/>
    <w:rsid w:val="005002B2"/>
    <w:rsid w:val="00503FCF"/>
    <w:rsid w:val="00520EB6"/>
    <w:rsid w:val="005450F2"/>
    <w:rsid w:val="00545320"/>
    <w:rsid w:val="00545932"/>
    <w:rsid w:val="005761BD"/>
    <w:rsid w:val="00577D0D"/>
    <w:rsid w:val="0058501C"/>
    <w:rsid w:val="005850E9"/>
    <w:rsid w:val="00591FEA"/>
    <w:rsid w:val="00593EB9"/>
    <w:rsid w:val="005949E2"/>
    <w:rsid w:val="005A2A71"/>
    <w:rsid w:val="005A6301"/>
    <w:rsid w:val="005B0776"/>
    <w:rsid w:val="005B08D1"/>
    <w:rsid w:val="005D0979"/>
    <w:rsid w:val="005E677E"/>
    <w:rsid w:val="005F20F2"/>
    <w:rsid w:val="00604F34"/>
    <w:rsid w:val="00605C4A"/>
    <w:rsid w:val="006071D6"/>
    <w:rsid w:val="006178CF"/>
    <w:rsid w:val="00635DA2"/>
    <w:rsid w:val="0064066E"/>
    <w:rsid w:val="006477AD"/>
    <w:rsid w:val="00653570"/>
    <w:rsid w:val="00661DF3"/>
    <w:rsid w:val="00665A8E"/>
    <w:rsid w:val="0068220E"/>
    <w:rsid w:val="006A0CBA"/>
    <w:rsid w:val="006C1E35"/>
    <w:rsid w:val="006D20BB"/>
    <w:rsid w:val="0070199B"/>
    <w:rsid w:val="00706BED"/>
    <w:rsid w:val="00710F61"/>
    <w:rsid w:val="0074079B"/>
    <w:rsid w:val="007477DC"/>
    <w:rsid w:val="007513A5"/>
    <w:rsid w:val="00760265"/>
    <w:rsid w:val="00760D7D"/>
    <w:rsid w:val="0078268A"/>
    <w:rsid w:val="007A331A"/>
    <w:rsid w:val="007B6606"/>
    <w:rsid w:val="007B69BF"/>
    <w:rsid w:val="007C39A3"/>
    <w:rsid w:val="007C7337"/>
    <w:rsid w:val="007C750C"/>
    <w:rsid w:val="007E42E9"/>
    <w:rsid w:val="007F2987"/>
    <w:rsid w:val="007F7D78"/>
    <w:rsid w:val="00823074"/>
    <w:rsid w:val="00826634"/>
    <w:rsid w:val="0083051A"/>
    <w:rsid w:val="0084121D"/>
    <w:rsid w:val="00843F7D"/>
    <w:rsid w:val="00850B5C"/>
    <w:rsid w:val="00851430"/>
    <w:rsid w:val="00862FCC"/>
    <w:rsid w:val="0088137E"/>
    <w:rsid w:val="008A0999"/>
    <w:rsid w:val="008B0D67"/>
    <w:rsid w:val="008B3A97"/>
    <w:rsid w:val="008C30BE"/>
    <w:rsid w:val="008D26E0"/>
    <w:rsid w:val="008D77DA"/>
    <w:rsid w:val="008E06E3"/>
    <w:rsid w:val="009042DD"/>
    <w:rsid w:val="0090439E"/>
    <w:rsid w:val="009125B6"/>
    <w:rsid w:val="0091546A"/>
    <w:rsid w:val="00932D47"/>
    <w:rsid w:val="00944DCF"/>
    <w:rsid w:val="0097409A"/>
    <w:rsid w:val="00992673"/>
    <w:rsid w:val="009A2A23"/>
    <w:rsid w:val="009E2334"/>
    <w:rsid w:val="00A0245B"/>
    <w:rsid w:val="00A0600A"/>
    <w:rsid w:val="00A41D1C"/>
    <w:rsid w:val="00A425AB"/>
    <w:rsid w:val="00A44703"/>
    <w:rsid w:val="00A45681"/>
    <w:rsid w:val="00A6102F"/>
    <w:rsid w:val="00A76232"/>
    <w:rsid w:val="00A82361"/>
    <w:rsid w:val="00A912F2"/>
    <w:rsid w:val="00A9142B"/>
    <w:rsid w:val="00A95D71"/>
    <w:rsid w:val="00AA5CE6"/>
    <w:rsid w:val="00AB1408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C20D7"/>
    <w:rsid w:val="00BD01BF"/>
    <w:rsid w:val="00BD41CC"/>
    <w:rsid w:val="00BF5FF5"/>
    <w:rsid w:val="00C15652"/>
    <w:rsid w:val="00C1640B"/>
    <w:rsid w:val="00C17A47"/>
    <w:rsid w:val="00C20225"/>
    <w:rsid w:val="00C24B88"/>
    <w:rsid w:val="00C33953"/>
    <w:rsid w:val="00C3499E"/>
    <w:rsid w:val="00C42FF8"/>
    <w:rsid w:val="00C4362D"/>
    <w:rsid w:val="00C45FC9"/>
    <w:rsid w:val="00C46D56"/>
    <w:rsid w:val="00C50CE5"/>
    <w:rsid w:val="00C6127D"/>
    <w:rsid w:val="00C80EE8"/>
    <w:rsid w:val="00C85368"/>
    <w:rsid w:val="00C941D9"/>
    <w:rsid w:val="00CB01E1"/>
    <w:rsid w:val="00CD6A51"/>
    <w:rsid w:val="00D33B98"/>
    <w:rsid w:val="00D35600"/>
    <w:rsid w:val="00D429ED"/>
    <w:rsid w:val="00D43B32"/>
    <w:rsid w:val="00D43C3A"/>
    <w:rsid w:val="00D47F8C"/>
    <w:rsid w:val="00D53275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C000A"/>
    <w:rsid w:val="00DC233E"/>
    <w:rsid w:val="00DD1A2D"/>
    <w:rsid w:val="00DD4A4E"/>
    <w:rsid w:val="00E06A31"/>
    <w:rsid w:val="00E07173"/>
    <w:rsid w:val="00E1008B"/>
    <w:rsid w:val="00E50490"/>
    <w:rsid w:val="00E63CA1"/>
    <w:rsid w:val="00E83BC8"/>
    <w:rsid w:val="00E865C3"/>
    <w:rsid w:val="00E9081F"/>
    <w:rsid w:val="00E93E5B"/>
    <w:rsid w:val="00EA7335"/>
    <w:rsid w:val="00EB0BE7"/>
    <w:rsid w:val="00EE5180"/>
    <w:rsid w:val="00EF1A28"/>
    <w:rsid w:val="00EF26E7"/>
    <w:rsid w:val="00EF556B"/>
    <w:rsid w:val="00F05DE5"/>
    <w:rsid w:val="00F06210"/>
    <w:rsid w:val="00F15E24"/>
    <w:rsid w:val="00F22BC3"/>
    <w:rsid w:val="00F3133A"/>
    <w:rsid w:val="00F31DA6"/>
    <w:rsid w:val="00F346BD"/>
    <w:rsid w:val="00F34EEC"/>
    <w:rsid w:val="00F56B1B"/>
    <w:rsid w:val="00F72C93"/>
    <w:rsid w:val="00F917D2"/>
    <w:rsid w:val="00F944A8"/>
    <w:rsid w:val="00FB1F1B"/>
    <w:rsid w:val="00FB6BB3"/>
    <w:rsid w:val="00FB7F9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48EA-FED5-40F8-83A1-851C2101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Janez Pogačar</cp:lastModifiedBy>
  <cp:revision>2</cp:revision>
  <cp:lastPrinted>2018-11-27T13:44:00Z</cp:lastPrinted>
  <dcterms:created xsi:type="dcterms:W3CDTF">2018-12-17T14:16:00Z</dcterms:created>
  <dcterms:modified xsi:type="dcterms:W3CDTF">2018-12-17T14:16:00Z</dcterms:modified>
</cp:coreProperties>
</file>