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41F87" w14:textId="77777777" w:rsidR="00CD7CA4" w:rsidRPr="00CD7CA4" w:rsidRDefault="00CD7CA4" w:rsidP="00666F8F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szCs w:val="20"/>
        </w:rPr>
      </w:pPr>
    </w:p>
    <w:p w14:paraId="541A5FE9" w14:textId="77777777" w:rsidR="003930D6" w:rsidRDefault="003930D6" w:rsidP="00666F8F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szCs w:val="20"/>
        </w:rPr>
      </w:pPr>
    </w:p>
    <w:p w14:paraId="75663D57" w14:textId="77777777" w:rsidR="003930D6" w:rsidRDefault="003930D6" w:rsidP="00666F8F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szCs w:val="20"/>
        </w:rPr>
      </w:pPr>
    </w:p>
    <w:p w14:paraId="4EF09BB3" w14:textId="12DE4E15" w:rsidR="00CD7CA4" w:rsidRPr="00CD7CA4" w:rsidRDefault="00F406B0" w:rsidP="00666F8F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szCs w:val="20"/>
        </w:rPr>
      </w:pPr>
      <w:r w:rsidRPr="00CD7CA4">
        <w:rPr>
          <w:rFonts w:cs="Arial"/>
          <w:b/>
          <w:bCs/>
          <w:szCs w:val="20"/>
        </w:rPr>
        <w:t xml:space="preserve">Razpisi Evropske komisije za sofinanciranje projektov </w:t>
      </w:r>
    </w:p>
    <w:p w14:paraId="3E535EC4" w14:textId="67A10A73" w:rsidR="00F406B0" w:rsidRPr="00CD7CA4" w:rsidRDefault="00F406B0" w:rsidP="00666F8F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szCs w:val="20"/>
        </w:rPr>
      </w:pPr>
      <w:r w:rsidRPr="00CD7CA4">
        <w:rPr>
          <w:rFonts w:cs="Arial"/>
          <w:b/>
          <w:bCs/>
          <w:szCs w:val="20"/>
        </w:rPr>
        <w:t>v okviru program</w:t>
      </w:r>
      <w:r w:rsidR="00426274" w:rsidRPr="00CD7CA4">
        <w:rPr>
          <w:rFonts w:cs="Arial"/>
          <w:b/>
          <w:bCs/>
          <w:szCs w:val="20"/>
        </w:rPr>
        <w:t>a</w:t>
      </w:r>
      <w:r w:rsidRPr="00CD7CA4">
        <w:rPr>
          <w:rFonts w:cs="Arial"/>
          <w:b/>
          <w:bCs/>
          <w:szCs w:val="20"/>
        </w:rPr>
        <w:t xml:space="preserve"> P</w:t>
      </w:r>
      <w:r w:rsidR="00CD7CA4" w:rsidRPr="00CD7CA4">
        <w:rPr>
          <w:rFonts w:cs="Arial"/>
          <w:b/>
          <w:bCs/>
          <w:szCs w:val="20"/>
        </w:rPr>
        <w:t xml:space="preserve">RAVOSODJE </w:t>
      </w:r>
      <w:r w:rsidRPr="00CD7CA4">
        <w:rPr>
          <w:rFonts w:cs="Arial"/>
          <w:b/>
          <w:bCs/>
          <w:szCs w:val="20"/>
        </w:rPr>
        <w:t>v letu 202</w:t>
      </w:r>
      <w:r w:rsidR="009F25B7" w:rsidRPr="00CD7CA4">
        <w:rPr>
          <w:rFonts w:cs="Arial"/>
          <w:b/>
          <w:bCs/>
          <w:szCs w:val="20"/>
        </w:rPr>
        <w:t>1</w:t>
      </w:r>
    </w:p>
    <w:p w14:paraId="1F675082" w14:textId="77777777" w:rsidR="00F406B0" w:rsidRPr="00CD7CA4" w:rsidRDefault="00F406B0" w:rsidP="00BB414F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60925C6B" w14:textId="77777777" w:rsidR="00CD7CA4" w:rsidRPr="00CD7CA4" w:rsidRDefault="00CD7CA4" w:rsidP="00CD7CA4">
      <w:pPr>
        <w:autoSpaceDE w:val="0"/>
        <w:autoSpaceDN w:val="0"/>
        <w:adjustRightInd w:val="0"/>
        <w:jc w:val="center"/>
        <w:rPr>
          <w:rFonts w:cs="Arial"/>
          <w:b/>
          <w:bCs/>
          <w:szCs w:val="20"/>
        </w:rPr>
      </w:pPr>
    </w:p>
    <w:p w14:paraId="7223A82A" w14:textId="77777777" w:rsidR="00CD7CA4" w:rsidRPr="00CD7CA4" w:rsidRDefault="00F406B0" w:rsidP="00CD7CA4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CD7CA4">
        <w:rPr>
          <w:rFonts w:cs="Arial"/>
          <w:szCs w:val="20"/>
        </w:rPr>
        <w:t xml:space="preserve">Evropska komisija </w:t>
      </w:r>
      <w:r w:rsidR="00426274" w:rsidRPr="00CD7CA4">
        <w:rPr>
          <w:rFonts w:cs="Arial"/>
          <w:szCs w:val="20"/>
        </w:rPr>
        <w:t xml:space="preserve">je </w:t>
      </w:r>
      <w:r w:rsidR="00CD7CA4" w:rsidRPr="00CD7CA4">
        <w:rPr>
          <w:rFonts w:cs="Arial"/>
          <w:szCs w:val="20"/>
        </w:rPr>
        <w:t xml:space="preserve">v okviru programov Pravosodje objavila </w:t>
      </w:r>
      <w:r w:rsidR="00CD7CA4" w:rsidRPr="00CD7CA4">
        <w:rPr>
          <w:rFonts w:cs="Arial"/>
          <w:b/>
          <w:bCs/>
          <w:szCs w:val="20"/>
        </w:rPr>
        <w:t>razpise za sofinanciranje projektov na področju pravosodja in temeljnih pravic (nepovratna finančna sredstva)</w:t>
      </w:r>
      <w:r w:rsidR="00CD7CA4" w:rsidRPr="00CD7CA4">
        <w:rPr>
          <w:rFonts w:cs="Arial"/>
          <w:szCs w:val="20"/>
        </w:rPr>
        <w:t xml:space="preserve">. Večina projektov je lahko dolga do 24 mesecev in mora imeti minimalno vrednost zahtevka za financiranje s strani EU v višini </w:t>
      </w:r>
      <w:r w:rsidR="00CD7CA4" w:rsidRPr="00CD7CA4">
        <w:rPr>
          <w:rFonts w:cs="Arial"/>
          <w:b/>
          <w:bCs/>
          <w:szCs w:val="20"/>
        </w:rPr>
        <w:t>najmanj 75.000 EUR</w:t>
      </w:r>
      <w:r w:rsidR="00CD7CA4" w:rsidRPr="00CD7CA4">
        <w:rPr>
          <w:rFonts w:cs="Arial"/>
          <w:szCs w:val="20"/>
        </w:rPr>
        <w:t xml:space="preserve">, EU sofinanciranje pa je možno </w:t>
      </w:r>
      <w:r w:rsidR="00CD7CA4" w:rsidRPr="00CD7CA4">
        <w:rPr>
          <w:rFonts w:cs="Arial"/>
          <w:b/>
          <w:bCs/>
          <w:szCs w:val="20"/>
        </w:rPr>
        <w:t>v vrednosti do 90 %</w:t>
      </w:r>
      <w:r w:rsidR="00CD7CA4">
        <w:rPr>
          <w:rFonts w:cs="Arial"/>
          <w:b/>
          <w:bCs/>
          <w:szCs w:val="20"/>
        </w:rPr>
        <w:t xml:space="preserve">, </w:t>
      </w:r>
      <w:r w:rsidR="00CD7CA4" w:rsidRPr="00CD7CA4">
        <w:rPr>
          <w:rFonts w:cs="Arial"/>
          <w:szCs w:val="20"/>
        </w:rPr>
        <w:t>dejavnosti morajo zagotavljati dodano vrednost na ravni Evropske unije.</w:t>
      </w:r>
    </w:p>
    <w:p w14:paraId="0491714C" w14:textId="77777777" w:rsidR="00CD7CA4" w:rsidRPr="00CD7CA4" w:rsidRDefault="00CD7CA4" w:rsidP="00F406B0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60D65256" w14:textId="74F4098F" w:rsidR="001262E7" w:rsidRPr="00CD7CA4" w:rsidRDefault="00F406B0" w:rsidP="001262E7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CD7CA4">
        <w:rPr>
          <w:rFonts w:cs="Arial"/>
          <w:bCs/>
          <w:szCs w:val="20"/>
        </w:rPr>
        <w:t>Namen programa Pravosodje</w:t>
      </w:r>
      <w:r w:rsidRPr="00CD7CA4">
        <w:rPr>
          <w:rFonts w:cs="Arial"/>
          <w:szCs w:val="20"/>
        </w:rPr>
        <w:t xml:space="preserve"> je krepitev medsebojnega priznavanja in zaupanja med državami članicami</w:t>
      </w:r>
      <w:r w:rsidR="00DC79F6">
        <w:rPr>
          <w:rFonts w:cs="Arial"/>
          <w:szCs w:val="20"/>
        </w:rPr>
        <w:t xml:space="preserve"> EU</w:t>
      </w:r>
      <w:r w:rsidRPr="00CD7CA4">
        <w:rPr>
          <w:rFonts w:cs="Arial"/>
          <w:szCs w:val="20"/>
        </w:rPr>
        <w:t xml:space="preserve">. </w:t>
      </w:r>
      <w:r w:rsidR="00745F6F" w:rsidRPr="00CD7CA4">
        <w:rPr>
          <w:rFonts w:cs="Arial"/>
          <w:szCs w:val="20"/>
        </w:rPr>
        <w:t>Program</w:t>
      </w:r>
      <w:r w:rsidRPr="00CD7CA4">
        <w:rPr>
          <w:rFonts w:cs="Arial"/>
          <w:szCs w:val="20"/>
        </w:rPr>
        <w:t xml:space="preserve"> spodbuja pravosodno sodelovanje v civilnih in kazenskih zadevah</w:t>
      </w:r>
      <w:r w:rsidR="00EF6940" w:rsidRPr="00CD7CA4">
        <w:rPr>
          <w:rFonts w:cs="Arial"/>
          <w:szCs w:val="20"/>
        </w:rPr>
        <w:t xml:space="preserve">, </w:t>
      </w:r>
      <w:r w:rsidRPr="00CD7CA4">
        <w:rPr>
          <w:rFonts w:cs="Arial"/>
          <w:szCs w:val="20"/>
        </w:rPr>
        <w:t>izobraževa</w:t>
      </w:r>
      <w:r w:rsidR="00BD738A" w:rsidRPr="00CD7CA4">
        <w:rPr>
          <w:rFonts w:cs="Arial"/>
          <w:szCs w:val="20"/>
        </w:rPr>
        <w:t>nja</w:t>
      </w:r>
      <w:r w:rsidRPr="00CD7CA4">
        <w:rPr>
          <w:rFonts w:cs="Arial"/>
          <w:szCs w:val="20"/>
        </w:rPr>
        <w:t xml:space="preserve"> sodnik</w:t>
      </w:r>
      <w:r w:rsidR="00BD738A" w:rsidRPr="00CD7CA4">
        <w:rPr>
          <w:rFonts w:cs="Arial"/>
          <w:szCs w:val="20"/>
        </w:rPr>
        <w:t>ov, tožilcev</w:t>
      </w:r>
      <w:r w:rsidRPr="00CD7CA4">
        <w:rPr>
          <w:rFonts w:cs="Arial"/>
          <w:szCs w:val="20"/>
        </w:rPr>
        <w:t xml:space="preserve"> in drug</w:t>
      </w:r>
      <w:r w:rsidR="00BD738A" w:rsidRPr="00CD7CA4">
        <w:rPr>
          <w:rFonts w:cs="Arial"/>
          <w:szCs w:val="20"/>
        </w:rPr>
        <w:t>ih</w:t>
      </w:r>
      <w:r w:rsidRPr="00CD7CA4">
        <w:rPr>
          <w:rFonts w:cs="Arial"/>
          <w:szCs w:val="20"/>
        </w:rPr>
        <w:t xml:space="preserve"> </w:t>
      </w:r>
      <w:r w:rsidR="00745F6F" w:rsidRPr="00CD7CA4">
        <w:rPr>
          <w:rFonts w:cs="Arial"/>
          <w:szCs w:val="20"/>
        </w:rPr>
        <w:t>pravosodn</w:t>
      </w:r>
      <w:r w:rsidR="00BD738A" w:rsidRPr="00CD7CA4">
        <w:rPr>
          <w:rFonts w:cs="Arial"/>
          <w:szCs w:val="20"/>
        </w:rPr>
        <w:t>ih</w:t>
      </w:r>
      <w:r w:rsidR="00745F6F" w:rsidRPr="00CD7CA4">
        <w:rPr>
          <w:rFonts w:cs="Arial"/>
          <w:szCs w:val="20"/>
        </w:rPr>
        <w:t xml:space="preserve"> deležnik</w:t>
      </w:r>
      <w:r w:rsidR="00BD738A" w:rsidRPr="00CD7CA4">
        <w:rPr>
          <w:rFonts w:cs="Arial"/>
          <w:szCs w:val="20"/>
        </w:rPr>
        <w:t>ov</w:t>
      </w:r>
      <w:r w:rsidR="00EF6940" w:rsidRPr="00CD7CA4">
        <w:rPr>
          <w:rFonts w:cs="Arial"/>
          <w:szCs w:val="20"/>
        </w:rPr>
        <w:t xml:space="preserve">; </w:t>
      </w:r>
      <w:r w:rsidR="00666F8F" w:rsidRPr="00CD7CA4">
        <w:rPr>
          <w:rFonts w:cs="Arial"/>
          <w:szCs w:val="20"/>
        </w:rPr>
        <w:t xml:space="preserve">e-pravosodje </w:t>
      </w:r>
      <w:r w:rsidR="00C163FB" w:rsidRPr="00CD7CA4">
        <w:rPr>
          <w:rFonts w:cs="Arial"/>
          <w:szCs w:val="20"/>
        </w:rPr>
        <w:t>in pomen pravic oseb, osumljenih ali obdolženih kaznivih dejanj in pravic žrtev kaznivih dejanj</w:t>
      </w:r>
      <w:r w:rsidR="00EF6940" w:rsidRPr="00CD7CA4">
        <w:rPr>
          <w:rFonts w:cs="Arial"/>
          <w:szCs w:val="20"/>
        </w:rPr>
        <w:t>.</w:t>
      </w:r>
      <w:r w:rsidR="00C163FB" w:rsidRPr="00CD7CA4">
        <w:rPr>
          <w:rFonts w:cs="Arial"/>
          <w:szCs w:val="20"/>
        </w:rPr>
        <w:t xml:space="preserve"> </w:t>
      </w:r>
      <w:r w:rsidR="00EF6940" w:rsidRPr="00CD7CA4">
        <w:rPr>
          <w:rFonts w:cs="Arial"/>
          <w:szCs w:val="20"/>
        </w:rPr>
        <w:t>Program o</w:t>
      </w:r>
      <w:r w:rsidR="001262E7" w:rsidRPr="00CD7CA4">
        <w:rPr>
          <w:rFonts w:cs="Arial"/>
          <w:szCs w:val="20"/>
        </w:rPr>
        <w:t>mogoča učinkovit dostop do pravosodja za posameznike in gospodarstvo na področju Evrop</w:t>
      </w:r>
      <w:r w:rsidR="00BD738A" w:rsidRPr="00CD7CA4">
        <w:rPr>
          <w:rFonts w:cs="Arial"/>
          <w:szCs w:val="20"/>
        </w:rPr>
        <w:t>ske unije</w:t>
      </w:r>
      <w:r w:rsidR="001262E7" w:rsidRPr="00CD7CA4">
        <w:rPr>
          <w:rFonts w:cs="Arial"/>
          <w:szCs w:val="20"/>
        </w:rPr>
        <w:t xml:space="preserve"> ter zagotavlja dosledno in konsistentno uporabo prava Evropske unije.</w:t>
      </w:r>
    </w:p>
    <w:p w14:paraId="3A5E533A" w14:textId="77777777" w:rsidR="007E36A7" w:rsidRPr="00CD7CA4" w:rsidRDefault="007E36A7" w:rsidP="00F406B0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4FABAD90" w14:textId="0A547FA9" w:rsidR="007E36A7" w:rsidRPr="00CD7CA4" w:rsidRDefault="007E36A7" w:rsidP="007E36A7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CD7CA4">
        <w:rPr>
          <w:rFonts w:cs="Arial"/>
          <w:szCs w:val="20"/>
        </w:rPr>
        <w:t>Na spletni strani Evropske komisije, portalu »Funding &amp; tender opportunities«, so v okviru programa Pravosodje 202</w:t>
      </w:r>
      <w:r w:rsidR="00426274" w:rsidRPr="00CD7CA4">
        <w:rPr>
          <w:rFonts w:cs="Arial"/>
          <w:szCs w:val="20"/>
        </w:rPr>
        <w:t>1</w:t>
      </w:r>
      <w:r w:rsidRPr="00CD7CA4">
        <w:rPr>
          <w:rFonts w:cs="Arial"/>
          <w:szCs w:val="20"/>
        </w:rPr>
        <w:t xml:space="preserve"> </w:t>
      </w:r>
      <w:r w:rsidR="00CD7CA4">
        <w:rPr>
          <w:rFonts w:cs="Arial"/>
          <w:szCs w:val="20"/>
        </w:rPr>
        <w:t xml:space="preserve">med drugim </w:t>
      </w:r>
      <w:r w:rsidRPr="00CD7CA4">
        <w:rPr>
          <w:rFonts w:cs="Arial"/>
          <w:szCs w:val="20"/>
        </w:rPr>
        <w:t xml:space="preserve">objavljeni </w:t>
      </w:r>
      <w:bookmarkStart w:id="0" w:name="_Hlk66459615"/>
      <w:r w:rsidRPr="00CD7CA4">
        <w:rPr>
          <w:rFonts w:cs="Arial"/>
          <w:b/>
          <w:szCs w:val="20"/>
        </w:rPr>
        <w:t xml:space="preserve">razpisi za </w:t>
      </w:r>
      <w:r w:rsidR="005822F9" w:rsidRPr="00CD7CA4">
        <w:rPr>
          <w:rFonts w:cs="Arial"/>
          <w:b/>
          <w:szCs w:val="20"/>
        </w:rPr>
        <w:t xml:space="preserve">nepovratna </w:t>
      </w:r>
      <w:r w:rsidRPr="00CD7CA4">
        <w:rPr>
          <w:rFonts w:cs="Arial"/>
          <w:b/>
          <w:szCs w:val="20"/>
        </w:rPr>
        <w:t>finančna sredstva</w:t>
      </w:r>
      <w:bookmarkEnd w:id="0"/>
      <w:r w:rsidRPr="00CD7CA4">
        <w:rPr>
          <w:rFonts w:cs="Arial"/>
          <w:szCs w:val="20"/>
        </w:rPr>
        <w:t>, namenjena</w:t>
      </w:r>
    </w:p>
    <w:p w14:paraId="082E50D2" w14:textId="1B72703F" w:rsidR="00D53A85" w:rsidRPr="00CD7CA4" w:rsidRDefault="00D53A85" w:rsidP="00D53A85">
      <w:pPr>
        <w:pStyle w:val="Odstavekseznama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 w:rsidRPr="00CD7CA4">
        <w:rPr>
          <w:rFonts w:cs="Arial"/>
          <w:szCs w:val="20"/>
        </w:rPr>
        <w:t>spodbujanju pravosodnega sodelovanja v civilnih in kazenskih zadevah,</w:t>
      </w:r>
    </w:p>
    <w:p w14:paraId="1048DA36" w14:textId="3BBE2593" w:rsidR="00426274" w:rsidRPr="00CD7CA4" w:rsidRDefault="00426274" w:rsidP="00426274">
      <w:pPr>
        <w:pStyle w:val="Odstavekseznama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 w:rsidRPr="00CD7CA4">
        <w:rPr>
          <w:rFonts w:cs="Arial"/>
          <w:szCs w:val="20"/>
        </w:rPr>
        <w:t>podpori mednarodnim projektom za povečanje pravic oseb, osumljenih ali obdolženih kaznivih dejanj in pravic žrtev kaznivih dejanj;</w:t>
      </w:r>
    </w:p>
    <w:p w14:paraId="78A0F1A3" w14:textId="2308AA62" w:rsidR="00426274" w:rsidRPr="00CD7CA4" w:rsidRDefault="00426274" w:rsidP="00426274">
      <w:pPr>
        <w:pStyle w:val="Odstavekseznama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 w:rsidRPr="00CD7CA4">
        <w:rPr>
          <w:rFonts w:cs="Arial"/>
          <w:szCs w:val="20"/>
        </w:rPr>
        <w:t>podpori nacionalnim in mednarodnim projektom  s področja e-pravosodja</w:t>
      </w:r>
      <w:r w:rsidR="00DC393B" w:rsidRPr="00CD7CA4">
        <w:rPr>
          <w:rFonts w:cs="Arial"/>
          <w:szCs w:val="20"/>
        </w:rPr>
        <w:t>,</w:t>
      </w:r>
    </w:p>
    <w:p w14:paraId="73DF4427" w14:textId="5E6725E1" w:rsidR="00D53A85" w:rsidRPr="00CD7CA4" w:rsidRDefault="00D53A85" w:rsidP="00D53A85">
      <w:pPr>
        <w:pStyle w:val="Odstavekseznama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 w:rsidRPr="00CD7CA4">
        <w:rPr>
          <w:rFonts w:cs="Arial"/>
          <w:szCs w:val="20"/>
        </w:rPr>
        <w:t xml:space="preserve">podpori </w:t>
      </w:r>
      <w:r w:rsidR="00180D7E" w:rsidRPr="00CD7CA4">
        <w:rPr>
          <w:rFonts w:cs="Arial"/>
          <w:szCs w:val="20"/>
        </w:rPr>
        <w:t>mednarodnim</w:t>
      </w:r>
      <w:r w:rsidRPr="00CD7CA4">
        <w:rPr>
          <w:rFonts w:cs="Arial"/>
          <w:szCs w:val="20"/>
        </w:rPr>
        <w:t xml:space="preserve"> projekto</w:t>
      </w:r>
      <w:r w:rsidR="00180D7E" w:rsidRPr="00CD7CA4">
        <w:rPr>
          <w:rFonts w:cs="Arial"/>
          <w:szCs w:val="20"/>
        </w:rPr>
        <w:t>m</w:t>
      </w:r>
      <w:r w:rsidRPr="00CD7CA4">
        <w:rPr>
          <w:rFonts w:cs="Arial"/>
          <w:szCs w:val="20"/>
        </w:rPr>
        <w:t xml:space="preserve"> na področju izobraževanja in usposabljanja pravosodnih deležnikov s področja civilnega, kazenskega prava ali temeljnih pravic</w:t>
      </w:r>
      <w:r w:rsidR="00CD7CA4">
        <w:rPr>
          <w:rFonts w:cs="Arial"/>
          <w:szCs w:val="20"/>
        </w:rPr>
        <w:t>.</w:t>
      </w:r>
    </w:p>
    <w:p w14:paraId="71C1FC28" w14:textId="0976C6F9" w:rsidR="00C163FB" w:rsidRPr="00CD7CA4" w:rsidRDefault="00C163FB" w:rsidP="00C163FB">
      <w:pPr>
        <w:pStyle w:val="Odstavekseznama"/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4DD472FA" w14:textId="77777777" w:rsidR="00EF6940" w:rsidRPr="00CD7CA4" w:rsidRDefault="00EF6940" w:rsidP="00EF6940">
      <w:pPr>
        <w:autoSpaceDE w:val="0"/>
        <w:autoSpaceDN w:val="0"/>
        <w:adjustRightInd w:val="0"/>
        <w:jc w:val="both"/>
        <w:rPr>
          <w:rFonts w:cs="Arial"/>
          <w:b/>
          <w:bCs/>
          <w:szCs w:val="20"/>
        </w:rPr>
      </w:pPr>
      <w:r w:rsidRPr="00CD7CA4">
        <w:rPr>
          <w:rFonts w:cs="Arial"/>
          <w:szCs w:val="20"/>
        </w:rPr>
        <w:t xml:space="preserve">Finančna sredstva Evropske unije so namenjena </w:t>
      </w:r>
      <w:r w:rsidRPr="00CD7CA4">
        <w:rPr>
          <w:rFonts w:cs="Arial"/>
          <w:b/>
          <w:bCs/>
          <w:szCs w:val="20"/>
        </w:rPr>
        <w:t xml:space="preserve">nevladnim organizacijam, javnim institucijam in drugim organizacijam, ki se neprofitno ukvarjajo z navedenimi področji. </w:t>
      </w:r>
    </w:p>
    <w:p w14:paraId="6A4BB902" w14:textId="77777777" w:rsidR="00EF6940" w:rsidRPr="00CD7CA4" w:rsidRDefault="00EF6940" w:rsidP="00EF6940">
      <w:pPr>
        <w:autoSpaceDE w:val="0"/>
        <w:autoSpaceDN w:val="0"/>
        <w:adjustRightInd w:val="0"/>
        <w:jc w:val="both"/>
        <w:rPr>
          <w:rFonts w:cs="Arial"/>
          <w:b/>
          <w:bCs/>
          <w:szCs w:val="20"/>
        </w:rPr>
      </w:pPr>
    </w:p>
    <w:p w14:paraId="2B973515" w14:textId="77777777" w:rsidR="00CD7CA4" w:rsidRPr="00CD7CA4" w:rsidRDefault="00CD7CA4" w:rsidP="00CD7CA4">
      <w:pPr>
        <w:autoSpaceDE w:val="0"/>
        <w:autoSpaceDN w:val="0"/>
        <w:adjustRightInd w:val="0"/>
        <w:jc w:val="both"/>
        <w:rPr>
          <w:rFonts w:cs="Arial"/>
          <w:bCs/>
          <w:szCs w:val="20"/>
        </w:rPr>
      </w:pPr>
      <w:r w:rsidRPr="00CD7CA4">
        <w:rPr>
          <w:rFonts w:cs="Arial"/>
          <w:szCs w:val="20"/>
        </w:rPr>
        <w:t>Glavne vrste dejavnosti,</w:t>
      </w:r>
      <w:r w:rsidRPr="00CD7CA4">
        <w:rPr>
          <w:rFonts w:cs="Arial"/>
          <w:b/>
          <w:bCs/>
          <w:szCs w:val="20"/>
        </w:rPr>
        <w:t xml:space="preserve"> </w:t>
      </w:r>
      <w:r w:rsidRPr="00CD7CA4">
        <w:rPr>
          <w:rFonts w:cs="Arial"/>
          <w:bCs/>
          <w:szCs w:val="20"/>
        </w:rPr>
        <w:t xml:space="preserve">ki se financirajo iz programa, so </w:t>
      </w:r>
      <w:r w:rsidRPr="00CD7CA4">
        <w:rPr>
          <w:rFonts w:cs="Arial"/>
          <w:b/>
          <w:szCs w:val="20"/>
        </w:rPr>
        <w:t>ozaveščanje, usposabljanje, vzajemno učenje in izmenjava dobrih praks, analitične dejavnosti,  študije, raziskave, evalvacije,  razvijanje in vzdrževanje orodij informacijske in komunikacijske tehnologije ter orodij e-pravosodja in druge oblike projektov</w:t>
      </w:r>
      <w:r w:rsidRPr="00CD7CA4">
        <w:rPr>
          <w:rFonts w:cs="Arial"/>
          <w:bCs/>
          <w:szCs w:val="20"/>
        </w:rPr>
        <w:t>.</w:t>
      </w:r>
    </w:p>
    <w:p w14:paraId="4B22C6F8" w14:textId="77777777" w:rsidR="00EF6940" w:rsidRPr="00CD7CA4" w:rsidRDefault="00EF6940" w:rsidP="00EF6940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5FE68969" w14:textId="3A0DB11B" w:rsidR="00EF6940" w:rsidRPr="00CD7CA4" w:rsidRDefault="00EF6940" w:rsidP="00EF6940">
      <w:pPr>
        <w:autoSpaceDE w:val="0"/>
        <w:autoSpaceDN w:val="0"/>
        <w:adjustRightInd w:val="0"/>
        <w:jc w:val="both"/>
        <w:rPr>
          <w:rStyle w:val="Hiperpovezava"/>
          <w:rFonts w:cs="Arial"/>
          <w:color w:val="auto"/>
          <w:szCs w:val="20"/>
          <w:lang w:val="it-IT"/>
        </w:rPr>
      </w:pPr>
      <w:r w:rsidRPr="00CD7CA4">
        <w:rPr>
          <w:rFonts w:cs="Arial"/>
          <w:szCs w:val="20"/>
        </w:rPr>
        <w:t>Dodatne informacije o razpisih v okviru programa Pravosodje s</w:t>
      </w:r>
      <w:r w:rsidR="002C2C01" w:rsidRPr="00CD7CA4">
        <w:rPr>
          <w:rFonts w:cs="Arial"/>
          <w:szCs w:val="20"/>
        </w:rPr>
        <w:t>e nahajajo</w:t>
      </w:r>
      <w:r w:rsidRPr="00CD7CA4">
        <w:rPr>
          <w:rFonts w:cs="Arial"/>
          <w:szCs w:val="20"/>
        </w:rPr>
        <w:t xml:space="preserve"> na povezavi:« </w:t>
      </w:r>
      <w:hyperlink r:id="rId6" w:history="1">
        <w:r w:rsidRPr="00CD7CA4">
          <w:rPr>
            <w:rStyle w:val="Hiperpovezava"/>
            <w:rFonts w:cs="Arial"/>
            <w:color w:val="auto"/>
            <w:szCs w:val="20"/>
          </w:rPr>
          <w:t>Justice Programme</w:t>
        </w:r>
      </w:hyperlink>
      <w:r w:rsidRPr="00CD7CA4">
        <w:rPr>
          <w:rFonts w:cs="Arial"/>
          <w:szCs w:val="20"/>
        </w:rPr>
        <w:t>«.</w:t>
      </w:r>
    </w:p>
    <w:p w14:paraId="2A325F8E" w14:textId="77777777" w:rsidR="00EF6940" w:rsidRPr="00CD7CA4" w:rsidRDefault="00EF6940" w:rsidP="00EF6940">
      <w:pPr>
        <w:autoSpaceDE w:val="0"/>
        <w:autoSpaceDN w:val="0"/>
        <w:adjustRightInd w:val="0"/>
        <w:jc w:val="both"/>
        <w:rPr>
          <w:rFonts w:cs="Arial"/>
          <w:szCs w:val="20"/>
          <w:lang w:eastAsia="sl-SI"/>
        </w:rPr>
      </w:pPr>
    </w:p>
    <w:p w14:paraId="650B1578" w14:textId="794E6756" w:rsidR="00EF6940" w:rsidRPr="00CD7CA4" w:rsidRDefault="00EF6940" w:rsidP="00EF6940">
      <w:pPr>
        <w:jc w:val="both"/>
        <w:rPr>
          <w:rFonts w:cs="Arial"/>
          <w:szCs w:val="20"/>
        </w:rPr>
      </w:pPr>
      <w:r w:rsidRPr="00CD7CA4">
        <w:rPr>
          <w:rFonts w:cs="Arial"/>
          <w:szCs w:val="20"/>
        </w:rPr>
        <w:t>Kontaktni elektronski naslov Direktorata Evropske komisije za dodatne informacije v zvezi z razpisi v okviru programa Pravosodj</w:t>
      </w:r>
      <w:r w:rsidR="002C2C01" w:rsidRPr="00CD7CA4">
        <w:rPr>
          <w:rFonts w:cs="Arial"/>
          <w:szCs w:val="20"/>
        </w:rPr>
        <w:t>e:</w:t>
      </w:r>
      <w:r w:rsidRPr="00CD7CA4">
        <w:rPr>
          <w:rFonts w:eastAsiaTheme="minorHAnsi" w:cs="Arial"/>
          <w:szCs w:val="20"/>
        </w:rPr>
        <w:t xml:space="preserve"> </w:t>
      </w:r>
      <w:hyperlink r:id="rId7" w:history="1">
        <w:r w:rsidRPr="00CD7CA4">
          <w:rPr>
            <w:rStyle w:val="Hiperpovezava"/>
            <w:rFonts w:cs="Arial"/>
            <w:color w:val="auto"/>
            <w:szCs w:val="20"/>
          </w:rPr>
          <w:t>EC-JUSTICE-CALLS@ec.europa.eu</w:t>
        </w:r>
      </w:hyperlink>
      <w:r w:rsidRPr="00CD7CA4">
        <w:rPr>
          <w:rFonts w:cs="Arial"/>
          <w:szCs w:val="20"/>
        </w:rPr>
        <w:t>.</w:t>
      </w:r>
    </w:p>
    <w:p w14:paraId="4FDF430E" w14:textId="53BF9EE5" w:rsidR="00802A21" w:rsidRPr="00CD7CA4" w:rsidRDefault="00802A21" w:rsidP="00EF6940">
      <w:pPr>
        <w:jc w:val="both"/>
        <w:rPr>
          <w:rFonts w:cs="Arial"/>
          <w:szCs w:val="20"/>
        </w:rPr>
      </w:pPr>
    </w:p>
    <w:p w14:paraId="793FA7E1" w14:textId="49BE6EFE" w:rsidR="00802A21" w:rsidRPr="00CD7CA4" w:rsidRDefault="00802A21" w:rsidP="00EF6940">
      <w:pPr>
        <w:jc w:val="both"/>
        <w:rPr>
          <w:rFonts w:cs="Arial"/>
          <w:szCs w:val="20"/>
        </w:rPr>
      </w:pPr>
      <w:r w:rsidRPr="00CD7CA4">
        <w:rPr>
          <w:rFonts w:cs="Arial"/>
          <w:szCs w:val="20"/>
        </w:rPr>
        <w:t>V nadaljevanju so povezave na posamezne razpise z izpostavljenimi roki za oddajo predlogov projektov ter dostop do dodatnih informacij</w:t>
      </w:r>
    </w:p>
    <w:p w14:paraId="3C4DC204" w14:textId="77777777" w:rsidR="00EF6940" w:rsidRPr="00CD7CA4" w:rsidRDefault="00EF6940" w:rsidP="00C163FB">
      <w:pPr>
        <w:pStyle w:val="Odstavekseznama"/>
        <w:autoSpaceDE w:val="0"/>
        <w:autoSpaceDN w:val="0"/>
        <w:adjustRightInd w:val="0"/>
        <w:jc w:val="both"/>
        <w:rPr>
          <w:rFonts w:cs="Arial"/>
          <w:szCs w:val="20"/>
        </w:rPr>
      </w:pPr>
    </w:p>
    <w:tbl>
      <w:tblPr>
        <w:tblStyle w:val="Tabelamrea"/>
        <w:tblW w:w="10065" w:type="dxa"/>
        <w:tblInd w:w="-431" w:type="dxa"/>
        <w:tblLook w:val="04A0" w:firstRow="1" w:lastRow="0" w:firstColumn="1" w:lastColumn="0" w:noHBand="0" w:noVBand="1"/>
      </w:tblPr>
      <w:tblGrid>
        <w:gridCol w:w="5017"/>
        <w:gridCol w:w="1363"/>
        <w:gridCol w:w="1417"/>
        <w:gridCol w:w="2268"/>
      </w:tblGrid>
      <w:tr w:rsidR="00CD7CA4" w:rsidRPr="003930D6" w14:paraId="7D4C6B7B" w14:textId="77777777" w:rsidTr="00CD7CA4">
        <w:tc>
          <w:tcPr>
            <w:tcW w:w="5017" w:type="dxa"/>
          </w:tcPr>
          <w:p w14:paraId="29781F63" w14:textId="77777777" w:rsidR="00F360CD" w:rsidRPr="003930D6" w:rsidRDefault="00F360CD" w:rsidP="00D53A8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058DE6D" w14:textId="77777777" w:rsidR="00A92F5D" w:rsidRPr="003930D6" w:rsidRDefault="00D53A85" w:rsidP="00D53A8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3930D6">
              <w:rPr>
                <w:rFonts w:cs="Arial"/>
                <w:b/>
                <w:sz w:val="18"/>
                <w:szCs w:val="18"/>
              </w:rPr>
              <w:t>Razpis</w:t>
            </w:r>
          </w:p>
        </w:tc>
        <w:tc>
          <w:tcPr>
            <w:tcW w:w="1363" w:type="dxa"/>
          </w:tcPr>
          <w:p w14:paraId="6C59BDAF" w14:textId="77777777" w:rsidR="00F360CD" w:rsidRPr="003930D6" w:rsidRDefault="00F360CD" w:rsidP="00D53A8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9CEC45B" w14:textId="77777777" w:rsidR="00A92F5D" w:rsidRPr="003930D6" w:rsidRDefault="00A92F5D" w:rsidP="00D53A8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3930D6">
              <w:rPr>
                <w:rFonts w:cs="Arial"/>
                <w:b/>
                <w:sz w:val="18"/>
                <w:szCs w:val="18"/>
              </w:rPr>
              <w:t>Objava razpisa</w:t>
            </w:r>
          </w:p>
        </w:tc>
        <w:tc>
          <w:tcPr>
            <w:tcW w:w="1417" w:type="dxa"/>
          </w:tcPr>
          <w:p w14:paraId="1C4FC0EF" w14:textId="77777777" w:rsidR="00A92F5D" w:rsidRPr="003930D6" w:rsidRDefault="00A92F5D" w:rsidP="00D53A8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3930D6">
              <w:rPr>
                <w:rFonts w:cs="Arial"/>
                <w:b/>
                <w:sz w:val="18"/>
                <w:szCs w:val="18"/>
              </w:rPr>
              <w:t>Rok za oddajo predlogov projektov</w:t>
            </w:r>
          </w:p>
        </w:tc>
        <w:tc>
          <w:tcPr>
            <w:tcW w:w="2268" w:type="dxa"/>
          </w:tcPr>
          <w:p w14:paraId="3AA95D8D" w14:textId="77777777" w:rsidR="00F360CD" w:rsidRPr="003930D6" w:rsidRDefault="00F360CD" w:rsidP="00D53A8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E76C411" w14:textId="77777777" w:rsidR="00A92F5D" w:rsidRPr="003930D6" w:rsidRDefault="00A92F5D" w:rsidP="00D53A8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3930D6">
              <w:rPr>
                <w:rFonts w:cs="Arial"/>
                <w:b/>
                <w:sz w:val="18"/>
                <w:szCs w:val="18"/>
              </w:rPr>
              <w:t>Povezava za dostop do dodatnih informacij</w:t>
            </w:r>
          </w:p>
        </w:tc>
      </w:tr>
      <w:tr w:rsidR="00CD7CA4" w:rsidRPr="003930D6" w14:paraId="0EB0938D" w14:textId="77777777" w:rsidTr="00CD7CA4">
        <w:tc>
          <w:tcPr>
            <w:tcW w:w="5017" w:type="dxa"/>
          </w:tcPr>
          <w:p w14:paraId="0DEF3AD5" w14:textId="77777777" w:rsidR="00EF6940" w:rsidRPr="003930D6" w:rsidRDefault="00EF6940" w:rsidP="007E36A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18"/>
                <w:szCs w:val="18"/>
                <w:lang w:val="it-IT"/>
              </w:rPr>
            </w:pPr>
          </w:p>
          <w:p w14:paraId="40608312" w14:textId="61F1A260" w:rsidR="009F25B7" w:rsidRPr="003930D6" w:rsidRDefault="00D53A85" w:rsidP="007E36A7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  <w:lang w:val="en-GB"/>
              </w:rPr>
            </w:pPr>
            <w:r w:rsidRPr="003930D6">
              <w:rPr>
                <w:rFonts w:cs="Arial"/>
                <w:b/>
                <w:bCs/>
                <w:sz w:val="18"/>
                <w:szCs w:val="18"/>
                <w:lang w:val="en-GB"/>
              </w:rPr>
              <w:t>Call for proposals for action grants to promote judicial cooperation in civil and criminal matters</w:t>
            </w:r>
            <w:r w:rsidRPr="003930D6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  <w:p w14:paraId="009398CE" w14:textId="77777777" w:rsidR="00426274" w:rsidRPr="003930D6" w:rsidRDefault="00426274" w:rsidP="00426274">
            <w:pPr>
              <w:ind w:left="360"/>
              <w:rPr>
                <w:rFonts w:cs="Arial"/>
                <w:sz w:val="18"/>
                <w:szCs w:val="18"/>
                <w:lang w:eastAsia="en-GB"/>
              </w:rPr>
            </w:pPr>
            <w:r w:rsidRPr="003930D6">
              <w:rPr>
                <w:rFonts w:cs="Arial"/>
                <w:sz w:val="18"/>
                <w:szCs w:val="18"/>
                <w:lang w:eastAsia="en-GB"/>
              </w:rPr>
              <w:t>Priorities:</w:t>
            </w:r>
          </w:p>
          <w:p w14:paraId="3959D421" w14:textId="77777777" w:rsidR="00426274" w:rsidRPr="003930D6" w:rsidRDefault="00426274" w:rsidP="00426274">
            <w:pPr>
              <w:pStyle w:val="Odstavekseznama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cs="Arial"/>
                <w:sz w:val="18"/>
                <w:szCs w:val="18"/>
                <w:lang w:eastAsia="en-GB"/>
              </w:rPr>
            </w:pPr>
            <w:r w:rsidRPr="003930D6">
              <w:rPr>
                <w:rFonts w:cs="Arial"/>
                <w:sz w:val="18"/>
                <w:szCs w:val="18"/>
                <w:lang w:eastAsia="en-GB"/>
              </w:rPr>
              <w:t>Judicial cooperation in civil matters</w:t>
            </w:r>
          </w:p>
          <w:p w14:paraId="462BBFCB" w14:textId="77777777" w:rsidR="00426274" w:rsidRPr="003930D6" w:rsidRDefault="00426274" w:rsidP="00426274">
            <w:pPr>
              <w:pStyle w:val="Odstavekseznama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cs="Arial"/>
                <w:sz w:val="18"/>
                <w:szCs w:val="18"/>
                <w:lang w:eastAsia="en-GB"/>
              </w:rPr>
            </w:pPr>
            <w:r w:rsidRPr="003930D6">
              <w:rPr>
                <w:rFonts w:cs="Arial"/>
                <w:sz w:val="18"/>
                <w:szCs w:val="18"/>
                <w:lang w:eastAsia="en-GB"/>
              </w:rPr>
              <w:t>Judicial cooperation in criminal matters</w:t>
            </w:r>
          </w:p>
          <w:p w14:paraId="0C56FF7A" w14:textId="4EF6EFE2" w:rsidR="00426274" w:rsidRPr="003930D6" w:rsidRDefault="00426274" w:rsidP="00426274">
            <w:pPr>
              <w:pStyle w:val="Odstavekseznama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cs="Arial"/>
                <w:sz w:val="18"/>
                <w:szCs w:val="18"/>
                <w:lang w:eastAsia="en-GB"/>
              </w:rPr>
            </w:pPr>
            <w:r w:rsidRPr="003930D6">
              <w:rPr>
                <w:rFonts w:cs="Arial"/>
                <w:sz w:val="18"/>
                <w:szCs w:val="18"/>
                <w:lang w:eastAsia="en-GB"/>
              </w:rPr>
              <w:t xml:space="preserve">Support to Member States for the setting up and strengthening of national networks active in the </w:t>
            </w:r>
            <w:r w:rsidRPr="003930D6">
              <w:rPr>
                <w:rFonts w:cs="Arial"/>
                <w:sz w:val="18"/>
                <w:szCs w:val="18"/>
                <w:lang w:eastAsia="en-GB"/>
              </w:rPr>
              <w:lastRenderedPageBreak/>
              <w:t>area of judicial cooperation in civil and criminal matters</w:t>
            </w:r>
          </w:p>
          <w:p w14:paraId="77C44D6F" w14:textId="51AD53B3" w:rsidR="00EF6940" w:rsidRPr="003930D6" w:rsidRDefault="00EF6940" w:rsidP="007E36A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363" w:type="dxa"/>
          </w:tcPr>
          <w:p w14:paraId="40DB8FFD" w14:textId="77777777" w:rsidR="00A92F5D" w:rsidRPr="003930D6" w:rsidRDefault="00A92F5D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25FEDFA2" w14:textId="77777777" w:rsidR="00426274" w:rsidRPr="003930D6" w:rsidRDefault="00426274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4AEA8230" w14:textId="77777777" w:rsidR="00426274" w:rsidRPr="003930D6" w:rsidRDefault="00426274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422FAFB5" w14:textId="5A6AB68F" w:rsidR="00A92F5D" w:rsidRPr="003930D6" w:rsidRDefault="009F25B7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930D6">
              <w:rPr>
                <w:rFonts w:cs="Arial"/>
                <w:sz w:val="18"/>
                <w:szCs w:val="18"/>
              </w:rPr>
              <w:t>9</w:t>
            </w:r>
            <w:r w:rsidR="00A92F5D" w:rsidRPr="003930D6">
              <w:rPr>
                <w:rFonts w:cs="Arial"/>
                <w:sz w:val="18"/>
                <w:szCs w:val="18"/>
              </w:rPr>
              <w:t xml:space="preserve">. </w:t>
            </w:r>
            <w:r w:rsidRPr="003930D6">
              <w:rPr>
                <w:rFonts w:cs="Arial"/>
                <w:sz w:val="18"/>
                <w:szCs w:val="18"/>
              </w:rPr>
              <w:t>marec 2021</w:t>
            </w:r>
            <w:r w:rsidR="00A92F5D" w:rsidRPr="003930D6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3A748194" w14:textId="77777777" w:rsidR="00A92F5D" w:rsidRPr="003930D6" w:rsidRDefault="00A92F5D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5AF95F09" w14:textId="77777777" w:rsidR="00426274" w:rsidRPr="003930D6" w:rsidRDefault="00426274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01159397" w14:textId="77777777" w:rsidR="00426274" w:rsidRPr="003930D6" w:rsidRDefault="00426274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229BE7E7" w14:textId="71DF3176" w:rsidR="00A92F5D" w:rsidRPr="003930D6" w:rsidRDefault="008F2301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930D6">
              <w:rPr>
                <w:rFonts w:cs="Arial"/>
                <w:sz w:val="18"/>
                <w:szCs w:val="18"/>
              </w:rPr>
              <w:t>6. maj 2021</w:t>
            </w:r>
            <w:r w:rsidR="008A4391" w:rsidRPr="003930D6">
              <w:rPr>
                <w:rFonts w:cs="Arial"/>
                <w:sz w:val="18"/>
                <w:szCs w:val="18"/>
              </w:rPr>
              <w:t xml:space="preserve"> (do 17.ure)</w:t>
            </w:r>
            <w:r w:rsidR="00A92F5D" w:rsidRPr="003930D6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332F4BBA" w14:textId="77777777" w:rsidR="00D53A85" w:rsidRPr="003930D6" w:rsidRDefault="00D53A85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2A5FD7BC" w14:textId="77777777" w:rsidR="00426274" w:rsidRPr="003930D6" w:rsidRDefault="00426274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4B8E18B2" w14:textId="77777777" w:rsidR="00426274" w:rsidRPr="003930D6" w:rsidRDefault="00426274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24C0ACC4" w14:textId="38A5CBF4" w:rsidR="008F2301" w:rsidRPr="003930D6" w:rsidRDefault="00DC79F6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hyperlink r:id="rId8" w:history="1">
              <w:r w:rsidR="008F2301" w:rsidRPr="003930D6">
                <w:rPr>
                  <w:rStyle w:val="Hiperpovezava"/>
                  <w:rFonts w:cs="Arial"/>
                  <w:color w:val="auto"/>
                  <w:sz w:val="18"/>
                  <w:szCs w:val="18"/>
                </w:rPr>
                <w:t>Informacije o razpisu</w:t>
              </w:r>
            </w:hyperlink>
          </w:p>
        </w:tc>
      </w:tr>
      <w:tr w:rsidR="00CD7CA4" w:rsidRPr="003930D6" w14:paraId="56CB6862" w14:textId="77777777" w:rsidTr="00CD7CA4">
        <w:tc>
          <w:tcPr>
            <w:tcW w:w="5017" w:type="dxa"/>
          </w:tcPr>
          <w:p w14:paraId="4BCA3891" w14:textId="77777777" w:rsidR="007B5A7A" w:rsidRPr="003930D6" w:rsidRDefault="007B5A7A" w:rsidP="009F25B7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14:paraId="3CA5F263" w14:textId="1E375525" w:rsidR="009F25B7" w:rsidRPr="003930D6" w:rsidRDefault="009F25B7" w:rsidP="009F25B7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3930D6">
              <w:rPr>
                <w:rFonts w:cs="Arial"/>
                <w:b/>
                <w:bCs/>
                <w:sz w:val="18"/>
                <w:szCs w:val="18"/>
                <w:lang w:val="en-GB"/>
              </w:rPr>
              <w:t>Call for proposals for action grants to support transnational projects to enhance the rights of persons suspected or accused of crime and the rights of victims of crime</w:t>
            </w:r>
          </w:p>
          <w:p w14:paraId="5EDA6BC6" w14:textId="77777777" w:rsidR="00426274" w:rsidRPr="003930D6" w:rsidRDefault="00426274" w:rsidP="00426274">
            <w:pPr>
              <w:ind w:left="360"/>
              <w:rPr>
                <w:rFonts w:cs="Arial"/>
                <w:sz w:val="18"/>
                <w:szCs w:val="18"/>
                <w:lang w:eastAsia="en-GB"/>
              </w:rPr>
            </w:pPr>
            <w:r w:rsidRPr="003930D6">
              <w:rPr>
                <w:rFonts w:cs="Arial"/>
                <w:sz w:val="18"/>
                <w:szCs w:val="18"/>
                <w:lang w:eastAsia="en-GB"/>
              </w:rPr>
              <w:t>Priorities:</w:t>
            </w:r>
          </w:p>
          <w:p w14:paraId="7C656763" w14:textId="18170DFC" w:rsidR="00426274" w:rsidRPr="003930D6" w:rsidRDefault="00426274" w:rsidP="00426274">
            <w:pPr>
              <w:pStyle w:val="Odstavekseznama"/>
              <w:numPr>
                <w:ilvl w:val="0"/>
                <w:numId w:val="13"/>
              </w:numPr>
              <w:spacing w:line="240" w:lineRule="auto"/>
              <w:contextualSpacing w:val="0"/>
              <w:rPr>
                <w:rFonts w:cs="Arial"/>
                <w:sz w:val="18"/>
                <w:szCs w:val="18"/>
                <w:lang w:eastAsia="en-GB"/>
              </w:rPr>
            </w:pPr>
            <w:r w:rsidRPr="003930D6">
              <w:rPr>
                <w:rFonts w:cs="Arial"/>
                <w:sz w:val="18"/>
                <w:szCs w:val="18"/>
                <w:lang w:eastAsia="en-GB"/>
              </w:rPr>
              <w:t>Procedural rights</w:t>
            </w:r>
          </w:p>
          <w:p w14:paraId="0BCD1886" w14:textId="160DF988" w:rsidR="00426274" w:rsidRPr="003930D6" w:rsidRDefault="00426274" w:rsidP="00426274">
            <w:pPr>
              <w:pStyle w:val="Odstavekseznama"/>
              <w:numPr>
                <w:ilvl w:val="0"/>
                <w:numId w:val="13"/>
              </w:numPr>
              <w:spacing w:line="240" w:lineRule="auto"/>
              <w:contextualSpacing w:val="0"/>
              <w:rPr>
                <w:rFonts w:cs="Arial"/>
                <w:sz w:val="18"/>
                <w:szCs w:val="18"/>
                <w:lang w:eastAsia="en-GB"/>
              </w:rPr>
            </w:pPr>
            <w:r w:rsidRPr="003930D6">
              <w:rPr>
                <w:rFonts w:cs="Arial"/>
                <w:sz w:val="18"/>
                <w:szCs w:val="18"/>
                <w:lang w:eastAsia="en-GB"/>
              </w:rPr>
              <w:t>Victims' rights</w:t>
            </w:r>
          </w:p>
          <w:p w14:paraId="117DEC63" w14:textId="2DB0BDD2" w:rsidR="00EF6940" w:rsidRPr="003930D6" w:rsidRDefault="00EF6940" w:rsidP="005D451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363" w:type="dxa"/>
          </w:tcPr>
          <w:p w14:paraId="26E2522E" w14:textId="77777777" w:rsidR="00A92F5D" w:rsidRPr="003930D6" w:rsidRDefault="00A92F5D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53777BBD" w14:textId="77777777" w:rsidR="00A92F5D" w:rsidRPr="003930D6" w:rsidRDefault="00A92F5D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17A92148" w14:textId="21978CBA" w:rsidR="00A92F5D" w:rsidRPr="003930D6" w:rsidRDefault="00A92F5D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930D6">
              <w:rPr>
                <w:rFonts w:cs="Arial"/>
                <w:sz w:val="18"/>
                <w:szCs w:val="18"/>
              </w:rPr>
              <w:t>1</w:t>
            </w:r>
            <w:r w:rsidR="009F25B7" w:rsidRPr="003930D6">
              <w:rPr>
                <w:rFonts w:cs="Arial"/>
                <w:sz w:val="18"/>
                <w:szCs w:val="18"/>
              </w:rPr>
              <w:t>2</w:t>
            </w:r>
            <w:r w:rsidRPr="003930D6">
              <w:rPr>
                <w:rFonts w:cs="Arial"/>
                <w:sz w:val="18"/>
                <w:szCs w:val="18"/>
              </w:rPr>
              <w:t xml:space="preserve">. </w:t>
            </w:r>
            <w:r w:rsidR="009F25B7" w:rsidRPr="003930D6">
              <w:rPr>
                <w:rFonts w:cs="Arial"/>
                <w:sz w:val="18"/>
                <w:szCs w:val="18"/>
              </w:rPr>
              <w:t>maj 2021</w:t>
            </w:r>
          </w:p>
        </w:tc>
        <w:tc>
          <w:tcPr>
            <w:tcW w:w="1417" w:type="dxa"/>
          </w:tcPr>
          <w:p w14:paraId="4E6E7BAE" w14:textId="77777777" w:rsidR="00A92F5D" w:rsidRPr="003930D6" w:rsidRDefault="00A92F5D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7F8BA8B6" w14:textId="77777777" w:rsidR="00A92F5D" w:rsidRPr="003930D6" w:rsidRDefault="00A92F5D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47A4994F" w14:textId="77777777" w:rsidR="00A92F5D" w:rsidRPr="003930D6" w:rsidRDefault="008F2301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930D6">
              <w:rPr>
                <w:rFonts w:cs="Arial"/>
                <w:sz w:val="18"/>
                <w:szCs w:val="18"/>
              </w:rPr>
              <w:t>9. september 2021</w:t>
            </w:r>
          </w:p>
          <w:p w14:paraId="07D693AE" w14:textId="109A5666" w:rsidR="005D4518" w:rsidRPr="003930D6" w:rsidRDefault="005D4518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930D6">
              <w:rPr>
                <w:rFonts w:cs="Arial"/>
                <w:sz w:val="18"/>
                <w:szCs w:val="18"/>
              </w:rPr>
              <w:t>(do 17.ure)</w:t>
            </w:r>
          </w:p>
        </w:tc>
        <w:tc>
          <w:tcPr>
            <w:tcW w:w="2268" w:type="dxa"/>
          </w:tcPr>
          <w:p w14:paraId="6CA47969" w14:textId="77777777" w:rsidR="00D53A85" w:rsidRPr="003930D6" w:rsidRDefault="00D53A85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6802B4F4" w14:textId="77777777" w:rsidR="0079557B" w:rsidRPr="003930D6" w:rsidRDefault="0079557B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455486FD" w14:textId="507C5768" w:rsidR="0079557B" w:rsidRPr="003930D6" w:rsidRDefault="00DC79F6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hyperlink r:id="rId9" w:history="1">
              <w:r w:rsidR="0079557B" w:rsidRPr="003930D6">
                <w:rPr>
                  <w:rStyle w:val="Hiperpovezava"/>
                  <w:rFonts w:cs="Arial"/>
                  <w:color w:val="auto"/>
                  <w:sz w:val="18"/>
                  <w:szCs w:val="18"/>
                </w:rPr>
                <w:t>Informacije o razpisu</w:t>
              </w:r>
            </w:hyperlink>
          </w:p>
        </w:tc>
      </w:tr>
      <w:tr w:rsidR="00CD7CA4" w:rsidRPr="003930D6" w14:paraId="7FF3A8CD" w14:textId="77777777" w:rsidTr="00CD7CA4">
        <w:tc>
          <w:tcPr>
            <w:tcW w:w="5017" w:type="dxa"/>
          </w:tcPr>
          <w:p w14:paraId="3388B292" w14:textId="77777777" w:rsidR="007B5A7A" w:rsidRPr="003930D6" w:rsidRDefault="007B5A7A" w:rsidP="009F25B7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14:paraId="529680EA" w14:textId="10541912" w:rsidR="00426274" w:rsidRPr="003930D6" w:rsidRDefault="009F25B7" w:rsidP="009F25B7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3930D6">
              <w:rPr>
                <w:rFonts w:cs="Arial"/>
                <w:b/>
                <w:bCs/>
                <w:sz w:val="18"/>
                <w:szCs w:val="18"/>
                <w:lang w:val="en-GB"/>
              </w:rPr>
              <w:t>Call for proposals for action grants to support national or transnational e-Justice projects</w:t>
            </w:r>
          </w:p>
          <w:p w14:paraId="7469E84A" w14:textId="4B2BB8C2" w:rsidR="00EF6940" w:rsidRPr="003930D6" w:rsidRDefault="00EF6940" w:rsidP="005D4518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63" w:type="dxa"/>
          </w:tcPr>
          <w:p w14:paraId="1E014B02" w14:textId="77777777" w:rsidR="00A92F5D" w:rsidRPr="003930D6" w:rsidRDefault="00A92F5D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32A74366" w14:textId="77777777" w:rsidR="005822F9" w:rsidRPr="003930D6" w:rsidRDefault="005822F9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55D17852" w14:textId="56E54C75" w:rsidR="005822F9" w:rsidRPr="003930D6" w:rsidRDefault="009F25B7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930D6">
              <w:rPr>
                <w:rFonts w:cs="Arial"/>
                <w:sz w:val="18"/>
                <w:szCs w:val="18"/>
              </w:rPr>
              <w:t>9. marec 2021</w:t>
            </w:r>
          </w:p>
        </w:tc>
        <w:tc>
          <w:tcPr>
            <w:tcW w:w="1417" w:type="dxa"/>
          </w:tcPr>
          <w:p w14:paraId="6001BA94" w14:textId="77777777" w:rsidR="00A92F5D" w:rsidRPr="003930D6" w:rsidRDefault="00A92F5D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3D5FA2F9" w14:textId="77777777" w:rsidR="005822F9" w:rsidRPr="003930D6" w:rsidRDefault="005822F9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442519A0" w14:textId="77777777" w:rsidR="005822F9" w:rsidRPr="003930D6" w:rsidRDefault="008F2301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930D6">
              <w:rPr>
                <w:rFonts w:cs="Arial"/>
                <w:sz w:val="18"/>
                <w:szCs w:val="18"/>
              </w:rPr>
              <w:t>6. maj 2021</w:t>
            </w:r>
          </w:p>
          <w:p w14:paraId="3FE02B91" w14:textId="77777777" w:rsidR="005D4518" w:rsidRPr="003930D6" w:rsidRDefault="005D4518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930D6">
              <w:rPr>
                <w:rFonts w:cs="Arial"/>
                <w:sz w:val="18"/>
                <w:szCs w:val="18"/>
              </w:rPr>
              <w:t>(do 17.ure)</w:t>
            </w:r>
          </w:p>
          <w:p w14:paraId="18FBF0D1" w14:textId="7CA42303" w:rsidR="00113626" w:rsidRPr="003930D6" w:rsidRDefault="00113626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5DC4FC5" w14:textId="77777777" w:rsidR="00D53A85" w:rsidRPr="003930D6" w:rsidRDefault="00D53A85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010DFDD1" w14:textId="77777777" w:rsidR="0079557B" w:rsidRPr="003930D6" w:rsidRDefault="0079557B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77973C5D" w14:textId="14FBD713" w:rsidR="0079557B" w:rsidRPr="003930D6" w:rsidRDefault="00DC79F6" w:rsidP="000A7A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hyperlink r:id="rId10" w:history="1">
              <w:r w:rsidR="0079557B" w:rsidRPr="003930D6">
                <w:rPr>
                  <w:rStyle w:val="Hiperpovezava"/>
                  <w:rFonts w:cs="Arial"/>
                  <w:color w:val="auto"/>
                  <w:sz w:val="18"/>
                  <w:szCs w:val="18"/>
                </w:rPr>
                <w:t>Informacije o razpisu</w:t>
              </w:r>
            </w:hyperlink>
          </w:p>
        </w:tc>
      </w:tr>
      <w:tr w:rsidR="00CD7CA4" w:rsidRPr="003930D6" w14:paraId="7427F73D" w14:textId="77777777" w:rsidTr="00CD7CA4">
        <w:trPr>
          <w:trHeight w:val="566"/>
        </w:trPr>
        <w:tc>
          <w:tcPr>
            <w:tcW w:w="5017" w:type="dxa"/>
          </w:tcPr>
          <w:p w14:paraId="02EA05F8" w14:textId="77777777" w:rsidR="00C163FB" w:rsidRPr="003930D6" w:rsidRDefault="00C163FB" w:rsidP="009F25B7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14:paraId="0E738F06" w14:textId="6731F752" w:rsidR="009F25B7" w:rsidRPr="003930D6" w:rsidRDefault="009F25B7" w:rsidP="009F25B7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3930D6">
              <w:rPr>
                <w:rFonts w:cs="Arial"/>
                <w:b/>
                <w:bCs/>
                <w:sz w:val="18"/>
                <w:szCs w:val="18"/>
                <w:lang w:val="en-GB"/>
              </w:rPr>
              <w:t>Call for proposals for action grants to support transnational projects on judicial training covering civil law, criminal law or fundamental rights</w:t>
            </w:r>
          </w:p>
          <w:p w14:paraId="419FCBC4" w14:textId="481996FE" w:rsidR="00EF6940" w:rsidRPr="003930D6" w:rsidRDefault="00EF6940" w:rsidP="005D4518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63" w:type="dxa"/>
          </w:tcPr>
          <w:p w14:paraId="2A58EB75" w14:textId="77777777" w:rsidR="00A92F5D" w:rsidRPr="003930D6" w:rsidRDefault="00A92F5D" w:rsidP="00C163F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2E575EE3" w14:textId="77777777" w:rsidR="00C163FB" w:rsidRPr="003930D6" w:rsidRDefault="00C163FB" w:rsidP="00C163F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304DA565" w14:textId="66F3B443" w:rsidR="005822F9" w:rsidRPr="003930D6" w:rsidRDefault="009F25B7" w:rsidP="00C163F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930D6">
              <w:rPr>
                <w:rFonts w:cs="Arial"/>
                <w:sz w:val="18"/>
                <w:szCs w:val="18"/>
              </w:rPr>
              <w:t>9. marec 2021</w:t>
            </w:r>
          </w:p>
        </w:tc>
        <w:tc>
          <w:tcPr>
            <w:tcW w:w="1417" w:type="dxa"/>
          </w:tcPr>
          <w:p w14:paraId="2DCEEEE1" w14:textId="77777777" w:rsidR="00A92F5D" w:rsidRPr="003930D6" w:rsidRDefault="00A92F5D" w:rsidP="00C163F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2F4D5818" w14:textId="77777777" w:rsidR="008F2301" w:rsidRPr="003930D6" w:rsidRDefault="008F2301" w:rsidP="00C163F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76EC7BB5" w14:textId="77777777" w:rsidR="005822F9" w:rsidRPr="003930D6" w:rsidRDefault="008F2301" w:rsidP="00C163F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930D6">
              <w:rPr>
                <w:rFonts w:cs="Arial"/>
                <w:sz w:val="18"/>
                <w:szCs w:val="18"/>
              </w:rPr>
              <w:t>6. maj 2021</w:t>
            </w:r>
          </w:p>
          <w:p w14:paraId="76AF09BF" w14:textId="6952D58C" w:rsidR="005D4518" w:rsidRPr="003930D6" w:rsidRDefault="005D4518" w:rsidP="00C163F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930D6">
              <w:rPr>
                <w:rFonts w:cs="Arial"/>
                <w:sz w:val="18"/>
                <w:szCs w:val="18"/>
              </w:rPr>
              <w:t>(do 17.ure)</w:t>
            </w:r>
          </w:p>
        </w:tc>
        <w:tc>
          <w:tcPr>
            <w:tcW w:w="2268" w:type="dxa"/>
          </w:tcPr>
          <w:p w14:paraId="0DE372B7" w14:textId="77777777" w:rsidR="008E4DAA" w:rsidRPr="003930D6" w:rsidRDefault="008E4DAA" w:rsidP="00C163F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51B2446C" w14:textId="77777777" w:rsidR="0079557B" w:rsidRPr="003930D6" w:rsidRDefault="0079557B" w:rsidP="00C163F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14:paraId="473FC2FB" w14:textId="216A058E" w:rsidR="0079557B" w:rsidRPr="003930D6" w:rsidRDefault="00DC79F6" w:rsidP="00C163F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hyperlink r:id="rId11" w:history="1">
              <w:r w:rsidR="0079557B" w:rsidRPr="003930D6">
                <w:rPr>
                  <w:rStyle w:val="Hiperpovezava"/>
                  <w:rFonts w:cs="Arial"/>
                  <w:color w:val="auto"/>
                  <w:sz w:val="18"/>
                  <w:szCs w:val="18"/>
                </w:rPr>
                <w:t>Informacije o razpisu</w:t>
              </w:r>
            </w:hyperlink>
          </w:p>
        </w:tc>
      </w:tr>
    </w:tbl>
    <w:p w14:paraId="3C44DA1E" w14:textId="77777777" w:rsidR="00A92F5D" w:rsidRPr="003930D6" w:rsidRDefault="00A92F5D" w:rsidP="007E36A7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38708D96" w14:textId="4FBA0ED3" w:rsidR="00F360CD" w:rsidRPr="003930D6" w:rsidRDefault="00F360CD" w:rsidP="009F25B7">
      <w:pPr>
        <w:pStyle w:val="Odstavekseznama"/>
        <w:autoSpaceDE w:val="0"/>
        <w:autoSpaceDN w:val="0"/>
        <w:adjustRightInd w:val="0"/>
        <w:ind w:right="396"/>
        <w:jc w:val="center"/>
        <w:rPr>
          <w:rFonts w:cs="Arial"/>
          <w:b/>
          <w:sz w:val="18"/>
          <w:szCs w:val="18"/>
        </w:rPr>
      </w:pPr>
    </w:p>
    <w:p w14:paraId="2FD78700" w14:textId="77777777" w:rsidR="00D85873" w:rsidRPr="003930D6" w:rsidRDefault="00D85873" w:rsidP="00666F8F">
      <w:pPr>
        <w:autoSpaceDE w:val="0"/>
        <w:autoSpaceDN w:val="0"/>
        <w:adjustRightInd w:val="0"/>
        <w:rPr>
          <w:rFonts w:cs="Arial"/>
          <w:b/>
          <w:sz w:val="18"/>
          <w:szCs w:val="18"/>
        </w:rPr>
      </w:pPr>
    </w:p>
    <w:p w14:paraId="1490F8C5" w14:textId="77777777" w:rsidR="009F25B7" w:rsidRPr="003930D6" w:rsidRDefault="009F25B7" w:rsidP="009F25B7">
      <w:pPr>
        <w:rPr>
          <w:rFonts w:cs="Arial"/>
          <w:sz w:val="18"/>
          <w:szCs w:val="18"/>
        </w:rPr>
      </w:pPr>
    </w:p>
    <w:p w14:paraId="54B60645" w14:textId="661B6A25" w:rsidR="009F25B7" w:rsidRPr="003930D6" w:rsidRDefault="009F25B7" w:rsidP="00F360CD">
      <w:pPr>
        <w:pStyle w:val="Odstavekseznama"/>
        <w:autoSpaceDE w:val="0"/>
        <w:autoSpaceDN w:val="0"/>
        <w:adjustRightInd w:val="0"/>
        <w:jc w:val="center"/>
        <w:rPr>
          <w:rFonts w:cs="Arial"/>
          <w:b/>
          <w:sz w:val="18"/>
          <w:szCs w:val="18"/>
        </w:rPr>
      </w:pPr>
    </w:p>
    <w:p w14:paraId="44C3E88E" w14:textId="2ABD64A2" w:rsidR="009F25B7" w:rsidRPr="003930D6" w:rsidRDefault="009F25B7" w:rsidP="00F360CD">
      <w:pPr>
        <w:pStyle w:val="Odstavekseznama"/>
        <w:autoSpaceDE w:val="0"/>
        <w:autoSpaceDN w:val="0"/>
        <w:adjustRightInd w:val="0"/>
        <w:jc w:val="center"/>
        <w:rPr>
          <w:rFonts w:cs="Arial"/>
          <w:b/>
          <w:sz w:val="18"/>
          <w:szCs w:val="18"/>
        </w:rPr>
      </w:pPr>
    </w:p>
    <w:p w14:paraId="3ECA548C" w14:textId="731A5373" w:rsidR="009F25B7" w:rsidRPr="003930D6" w:rsidRDefault="009F25B7" w:rsidP="00F360CD">
      <w:pPr>
        <w:pStyle w:val="Odstavekseznama"/>
        <w:autoSpaceDE w:val="0"/>
        <w:autoSpaceDN w:val="0"/>
        <w:adjustRightInd w:val="0"/>
        <w:jc w:val="center"/>
        <w:rPr>
          <w:rFonts w:cs="Arial"/>
          <w:b/>
          <w:sz w:val="18"/>
          <w:szCs w:val="18"/>
        </w:rPr>
      </w:pPr>
    </w:p>
    <w:p w14:paraId="4521C65C" w14:textId="4D12AFE4" w:rsidR="006C4396" w:rsidRPr="003930D6" w:rsidRDefault="006C4396" w:rsidP="006C4396">
      <w:pPr>
        <w:rPr>
          <w:rFonts w:cs="Arial"/>
          <w:sz w:val="18"/>
          <w:szCs w:val="18"/>
        </w:rPr>
      </w:pPr>
    </w:p>
    <w:p w14:paraId="60F29AF6" w14:textId="77777777" w:rsidR="006C4396" w:rsidRPr="003930D6" w:rsidRDefault="006C4396" w:rsidP="006C4396">
      <w:pPr>
        <w:rPr>
          <w:rFonts w:cs="Arial"/>
          <w:sz w:val="18"/>
          <w:szCs w:val="18"/>
        </w:rPr>
      </w:pPr>
    </w:p>
    <w:p w14:paraId="077B3403" w14:textId="4D4A71BD" w:rsidR="006C4396" w:rsidRPr="003930D6" w:rsidRDefault="006C4396" w:rsidP="006C4396">
      <w:pPr>
        <w:pStyle w:val="Odstavekseznama"/>
        <w:rPr>
          <w:rFonts w:cs="Arial"/>
          <w:sz w:val="18"/>
          <w:szCs w:val="18"/>
        </w:rPr>
      </w:pPr>
    </w:p>
    <w:p w14:paraId="796AE4A0" w14:textId="77777777" w:rsidR="00180D7E" w:rsidRPr="003930D6" w:rsidRDefault="00180D7E" w:rsidP="005822F9">
      <w:pPr>
        <w:rPr>
          <w:rFonts w:cs="Arial"/>
          <w:sz w:val="18"/>
          <w:szCs w:val="18"/>
        </w:rPr>
      </w:pPr>
    </w:p>
    <w:p w14:paraId="14D1D0E1" w14:textId="77777777" w:rsidR="005822F9" w:rsidRPr="003930D6" w:rsidRDefault="005822F9" w:rsidP="005822F9">
      <w:pPr>
        <w:rPr>
          <w:rFonts w:cs="Arial"/>
          <w:sz w:val="18"/>
          <w:szCs w:val="18"/>
        </w:rPr>
      </w:pPr>
    </w:p>
    <w:p w14:paraId="5046F9DD" w14:textId="77777777" w:rsidR="00745F6F" w:rsidRPr="003930D6" w:rsidRDefault="00745F6F" w:rsidP="00BB414F">
      <w:pPr>
        <w:spacing w:before="100" w:beforeAutospacing="1" w:after="100" w:afterAutospacing="1" w:line="240" w:lineRule="auto"/>
        <w:outlineLvl w:val="3"/>
        <w:rPr>
          <w:rFonts w:cs="Arial"/>
          <w:sz w:val="18"/>
          <w:szCs w:val="18"/>
          <w:lang w:eastAsia="sl-SI"/>
        </w:rPr>
      </w:pPr>
    </w:p>
    <w:p w14:paraId="4DEC80FB" w14:textId="77777777" w:rsidR="00F406B0" w:rsidRPr="003930D6" w:rsidRDefault="00F406B0">
      <w:pPr>
        <w:rPr>
          <w:rFonts w:cs="Arial"/>
          <w:sz w:val="18"/>
          <w:szCs w:val="18"/>
        </w:rPr>
      </w:pPr>
    </w:p>
    <w:sectPr w:rsidR="00F406B0" w:rsidRPr="003930D6" w:rsidSect="00CD7CA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D7ADB"/>
    <w:multiLevelType w:val="hybridMultilevel"/>
    <w:tmpl w:val="6346F6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6C86"/>
    <w:multiLevelType w:val="hybridMultilevel"/>
    <w:tmpl w:val="401A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326D"/>
    <w:multiLevelType w:val="hybridMultilevel"/>
    <w:tmpl w:val="0B0C193C"/>
    <w:lvl w:ilvl="0" w:tplc="A4AA95F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E71E0"/>
    <w:multiLevelType w:val="hybridMultilevel"/>
    <w:tmpl w:val="B3E4C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F2275"/>
    <w:multiLevelType w:val="hybridMultilevel"/>
    <w:tmpl w:val="918ABCF8"/>
    <w:lvl w:ilvl="0" w:tplc="1928646A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10ACD"/>
    <w:multiLevelType w:val="hybridMultilevel"/>
    <w:tmpl w:val="A1000E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24FDE"/>
    <w:multiLevelType w:val="hybridMultilevel"/>
    <w:tmpl w:val="80B8B738"/>
    <w:lvl w:ilvl="0" w:tplc="B84A7A8A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617B2"/>
    <w:multiLevelType w:val="hybridMultilevel"/>
    <w:tmpl w:val="DEE485BC"/>
    <w:lvl w:ilvl="0" w:tplc="5D448A3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12F47"/>
    <w:multiLevelType w:val="hybridMultilevel"/>
    <w:tmpl w:val="D0364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D0C02"/>
    <w:multiLevelType w:val="multilevel"/>
    <w:tmpl w:val="CC6C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2F51D3"/>
    <w:multiLevelType w:val="hybridMultilevel"/>
    <w:tmpl w:val="AC8276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84888"/>
    <w:multiLevelType w:val="hybridMultilevel"/>
    <w:tmpl w:val="C9706A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7"/>
  </w:num>
  <w:num w:numId="9">
    <w:abstractNumId w:val="5"/>
  </w:num>
  <w:num w:numId="10">
    <w:abstractNumId w:val="11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B0"/>
    <w:rsid w:val="000257EA"/>
    <w:rsid w:val="000A054A"/>
    <w:rsid w:val="000A7AB0"/>
    <w:rsid w:val="00113626"/>
    <w:rsid w:val="001262E7"/>
    <w:rsid w:val="001801E3"/>
    <w:rsid w:val="00180D7E"/>
    <w:rsid w:val="002100A1"/>
    <w:rsid w:val="00281DD6"/>
    <w:rsid w:val="002B3FC3"/>
    <w:rsid w:val="002C2C01"/>
    <w:rsid w:val="0037341F"/>
    <w:rsid w:val="003930D6"/>
    <w:rsid w:val="00393F47"/>
    <w:rsid w:val="004250DC"/>
    <w:rsid w:val="00426274"/>
    <w:rsid w:val="0044429E"/>
    <w:rsid w:val="00470C06"/>
    <w:rsid w:val="00470DCC"/>
    <w:rsid w:val="005822F9"/>
    <w:rsid w:val="00594B64"/>
    <w:rsid w:val="005D4518"/>
    <w:rsid w:val="005E2CEA"/>
    <w:rsid w:val="00666F8F"/>
    <w:rsid w:val="0068731D"/>
    <w:rsid w:val="006C4396"/>
    <w:rsid w:val="00701355"/>
    <w:rsid w:val="00745F6F"/>
    <w:rsid w:val="007557EC"/>
    <w:rsid w:val="0075798D"/>
    <w:rsid w:val="0079557B"/>
    <w:rsid w:val="007B5A7A"/>
    <w:rsid w:val="007E36A7"/>
    <w:rsid w:val="00802A21"/>
    <w:rsid w:val="0088429D"/>
    <w:rsid w:val="008A1533"/>
    <w:rsid w:val="008A4391"/>
    <w:rsid w:val="008E0BCA"/>
    <w:rsid w:val="008E4DAA"/>
    <w:rsid w:val="008F2301"/>
    <w:rsid w:val="0096350F"/>
    <w:rsid w:val="00987960"/>
    <w:rsid w:val="009C4A9F"/>
    <w:rsid w:val="009F06C1"/>
    <w:rsid w:val="009F25B7"/>
    <w:rsid w:val="00A66981"/>
    <w:rsid w:val="00A92F5D"/>
    <w:rsid w:val="00AD2594"/>
    <w:rsid w:val="00AE2329"/>
    <w:rsid w:val="00B122B5"/>
    <w:rsid w:val="00B61C62"/>
    <w:rsid w:val="00BA4CF4"/>
    <w:rsid w:val="00BB3E0D"/>
    <w:rsid w:val="00BB414F"/>
    <w:rsid w:val="00BC55A7"/>
    <w:rsid w:val="00BD738A"/>
    <w:rsid w:val="00C06BEE"/>
    <w:rsid w:val="00C163FB"/>
    <w:rsid w:val="00CD7CA4"/>
    <w:rsid w:val="00D278E6"/>
    <w:rsid w:val="00D53A85"/>
    <w:rsid w:val="00D85873"/>
    <w:rsid w:val="00DC393B"/>
    <w:rsid w:val="00DC79F6"/>
    <w:rsid w:val="00E10B90"/>
    <w:rsid w:val="00E20A56"/>
    <w:rsid w:val="00EB2774"/>
    <w:rsid w:val="00EF6940"/>
    <w:rsid w:val="00F360CD"/>
    <w:rsid w:val="00F406B0"/>
    <w:rsid w:val="00F818B6"/>
    <w:rsid w:val="00FB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E187"/>
  <w15:chartTrackingRefBased/>
  <w15:docId w15:val="{79F245CA-AE54-4D44-BA4D-0C86A051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06B0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link w:val="Naslov1Znak"/>
    <w:uiPriority w:val="9"/>
    <w:qFormat/>
    <w:rsid w:val="0044429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2329"/>
    <w:pPr>
      <w:ind w:left="720"/>
      <w:contextualSpacing/>
    </w:pPr>
  </w:style>
  <w:style w:type="table" w:styleId="Tabelamrea">
    <w:name w:val="Table Grid"/>
    <w:basedOn w:val="Navadnatabela"/>
    <w:uiPriority w:val="39"/>
    <w:rsid w:val="00A9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822F9"/>
    <w:rPr>
      <w:color w:val="0563C1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53A85"/>
    <w:rPr>
      <w:color w:val="605E5C"/>
      <w:shd w:val="clear" w:color="auto" w:fill="E1DFDD"/>
    </w:rPr>
  </w:style>
  <w:style w:type="character" w:customStyle="1" w:styleId="topic-id">
    <w:name w:val="topic-id"/>
    <w:basedOn w:val="Privzetapisavaodstavka"/>
    <w:rsid w:val="00F360CD"/>
  </w:style>
  <w:style w:type="character" w:styleId="SledenaHiperpovezava">
    <w:name w:val="FollowedHyperlink"/>
    <w:basedOn w:val="Privzetapisavaodstavka"/>
    <w:uiPriority w:val="99"/>
    <w:semiHidden/>
    <w:unhideWhenUsed/>
    <w:rsid w:val="00987960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75798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5798D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5798D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5798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5798D"/>
    <w:rPr>
      <w:rFonts w:ascii="Arial" w:eastAsia="Times New Roman" w:hAnsi="Arial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79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798D"/>
    <w:rPr>
      <w:rFonts w:ascii="Segoe UI" w:eastAsia="Times New Roman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44429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44429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Krepko">
    <w:name w:val="Strong"/>
    <w:basedOn w:val="Privzetapisavaodstavka"/>
    <w:uiPriority w:val="22"/>
    <w:qFormat/>
    <w:rsid w:val="004442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370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317">
                      <w:marLeft w:val="-270"/>
                      <w:marRight w:val="-27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8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8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912">
                      <w:marLeft w:val="-270"/>
                      <w:marRight w:val="-27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2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4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unding-tenders/opportunities/portal/screen/opportunities/topic-details/just-2021-jcoo;callCode=null;freeTextSearchKeyword=;matchWholeText=true;typeCodes=0,1,2;statusCodes=31094501;programmePeriod=2021%20-%202027;programCcm2Id=43252386;programDivisionCode=null;focusAreaCode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EC-JUSTICE-CALLS@ec.europa.e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c.europa.eu/info/funding-tenders/opportunities/portal/screen/programmes/just2027" TargetMode="External"/><Relationship Id="rId11" Type="http://schemas.openxmlformats.org/officeDocument/2006/relationships/hyperlink" Target="https://ec.europa.eu/info/funding-tenders/opportunities/portal/screen/opportunities/topic-details/just-2021-jtra;callCode=null;freeTextSearchKeyword=;matchWholeText=true;typeCodes=0,1,2;statusCodes=31094501;programmePeriod=2021%20-%202027;programCcm2Id=43252386;programDivisionCode=null;focusAreaCode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info/funding-tenders/opportunities/portal/screen/opportunities/topic-details/just-2021-ejustice;callCode=null;freeTextSearchKeyword=;matchWholeText=true;typeCodes=0,1,2;statusCodes=31094501;programmePeriod=2021%20-%202027;programCcm2Id=43252386;programDivisionCode=null;focusAreaCode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info/funding-tenders/opportunities/portal/screen/opportunities/topic-details/just-2021-jacc;callCode=JUST-2021-JACC;freeTextSearchKeyword=;matchWholeText=true;typeCodes=1;statusCodes=31094501,31094502,31094503;programmePeriod=null;programCcm2Id=null;programDivisionCode=null;focusAreaCode=null;geographicalZonesCode=null;programmeDivisionProspect=null;startDateLte=null;startDateGte=null;crossCuttingPriorityCode=null;cpvCode=null;performanceOfDelivery=null;sortQuery=sortStatus;orderBy=asc;onlyTenders=false;topicListKey=callTopicSearchTableStat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D41EE0A-B5AB-4D4E-A4BE-CF9EECF9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Jurka Pavlovčič Ilovar</dc:creator>
  <cp:keywords/>
  <dc:description/>
  <cp:lastModifiedBy>Maja Velič</cp:lastModifiedBy>
  <cp:revision>5</cp:revision>
  <dcterms:created xsi:type="dcterms:W3CDTF">2021-03-15T06:55:00Z</dcterms:created>
  <dcterms:modified xsi:type="dcterms:W3CDTF">2021-03-15T07:04:00Z</dcterms:modified>
</cp:coreProperties>
</file>