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8CD5" w14:textId="77777777" w:rsidR="00E941CF" w:rsidRDefault="00E941CF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327FA362" w14:textId="77777777" w:rsidR="00E941CF" w:rsidRDefault="00E941CF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09F3F5DD" w14:textId="77777777" w:rsidR="00E941CF" w:rsidRDefault="00E941CF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7F0D96D6" w14:textId="77777777" w:rsidR="00E941CF" w:rsidRDefault="00E941CF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5E0C0DD5" w14:textId="77777777" w:rsidR="00E941CF" w:rsidRDefault="00E941CF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656FD386" w14:textId="47608CF2" w:rsidR="00D45AF4" w:rsidRPr="008B2E75" w:rsidRDefault="00D45AF4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 xml:space="preserve">Ministrstvo za pravosodje na podlagi tretjega odstavka 71.d člena v zvezi </w:t>
      </w:r>
      <w:r w:rsidR="003F7721">
        <w:rPr>
          <w:rFonts w:ascii="Arial" w:hAnsi="Arial" w:cs="Arial"/>
          <w:sz w:val="20"/>
        </w:rPr>
        <w:t>z</w:t>
      </w:r>
      <w:r w:rsidRPr="008B2E75">
        <w:rPr>
          <w:rFonts w:ascii="Arial" w:hAnsi="Arial" w:cs="Arial"/>
          <w:sz w:val="20"/>
          <w:lang w:eastAsia="en-US"/>
        </w:rPr>
        <w:t xml:space="preserve"> 71.č </w:t>
      </w:r>
      <w:r w:rsidR="003F7721" w:rsidRPr="008B2E75">
        <w:rPr>
          <w:rFonts w:ascii="Arial" w:hAnsi="Arial" w:cs="Arial"/>
          <w:sz w:val="20"/>
          <w:lang w:eastAsia="en-US"/>
        </w:rPr>
        <w:t>člen</w:t>
      </w:r>
      <w:r w:rsidR="003F7721">
        <w:rPr>
          <w:rFonts w:ascii="Arial" w:hAnsi="Arial" w:cs="Arial"/>
          <w:sz w:val="20"/>
          <w:lang w:eastAsia="en-US"/>
        </w:rPr>
        <w:t>om</w:t>
      </w:r>
      <w:r w:rsidR="003F7721" w:rsidRPr="008B2E75">
        <w:rPr>
          <w:rFonts w:ascii="Arial" w:hAnsi="Arial" w:cs="Arial"/>
          <w:sz w:val="20"/>
          <w:lang w:eastAsia="en-US"/>
        </w:rPr>
        <w:t xml:space="preserve"> </w:t>
      </w:r>
      <w:r w:rsidRPr="008B2E75">
        <w:rPr>
          <w:rFonts w:ascii="Arial" w:hAnsi="Arial" w:cs="Arial"/>
          <w:sz w:val="20"/>
          <w:lang w:eastAsia="en-US"/>
        </w:rPr>
        <w:t xml:space="preserve">Zakona o državnem tožilstvu </w:t>
      </w:r>
      <w:r w:rsidR="00B405C3" w:rsidRPr="008B2E75">
        <w:rPr>
          <w:rFonts w:ascii="Arial" w:hAnsi="Arial" w:cs="Arial"/>
          <w:sz w:val="20"/>
          <w:shd w:val="clear" w:color="auto" w:fill="FFFFFF"/>
        </w:rPr>
        <w:t>(Uradni list RS, št. </w:t>
      </w:r>
      <w:hyperlink r:id="rId7" w:tgtFrame="_blank" w:tooltip="Zakon o državnem tožilstvu (ZDT-1)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58/11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>, </w:t>
      </w:r>
      <w:hyperlink r:id="rId8" w:tgtFrame="_blank" w:tooltip="Zakon o spremembah in dopolnitvah Zakona o državni upravi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21/12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> – ZDU-1F, </w:t>
      </w:r>
      <w:hyperlink r:id="rId9" w:tgtFrame="_blank" w:tooltip="Zakon o spremembah in dopolnitvah Zakona o državnem tožilstvu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47/12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>,</w:t>
      </w:r>
      <w:r w:rsidR="009D3A12">
        <w:rPr>
          <w:rFonts w:ascii="Arial" w:hAnsi="Arial" w:cs="Arial"/>
          <w:sz w:val="20"/>
          <w:shd w:val="clear" w:color="auto" w:fill="FFFFFF"/>
        </w:rPr>
        <w:t xml:space="preserve"> </w:t>
      </w:r>
      <w:hyperlink r:id="rId10" w:tgtFrame="_blank" w:tooltip="Zakon o organiziranosti in delu v policiji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15/13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 xml:space="preserve"> – </w:t>
      </w:r>
      <w:proofErr w:type="spellStart"/>
      <w:r w:rsidR="00B405C3" w:rsidRPr="008B2E75">
        <w:rPr>
          <w:rFonts w:ascii="Arial" w:hAnsi="Arial" w:cs="Arial"/>
          <w:sz w:val="20"/>
          <w:shd w:val="clear" w:color="auto" w:fill="FFFFFF"/>
        </w:rPr>
        <w:t>ZODPol</w:t>
      </w:r>
      <w:proofErr w:type="spellEnd"/>
      <w:r w:rsidR="00B405C3" w:rsidRPr="008B2E75">
        <w:rPr>
          <w:rFonts w:ascii="Arial" w:hAnsi="Arial" w:cs="Arial"/>
          <w:sz w:val="20"/>
          <w:shd w:val="clear" w:color="auto" w:fill="FFFFFF"/>
        </w:rPr>
        <w:t>, </w:t>
      </w:r>
      <w:hyperlink r:id="rId11" w:tgtFrame="_blank" w:tooltip="Zakon o spremembah in dopolnitvah Zakona o državni upravi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47/13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 xml:space="preserve"> – ZDU-1G, </w:t>
      </w:r>
      <w:hyperlink r:id="rId12" w:tgtFrame="_blank" w:tooltip="Zakon o sodelovanju v kazenskih zadevah z državami članicami Evropske unije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48/13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> – ZSKZDČEU-1, </w:t>
      </w:r>
      <w:hyperlink r:id="rId13" w:tgtFrame="_blank" w:tooltip="Zakon o spremembah in dopolnitvah Zakona o državnem tožilstvu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19/15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>, </w:t>
      </w:r>
      <w:hyperlink r:id="rId14" w:tgtFrame="_blank" w:tooltip="Zakon o sodnem svetu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23/17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 xml:space="preserve"> – </w:t>
      </w:r>
      <w:proofErr w:type="spellStart"/>
      <w:r w:rsidR="00B405C3" w:rsidRPr="008B2E75">
        <w:rPr>
          <w:rFonts w:ascii="Arial" w:hAnsi="Arial" w:cs="Arial"/>
          <w:sz w:val="20"/>
          <w:shd w:val="clear" w:color="auto" w:fill="FFFFFF"/>
        </w:rPr>
        <w:t>ZSSve</w:t>
      </w:r>
      <w:proofErr w:type="spellEnd"/>
      <w:r w:rsidR="00B405C3" w:rsidRPr="008B2E75">
        <w:rPr>
          <w:rFonts w:ascii="Arial" w:hAnsi="Arial" w:cs="Arial"/>
          <w:sz w:val="20"/>
          <w:shd w:val="clear" w:color="auto" w:fill="FFFFFF"/>
        </w:rPr>
        <w:t xml:space="preserve">, </w:t>
      </w:r>
      <w:hyperlink r:id="rId15" w:tgtFrame="_blank" w:tooltip="Zakon o spremembah in dopolnitvah Zakona o državnem tožilstvu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36/19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 xml:space="preserve">, </w:t>
      </w:r>
      <w:hyperlink r:id="rId16" w:tgtFrame="_blank" w:tooltip="Zakon o spremembah in dopolnitvah Zakona o državnem tožilstvu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139/20</w:t>
        </w:r>
      </w:hyperlink>
      <w:r w:rsidR="00B405C3" w:rsidRPr="008B2E75">
        <w:rPr>
          <w:rFonts w:ascii="Arial" w:hAnsi="Arial" w:cs="Arial"/>
          <w:sz w:val="20"/>
        </w:rPr>
        <w:t xml:space="preserve"> </w:t>
      </w:r>
      <w:r w:rsidR="00B405C3" w:rsidRPr="008B2E75">
        <w:rPr>
          <w:rFonts w:ascii="Arial" w:hAnsi="Arial" w:cs="Arial"/>
          <w:sz w:val="20"/>
          <w:shd w:val="clear" w:color="auto" w:fill="FFFFFF"/>
        </w:rPr>
        <w:t xml:space="preserve">in </w:t>
      </w:r>
      <w:hyperlink r:id="rId17" w:tgtFrame="_blank" w:tooltip="Zakon o spremembah in dopolnitvah Zakona o državnem tožilstvu" w:history="1">
        <w:r w:rsidR="00B405C3" w:rsidRPr="008B2E75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54/21</w:t>
        </w:r>
      </w:hyperlink>
      <w:r w:rsidR="00B405C3" w:rsidRPr="008B2E75">
        <w:rPr>
          <w:rFonts w:ascii="Arial" w:hAnsi="Arial" w:cs="Arial"/>
          <w:sz w:val="20"/>
          <w:shd w:val="clear" w:color="auto" w:fill="FFFFFF"/>
        </w:rPr>
        <w:t>)</w:t>
      </w:r>
      <w:r w:rsidRPr="008B2E75">
        <w:rPr>
          <w:rFonts w:ascii="Arial" w:hAnsi="Arial" w:cs="Arial"/>
          <w:spacing w:val="-3"/>
          <w:sz w:val="20"/>
        </w:rPr>
        <w:t>,</w:t>
      </w:r>
      <w:r w:rsidR="00B405C3" w:rsidRPr="008B2E75">
        <w:rPr>
          <w:rFonts w:ascii="Arial" w:hAnsi="Arial" w:cs="Arial"/>
          <w:spacing w:val="-3"/>
          <w:sz w:val="20"/>
        </w:rPr>
        <w:t xml:space="preserve"> </w:t>
      </w:r>
      <w:r w:rsidRPr="008B2E75">
        <w:rPr>
          <w:rFonts w:ascii="Arial" w:hAnsi="Arial" w:cs="Arial"/>
          <w:sz w:val="20"/>
        </w:rPr>
        <w:t>objavlja</w:t>
      </w:r>
    </w:p>
    <w:p w14:paraId="0E129FCA" w14:textId="77777777" w:rsidR="00D45AF4" w:rsidRPr="008B2E75" w:rsidRDefault="00D45AF4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7B88AF44" w14:textId="77777777" w:rsidR="00D45AF4" w:rsidRPr="008B2E75" w:rsidRDefault="00D45AF4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</w:rPr>
      </w:pPr>
    </w:p>
    <w:p w14:paraId="45B8CE52" w14:textId="77777777" w:rsidR="00D45AF4" w:rsidRPr="008B2E75" w:rsidRDefault="00D45AF4" w:rsidP="00D45AF4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lang w:eastAsia="en-US"/>
        </w:rPr>
      </w:pPr>
    </w:p>
    <w:p w14:paraId="5DCFFB20" w14:textId="77777777" w:rsidR="00D45AF4" w:rsidRPr="008B2E75" w:rsidRDefault="00D45AF4" w:rsidP="00D45AF4">
      <w:pPr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</w:rPr>
      </w:pPr>
      <w:r w:rsidRPr="008B2E75">
        <w:rPr>
          <w:rFonts w:ascii="Arial" w:hAnsi="Arial" w:cs="Arial"/>
          <w:b/>
          <w:bCs/>
          <w:color w:val="000000"/>
          <w:sz w:val="20"/>
        </w:rPr>
        <w:t>javni poziv</w:t>
      </w:r>
    </w:p>
    <w:p w14:paraId="0EE1E494" w14:textId="77777777" w:rsidR="00D45AF4" w:rsidRPr="008B2E75" w:rsidRDefault="00D45AF4" w:rsidP="00D45AF4">
      <w:pPr>
        <w:spacing w:line="260" w:lineRule="atLeast"/>
        <w:rPr>
          <w:rFonts w:ascii="Arial" w:hAnsi="Arial" w:cs="Arial"/>
          <w:b/>
          <w:bCs/>
          <w:sz w:val="20"/>
        </w:rPr>
      </w:pPr>
    </w:p>
    <w:p w14:paraId="0B0AAF1A" w14:textId="77777777" w:rsidR="00D45AF4" w:rsidRPr="008B2E75" w:rsidRDefault="00D45AF4" w:rsidP="00D45AF4">
      <w:pPr>
        <w:spacing w:line="260" w:lineRule="atLeast"/>
        <w:jc w:val="center"/>
        <w:rPr>
          <w:rFonts w:ascii="Arial" w:hAnsi="Arial" w:cs="Arial"/>
          <w:b/>
          <w:bCs/>
          <w:sz w:val="20"/>
        </w:rPr>
      </w:pPr>
      <w:r w:rsidRPr="008B2E75">
        <w:rPr>
          <w:rFonts w:ascii="Arial" w:hAnsi="Arial" w:cs="Arial"/>
          <w:b/>
          <w:bCs/>
          <w:sz w:val="20"/>
        </w:rPr>
        <w:t>državnim tožilcem k vložitvi kandidatur za imenovanje dveh evropskih delegiranih tožilcev</w:t>
      </w:r>
    </w:p>
    <w:p w14:paraId="33EC27CD" w14:textId="77777777" w:rsidR="00BE0682" w:rsidRPr="008B2E75" w:rsidRDefault="00BE0682" w:rsidP="00D45AF4">
      <w:pPr>
        <w:spacing w:line="260" w:lineRule="atLeast"/>
        <w:jc w:val="center"/>
        <w:rPr>
          <w:rFonts w:ascii="Arial" w:hAnsi="Arial" w:cs="Arial"/>
          <w:b/>
          <w:bCs/>
          <w:sz w:val="20"/>
        </w:rPr>
      </w:pPr>
    </w:p>
    <w:p w14:paraId="05BFB586" w14:textId="77777777" w:rsidR="00BE0682" w:rsidRPr="008B2E75" w:rsidRDefault="00BE0682" w:rsidP="00D45AF4">
      <w:pPr>
        <w:spacing w:line="260" w:lineRule="atLeast"/>
        <w:jc w:val="center"/>
        <w:rPr>
          <w:rFonts w:ascii="Arial" w:hAnsi="Arial" w:cs="Arial"/>
          <w:b/>
          <w:bCs/>
          <w:sz w:val="20"/>
        </w:rPr>
      </w:pPr>
    </w:p>
    <w:p w14:paraId="26A38530" w14:textId="77777777" w:rsidR="00D45AF4" w:rsidRPr="008B2E75" w:rsidRDefault="00D45AF4" w:rsidP="00D45AF4">
      <w:pPr>
        <w:spacing w:line="260" w:lineRule="atLeast"/>
        <w:rPr>
          <w:rFonts w:ascii="Arial" w:hAnsi="Arial" w:cs="Arial"/>
          <w:sz w:val="20"/>
        </w:rPr>
      </w:pPr>
    </w:p>
    <w:p w14:paraId="6A393C0E" w14:textId="12ACF6DC" w:rsidR="00D45AF4" w:rsidRPr="008B2E75" w:rsidRDefault="004112E2" w:rsidP="00D45AF4">
      <w:pPr>
        <w:spacing w:line="260" w:lineRule="atLeast"/>
        <w:rPr>
          <w:rFonts w:ascii="Arial" w:hAnsi="Arial" w:cs="Arial"/>
          <w:sz w:val="20"/>
        </w:rPr>
      </w:pPr>
      <w:r w:rsidRPr="008B2E75">
        <w:rPr>
          <w:rFonts w:ascii="Arial" w:hAnsi="Arial" w:cs="Arial"/>
          <w:color w:val="000000"/>
          <w:sz w:val="20"/>
          <w:shd w:val="clear" w:color="auto" w:fill="FFFFFF"/>
        </w:rPr>
        <w:t>Za evropskega delegiranega tožilca lahko kandidira državni tožilec, ki ima naziv ali izpolnjuje pogoje za imenovanje najmanj v naziv okrožnega državnega tožilca, ima znanje delovnega jezika E</w:t>
      </w:r>
      <w:r w:rsidR="003F7721">
        <w:rPr>
          <w:rFonts w:ascii="Arial" w:hAnsi="Arial" w:cs="Arial"/>
          <w:color w:val="000000"/>
          <w:sz w:val="20"/>
          <w:shd w:val="clear" w:color="auto" w:fill="FFFFFF"/>
        </w:rPr>
        <w:t>vropskega javnega tožilstva</w:t>
      </w:r>
      <w:r w:rsidR="003F7721" w:rsidRPr="008B2E7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8B2E75">
        <w:rPr>
          <w:rFonts w:ascii="Arial" w:hAnsi="Arial" w:cs="Arial"/>
          <w:color w:val="000000"/>
          <w:sz w:val="20"/>
          <w:shd w:val="clear" w:color="auto" w:fill="FFFFFF"/>
        </w:rPr>
        <w:t xml:space="preserve">najmanj na ravni C1 Skupnega evropskega jezikovnega okvira in izpolnjuje posebne pogoje, ki jih določajo pravila </w:t>
      </w:r>
      <w:r w:rsidR="003F7721" w:rsidRPr="008B2E75"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="003F7721">
        <w:rPr>
          <w:rFonts w:ascii="Arial" w:hAnsi="Arial" w:cs="Arial"/>
          <w:color w:val="000000"/>
          <w:sz w:val="20"/>
          <w:shd w:val="clear" w:color="auto" w:fill="FFFFFF"/>
        </w:rPr>
        <w:t>vropskega javnega tožilstva</w:t>
      </w:r>
      <w:r w:rsidR="003F7721" w:rsidRPr="008B2E7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8B2E75">
        <w:rPr>
          <w:rFonts w:ascii="Arial" w:hAnsi="Arial" w:cs="Arial"/>
          <w:color w:val="000000"/>
          <w:sz w:val="20"/>
          <w:shd w:val="clear" w:color="auto" w:fill="FFFFFF"/>
        </w:rPr>
        <w:t>ter pravila, ki urejajo pogoje za zaposlitev uradnikov in drugih zaposlenih v institucijah Evropske unije, ki obvezuje Republiko Slovenijo.</w:t>
      </w:r>
    </w:p>
    <w:p w14:paraId="30C1D914" w14:textId="77777777" w:rsidR="00D45AF4" w:rsidRPr="008B2E75" w:rsidRDefault="00D45AF4" w:rsidP="00D45AF4">
      <w:pPr>
        <w:spacing w:line="260" w:lineRule="atLeast"/>
        <w:rPr>
          <w:rFonts w:ascii="Arial" w:hAnsi="Arial" w:cs="Arial"/>
          <w:sz w:val="20"/>
        </w:rPr>
      </w:pPr>
    </w:p>
    <w:p w14:paraId="17B18EA3" w14:textId="77777777" w:rsidR="00D45AF4" w:rsidRPr="008B2E75" w:rsidRDefault="001A666E" w:rsidP="00D45AF4">
      <w:pPr>
        <w:spacing w:line="260" w:lineRule="atLeast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>Evropske delegirane tožilce, ki jih predlaga država članica, na predlog evropskega glavnega tožilca imenuje Kolegij Evropskega javnega tožilstva</w:t>
      </w:r>
      <w:r w:rsidR="00D45AF4" w:rsidRPr="008B2E75">
        <w:rPr>
          <w:rFonts w:ascii="Arial" w:hAnsi="Arial" w:cs="Arial"/>
          <w:sz w:val="20"/>
        </w:rPr>
        <w:t>.</w:t>
      </w:r>
    </w:p>
    <w:p w14:paraId="11B9C9CD" w14:textId="77777777" w:rsidR="00D45AF4" w:rsidRPr="008B2E75" w:rsidRDefault="00D45AF4" w:rsidP="00D45AF4">
      <w:pPr>
        <w:spacing w:line="260" w:lineRule="atLeast"/>
        <w:rPr>
          <w:rFonts w:ascii="Arial" w:hAnsi="Arial" w:cs="Arial"/>
          <w:sz w:val="20"/>
        </w:rPr>
      </w:pPr>
    </w:p>
    <w:p w14:paraId="1F7F74FF" w14:textId="20BF9972" w:rsidR="00D45AF4" w:rsidRPr="008B2E75" w:rsidRDefault="00D45AF4" w:rsidP="00D45AF4">
      <w:pPr>
        <w:spacing w:line="260" w:lineRule="atLeast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 xml:space="preserve">V skladu z 28. členom Kadrovskih predpisov za uradnike in </w:t>
      </w:r>
      <w:r w:rsidR="00483A7E" w:rsidRPr="008B2E75">
        <w:rPr>
          <w:rFonts w:ascii="Arial" w:hAnsi="Arial" w:cs="Arial"/>
          <w:sz w:val="20"/>
        </w:rPr>
        <w:t>pogoj</w:t>
      </w:r>
      <w:r w:rsidR="00483A7E">
        <w:rPr>
          <w:rFonts w:ascii="Arial" w:hAnsi="Arial" w:cs="Arial"/>
          <w:sz w:val="20"/>
        </w:rPr>
        <w:t>ev</w:t>
      </w:r>
      <w:r w:rsidR="00483A7E" w:rsidRPr="008B2E75">
        <w:rPr>
          <w:rFonts w:ascii="Arial" w:hAnsi="Arial" w:cs="Arial"/>
          <w:sz w:val="20"/>
        </w:rPr>
        <w:t xml:space="preserve"> </w:t>
      </w:r>
      <w:r w:rsidRPr="008B2E75">
        <w:rPr>
          <w:rFonts w:ascii="Arial" w:hAnsi="Arial" w:cs="Arial"/>
          <w:sz w:val="20"/>
        </w:rPr>
        <w:t>za zaposlitev drugih uslužbencev Evropske gospodarske skupnosti in Evropske skupnosti za atomsko energijo (v nadaljnjem besedilu: Kadrovski predpisi EU) in posebnimi pogoji iz Uredbe 2017/1939/EU</w:t>
      </w:r>
      <w:r w:rsidR="003F7721">
        <w:rPr>
          <w:rFonts w:ascii="Arial" w:hAnsi="Arial" w:cs="Arial"/>
          <w:sz w:val="20"/>
        </w:rPr>
        <w:t xml:space="preserve">, ob upoštevanju </w:t>
      </w:r>
      <w:r w:rsidR="00F745C1" w:rsidRPr="00F745C1">
        <w:rPr>
          <w:rFonts w:ascii="Arial" w:hAnsi="Arial" w:cs="Arial"/>
          <w:sz w:val="20"/>
        </w:rPr>
        <w:t>Sklepa kolegija Evropskega javnega tožilstva z dne 29. septembra 2020 o določitvi pravil o pogojih za zaposlitev evropskih delegiranih tožilcev</w:t>
      </w:r>
      <w:r w:rsidR="003F7721">
        <w:rPr>
          <w:rFonts w:ascii="Arial" w:hAnsi="Arial" w:cs="Arial"/>
          <w:sz w:val="20"/>
        </w:rPr>
        <w:t>,</w:t>
      </w:r>
      <w:r w:rsidRPr="008B2E75">
        <w:rPr>
          <w:rFonts w:ascii="Arial" w:hAnsi="Arial" w:cs="Arial"/>
          <w:sz w:val="20"/>
        </w:rPr>
        <w:t xml:space="preserve"> je lahko za evropskega </w:t>
      </w:r>
      <w:r w:rsidR="001A635C" w:rsidRPr="008B2E75">
        <w:rPr>
          <w:rFonts w:ascii="Arial" w:hAnsi="Arial" w:cs="Arial"/>
          <w:sz w:val="20"/>
        </w:rPr>
        <w:t xml:space="preserve">delegiranega </w:t>
      </w:r>
      <w:r w:rsidRPr="008B2E75">
        <w:rPr>
          <w:rFonts w:ascii="Arial" w:hAnsi="Arial" w:cs="Arial"/>
          <w:sz w:val="20"/>
        </w:rPr>
        <w:t>tožilca imenovan kandidat, ki:</w:t>
      </w:r>
    </w:p>
    <w:p w14:paraId="77B824F6" w14:textId="77777777" w:rsidR="00D45AF4" w:rsidRPr="008B2E75" w:rsidRDefault="00D45AF4" w:rsidP="006E0B4C">
      <w:pPr>
        <w:numPr>
          <w:ilvl w:val="0"/>
          <w:numId w:val="8"/>
        </w:numPr>
        <w:spacing w:line="260" w:lineRule="atLeast"/>
        <w:ind w:hanging="720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>je državljan ene od držav članic Evropske unije;</w:t>
      </w:r>
    </w:p>
    <w:p w14:paraId="6E6EF8C3" w14:textId="77777777" w:rsidR="00D45AF4" w:rsidRPr="008B2E75" w:rsidRDefault="00D45AF4" w:rsidP="006E0B4C">
      <w:pPr>
        <w:numPr>
          <w:ilvl w:val="0"/>
          <w:numId w:val="8"/>
        </w:numPr>
        <w:spacing w:line="260" w:lineRule="atLeast"/>
        <w:ind w:hanging="720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>je izpolnil vse zakonske obveznosti glede služenja vojaškega roka;</w:t>
      </w:r>
    </w:p>
    <w:p w14:paraId="324A335F" w14:textId="77777777" w:rsidR="00D45AF4" w:rsidRPr="008B2E75" w:rsidRDefault="00D45AF4" w:rsidP="006E0B4C">
      <w:pPr>
        <w:numPr>
          <w:ilvl w:val="0"/>
          <w:numId w:val="8"/>
        </w:numPr>
        <w:spacing w:line="260" w:lineRule="atLeast"/>
        <w:ind w:hanging="720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>predloži ustrezna spričevala, ki dokazujejo primernost za opravljanje dela;</w:t>
      </w:r>
    </w:p>
    <w:p w14:paraId="63A197F4" w14:textId="1D6EB855" w:rsidR="00D45AF4" w:rsidRDefault="00D45AF4" w:rsidP="006E0B4C">
      <w:pPr>
        <w:numPr>
          <w:ilvl w:val="0"/>
          <w:numId w:val="8"/>
        </w:numPr>
        <w:spacing w:line="260" w:lineRule="atLeast"/>
        <w:ind w:hanging="720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>je fizično sposoben opravljati delo;</w:t>
      </w:r>
    </w:p>
    <w:p w14:paraId="3BA257CA" w14:textId="6D6AE150" w:rsidR="003F7721" w:rsidRPr="00A57B0A" w:rsidRDefault="00743F56" w:rsidP="006E0B4C">
      <w:pPr>
        <w:numPr>
          <w:ilvl w:val="0"/>
          <w:numId w:val="8"/>
        </w:numPr>
        <w:spacing w:line="260" w:lineRule="atLeast"/>
        <w:ind w:hanging="720"/>
        <w:rPr>
          <w:rFonts w:ascii="Arial" w:hAnsi="Arial" w:cs="Arial"/>
          <w:sz w:val="20"/>
        </w:rPr>
      </w:pPr>
      <w:r w:rsidRPr="00225740">
        <w:rPr>
          <w:rFonts w:ascii="Arial" w:hAnsi="Arial" w:cs="Arial"/>
          <w:sz w:val="20"/>
        </w:rPr>
        <w:t>ima</w:t>
      </w:r>
      <w:r w:rsidRPr="00A57B0A">
        <w:rPr>
          <w:rFonts w:ascii="Arial" w:hAnsi="Arial" w:cs="Arial"/>
          <w:sz w:val="20"/>
        </w:rPr>
        <w:t xml:space="preserve"> </w:t>
      </w:r>
      <w:r w:rsidR="00EF0BAE" w:rsidRPr="00225740">
        <w:rPr>
          <w:rFonts w:ascii="Arial" w:hAnsi="Arial" w:cs="Arial"/>
          <w:sz w:val="20"/>
        </w:rPr>
        <w:t>znanj</w:t>
      </w:r>
      <w:r w:rsidRPr="00A57B0A">
        <w:rPr>
          <w:rFonts w:ascii="Arial" w:hAnsi="Arial" w:cs="Arial"/>
          <w:sz w:val="20"/>
        </w:rPr>
        <w:t>e</w:t>
      </w:r>
      <w:r w:rsidR="00EF0BAE" w:rsidRPr="00225740">
        <w:rPr>
          <w:rFonts w:ascii="Arial" w:hAnsi="Arial" w:cs="Arial"/>
          <w:sz w:val="20"/>
        </w:rPr>
        <w:t xml:space="preserve"> delovnega jezika </w:t>
      </w:r>
      <w:r w:rsidR="00225740">
        <w:rPr>
          <w:rFonts w:ascii="Arial" w:hAnsi="Arial" w:cs="Arial"/>
          <w:sz w:val="20"/>
        </w:rPr>
        <w:t>Evropskega javnega tožilstva</w:t>
      </w:r>
      <w:r w:rsidR="00AC1221">
        <w:rPr>
          <w:rFonts w:ascii="Arial" w:hAnsi="Arial" w:cs="Arial"/>
          <w:sz w:val="20"/>
        </w:rPr>
        <w:t xml:space="preserve"> najmanj</w:t>
      </w:r>
      <w:r w:rsidR="00EF0BAE" w:rsidRPr="00225740">
        <w:rPr>
          <w:rFonts w:ascii="Arial" w:hAnsi="Arial" w:cs="Arial"/>
          <w:sz w:val="20"/>
        </w:rPr>
        <w:t xml:space="preserve"> na ravni C1</w:t>
      </w:r>
      <w:r w:rsidR="00934F56" w:rsidRPr="00225740">
        <w:rPr>
          <w:rFonts w:ascii="Arial" w:hAnsi="Arial" w:cs="Arial"/>
          <w:sz w:val="20"/>
        </w:rPr>
        <w:t xml:space="preserve"> Skupnega evropskega jezikovnega okvirja </w:t>
      </w:r>
      <w:r w:rsidR="003F7721" w:rsidRPr="00A57B0A">
        <w:rPr>
          <w:rFonts w:ascii="Arial" w:hAnsi="Arial" w:cs="Arial"/>
          <w:sz w:val="20"/>
        </w:rPr>
        <w:t>in zadovoljiv</w:t>
      </w:r>
      <w:r w:rsidR="00412E88" w:rsidRPr="00A57B0A">
        <w:rPr>
          <w:rFonts w:ascii="Arial" w:hAnsi="Arial" w:cs="Arial"/>
          <w:sz w:val="20"/>
        </w:rPr>
        <w:t>o</w:t>
      </w:r>
      <w:r w:rsidR="003F7721" w:rsidRPr="00A57B0A">
        <w:rPr>
          <w:rFonts w:ascii="Arial" w:hAnsi="Arial" w:cs="Arial"/>
          <w:sz w:val="20"/>
        </w:rPr>
        <w:t xml:space="preserve"> znanj</w:t>
      </w:r>
      <w:r w:rsidR="00412E88" w:rsidRPr="00A57B0A">
        <w:rPr>
          <w:rFonts w:ascii="Arial" w:hAnsi="Arial" w:cs="Arial"/>
          <w:sz w:val="20"/>
        </w:rPr>
        <w:t>e</w:t>
      </w:r>
      <w:r w:rsidR="003F7721" w:rsidRPr="00A57B0A">
        <w:rPr>
          <w:rFonts w:ascii="Arial" w:hAnsi="Arial" w:cs="Arial"/>
          <w:sz w:val="20"/>
        </w:rPr>
        <w:t xml:space="preserve"> drugega jezika Unije v obsegu, ki omogoča opravljanje dela;</w:t>
      </w:r>
    </w:p>
    <w:p w14:paraId="053CC26A" w14:textId="77777777" w:rsidR="00D45AF4" w:rsidRPr="008B2E75" w:rsidRDefault="00D45AF4" w:rsidP="006E0B4C">
      <w:pPr>
        <w:numPr>
          <w:ilvl w:val="0"/>
          <w:numId w:val="8"/>
        </w:numPr>
        <w:spacing w:line="260" w:lineRule="atLeast"/>
        <w:ind w:hanging="720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 xml:space="preserve">v času imenovanja za evropskega </w:t>
      </w:r>
      <w:r w:rsidR="001A635C" w:rsidRPr="008B2E75">
        <w:rPr>
          <w:rFonts w:ascii="Arial" w:hAnsi="Arial" w:cs="Arial"/>
          <w:sz w:val="20"/>
        </w:rPr>
        <w:t xml:space="preserve">delegiranega </w:t>
      </w:r>
      <w:r w:rsidRPr="008B2E75">
        <w:rPr>
          <w:rFonts w:ascii="Arial" w:hAnsi="Arial" w:cs="Arial"/>
          <w:sz w:val="20"/>
        </w:rPr>
        <w:t>tožilca ne bo starejši od 60 let.</w:t>
      </w:r>
    </w:p>
    <w:p w14:paraId="06FB0FC3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6898689B" w14:textId="77777777" w:rsidR="00D45AF4" w:rsidRPr="008B2E75" w:rsidRDefault="00D45AF4" w:rsidP="00D45AF4">
      <w:pPr>
        <w:spacing w:line="260" w:lineRule="atLeast"/>
        <w:rPr>
          <w:rFonts w:ascii="Arial" w:hAnsi="Arial" w:cs="Arial"/>
          <w:sz w:val="20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lastRenderedPageBreak/>
        <w:t xml:space="preserve">Prijavi je potrebno predložiti dokazila, s katerimi se izkazuje izpolnjevanje pogojev, določenih s Kadrovskimi predpisi EU in posebnimi pogoji iz </w:t>
      </w:r>
      <w:r w:rsidRPr="008B2E75">
        <w:rPr>
          <w:rFonts w:ascii="Arial" w:hAnsi="Arial" w:cs="Arial"/>
          <w:sz w:val="20"/>
        </w:rPr>
        <w:t>Uredbe 2017/1939/EU, in sicer:</w:t>
      </w:r>
    </w:p>
    <w:p w14:paraId="39F1E810" w14:textId="77777777" w:rsidR="00D45AF4" w:rsidRPr="008B2E75" w:rsidRDefault="00D45AF4" w:rsidP="006E0B4C">
      <w:pPr>
        <w:numPr>
          <w:ilvl w:val="0"/>
          <w:numId w:val="9"/>
        </w:numPr>
        <w:spacing w:line="260" w:lineRule="atLeast"/>
        <w:ind w:hanging="720"/>
        <w:rPr>
          <w:rFonts w:ascii="Arial" w:hAnsi="Arial" w:cs="Arial"/>
          <w:sz w:val="20"/>
        </w:rPr>
      </w:pPr>
      <w:r w:rsidRPr="008B2E75">
        <w:rPr>
          <w:rFonts w:ascii="Arial" w:hAnsi="Arial" w:cs="Arial"/>
          <w:sz w:val="20"/>
        </w:rPr>
        <w:t>izpisek iz Matičnega registra o rojstvu oziroma izjavo, s katero se za namen tega postopka dovoljuje njegova pridobitev Ministrstvu za pravosodje po uradni dolžnosti;</w:t>
      </w:r>
    </w:p>
    <w:p w14:paraId="10607AEB" w14:textId="77777777" w:rsidR="00D45AF4" w:rsidRPr="008B2E75" w:rsidRDefault="00D45AF4" w:rsidP="006E0B4C">
      <w:pPr>
        <w:numPr>
          <w:ilvl w:val="0"/>
          <w:numId w:val="9"/>
        </w:numPr>
        <w:spacing w:line="260" w:lineRule="atLeast"/>
        <w:ind w:hanging="720"/>
        <w:rPr>
          <w:rFonts w:ascii="Arial" w:hAnsi="Arial" w:cs="Arial"/>
          <w:color w:val="000000"/>
          <w:sz w:val="20"/>
          <w:lang w:eastAsia="en-US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t>potrdilo o opravljenem služenju vojaškega roka oziroma ureditvi služenja vojaškega roka ali izjava, da je bilo obvezno služenje vojaškega roka v Republiki Sloveniji odpravljeno pred nastopom kandidatove obveznosti;</w:t>
      </w:r>
    </w:p>
    <w:p w14:paraId="60583953" w14:textId="77777777" w:rsidR="00D45AF4" w:rsidRPr="008B2E75" w:rsidRDefault="00D45AF4" w:rsidP="006E0B4C">
      <w:pPr>
        <w:numPr>
          <w:ilvl w:val="0"/>
          <w:numId w:val="9"/>
        </w:numPr>
        <w:spacing w:line="260" w:lineRule="atLeast"/>
        <w:ind w:hanging="720"/>
        <w:rPr>
          <w:rFonts w:ascii="Arial" w:hAnsi="Arial" w:cs="Arial"/>
          <w:color w:val="000000"/>
          <w:sz w:val="20"/>
          <w:lang w:eastAsia="en-US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t xml:space="preserve">dokazila, ki dokazujejo primernost za opravljanje dela (npr. zadnja ocena </w:t>
      </w:r>
      <w:proofErr w:type="spellStart"/>
      <w:r w:rsidRPr="008B2E75">
        <w:rPr>
          <w:rFonts w:ascii="Arial" w:hAnsi="Arial" w:cs="Arial"/>
          <w:color w:val="000000"/>
          <w:sz w:val="20"/>
          <w:lang w:eastAsia="en-US"/>
        </w:rPr>
        <w:t>državnotožilske</w:t>
      </w:r>
      <w:proofErr w:type="spellEnd"/>
      <w:r w:rsidRPr="008B2E75">
        <w:rPr>
          <w:rFonts w:ascii="Arial" w:hAnsi="Arial" w:cs="Arial"/>
          <w:color w:val="000000"/>
          <w:sz w:val="20"/>
          <w:lang w:eastAsia="en-US"/>
        </w:rPr>
        <w:t xml:space="preserve"> službe);</w:t>
      </w:r>
    </w:p>
    <w:p w14:paraId="339C0895" w14:textId="63D0A348" w:rsidR="00D45AF4" w:rsidRDefault="003F7721" w:rsidP="006E0B4C">
      <w:pPr>
        <w:numPr>
          <w:ilvl w:val="0"/>
          <w:numId w:val="9"/>
        </w:numPr>
        <w:spacing w:line="260" w:lineRule="atLeast"/>
        <w:ind w:hanging="720"/>
        <w:rPr>
          <w:rFonts w:ascii="Arial" w:hAnsi="Arial" w:cs="Arial"/>
          <w:color w:val="000000"/>
          <w:sz w:val="20"/>
          <w:lang w:eastAsia="en-US"/>
        </w:rPr>
      </w:pPr>
      <w:r w:rsidRPr="003F7721">
        <w:rPr>
          <w:rFonts w:ascii="Arial" w:hAnsi="Arial" w:cs="Arial"/>
          <w:color w:val="000000"/>
          <w:sz w:val="20"/>
          <w:lang w:eastAsia="en-US"/>
        </w:rPr>
        <w:t xml:space="preserve">dokazila </w:t>
      </w:r>
      <w:r w:rsidRPr="003F7721">
        <w:rPr>
          <w:rFonts w:ascii="Arial" w:hAnsi="Arial" w:cs="Arial"/>
          <w:sz w:val="20"/>
        </w:rPr>
        <w:t xml:space="preserve">o temeljitem znanju </w:t>
      </w:r>
      <w:r w:rsidRPr="003F7721">
        <w:rPr>
          <w:rFonts w:ascii="Arial" w:hAnsi="Arial" w:cs="Arial"/>
          <w:color w:val="000000"/>
          <w:sz w:val="20"/>
          <w:shd w:val="clear" w:color="auto" w:fill="FFFFFF"/>
        </w:rPr>
        <w:t xml:space="preserve">delovnega jezika </w:t>
      </w:r>
      <w:r w:rsidRPr="008B2E75">
        <w:rPr>
          <w:rFonts w:ascii="Arial" w:hAnsi="Arial" w:cs="Arial"/>
          <w:color w:val="000000"/>
          <w:sz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hd w:val="clear" w:color="auto" w:fill="FFFFFF"/>
        </w:rPr>
        <w:t>vropskega javnega tožilstva</w:t>
      </w:r>
      <w:r w:rsidRPr="008B2E7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3F7721">
        <w:rPr>
          <w:rFonts w:ascii="Arial" w:hAnsi="Arial" w:cs="Arial"/>
          <w:color w:val="000000"/>
          <w:sz w:val="20"/>
          <w:shd w:val="clear" w:color="auto" w:fill="FFFFFF"/>
        </w:rPr>
        <w:t>(najmanj na ravni C1</w:t>
      </w:r>
      <w:r w:rsidRPr="003F7721">
        <w:rPr>
          <w:rFonts w:ascii="Arial" w:hAnsi="Arial" w:cs="Arial"/>
          <w:sz w:val="20"/>
        </w:rPr>
        <w:t xml:space="preserve"> Skupnega evropskega jezikovnega okvira</w:t>
      </w:r>
      <w:r>
        <w:rPr>
          <w:rFonts w:ascii="Arial" w:hAnsi="Arial" w:cs="Arial"/>
          <w:sz w:val="20"/>
        </w:rPr>
        <w:t xml:space="preserve">) in </w:t>
      </w:r>
      <w:r w:rsidRPr="003F7721">
        <w:rPr>
          <w:rFonts w:ascii="Arial" w:hAnsi="Arial" w:cs="Arial"/>
          <w:sz w:val="20"/>
        </w:rPr>
        <w:t>o zadovoljivem znanju drugega jezika Unije v obsegu, ki omogoča opravljanje dela</w:t>
      </w:r>
      <w:r w:rsidR="00D45AF4" w:rsidRPr="008B2E75">
        <w:rPr>
          <w:rFonts w:ascii="Arial" w:hAnsi="Arial" w:cs="Arial"/>
          <w:color w:val="000000"/>
          <w:sz w:val="20"/>
          <w:lang w:eastAsia="en-US"/>
        </w:rPr>
        <w:t>;</w:t>
      </w:r>
    </w:p>
    <w:p w14:paraId="04021765" w14:textId="0DEF237A" w:rsidR="00D45AF4" w:rsidRPr="003F7721" w:rsidRDefault="003F7721" w:rsidP="003F7721">
      <w:pPr>
        <w:numPr>
          <w:ilvl w:val="0"/>
          <w:numId w:val="9"/>
        </w:numPr>
        <w:spacing w:line="260" w:lineRule="atLeast"/>
        <w:ind w:hanging="720"/>
        <w:rPr>
          <w:rFonts w:ascii="Arial" w:hAnsi="Arial" w:cs="Arial"/>
          <w:color w:val="000000"/>
          <w:sz w:val="20"/>
          <w:lang w:eastAsia="en-US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t>dokazilo o splošni zdravstveni zmožnosti, ki na dan objave poziva ni starejše od šestih mesecev</w:t>
      </w:r>
      <w:r w:rsidR="00D45AF4" w:rsidRPr="003F7721">
        <w:rPr>
          <w:rFonts w:ascii="Arial" w:hAnsi="Arial" w:cs="Arial"/>
          <w:sz w:val="20"/>
        </w:rPr>
        <w:t>.</w:t>
      </w:r>
    </w:p>
    <w:p w14:paraId="5F483A4F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70F1C083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t>Rok za vložitev kandidatur se izteče 15 dni po objavi javnega poziva.</w:t>
      </w:r>
    </w:p>
    <w:p w14:paraId="05735D4D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35CF0241" w14:textId="4AD0ED03" w:rsidR="00D45AF4" w:rsidRPr="008B2E75" w:rsidRDefault="00D45AF4" w:rsidP="00D45AF4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suppressAutoHyphens/>
        <w:rPr>
          <w:rFonts w:ascii="Arial" w:hAnsi="Arial" w:cs="Arial"/>
          <w:spacing w:val="-3"/>
          <w:sz w:val="20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t xml:space="preserve">Pisne prijave se pošlje </w:t>
      </w:r>
      <w:r w:rsidRPr="008B2E75">
        <w:rPr>
          <w:rFonts w:ascii="Arial" w:hAnsi="Arial" w:cs="Arial"/>
          <w:sz w:val="20"/>
          <w:lang w:eastAsia="en-US"/>
        </w:rPr>
        <w:t>na naslov: Ministrstvo za pravosodje, Sektor za pravosodno upravo, Župančičeva</w:t>
      </w:r>
      <w:r w:rsidR="008B2E75">
        <w:rPr>
          <w:rFonts w:ascii="Arial" w:hAnsi="Arial" w:cs="Arial"/>
          <w:sz w:val="20"/>
          <w:lang w:eastAsia="en-US"/>
        </w:rPr>
        <w:t xml:space="preserve"> ulica</w:t>
      </w:r>
      <w:r w:rsidRPr="008B2E75">
        <w:rPr>
          <w:rFonts w:ascii="Arial" w:hAnsi="Arial" w:cs="Arial"/>
          <w:sz w:val="20"/>
          <w:lang w:eastAsia="en-US"/>
        </w:rPr>
        <w:t xml:space="preserve"> 3, 1000</w:t>
      </w:r>
      <w:r w:rsidR="00DB5DB5">
        <w:rPr>
          <w:rFonts w:ascii="Arial" w:hAnsi="Arial" w:cs="Arial"/>
          <w:sz w:val="20"/>
          <w:lang w:eastAsia="en-US"/>
        </w:rPr>
        <w:t>,</w:t>
      </w:r>
      <w:r w:rsidRPr="008B2E75">
        <w:rPr>
          <w:rFonts w:ascii="Arial" w:hAnsi="Arial" w:cs="Arial"/>
          <w:sz w:val="20"/>
          <w:lang w:eastAsia="en-US"/>
        </w:rPr>
        <w:t xml:space="preserve"> Ljubljana s pripisom </w:t>
      </w:r>
      <w:r w:rsidR="00DB5DB5">
        <w:rPr>
          <w:rFonts w:ascii="Arial" w:hAnsi="Arial" w:cs="Arial"/>
          <w:sz w:val="20"/>
          <w:lang w:eastAsia="en-US"/>
        </w:rPr>
        <w:t>»</w:t>
      </w:r>
      <w:r w:rsidRPr="008B2E75">
        <w:rPr>
          <w:rFonts w:ascii="Arial" w:hAnsi="Arial" w:cs="Arial"/>
          <w:sz w:val="20"/>
          <w:lang w:eastAsia="en-US"/>
        </w:rPr>
        <w:t>Prijava</w:t>
      </w:r>
      <w:r w:rsidR="00405699">
        <w:rPr>
          <w:rFonts w:ascii="Arial" w:hAnsi="Arial" w:cs="Arial"/>
          <w:sz w:val="20"/>
          <w:lang w:eastAsia="en-US"/>
        </w:rPr>
        <w:t xml:space="preserve"> – javni poziv št. </w:t>
      </w:r>
      <w:r w:rsidR="00617E52">
        <w:rPr>
          <w:rFonts w:ascii="Arial" w:hAnsi="Arial" w:cs="Arial"/>
          <w:sz w:val="20"/>
          <w:lang w:eastAsia="en-US"/>
        </w:rPr>
        <w:t>701-40/2021</w:t>
      </w:r>
      <w:r w:rsidR="00DB5DB5">
        <w:rPr>
          <w:rFonts w:ascii="Arial" w:hAnsi="Arial" w:cs="Arial"/>
          <w:sz w:val="20"/>
          <w:lang w:eastAsia="en-US"/>
        </w:rPr>
        <w:t>«</w:t>
      </w:r>
      <w:r w:rsidRPr="008B2E75">
        <w:rPr>
          <w:rFonts w:ascii="Arial" w:hAnsi="Arial" w:cs="Arial"/>
          <w:sz w:val="20"/>
          <w:lang w:eastAsia="en-US"/>
        </w:rPr>
        <w:t>.</w:t>
      </w:r>
    </w:p>
    <w:p w14:paraId="619642B1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5C895A4A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  <w:r w:rsidRPr="008B2E75">
        <w:rPr>
          <w:rFonts w:ascii="Arial" w:hAnsi="Arial" w:cs="Arial"/>
          <w:color w:val="000000"/>
          <w:sz w:val="20"/>
          <w:lang w:eastAsia="en-US"/>
        </w:rPr>
        <w:t>V besedilu javnega poziva uporabljeni izrazi, zapisani v moški slovnični obliki, so uporabljeni kot nevtralni za ženske in moške.</w:t>
      </w:r>
    </w:p>
    <w:p w14:paraId="1C59A87E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36A1BAEC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758CBEB5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337D10D4" w14:textId="77777777" w:rsidR="00D45AF4" w:rsidRPr="008B2E75" w:rsidRDefault="00D45AF4" w:rsidP="00D45AF4">
      <w:pPr>
        <w:spacing w:line="260" w:lineRule="atLeast"/>
        <w:rPr>
          <w:rFonts w:ascii="Arial" w:hAnsi="Arial" w:cs="Arial"/>
          <w:color w:val="000000"/>
          <w:sz w:val="20"/>
          <w:lang w:eastAsia="en-US"/>
        </w:rPr>
      </w:pPr>
    </w:p>
    <w:p w14:paraId="5FFB5E38" w14:textId="77777777" w:rsidR="00D45AF4" w:rsidRPr="008B2E75" w:rsidRDefault="00D45AF4" w:rsidP="00D45AF4">
      <w:pPr>
        <w:spacing w:line="260" w:lineRule="atLeast"/>
        <w:ind w:left="4956"/>
        <w:rPr>
          <w:rFonts w:ascii="Arial" w:hAnsi="Arial" w:cs="Arial"/>
          <w:b/>
          <w:sz w:val="20"/>
          <w:lang w:eastAsia="en-US"/>
        </w:rPr>
      </w:pPr>
      <w:r w:rsidRPr="008B2E75">
        <w:rPr>
          <w:rFonts w:ascii="Arial" w:hAnsi="Arial" w:cs="Arial"/>
          <w:b/>
          <w:color w:val="000000"/>
          <w:sz w:val="20"/>
          <w:lang w:eastAsia="en-US"/>
        </w:rPr>
        <w:t>Ministrstvo za pravosodje</w:t>
      </w:r>
    </w:p>
    <w:p w14:paraId="495A75F1" w14:textId="77777777" w:rsidR="007D75CF" w:rsidRPr="008B2E75" w:rsidRDefault="007D75CF" w:rsidP="00D45AF4">
      <w:pPr>
        <w:rPr>
          <w:rFonts w:ascii="Arial" w:hAnsi="Arial" w:cs="Arial"/>
          <w:sz w:val="20"/>
        </w:rPr>
      </w:pPr>
    </w:p>
    <w:sectPr w:rsidR="007D75CF" w:rsidRPr="008B2E75" w:rsidSect="00030F8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95047" w14:textId="77777777" w:rsidR="00177CE8" w:rsidRDefault="00177CE8">
      <w:r>
        <w:separator/>
      </w:r>
    </w:p>
  </w:endnote>
  <w:endnote w:type="continuationSeparator" w:id="0">
    <w:p w14:paraId="3BA898EA" w14:textId="77777777" w:rsidR="00177CE8" w:rsidRDefault="0017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B0279" w14:textId="77777777" w:rsidR="00D34769" w:rsidRDefault="00D347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91A3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8E1DDD" w14:textId="77777777" w:rsidR="00F72335" w:rsidRDefault="00F7233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A873" w14:textId="77777777" w:rsidR="00D34769" w:rsidRDefault="00D347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740A2" w14:textId="77777777" w:rsidR="00177CE8" w:rsidRDefault="00177CE8">
      <w:r>
        <w:separator/>
      </w:r>
    </w:p>
  </w:footnote>
  <w:footnote w:type="continuationSeparator" w:id="0">
    <w:p w14:paraId="4566EF53" w14:textId="77777777" w:rsidR="00177CE8" w:rsidRDefault="0017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B735" w14:textId="77777777" w:rsidR="00D34769" w:rsidRDefault="00D347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104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3C52AE9" w14:textId="77777777">
      <w:trPr>
        <w:cantSplit/>
        <w:trHeight w:hRule="exact" w:val="847"/>
      </w:trPr>
      <w:tc>
        <w:tcPr>
          <w:tcW w:w="567" w:type="dxa"/>
        </w:tcPr>
        <w:p w14:paraId="1A6730BB" w14:textId="77777777" w:rsidR="002A2B69" w:rsidRPr="008F3500" w:rsidRDefault="001A666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D66921A" wp14:editId="32FFA5D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BFDDD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E0BF03B" w14:textId="77777777" w:rsidR="00A0589E" w:rsidRDefault="00A0589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B0BDB20" w14:textId="77777777" w:rsidR="00D34769" w:rsidRPr="00D45AF4" w:rsidRDefault="001A666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8A245E" wp14:editId="12A1D5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F8B">
      <w:rPr>
        <w:rFonts w:cs="Arial"/>
        <w:sz w:val="16"/>
      </w:rPr>
      <w:t xml:space="preserve">Župančičeva </w:t>
    </w:r>
    <w:r w:rsidR="00A0589E">
      <w:rPr>
        <w:rFonts w:cs="Arial"/>
        <w:sz w:val="16"/>
      </w:rPr>
      <w:t xml:space="preserve">ulica </w:t>
    </w:r>
    <w:r w:rsidR="00030F8B">
      <w:rPr>
        <w:rFonts w:cs="Arial"/>
        <w:sz w:val="16"/>
      </w:rPr>
      <w:t>3</w:t>
    </w:r>
    <w:r w:rsidR="00A770A6" w:rsidRPr="008F3500">
      <w:rPr>
        <w:rFonts w:cs="Arial"/>
        <w:sz w:val="16"/>
      </w:rPr>
      <w:t xml:space="preserve">, </w:t>
    </w:r>
    <w:r w:rsidR="00030F8B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</w:r>
    <w:r w:rsidR="00A0589E" w:rsidRPr="00D45AF4">
      <w:rPr>
        <w:sz w:val="16"/>
        <w:szCs w:val="16"/>
        <w:lang w:val="it-IT"/>
      </w:rPr>
      <w:t xml:space="preserve">T: </w:t>
    </w:r>
    <w:r w:rsidR="00D34769" w:rsidRPr="00D45AF4">
      <w:rPr>
        <w:sz w:val="16"/>
        <w:szCs w:val="16"/>
        <w:lang w:val="it-IT"/>
      </w:rPr>
      <w:t xml:space="preserve">01 </w:t>
    </w:r>
    <w:r w:rsidR="00D34769" w:rsidRPr="00D34769">
      <w:rPr>
        <w:rFonts w:cs="Arial"/>
        <w:sz w:val="16"/>
      </w:rPr>
      <w:t>369</w:t>
    </w:r>
    <w:r w:rsidR="00D34769" w:rsidRPr="00D45AF4">
      <w:rPr>
        <w:sz w:val="16"/>
        <w:szCs w:val="16"/>
        <w:lang w:val="it-IT"/>
      </w:rPr>
      <w:t xml:space="preserve"> 53</w:t>
    </w:r>
    <w:r w:rsidR="00A0589E" w:rsidRPr="00D45AF4">
      <w:rPr>
        <w:sz w:val="16"/>
        <w:szCs w:val="16"/>
        <w:lang w:val="it-IT"/>
      </w:rPr>
      <w:t xml:space="preserve"> </w:t>
    </w:r>
    <w:r w:rsidR="00D34769" w:rsidRPr="00D45AF4">
      <w:rPr>
        <w:sz w:val="16"/>
        <w:szCs w:val="16"/>
        <w:lang w:val="it-IT"/>
      </w:rPr>
      <w:t>42</w:t>
    </w:r>
  </w:p>
  <w:p w14:paraId="40E256B5" w14:textId="77777777" w:rsidR="00A770A6" w:rsidRPr="00D34769" w:rsidRDefault="00A770A6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D34769">
      <w:rPr>
        <w:rFonts w:cs="Arial"/>
        <w:sz w:val="16"/>
        <w:szCs w:val="16"/>
      </w:rPr>
      <w:tab/>
    </w:r>
    <w:r w:rsidR="00D34769" w:rsidRPr="00D45AF4">
      <w:rPr>
        <w:sz w:val="16"/>
        <w:szCs w:val="16"/>
        <w:lang w:val="it-IT"/>
      </w:rPr>
      <w:t>F: 01 369 57</w:t>
    </w:r>
    <w:r w:rsidR="00A0589E" w:rsidRPr="00D45AF4">
      <w:rPr>
        <w:sz w:val="16"/>
        <w:szCs w:val="16"/>
        <w:lang w:val="it-IT"/>
      </w:rPr>
      <w:t xml:space="preserve"> </w:t>
    </w:r>
    <w:r w:rsidR="00D34769" w:rsidRPr="00D45AF4">
      <w:rPr>
        <w:sz w:val="16"/>
        <w:szCs w:val="16"/>
        <w:lang w:val="it-IT"/>
      </w:rPr>
      <w:t>83</w:t>
    </w:r>
  </w:p>
  <w:p w14:paraId="46252FC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30F8B">
      <w:rPr>
        <w:rFonts w:cs="Arial"/>
        <w:sz w:val="16"/>
      </w:rPr>
      <w:t>gp.mp@gov.si</w:t>
    </w:r>
  </w:p>
  <w:p w14:paraId="1BA7A158" w14:textId="77777777" w:rsidR="00A770A6" w:rsidRDefault="00A770A6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622D9">
      <w:rPr>
        <w:rFonts w:cs="Arial"/>
        <w:sz w:val="16"/>
      </w:rPr>
      <w:tab/>
    </w:r>
    <w:r w:rsidR="00250208" w:rsidRPr="00A0589E">
      <w:rPr>
        <w:rFonts w:cs="Arial"/>
        <w:sz w:val="16"/>
      </w:rPr>
      <w:t>www.mp.gov.si</w:t>
    </w:r>
  </w:p>
  <w:p w14:paraId="08E56698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639D7C7B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2BBD5B6B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1A68DE75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442AE607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3CC764DF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A2924"/>
    <w:multiLevelType w:val="hybridMultilevel"/>
    <w:tmpl w:val="147E68FC"/>
    <w:lvl w:ilvl="0" w:tplc="4C76C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32BE4"/>
    <w:multiLevelType w:val="hybridMultilevel"/>
    <w:tmpl w:val="F4C827BE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628F0"/>
    <w:multiLevelType w:val="hybridMultilevel"/>
    <w:tmpl w:val="8D28C832"/>
    <w:lvl w:ilvl="0" w:tplc="34DEA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12677F"/>
    <w:multiLevelType w:val="hybridMultilevel"/>
    <w:tmpl w:val="51A6D9B6"/>
    <w:lvl w:ilvl="0" w:tplc="5238B0D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4"/>
    <w:rsid w:val="00023A88"/>
    <w:rsid w:val="00030F8B"/>
    <w:rsid w:val="000335A6"/>
    <w:rsid w:val="00083437"/>
    <w:rsid w:val="0009790F"/>
    <w:rsid w:val="000A7238"/>
    <w:rsid w:val="000E49B8"/>
    <w:rsid w:val="000E62F4"/>
    <w:rsid w:val="001357B2"/>
    <w:rsid w:val="0017478F"/>
    <w:rsid w:val="00177CE8"/>
    <w:rsid w:val="00184B2C"/>
    <w:rsid w:val="00185FC6"/>
    <w:rsid w:val="001865D7"/>
    <w:rsid w:val="001A635C"/>
    <w:rsid w:val="001A666E"/>
    <w:rsid w:val="001C497B"/>
    <w:rsid w:val="00202A77"/>
    <w:rsid w:val="00225740"/>
    <w:rsid w:val="00250208"/>
    <w:rsid w:val="00271CE5"/>
    <w:rsid w:val="00271D3A"/>
    <w:rsid w:val="00271E2A"/>
    <w:rsid w:val="00282020"/>
    <w:rsid w:val="002A2B69"/>
    <w:rsid w:val="003130D8"/>
    <w:rsid w:val="003636BF"/>
    <w:rsid w:val="00371442"/>
    <w:rsid w:val="00381B4B"/>
    <w:rsid w:val="003845B4"/>
    <w:rsid w:val="00387B1A"/>
    <w:rsid w:val="003C5EE5"/>
    <w:rsid w:val="003C6E19"/>
    <w:rsid w:val="003E1C74"/>
    <w:rsid w:val="003F7721"/>
    <w:rsid w:val="00405699"/>
    <w:rsid w:val="004112E2"/>
    <w:rsid w:val="00412E88"/>
    <w:rsid w:val="00431C43"/>
    <w:rsid w:val="004657EE"/>
    <w:rsid w:val="00483A7E"/>
    <w:rsid w:val="00496086"/>
    <w:rsid w:val="004A436A"/>
    <w:rsid w:val="004B70EF"/>
    <w:rsid w:val="00526246"/>
    <w:rsid w:val="00526F41"/>
    <w:rsid w:val="00567106"/>
    <w:rsid w:val="00590F99"/>
    <w:rsid w:val="005C6B70"/>
    <w:rsid w:val="005E1D3C"/>
    <w:rsid w:val="0060691D"/>
    <w:rsid w:val="00617E52"/>
    <w:rsid w:val="00625AE6"/>
    <w:rsid w:val="00632253"/>
    <w:rsid w:val="00642714"/>
    <w:rsid w:val="006455CE"/>
    <w:rsid w:val="00655841"/>
    <w:rsid w:val="00674CE2"/>
    <w:rsid w:val="006E0B4C"/>
    <w:rsid w:val="00733017"/>
    <w:rsid w:val="00743F56"/>
    <w:rsid w:val="00746492"/>
    <w:rsid w:val="0075487C"/>
    <w:rsid w:val="00766B2F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B2E75"/>
    <w:rsid w:val="008C5738"/>
    <w:rsid w:val="008D04F0"/>
    <w:rsid w:val="008D3301"/>
    <w:rsid w:val="008F3500"/>
    <w:rsid w:val="00924E3C"/>
    <w:rsid w:val="00934F56"/>
    <w:rsid w:val="00947DEF"/>
    <w:rsid w:val="00955FA5"/>
    <w:rsid w:val="009612BB"/>
    <w:rsid w:val="00972C94"/>
    <w:rsid w:val="00987305"/>
    <w:rsid w:val="009A5B96"/>
    <w:rsid w:val="009C115A"/>
    <w:rsid w:val="009C4F8F"/>
    <w:rsid w:val="009C740A"/>
    <w:rsid w:val="009D3A12"/>
    <w:rsid w:val="009F58E7"/>
    <w:rsid w:val="00A0589E"/>
    <w:rsid w:val="00A125C5"/>
    <w:rsid w:val="00A2451C"/>
    <w:rsid w:val="00A57B0A"/>
    <w:rsid w:val="00A65EE7"/>
    <w:rsid w:val="00A70133"/>
    <w:rsid w:val="00A7649B"/>
    <w:rsid w:val="00A770A6"/>
    <w:rsid w:val="00A813B1"/>
    <w:rsid w:val="00AB36C4"/>
    <w:rsid w:val="00AC1221"/>
    <w:rsid w:val="00AC32B2"/>
    <w:rsid w:val="00AC7353"/>
    <w:rsid w:val="00B123FC"/>
    <w:rsid w:val="00B17141"/>
    <w:rsid w:val="00B25C66"/>
    <w:rsid w:val="00B31575"/>
    <w:rsid w:val="00B405C3"/>
    <w:rsid w:val="00B42DA0"/>
    <w:rsid w:val="00B45868"/>
    <w:rsid w:val="00B51FD0"/>
    <w:rsid w:val="00B8547D"/>
    <w:rsid w:val="00BE0682"/>
    <w:rsid w:val="00C250D5"/>
    <w:rsid w:val="00C35666"/>
    <w:rsid w:val="00C52779"/>
    <w:rsid w:val="00C5599A"/>
    <w:rsid w:val="00C5607B"/>
    <w:rsid w:val="00C92898"/>
    <w:rsid w:val="00CA4340"/>
    <w:rsid w:val="00CC33F8"/>
    <w:rsid w:val="00CD00FA"/>
    <w:rsid w:val="00CE5238"/>
    <w:rsid w:val="00CE7514"/>
    <w:rsid w:val="00D248DE"/>
    <w:rsid w:val="00D34769"/>
    <w:rsid w:val="00D378D2"/>
    <w:rsid w:val="00D45AF4"/>
    <w:rsid w:val="00D679F4"/>
    <w:rsid w:val="00D8542D"/>
    <w:rsid w:val="00DB5DB5"/>
    <w:rsid w:val="00DC6A71"/>
    <w:rsid w:val="00E0357D"/>
    <w:rsid w:val="00E71D90"/>
    <w:rsid w:val="00E941CF"/>
    <w:rsid w:val="00ED1C3E"/>
    <w:rsid w:val="00EF0BAE"/>
    <w:rsid w:val="00F03C2E"/>
    <w:rsid w:val="00F1678C"/>
    <w:rsid w:val="00F240BB"/>
    <w:rsid w:val="00F45249"/>
    <w:rsid w:val="00F57FED"/>
    <w:rsid w:val="00F622D9"/>
    <w:rsid w:val="00F72335"/>
    <w:rsid w:val="00F745C1"/>
    <w:rsid w:val="00FC36E5"/>
    <w:rsid w:val="00FD1F7A"/>
    <w:rsid w:val="00FD2EE8"/>
    <w:rsid w:val="00FE346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9614C3"/>
  <w15:chartTrackingRefBased/>
  <w15:docId w15:val="{EDDDD5B2-A31E-4B41-9BDD-1D864D0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45AF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customStyle="1" w:styleId="CharChar1">
    <w:name w:val="Char Char1"/>
    <w:basedOn w:val="Navaden"/>
    <w:rsid w:val="00D45AF4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D2EE8"/>
    <w:pPr>
      <w:ind w:left="720"/>
      <w:contextualSpacing/>
    </w:pPr>
  </w:style>
  <w:style w:type="character" w:styleId="Pripombasklic">
    <w:name w:val="annotation reference"/>
    <w:basedOn w:val="Privzetapisavaodstavka"/>
    <w:rsid w:val="00431C4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31C4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31C43"/>
  </w:style>
  <w:style w:type="paragraph" w:styleId="Zadevapripombe">
    <w:name w:val="annotation subject"/>
    <w:basedOn w:val="Pripombabesedilo"/>
    <w:next w:val="Pripombabesedilo"/>
    <w:link w:val="ZadevapripombeZnak"/>
    <w:rsid w:val="00431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3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2-01-0815" TargetMode="External"/><Relationship Id="rId13" Type="http://schemas.openxmlformats.org/officeDocument/2006/relationships/hyperlink" Target="http://www.uradni-list.si/1/objava.jsp?sop=2015-01-071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radni-list.si/1/objava.jsp?sop=2011-01-2713" TargetMode="External"/><Relationship Id="rId12" Type="http://schemas.openxmlformats.org/officeDocument/2006/relationships/hyperlink" Target="http://www.uradni-list.si/1/objava.jsp?sop=2013-01-1858" TargetMode="External"/><Relationship Id="rId17" Type="http://schemas.openxmlformats.org/officeDocument/2006/relationships/hyperlink" Target="http://www.uradni-list.si/1/objava.jsp?sop=2021-01-10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0-01-245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178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9-01-1626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uradni-list.si/1/objava.jsp?sop=2013-01-043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1958" TargetMode="External"/><Relationship Id="rId14" Type="http://schemas.openxmlformats.org/officeDocument/2006/relationships/hyperlink" Target="http://www.uradni-list.si/1/objava.jsp?sop=2017-01-1205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P\PREDLOGE\Glave%20ministrstva\0_M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0_MP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Gerečnik</dc:creator>
  <cp:keywords/>
  <cp:lastModifiedBy>Alenka Štigl</cp:lastModifiedBy>
  <cp:revision>2</cp:revision>
  <cp:lastPrinted>2021-07-07T12:33:00Z</cp:lastPrinted>
  <dcterms:created xsi:type="dcterms:W3CDTF">2021-07-09T12:09:00Z</dcterms:created>
  <dcterms:modified xsi:type="dcterms:W3CDTF">2021-07-09T12:09:00Z</dcterms:modified>
</cp:coreProperties>
</file>