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4550A" w14:textId="77777777" w:rsidR="00516CEE" w:rsidRPr="00324CAF" w:rsidRDefault="00516CEE" w:rsidP="00516CEE">
      <w:pPr>
        <w:rPr>
          <w:rFonts w:ascii="Arial" w:eastAsia="Calibri" w:hAnsi="Arial"/>
          <w:bCs/>
          <w:sz w:val="22"/>
        </w:rPr>
      </w:pPr>
    </w:p>
    <w:p w14:paraId="376A5575" w14:textId="77777777" w:rsidR="00324CAF" w:rsidRPr="00324CAF" w:rsidRDefault="00324CAF" w:rsidP="00324CAF">
      <w:pPr>
        <w:rPr>
          <w:rFonts w:ascii="Arial" w:eastAsia="Calibri" w:hAnsi="Arial"/>
          <w:bCs/>
          <w:sz w:val="22"/>
        </w:rPr>
      </w:pPr>
      <w:r w:rsidRPr="00324CAF">
        <w:rPr>
          <w:rFonts w:ascii="Arial" w:eastAsia="Calibri" w:hAnsi="Arial"/>
          <w:bCs/>
          <w:sz w:val="22"/>
        </w:rPr>
        <w:t>Sporočilo za javnost</w:t>
      </w:r>
    </w:p>
    <w:p w14:paraId="3245D36C" w14:textId="77777777" w:rsidR="00324CAF" w:rsidRPr="00324CAF" w:rsidRDefault="00324CAF" w:rsidP="00324CAF">
      <w:pPr>
        <w:rPr>
          <w:rFonts w:ascii="Arial" w:eastAsia="Calibri" w:hAnsi="Arial"/>
          <w:bCs/>
          <w:sz w:val="22"/>
        </w:rPr>
      </w:pPr>
    </w:p>
    <w:p w14:paraId="055D4A17" w14:textId="77777777" w:rsidR="00324CAF" w:rsidRPr="00324CAF" w:rsidRDefault="00324CAF" w:rsidP="00324CAF">
      <w:pPr>
        <w:rPr>
          <w:rFonts w:ascii="Arial" w:eastAsia="Calibri" w:hAnsi="Arial"/>
          <w:b/>
          <w:sz w:val="22"/>
        </w:rPr>
      </w:pPr>
      <w:r w:rsidRPr="00324CAF">
        <w:rPr>
          <w:rFonts w:ascii="Arial" w:eastAsia="Calibri" w:hAnsi="Arial"/>
          <w:b/>
          <w:sz w:val="22"/>
        </w:rPr>
        <w:t>Uspešno zaključena digitalizacija pravosodja v okviru Načrta za okrevanje in odpornost</w:t>
      </w:r>
    </w:p>
    <w:p w14:paraId="66F00D00" w14:textId="77777777" w:rsidR="00324CAF" w:rsidRPr="00324CAF" w:rsidRDefault="00324CAF" w:rsidP="00324CAF">
      <w:pPr>
        <w:rPr>
          <w:rFonts w:ascii="Arial" w:eastAsia="Calibri" w:hAnsi="Arial"/>
          <w:bCs/>
          <w:sz w:val="22"/>
        </w:rPr>
      </w:pPr>
    </w:p>
    <w:p w14:paraId="222F9F21" w14:textId="0E917D16" w:rsidR="00324CAF" w:rsidRPr="00324CAF" w:rsidRDefault="00324CAF" w:rsidP="00324CAF">
      <w:pPr>
        <w:rPr>
          <w:rFonts w:ascii="Arial" w:eastAsia="Calibri" w:hAnsi="Arial"/>
          <w:bCs/>
          <w:sz w:val="22"/>
        </w:rPr>
      </w:pPr>
      <w:r w:rsidRPr="00324CAF">
        <w:rPr>
          <w:rFonts w:ascii="Arial" w:eastAsia="Calibri" w:hAnsi="Arial"/>
          <w:bCs/>
          <w:sz w:val="22"/>
        </w:rPr>
        <w:t>Ministrstvo za pravosodje je kot nosilni organ v okviru Načrta za okrevanje in odpornost (NOO) uspešno zaključilo naložbo C2.K7.IN Digitalizacija pravosodja, ki predstavlja enega najpomembnejših korakov v digitalni preobrazbi slovenskega pravosodnega sistema. Z zaključkom vseh predvidenih aktivnosti je bil v celoti dosežen cilj T105, ki je predvideval vzpostavitev oziroma nadgradnjo 11 informacijskih sistemov</w:t>
      </w:r>
      <w:r>
        <w:rPr>
          <w:rFonts w:ascii="Arial" w:eastAsia="Calibri" w:hAnsi="Arial"/>
          <w:bCs/>
          <w:sz w:val="22"/>
        </w:rPr>
        <w:t xml:space="preserve"> ali</w:t>
      </w:r>
      <w:r w:rsidRPr="00324CAF">
        <w:rPr>
          <w:rFonts w:ascii="Arial" w:eastAsia="Calibri" w:hAnsi="Arial"/>
          <w:bCs/>
          <w:sz w:val="22"/>
        </w:rPr>
        <w:t xml:space="preserve"> e-storitev</w:t>
      </w:r>
      <w:r>
        <w:rPr>
          <w:rFonts w:ascii="Arial" w:eastAsia="Calibri" w:hAnsi="Arial"/>
          <w:bCs/>
          <w:sz w:val="22"/>
        </w:rPr>
        <w:t xml:space="preserve"> ali</w:t>
      </w:r>
      <w:r w:rsidRPr="00324CAF">
        <w:rPr>
          <w:rFonts w:ascii="Arial" w:eastAsia="Calibri" w:hAnsi="Arial"/>
          <w:bCs/>
          <w:sz w:val="22"/>
        </w:rPr>
        <w:t xml:space="preserve"> e-rešitev</w:t>
      </w:r>
      <w:r>
        <w:rPr>
          <w:rFonts w:ascii="Arial" w:eastAsia="Calibri" w:hAnsi="Arial"/>
          <w:bCs/>
          <w:sz w:val="22"/>
        </w:rPr>
        <w:t xml:space="preserve"> ali</w:t>
      </w:r>
      <w:r w:rsidRPr="00324CAF">
        <w:rPr>
          <w:rFonts w:ascii="Arial" w:eastAsia="Calibri" w:hAnsi="Arial"/>
          <w:bCs/>
          <w:sz w:val="22"/>
        </w:rPr>
        <w:t xml:space="preserve"> IT infrastrukture ali opreme na področju pravosodja.</w:t>
      </w:r>
    </w:p>
    <w:p w14:paraId="17F87E92" w14:textId="77777777" w:rsidR="00324CAF" w:rsidRPr="00324CAF" w:rsidRDefault="00324CAF" w:rsidP="00324CAF">
      <w:pPr>
        <w:rPr>
          <w:rFonts w:ascii="Arial" w:eastAsia="Calibri" w:hAnsi="Arial"/>
          <w:bCs/>
          <w:sz w:val="22"/>
        </w:rPr>
      </w:pPr>
    </w:p>
    <w:p w14:paraId="331C68C1" w14:textId="41EDFC0A" w:rsidR="00324CAF" w:rsidRPr="00324CAF" w:rsidRDefault="00324CAF" w:rsidP="00324CAF">
      <w:pPr>
        <w:rPr>
          <w:rFonts w:ascii="Arial" w:eastAsia="Calibri" w:hAnsi="Arial"/>
          <w:bCs/>
          <w:sz w:val="22"/>
        </w:rPr>
      </w:pPr>
      <w:r w:rsidRPr="00324CAF">
        <w:rPr>
          <w:rFonts w:ascii="Arial" w:eastAsia="Calibri" w:hAnsi="Arial"/>
          <w:bCs/>
          <w:sz w:val="22"/>
        </w:rPr>
        <w:t xml:space="preserve">V okviru naložbe je bilo izvedenih </w:t>
      </w:r>
      <w:r w:rsidR="00930C71">
        <w:rPr>
          <w:rFonts w:ascii="Arial" w:eastAsia="Calibri" w:hAnsi="Arial"/>
          <w:bCs/>
          <w:sz w:val="22"/>
        </w:rPr>
        <w:t>11</w:t>
      </w:r>
      <w:r w:rsidRPr="00324CAF">
        <w:rPr>
          <w:rFonts w:ascii="Arial" w:eastAsia="Calibri" w:hAnsi="Arial"/>
          <w:bCs/>
          <w:sz w:val="22"/>
        </w:rPr>
        <w:t xml:space="preserve"> projektov, pri katerih so sodelovali Ministrstvo za pravosodje, Vrhovno sodišče Republike Slovenije, Ustavno sodišče Republike Slovenije, Državno odvetništvo Republike Slovenije in Vrhovno državno tožilstvo Republike Slovenije.</w:t>
      </w:r>
    </w:p>
    <w:p w14:paraId="63EB730D" w14:textId="77777777" w:rsidR="00324CAF" w:rsidRPr="00324CAF" w:rsidRDefault="00324CAF" w:rsidP="00324CAF">
      <w:pPr>
        <w:rPr>
          <w:rFonts w:ascii="Arial" w:eastAsia="Calibri" w:hAnsi="Arial"/>
          <w:bCs/>
          <w:sz w:val="22"/>
        </w:rPr>
      </w:pPr>
    </w:p>
    <w:p w14:paraId="5AA9A9BD" w14:textId="77777777" w:rsidR="00324CAF" w:rsidRPr="00324CAF" w:rsidRDefault="00324CAF" w:rsidP="00324CAF">
      <w:pPr>
        <w:rPr>
          <w:rFonts w:ascii="Arial" w:eastAsia="Calibri" w:hAnsi="Arial"/>
          <w:bCs/>
          <w:sz w:val="22"/>
        </w:rPr>
      </w:pPr>
      <w:r w:rsidRPr="00324CAF">
        <w:rPr>
          <w:rFonts w:ascii="Arial" w:eastAsia="Calibri" w:hAnsi="Arial"/>
          <w:bCs/>
          <w:sz w:val="22"/>
        </w:rPr>
        <w:t>Med ključnimi dosežki so vzpostavitev sistema za e-izobraževanje in digitalizacijo pravniških državnih izpitov, digitalizacija in povezljivost Državnega odvetništva Republike Slovenije, razvoj virtualnega pomočnika za Vrhovno državno tožilstvo ter uvedba informacijske rešitve eOveritve za podporo postopkom overjanja listin. Pomemben del naložbe predstavlja tudi nakup in implementacija sodobne videokonferenčne ter avdio-video opreme za sodišča in tožilstvo, ki omogoča učinkovitejše izvajanje postopkov na daljavo.</w:t>
      </w:r>
    </w:p>
    <w:p w14:paraId="39E1A6B4" w14:textId="77777777" w:rsidR="00324CAF" w:rsidRPr="00324CAF" w:rsidRDefault="00324CAF" w:rsidP="00324CAF">
      <w:pPr>
        <w:rPr>
          <w:rFonts w:ascii="Arial" w:eastAsia="Calibri" w:hAnsi="Arial"/>
          <w:bCs/>
          <w:sz w:val="22"/>
        </w:rPr>
      </w:pPr>
    </w:p>
    <w:p w14:paraId="20C52893" w14:textId="77777777" w:rsidR="00324CAF" w:rsidRPr="00324CAF" w:rsidRDefault="00324CAF" w:rsidP="00324CAF">
      <w:pPr>
        <w:rPr>
          <w:rFonts w:ascii="Arial" w:eastAsia="Calibri" w:hAnsi="Arial"/>
          <w:bCs/>
          <w:sz w:val="22"/>
        </w:rPr>
      </w:pPr>
      <w:r w:rsidRPr="00324CAF">
        <w:rPr>
          <w:rFonts w:ascii="Arial" w:eastAsia="Calibri" w:hAnsi="Arial"/>
          <w:bCs/>
          <w:sz w:val="22"/>
        </w:rPr>
        <w:t>Na področju sodstva je naložba prinesla nadaljnji razvoj portala e-Sodstvo, vzpostavitev Centralnega dokumentacijsko-digitalizacijskega centra (CDDC), nadgradnjo Baze znanja ter razvoj novih orodij za podporo upravljanju sodišč. Vzpostavljene oziroma nadgrajene so bile tudi centralna kadrovska evidenca, podatkovno skladišče, sistem poslovnega obveščanja in sistem eSeje. Ustavno sodišče Republike Slovenije je z nadgradnjo svojih informacijskih rešitev izboljšalo digitalno poslovanje ter dostopnost svojih odločitev strokovni in širši javnosti.</w:t>
      </w:r>
    </w:p>
    <w:p w14:paraId="46B2596E" w14:textId="77777777" w:rsidR="00324CAF" w:rsidRPr="00324CAF" w:rsidRDefault="00324CAF" w:rsidP="00324CAF">
      <w:pPr>
        <w:rPr>
          <w:rFonts w:ascii="Arial" w:eastAsia="Calibri" w:hAnsi="Arial"/>
          <w:bCs/>
          <w:sz w:val="22"/>
        </w:rPr>
      </w:pPr>
    </w:p>
    <w:p w14:paraId="431DBC7C" w14:textId="77777777" w:rsidR="00324CAF" w:rsidRPr="00324CAF" w:rsidRDefault="00324CAF" w:rsidP="00324CAF">
      <w:pPr>
        <w:rPr>
          <w:rFonts w:ascii="Arial" w:eastAsia="Calibri" w:hAnsi="Arial"/>
          <w:bCs/>
          <w:sz w:val="22"/>
        </w:rPr>
      </w:pPr>
      <w:r w:rsidRPr="00324CAF">
        <w:rPr>
          <w:rFonts w:ascii="Arial" w:eastAsia="Calibri" w:hAnsi="Arial"/>
          <w:bCs/>
          <w:sz w:val="22"/>
        </w:rPr>
        <w:t>Poseben poudarek naložbe je bil namenjen varni elektronski izmenjavi dokumentov in podatkov med pravosodnimi institucijami ter drugimi državnimi organi. Nadgradnja informacijskega sistema Feniks omogoča neposredno sprejemanje vlog z državnih portalov eUprava in SPOT ter avtomatizirano obdelavo dokumentov, vzpostavljena pa je bila tudi varna sistemska izmenjava dokumentov med Finančno upravo Republike Slovenije in Državnim odvetništvom Republike Slovenije.</w:t>
      </w:r>
    </w:p>
    <w:p w14:paraId="66D4AD9F" w14:textId="77777777" w:rsidR="00324CAF" w:rsidRPr="00324CAF" w:rsidRDefault="00324CAF" w:rsidP="00324CAF">
      <w:pPr>
        <w:rPr>
          <w:rFonts w:ascii="Arial" w:eastAsia="Calibri" w:hAnsi="Arial"/>
          <w:bCs/>
          <w:sz w:val="22"/>
        </w:rPr>
      </w:pPr>
    </w:p>
    <w:p w14:paraId="08159F08" w14:textId="77777777" w:rsidR="00324CAF" w:rsidRPr="00324CAF" w:rsidRDefault="00324CAF" w:rsidP="00324CAF">
      <w:pPr>
        <w:rPr>
          <w:rFonts w:ascii="Arial" w:eastAsia="Calibri" w:hAnsi="Arial"/>
          <w:bCs/>
          <w:sz w:val="22"/>
        </w:rPr>
      </w:pPr>
      <w:r w:rsidRPr="00324CAF">
        <w:rPr>
          <w:rFonts w:ascii="Arial" w:eastAsia="Calibri" w:hAnsi="Arial"/>
          <w:bCs/>
          <w:sz w:val="22"/>
        </w:rPr>
        <w:t>Učinki izvedenih projektov se odražajo v hitrejši in učinkovitejši obravnavi zadev, večji dostopnosti pravosodnih storitev za državljane in podjetja, boljši podpori zaposlenim pri njihovem delu ter višji ravni informacijske varnosti. Digitalizacija zmanjšuje administrativna opravila, povečuje sledljivost postopkov in ustvarja pogoje za sodobno, povezano in uporabnikom prijazno pravosodje.</w:t>
      </w:r>
    </w:p>
    <w:p w14:paraId="4082A975" w14:textId="77777777" w:rsidR="00324CAF" w:rsidRPr="00324CAF" w:rsidRDefault="00324CAF" w:rsidP="00324CAF">
      <w:pPr>
        <w:rPr>
          <w:rFonts w:ascii="Arial" w:eastAsia="Calibri" w:hAnsi="Arial"/>
          <w:bCs/>
          <w:sz w:val="22"/>
        </w:rPr>
      </w:pPr>
    </w:p>
    <w:p w14:paraId="6FABC624" w14:textId="1DFF3758" w:rsidR="00324CAF" w:rsidRPr="00324CAF" w:rsidRDefault="00324CAF" w:rsidP="00324CAF">
      <w:pPr>
        <w:rPr>
          <w:rFonts w:ascii="Arial" w:eastAsia="Calibri" w:hAnsi="Arial"/>
          <w:bCs/>
          <w:sz w:val="22"/>
        </w:rPr>
      </w:pPr>
      <w:r w:rsidRPr="00324CAF">
        <w:rPr>
          <w:rFonts w:ascii="Arial" w:eastAsia="Calibri" w:hAnsi="Arial"/>
          <w:bCs/>
          <w:sz w:val="22"/>
        </w:rPr>
        <w:t xml:space="preserve">Skupna vrednost odobrenih sredstev NOO za ukrep Digitalizacija pravosodja je znašala 9.838.551,86 </w:t>
      </w:r>
      <w:r w:rsidR="003E5CF0">
        <w:rPr>
          <w:rFonts w:ascii="Arial" w:eastAsia="Calibri" w:hAnsi="Arial"/>
          <w:bCs/>
          <w:sz w:val="22"/>
        </w:rPr>
        <w:t>evra</w:t>
      </w:r>
      <w:r>
        <w:rPr>
          <w:rFonts w:ascii="Arial" w:eastAsia="Calibri" w:hAnsi="Arial"/>
          <w:bCs/>
          <w:sz w:val="22"/>
        </w:rPr>
        <w:t>,</w:t>
      </w:r>
      <w:r w:rsidRPr="00324CAF">
        <w:rPr>
          <w:rFonts w:ascii="Arial" w:eastAsia="Calibri" w:hAnsi="Arial"/>
          <w:bCs/>
          <w:sz w:val="22"/>
        </w:rPr>
        <w:t xml:space="preserve"> realizacija pa je dosegla 9.371.431,95 </w:t>
      </w:r>
      <w:r w:rsidR="003E5CF0">
        <w:rPr>
          <w:rFonts w:ascii="Arial" w:eastAsia="Calibri" w:hAnsi="Arial"/>
          <w:bCs/>
          <w:sz w:val="22"/>
        </w:rPr>
        <w:t>evra</w:t>
      </w:r>
      <w:r w:rsidRPr="00324CAF">
        <w:rPr>
          <w:rFonts w:ascii="Arial" w:eastAsia="Calibri" w:hAnsi="Arial"/>
          <w:bCs/>
          <w:sz w:val="22"/>
        </w:rPr>
        <w:t xml:space="preserve">, kar </w:t>
      </w:r>
      <w:r w:rsidR="00930C71">
        <w:rPr>
          <w:rFonts w:ascii="Arial" w:eastAsia="Calibri" w:hAnsi="Arial"/>
          <w:bCs/>
          <w:sz w:val="22"/>
        </w:rPr>
        <w:t>pomeni</w:t>
      </w:r>
      <w:r w:rsidRPr="00324CAF">
        <w:rPr>
          <w:rFonts w:ascii="Arial" w:eastAsia="Calibri" w:hAnsi="Arial"/>
          <w:bCs/>
          <w:sz w:val="22"/>
        </w:rPr>
        <w:t xml:space="preserve"> 95,25</w:t>
      </w:r>
      <w:r w:rsidR="003E5CF0">
        <w:rPr>
          <w:rFonts w:ascii="Arial" w:eastAsia="Calibri" w:hAnsi="Arial"/>
          <w:bCs/>
          <w:sz w:val="22"/>
        </w:rPr>
        <w:t>-</w:t>
      </w:r>
      <w:r w:rsidR="00CA60BC">
        <w:rPr>
          <w:rFonts w:ascii="Arial" w:eastAsia="Calibri" w:hAnsi="Arial"/>
          <w:bCs/>
          <w:sz w:val="22"/>
        </w:rPr>
        <w:t>odstotno</w:t>
      </w:r>
      <w:r w:rsidRPr="00324CAF">
        <w:rPr>
          <w:rFonts w:ascii="Arial" w:eastAsia="Calibri" w:hAnsi="Arial"/>
          <w:bCs/>
          <w:sz w:val="22"/>
        </w:rPr>
        <w:t xml:space="preserve"> porabo načrtovanih sredstev.</w:t>
      </w:r>
    </w:p>
    <w:p w14:paraId="2BDD4EB6" w14:textId="77777777" w:rsidR="00324CAF" w:rsidRPr="00324CAF" w:rsidRDefault="00324CAF" w:rsidP="00324CAF">
      <w:pPr>
        <w:rPr>
          <w:rFonts w:ascii="Arial" w:eastAsia="Calibri" w:hAnsi="Arial"/>
          <w:bCs/>
          <w:sz w:val="22"/>
        </w:rPr>
      </w:pPr>
    </w:p>
    <w:p w14:paraId="445D22EC" w14:textId="0F7078E4" w:rsidR="00297A88" w:rsidRPr="00324CAF" w:rsidRDefault="00324CAF" w:rsidP="00324CAF">
      <w:pPr>
        <w:rPr>
          <w:rFonts w:ascii="Arial" w:hAnsi="Arial"/>
          <w:bCs/>
          <w:sz w:val="22"/>
        </w:rPr>
      </w:pPr>
      <w:r w:rsidRPr="00324CAF">
        <w:rPr>
          <w:rFonts w:ascii="Arial" w:eastAsia="Calibri" w:hAnsi="Arial"/>
          <w:bCs/>
          <w:sz w:val="22"/>
        </w:rPr>
        <w:t>Uspešen zaključek vseh enajstih projektov pomeni pomemben prispevek k digitalni preobrazbi slovenskega pravosodja ter postavlja temelje za še učinkovitejše, dostopnejše in varnejše pravosodne storitve v prihodnosti.</w:t>
      </w:r>
    </w:p>
    <w:p w14:paraId="4411A20F" w14:textId="77777777" w:rsidR="00297A88" w:rsidRPr="00324CAF" w:rsidRDefault="00297A88" w:rsidP="00297A88">
      <w:pPr>
        <w:tabs>
          <w:tab w:val="left" w:pos="4009"/>
        </w:tabs>
        <w:jc w:val="center"/>
        <w:rPr>
          <w:rFonts w:ascii="Arial" w:hAnsi="Arial"/>
          <w:bCs/>
          <w:sz w:val="22"/>
        </w:rPr>
      </w:pPr>
    </w:p>
    <w:p w14:paraId="7382E99F" w14:textId="77777777" w:rsidR="001E2722" w:rsidRPr="00324CAF" w:rsidRDefault="001E2722" w:rsidP="001E2722">
      <w:pPr>
        <w:rPr>
          <w:rFonts w:ascii="Arial" w:hAnsi="Arial"/>
          <w:bCs/>
          <w:sz w:val="22"/>
        </w:rPr>
      </w:pPr>
    </w:p>
    <w:sectPr w:rsidR="001E2722" w:rsidRPr="00324CAF" w:rsidSect="00B949FB">
      <w:headerReference w:type="default" r:id="rId8"/>
      <w:footerReference w:type="default" r:id="rId9"/>
      <w:pgSz w:w="11906" w:h="16838"/>
      <w:pgMar w:top="184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F9E4B" w14:textId="77777777" w:rsidR="00E37E8A" w:rsidRDefault="00E37E8A" w:rsidP="00516CEE">
      <w:r>
        <w:separator/>
      </w:r>
    </w:p>
  </w:endnote>
  <w:endnote w:type="continuationSeparator" w:id="0">
    <w:p w14:paraId="127C72E6" w14:textId="77777777" w:rsidR="00E37E8A" w:rsidRDefault="00E37E8A" w:rsidP="00516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9697016"/>
      <w:docPartObj>
        <w:docPartGallery w:val="Page Numbers (Bottom of Page)"/>
        <w:docPartUnique/>
      </w:docPartObj>
    </w:sdtPr>
    <w:sdtEndPr/>
    <w:sdtContent>
      <w:sdt>
        <w:sdtPr>
          <w:id w:val="-1769616900"/>
          <w:docPartObj>
            <w:docPartGallery w:val="Page Numbers (Top of Page)"/>
            <w:docPartUnique/>
          </w:docPartObj>
        </w:sdtPr>
        <w:sdtEndPr/>
        <w:sdtContent>
          <w:p w14:paraId="0D3D4437" w14:textId="77777777" w:rsidR="001E2722" w:rsidRDefault="001E2722">
            <w:pPr>
              <w:pStyle w:val="Noga"/>
              <w:jc w:val="right"/>
            </w:pPr>
            <w:r w:rsidRPr="001E2722">
              <w:rPr>
                <w:rFonts w:ascii="Arial" w:hAnsi="Arial"/>
                <w:sz w:val="16"/>
                <w:szCs w:val="16"/>
              </w:rPr>
              <w:t xml:space="preserve">Stran </w:t>
            </w:r>
            <w:r w:rsidRPr="001E2722">
              <w:rPr>
                <w:rFonts w:ascii="Arial" w:hAnsi="Arial"/>
                <w:b/>
                <w:bCs/>
                <w:sz w:val="16"/>
                <w:szCs w:val="16"/>
              </w:rPr>
              <w:fldChar w:fldCharType="begin"/>
            </w:r>
            <w:r w:rsidRPr="001E2722">
              <w:rPr>
                <w:rFonts w:ascii="Arial" w:hAnsi="Arial"/>
                <w:b/>
                <w:bCs/>
                <w:sz w:val="16"/>
                <w:szCs w:val="16"/>
              </w:rPr>
              <w:instrText>PAGE</w:instrText>
            </w:r>
            <w:r w:rsidRPr="001E2722">
              <w:rPr>
                <w:rFonts w:ascii="Arial" w:hAnsi="Arial"/>
                <w:b/>
                <w:bCs/>
                <w:sz w:val="16"/>
                <w:szCs w:val="16"/>
              </w:rPr>
              <w:fldChar w:fldCharType="separate"/>
            </w:r>
            <w:r w:rsidRPr="001E2722">
              <w:rPr>
                <w:rFonts w:ascii="Arial" w:hAnsi="Arial"/>
                <w:b/>
                <w:bCs/>
                <w:sz w:val="16"/>
                <w:szCs w:val="16"/>
              </w:rPr>
              <w:t>2</w:t>
            </w:r>
            <w:r w:rsidRPr="001E2722">
              <w:rPr>
                <w:rFonts w:ascii="Arial" w:hAnsi="Arial"/>
                <w:b/>
                <w:bCs/>
                <w:sz w:val="16"/>
                <w:szCs w:val="16"/>
              </w:rPr>
              <w:fldChar w:fldCharType="end"/>
            </w:r>
            <w:r w:rsidRPr="001E2722">
              <w:rPr>
                <w:rFonts w:ascii="Arial" w:hAnsi="Arial"/>
                <w:sz w:val="16"/>
                <w:szCs w:val="16"/>
              </w:rPr>
              <w:t xml:space="preserve"> od </w:t>
            </w:r>
            <w:r w:rsidRPr="001E2722">
              <w:rPr>
                <w:rFonts w:ascii="Arial" w:hAnsi="Arial"/>
                <w:b/>
                <w:bCs/>
                <w:sz w:val="16"/>
                <w:szCs w:val="16"/>
              </w:rPr>
              <w:fldChar w:fldCharType="begin"/>
            </w:r>
            <w:r w:rsidRPr="001E2722">
              <w:rPr>
                <w:rFonts w:ascii="Arial" w:hAnsi="Arial"/>
                <w:b/>
                <w:bCs/>
                <w:sz w:val="16"/>
                <w:szCs w:val="16"/>
              </w:rPr>
              <w:instrText>NUMPAGES</w:instrText>
            </w:r>
            <w:r w:rsidRPr="001E2722">
              <w:rPr>
                <w:rFonts w:ascii="Arial" w:hAnsi="Arial"/>
                <w:b/>
                <w:bCs/>
                <w:sz w:val="16"/>
                <w:szCs w:val="16"/>
              </w:rPr>
              <w:fldChar w:fldCharType="separate"/>
            </w:r>
            <w:r w:rsidRPr="001E2722">
              <w:rPr>
                <w:rFonts w:ascii="Arial" w:hAnsi="Arial"/>
                <w:b/>
                <w:bCs/>
                <w:sz w:val="16"/>
                <w:szCs w:val="16"/>
              </w:rPr>
              <w:t>2</w:t>
            </w:r>
            <w:r w:rsidRPr="001E2722">
              <w:rPr>
                <w:rFonts w:ascii="Arial" w:hAnsi="Arial"/>
                <w:b/>
                <w:bCs/>
                <w:sz w:val="16"/>
                <w:szCs w:val="16"/>
              </w:rPr>
              <w:fldChar w:fldCharType="end"/>
            </w:r>
          </w:p>
        </w:sdtContent>
      </w:sdt>
    </w:sdtContent>
  </w:sdt>
  <w:p w14:paraId="026EBB44" w14:textId="77777777" w:rsidR="001E2722" w:rsidRDefault="001E2722">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AB4C6" w14:textId="77777777" w:rsidR="00E37E8A" w:rsidRDefault="00E37E8A" w:rsidP="00516CEE">
      <w:r>
        <w:separator/>
      </w:r>
    </w:p>
  </w:footnote>
  <w:footnote w:type="continuationSeparator" w:id="0">
    <w:p w14:paraId="3E4F8A35" w14:textId="77777777" w:rsidR="00E37E8A" w:rsidRDefault="00E37E8A" w:rsidP="00516C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9DC8A" w14:textId="288356B6" w:rsidR="00841FD8" w:rsidRDefault="00930C71">
    <w:pPr>
      <w:pStyle w:val="Glava"/>
    </w:pPr>
    <w:r w:rsidRPr="00603CBD">
      <w:rPr>
        <w:rFonts w:ascii="Arial" w:hAnsi="Arial"/>
        <w:noProof/>
        <w:sz w:val="20"/>
        <w:szCs w:val="20"/>
        <w:lang w:eastAsia="sl-SI"/>
      </w:rPr>
      <w:drawing>
        <wp:anchor distT="0" distB="0" distL="114300" distR="114300" simplePos="0" relativeHeight="251661312" behindDoc="0" locked="0" layoutInCell="1" allowOverlap="1" wp14:anchorId="02C88293" wp14:editId="0404964F">
          <wp:simplePos x="0" y="0"/>
          <wp:positionH relativeFrom="page">
            <wp:posOffset>614781</wp:posOffset>
          </wp:positionH>
          <wp:positionV relativeFrom="page">
            <wp:posOffset>129337</wp:posOffset>
          </wp:positionV>
          <wp:extent cx="2608028" cy="840740"/>
          <wp:effectExtent l="0" t="0" r="1905" b="0"/>
          <wp:wrapSquare wrapText="bothSides"/>
          <wp:docPr id="18" name="Slika 19" descr="0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9" descr="065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 r="31897" b="4964"/>
                  <a:stretch/>
                </pic:blipFill>
                <pic:spPr bwMode="auto">
                  <a:xfrm>
                    <a:off x="0" y="0"/>
                    <a:ext cx="2608028" cy="8407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65C64" w:rsidRPr="00D22F8C">
      <w:rPr>
        <w:noProof/>
        <w:sz w:val="16"/>
      </w:rPr>
      <w:drawing>
        <wp:anchor distT="0" distB="0" distL="114300" distR="114300" simplePos="0" relativeHeight="251664384" behindDoc="1" locked="0" layoutInCell="1" allowOverlap="1" wp14:anchorId="6EC820F7" wp14:editId="7DD6967D">
          <wp:simplePos x="0" y="0"/>
          <wp:positionH relativeFrom="margin">
            <wp:align>right</wp:align>
          </wp:positionH>
          <wp:positionV relativeFrom="paragraph">
            <wp:posOffset>90805</wp:posOffset>
          </wp:positionV>
          <wp:extent cx="1284605" cy="405130"/>
          <wp:effectExtent l="0" t="0" r="0" b="0"/>
          <wp:wrapSquare wrapText="bothSides"/>
          <wp:docPr id="15" name="Slika 15" descr="Logotip Financira Evrospka Unija NextGeneration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lika 15" descr="Logotip Financira Evrospka Unija NextGenerationEU"/>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284605" cy="4051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22F8C" w:rsidRPr="00D22F8C">
      <w:rPr>
        <w:noProof/>
        <w:sz w:val="16"/>
      </w:rPr>
      <w:drawing>
        <wp:anchor distT="0" distB="0" distL="114300" distR="114300" simplePos="0" relativeHeight="251663360" behindDoc="1" locked="0" layoutInCell="1" allowOverlap="1" wp14:anchorId="52745D0F" wp14:editId="07D42C52">
          <wp:simplePos x="0" y="0"/>
          <wp:positionH relativeFrom="column">
            <wp:posOffset>2785110</wp:posOffset>
          </wp:positionH>
          <wp:positionV relativeFrom="paragraph">
            <wp:posOffset>163195</wp:posOffset>
          </wp:positionV>
          <wp:extent cx="1502410" cy="289560"/>
          <wp:effectExtent l="0" t="0" r="2540" b="0"/>
          <wp:wrapSquare wrapText="bothSides"/>
          <wp:docPr id="16" name="Slika 16" descr="Logotip Načrt za okrevanje in odporn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lika 16" descr="Logotip Načrt za okrevanje in odpornost"/>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502410" cy="289560"/>
                  </a:xfrm>
                  <a:prstGeom prst="rect">
                    <a:avLst/>
                  </a:prstGeom>
                  <a:noFill/>
                  <a:ln>
                    <a:noFill/>
                  </a:ln>
                </pic:spPr>
              </pic:pic>
            </a:graphicData>
          </a:graphic>
        </wp:anchor>
      </w:drawing>
    </w:r>
  </w:p>
  <w:p w14:paraId="2FAE63A4" w14:textId="77777777" w:rsidR="00516CEE" w:rsidRDefault="003D58A3" w:rsidP="00205F5D">
    <w:pPr>
      <w:pStyle w:val="Glava"/>
      <w:tabs>
        <w:tab w:val="clear" w:pos="4536"/>
        <w:tab w:val="clear" w:pos="9072"/>
        <w:tab w:val="left" w:pos="3573"/>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1336"/>
    <w:multiLevelType w:val="hybridMultilevel"/>
    <w:tmpl w:val="BA92E84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9330FF2"/>
    <w:multiLevelType w:val="hybridMultilevel"/>
    <w:tmpl w:val="DD5C9656"/>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619500A"/>
    <w:multiLevelType w:val="hybridMultilevel"/>
    <w:tmpl w:val="756E901A"/>
    <w:lvl w:ilvl="0" w:tplc="1B2024DC">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89F0EA6"/>
    <w:multiLevelType w:val="multilevel"/>
    <w:tmpl w:val="6EE4783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78534753"/>
    <w:multiLevelType w:val="hybridMultilevel"/>
    <w:tmpl w:val="0EC6FEA8"/>
    <w:lvl w:ilvl="0" w:tplc="F232F214">
      <w:start w:val="170"/>
      <w:numFmt w:val="bullet"/>
      <w:lvlText w:val="-"/>
      <w:lvlJc w:val="left"/>
      <w:pPr>
        <w:ind w:left="720" w:hanging="360"/>
      </w:pPr>
      <w:rPr>
        <w:rFonts w:ascii="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803699528">
    <w:abstractNumId w:val="1"/>
  </w:num>
  <w:num w:numId="2" w16cid:durableId="2035643661">
    <w:abstractNumId w:val="4"/>
  </w:num>
  <w:num w:numId="3" w16cid:durableId="2107143154">
    <w:abstractNumId w:val="3"/>
  </w:num>
  <w:num w:numId="4" w16cid:durableId="87699802">
    <w:abstractNumId w:val="2"/>
  </w:num>
  <w:num w:numId="5" w16cid:durableId="29260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D81"/>
    <w:rsid w:val="00010862"/>
    <w:rsid w:val="000147E5"/>
    <w:rsid w:val="000225C9"/>
    <w:rsid w:val="000358AD"/>
    <w:rsid w:val="000E3D73"/>
    <w:rsid w:val="00127128"/>
    <w:rsid w:val="001323C1"/>
    <w:rsid w:val="00165C64"/>
    <w:rsid w:val="001709E1"/>
    <w:rsid w:val="00175B65"/>
    <w:rsid w:val="001E2722"/>
    <w:rsid w:val="00205F5D"/>
    <w:rsid w:val="00251919"/>
    <w:rsid w:val="00297A88"/>
    <w:rsid w:val="002B1A14"/>
    <w:rsid w:val="002C1F81"/>
    <w:rsid w:val="002C62CF"/>
    <w:rsid w:val="00305849"/>
    <w:rsid w:val="003122D8"/>
    <w:rsid w:val="00314F0A"/>
    <w:rsid w:val="00324CAF"/>
    <w:rsid w:val="00334D8B"/>
    <w:rsid w:val="00353D39"/>
    <w:rsid w:val="00363AAD"/>
    <w:rsid w:val="00382394"/>
    <w:rsid w:val="003A2982"/>
    <w:rsid w:val="003B3C9A"/>
    <w:rsid w:val="003B6D60"/>
    <w:rsid w:val="003D58A3"/>
    <w:rsid w:val="003E5CF0"/>
    <w:rsid w:val="004065F0"/>
    <w:rsid w:val="00423758"/>
    <w:rsid w:val="0043432F"/>
    <w:rsid w:val="00462511"/>
    <w:rsid w:val="00464FD1"/>
    <w:rsid w:val="004C405F"/>
    <w:rsid w:val="004E1D81"/>
    <w:rsid w:val="00516CEE"/>
    <w:rsid w:val="005400E3"/>
    <w:rsid w:val="00545E14"/>
    <w:rsid w:val="00564EA5"/>
    <w:rsid w:val="005971C2"/>
    <w:rsid w:val="005A30AD"/>
    <w:rsid w:val="005C4732"/>
    <w:rsid w:val="0061777D"/>
    <w:rsid w:val="00621B2E"/>
    <w:rsid w:val="00627A8C"/>
    <w:rsid w:val="00673ED4"/>
    <w:rsid w:val="006B0ACF"/>
    <w:rsid w:val="00750DCF"/>
    <w:rsid w:val="00763E82"/>
    <w:rsid w:val="0077429A"/>
    <w:rsid w:val="00776DC1"/>
    <w:rsid w:val="007C4822"/>
    <w:rsid w:val="007C7742"/>
    <w:rsid w:val="008340C7"/>
    <w:rsid w:val="00841FD8"/>
    <w:rsid w:val="00843318"/>
    <w:rsid w:val="00847343"/>
    <w:rsid w:val="008576CD"/>
    <w:rsid w:val="00864036"/>
    <w:rsid w:val="00880212"/>
    <w:rsid w:val="008B19E4"/>
    <w:rsid w:val="008C25F0"/>
    <w:rsid w:val="00914663"/>
    <w:rsid w:val="009266D4"/>
    <w:rsid w:val="00930C71"/>
    <w:rsid w:val="00932E29"/>
    <w:rsid w:val="00977431"/>
    <w:rsid w:val="009E70D0"/>
    <w:rsid w:val="00A03CFF"/>
    <w:rsid w:val="00A46595"/>
    <w:rsid w:val="00AA329D"/>
    <w:rsid w:val="00B401C2"/>
    <w:rsid w:val="00B86F26"/>
    <w:rsid w:val="00B949FB"/>
    <w:rsid w:val="00BC79E2"/>
    <w:rsid w:val="00BF0211"/>
    <w:rsid w:val="00BF0305"/>
    <w:rsid w:val="00BF38CA"/>
    <w:rsid w:val="00C1397E"/>
    <w:rsid w:val="00C20544"/>
    <w:rsid w:val="00C32986"/>
    <w:rsid w:val="00C36D08"/>
    <w:rsid w:val="00C67272"/>
    <w:rsid w:val="00CA0B46"/>
    <w:rsid w:val="00CA60BC"/>
    <w:rsid w:val="00CC3AF5"/>
    <w:rsid w:val="00D22F8C"/>
    <w:rsid w:val="00D23E0C"/>
    <w:rsid w:val="00D6054C"/>
    <w:rsid w:val="00D63DB1"/>
    <w:rsid w:val="00DA7FC7"/>
    <w:rsid w:val="00DB7740"/>
    <w:rsid w:val="00E175B7"/>
    <w:rsid w:val="00E37E8A"/>
    <w:rsid w:val="00E51E01"/>
    <w:rsid w:val="00E55A38"/>
    <w:rsid w:val="00E91E32"/>
    <w:rsid w:val="00ED29DA"/>
    <w:rsid w:val="00ED7775"/>
    <w:rsid w:val="00F0126E"/>
    <w:rsid w:val="00F17AE2"/>
    <w:rsid w:val="00F54B22"/>
    <w:rsid w:val="00F841E5"/>
    <w:rsid w:val="00FB2D92"/>
    <w:rsid w:val="00FD3748"/>
    <w:rsid w:val="00FE0EF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02F22C"/>
  <w15:docId w15:val="{020CA9EC-28E5-4D93-B22E-B96CEE96D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16CEE"/>
    <w:pPr>
      <w:spacing w:after="0" w:line="240" w:lineRule="auto"/>
      <w:jc w:val="both"/>
    </w:pPr>
    <w:rPr>
      <w:rFonts w:ascii="Calibri" w:eastAsia="Times New Roman" w:hAnsi="Calibri" w:cs="Arial"/>
      <w:sz w:val="24"/>
    </w:rPr>
  </w:style>
  <w:style w:type="paragraph" w:styleId="Naslov1">
    <w:name w:val="heading 1"/>
    <w:basedOn w:val="Navaden"/>
    <w:next w:val="Navaden"/>
    <w:link w:val="Naslov1Znak"/>
    <w:uiPriority w:val="9"/>
    <w:qFormat/>
    <w:rsid w:val="00297A8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slov2">
    <w:name w:val="heading 2"/>
    <w:basedOn w:val="Navaden"/>
    <w:next w:val="Navaden"/>
    <w:link w:val="Naslov2Znak"/>
    <w:uiPriority w:val="9"/>
    <w:unhideWhenUsed/>
    <w:qFormat/>
    <w:rsid w:val="001E2722"/>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Pripombabesedilo">
    <w:name w:val="annotation text"/>
    <w:basedOn w:val="Navaden"/>
    <w:link w:val="PripombabesediloZnak"/>
    <w:uiPriority w:val="99"/>
    <w:rsid w:val="00516CEE"/>
    <w:rPr>
      <w:rFonts w:ascii="Times New Roman" w:hAnsi="Times New Roman" w:cs="Times New Roman"/>
      <w:sz w:val="20"/>
      <w:szCs w:val="20"/>
      <w:lang w:eastAsia="sl-SI"/>
    </w:rPr>
  </w:style>
  <w:style w:type="character" w:customStyle="1" w:styleId="PripombabesediloZnak">
    <w:name w:val="Pripomba – besedilo Znak"/>
    <w:basedOn w:val="Privzetapisavaodstavka"/>
    <w:link w:val="Pripombabesedilo"/>
    <w:uiPriority w:val="99"/>
    <w:rsid w:val="00516CEE"/>
    <w:rPr>
      <w:rFonts w:ascii="Times New Roman" w:eastAsia="Times New Roman" w:hAnsi="Times New Roman" w:cs="Times New Roman"/>
      <w:sz w:val="20"/>
      <w:szCs w:val="20"/>
      <w:lang w:eastAsia="sl-SI"/>
    </w:r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w:basedOn w:val="Navaden"/>
    <w:link w:val="Sprotnaopomba-besediloZnak"/>
    <w:uiPriority w:val="99"/>
    <w:rsid w:val="00516CEE"/>
    <w:rPr>
      <w:sz w:val="20"/>
      <w:szCs w:val="20"/>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w:basedOn w:val="Privzetapisavaodstavka"/>
    <w:link w:val="Sprotnaopomba-besedilo"/>
    <w:uiPriority w:val="99"/>
    <w:rsid w:val="00516CEE"/>
    <w:rPr>
      <w:rFonts w:ascii="Calibri" w:eastAsia="Times New Roman" w:hAnsi="Calibri" w:cs="Arial"/>
      <w:sz w:val="20"/>
      <w:szCs w:val="20"/>
    </w:rPr>
  </w:style>
  <w:style w:type="character" w:styleId="Sprotnaopomba-sklic">
    <w:name w:val="footnote reference"/>
    <w:aliases w:val="Footnote symbol,Footnote,Fussnota"/>
    <w:uiPriority w:val="99"/>
    <w:rsid w:val="00516CEE"/>
    <w:rPr>
      <w:rFonts w:cs="Times New Roman"/>
      <w:vertAlign w:val="superscript"/>
    </w:rPr>
  </w:style>
  <w:style w:type="character" w:styleId="Pripombasklic">
    <w:name w:val="annotation reference"/>
    <w:uiPriority w:val="99"/>
    <w:semiHidden/>
    <w:rsid w:val="00516CEE"/>
    <w:rPr>
      <w:rFonts w:cs="Times New Roman"/>
      <w:sz w:val="16"/>
      <w:szCs w:val="16"/>
    </w:rPr>
  </w:style>
  <w:style w:type="paragraph" w:styleId="Odstavekseznama">
    <w:name w:val="List Paragraph"/>
    <w:aliases w:val="K1,Table of contents numbered,Elenco num ARGEA,body,Odsek zoznamu2"/>
    <w:basedOn w:val="Navaden"/>
    <w:link w:val="OdstavekseznamaZnak"/>
    <w:uiPriority w:val="34"/>
    <w:qFormat/>
    <w:rsid w:val="00516CEE"/>
    <w:pPr>
      <w:ind w:left="708"/>
    </w:pPr>
  </w:style>
  <w:style w:type="character" w:customStyle="1" w:styleId="OdstavekseznamaZnak">
    <w:name w:val="Odstavek seznama Znak"/>
    <w:aliases w:val="K1 Znak,Table of contents numbered Znak,Elenco num ARGEA Znak,body Znak,Odsek zoznamu2 Znak"/>
    <w:link w:val="Odstavekseznama"/>
    <w:uiPriority w:val="34"/>
    <w:rsid w:val="00516CEE"/>
    <w:rPr>
      <w:rFonts w:ascii="Calibri" w:eastAsia="Times New Roman" w:hAnsi="Calibri" w:cs="Arial"/>
      <w:sz w:val="24"/>
    </w:rPr>
  </w:style>
  <w:style w:type="paragraph" w:customStyle="1" w:styleId="len">
    <w:name w:val="len"/>
    <w:basedOn w:val="Navaden"/>
    <w:rsid w:val="00516CEE"/>
    <w:pPr>
      <w:spacing w:before="100" w:beforeAutospacing="1" w:after="100" w:afterAutospacing="1"/>
      <w:jc w:val="left"/>
    </w:pPr>
    <w:rPr>
      <w:rFonts w:ascii="Times New Roman" w:hAnsi="Times New Roman" w:cs="Times New Roman"/>
      <w:szCs w:val="24"/>
      <w:lang w:eastAsia="sl-SI"/>
    </w:rPr>
  </w:style>
  <w:style w:type="paragraph" w:styleId="Glava">
    <w:name w:val="header"/>
    <w:basedOn w:val="Navaden"/>
    <w:link w:val="GlavaZnak"/>
    <w:uiPriority w:val="99"/>
    <w:unhideWhenUsed/>
    <w:rsid w:val="00516CEE"/>
    <w:pPr>
      <w:tabs>
        <w:tab w:val="center" w:pos="4536"/>
        <w:tab w:val="right" w:pos="9072"/>
      </w:tabs>
    </w:pPr>
  </w:style>
  <w:style w:type="character" w:customStyle="1" w:styleId="GlavaZnak">
    <w:name w:val="Glava Znak"/>
    <w:basedOn w:val="Privzetapisavaodstavka"/>
    <w:link w:val="Glava"/>
    <w:uiPriority w:val="99"/>
    <w:rsid w:val="00516CEE"/>
    <w:rPr>
      <w:rFonts w:ascii="Calibri" w:eastAsia="Times New Roman" w:hAnsi="Calibri" w:cs="Arial"/>
      <w:sz w:val="24"/>
    </w:rPr>
  </w:style>
  <w:style w:type="paragraph" w:styleId="Noga">
    <w:name w:val="footer"/>
    <w:basedOn w:val="Navaden"/>
    <w:link w:val="NogaZnak"/>
    <w:uiPriority w:val="99"/>
    <w:unhideWhenUsed/>
    <w:rsid w:val="00516CEE"/>
    <w:pPr>
      <w:tabs>
        <w:tab w:val="center" w:pos="4536"/>
        <w:tab w:val="right" w:pos="9072"/>
      </w:tabs>
    </w:pPr>
  </w:style>
  <w:style w:type="character" w:customStyle="1" w:styleId="NogaZnak">
    <w:name w:val="Noga Znak"/>
    <w:basedOn w:val="Privzetapisavaodstavka"/>
    <w:link w:val="Noga"/>
    <w:uiPriority w:val="99"/>
    <w:rsid w:val="00516CEE"/>
    <w:rPr>
      <w:rFonts w:ascii="Calibri" w:eastAsia="Times New Roman" w:hAnsi="Calibri" w:cs="Arial"/>
      <w:sz w:val="24"/>
    </w:rPr>
  </w:style>
  <w:style w:type="paragraph" w:styleId="Revizija">
    <w:name w:val="Revision"/>
    <w:hidden/>
    <w:uiPriority w:val="99"/>
    <w:semiHidden/>
    <w:rsid w:val="002B1A14"/>
    <w:pPr>
      <w:spacing w:after="0" w:line="240" w:lineRule="auto"/>
    </w:pPr>
    <w:rPr>
      <w:rFonts w:ascii="Calibri" w:eastAsia="Times New Roman" w:hAnsi="Calibri" w:cs="Arial"/>
      <w:sz w:val="24"/>
    </w:rPr>
  </w:style>
  <w:style w:type="character" w:styleId="Hiperpovezava">
    <w:name w:val="Hyperlink"/>
    <w:basedOn w:val="Privzetapisavaodstavka"/>
    <w:uiPriority w:val="99"/>
    <w:unhideWhenUsed/>
    <w:rsid w:val="00F0126E"/>
    <w:rPr>
      <w:color w:val="0563C1" w:themeColor="hyperlink"/>
      <w:u w:val="single"/>
    </w:rPr>
  </w:style>
  <w:style w:type="character" w:customStyle="1" w:styleId="Naslov1Znak">
    <w:name w:val="Naslov 1 Znak"/>
    <w:basedOn w:val="Privzetapisavaodstavka"/>
    <w:link w:val="Naslov1"/>
    <w:uiPriority w:val="9"/>
    <w:rsid w:val="00297A88"/>
    <w:rPr>
      <w:rFonts w:asciiTheme="majorHAnsi" w:eastAsiaTheme="majorEastAsia" w:hAnsiTheme="majorHAnsi" w:cstheme="majorBidi"/>
      <w:color w:val="2F5496" w:themeColor="accent1" w:themeShade="BF"/>
      <w:sz w:val="32"/>
      <w:szCs w:val="32"/>
    </w:rPr>
  </w:style>
  <w:style w:type="paragraph" w:styleId="NaslovTOC">
    <w:name w:val="TOC Heading"/>
    <w:basedOn w:val="Naslov1"/>
    <w:next w:val="Navaden"/>
    <w:uiPriority w:val="39"/>
    <w:unhideWhenUsed/>
    <w:qFormat/>
    <w:rsid w:val="00297A88"/>
    <w:pPr>
      <w:spacing w:line="259" w:lineRule="auto"/>
      <w:jc w:val="left"/>
      <w:outlineLvl w:val="9"/>
    </w:pPr>
    <w:rPr>
      <w:lang w:eastAsia="sl-SI"/>
    </w:rPr>
  </w:style>
  <w:style w:type="paragraph" w:styleId="Kazalovsebine2">
    <w:name w:val="toc 2"/>
    <w:basedOn w:val="Navaden"/>
    <w:next w:val="Navaden"/>
    <w:autoRedefine/>
    <w:uiPriority w:val="39"/>
    <w:unhideWhenUsed/>
    <w:rsid w:val="00297A88"/>
    <w:pPr>
      <w:spacing w:after="100" w:line="259" w:lineRule="auto"/>
      <w:ind w:left="220"/>
      <w:jc w:val="left"/>
    </w:pPr>
    <w:rPr>
      <w:rFonts w:asciiTheme="minorHAnsi" w:eastAsiaTheme="minorEastAsia" w:hAnsiTheme="minorHAnsi" w:cs="Times New Roman"/>
      <w:sz w:val="22"/>
      <w:lang w:eastAsia="sl-SI"/>
    </w:rPr>
  </w:style>
  <w:style w:type="paragraph" w:styleId="Kazalovsebine1">
    <w:name w:val="toc 1"/>
    <w:basedOn w:val="Navaden"/>
    <w:next w:val="Navaden"/>
    <w:autoRedefine/>
    <w:uiPriority w:val="39"/>
    <w:unhideWhenUsed/>
    <w:rsid w:val="00297A88"/>
    <w:pPr>
      <w:spacing w:after="100" w:line="259" w:lineRule="auto"/>
      <w:jc w:val="left"/>
    </w:pPr>
    <w:rPr>
      <w:rFonts w:asciiTheme="minorHAnsi" w:eastAsiaTheme="minorEastAsia" w:hAnsiTheme="minorHAnsi" w:cs="Times New Roman"/>
      <w:sz w:val="22"/>
      <w:lang w:eastAsia="sl-SI"/>
    </w:rPr>
  </w:style>
  <w:style w:type="paragraph" w:styleId="Kazalovsebine3">
    <w:name w:val="toc 3"/>
    <w:basedOn w:val="Navaden"/>
    <w:next w:val="Navaden"/>
    <w:autoRedefine/>
    <w:uiPriority w:val="39"/>
    <w:unhideWhenUsed/>
    <w:rsid w:val="00297A88"/>
    <w:pPr>
      <w:spacing w:after="100" w:line="259" w:lineRule="auto"/>
      <w:ind w:left="440"/>
      <w:jc w:val="left"/>
    </w:pPr>
    <w:rPr>
      <w:rFonts w:asciiTheme="minorHAnsi" w:eastAsiaTheme="minorEastAsia" w:hAnsiTheme="minorHAnsi" w:cs="Times New Roman"/>
      <w:sz w:val="22"/>
      <w:lang w:eastAsia="sl-SI"/>
    </w:rPr>
  </w:style>
  <w:style w:type="character" w:customStyle="1" w:styleId="Naslov2Znak">
    <w:name w:val="Naslov 2 Znak"/>
    <w:basedOn w:val="Privzetapisavaodstavka"/>
    <w:link w:val="Naslov2"/>
    <w:uiPriority w:val="9"/>
    <w:rsid w:val="001E2722"/>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93202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ad.sigov.si\DAT\MP\PREDLOGE\Glave%20ministrstva\Ozna&#269;evanje%20NOO%20dokumentov.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7519635-4771-487D-B236-28D351FE8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Označevanje NOO dokumentov</Template>
  <TotalTime>5</TotalTime>
  <Pages>1</Pages>
  <Words>481</Words>
  <Characters>2742</Characters>
  <Application>Microsoft Office Word</Application>
  <DocSecurity>0</DocSecurity>
  <Lines>22</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Sporočilo za javnost zaključek NOO DOSTOPNO</dc:title>
  <dc:subject/>
  <dc:creator>Helena Imperl</dc:creator>
  <cp:keywords/>
  <dc:description/>
  <cp:lastModifiedBy>Lea Aissatou Levpušček</cp:lastModifiedBy>
  <cp:revision>7</cp:revision>
  <cp:lastPrinted>2026-09-23T04:40:00Z</cp:lastPrinted>
  <dcterms:created xsi:type="dcterms:W3CDTF">2026-09-23T04:28:00Z</dcterms:created>
  <dcterms:modified xsi:type="dcterms:W3CDTF">2026-09-23T05:33:00Z</dcterms:modified>
</cp:coreProperties>
</file>