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A80C1" w14:textId="77777777" w:rsidR="00A5619C" w:rsidRDefault="00A5619C" w:rsidP="00530CCF">
      <w:pPr>
        <w:rPr>
          <w:sz w:val="24"/>
          <w:szCs w:val="24"/>
        </w:rPr>
      </w:pPr>
    </w:p>
    <w:p w14:paraId="5FF1FC8E" w14:textId="5AE1E12F" w:rsidR="00A5619C" w:rsidRPr="00A5619C" w:rsidRDefault="00A5619C" w:rsidP="00530CCF">
      <w:pPr>
        <w:rPr>
          <w:sz w:val="24"/>
          <w:szCs w:val="24"/>
        </w:rPr>
      </w:pPr>
      <w:r w:rsidRPr="00E90F42">
        <w:rPr>
          <w:sz w:val="24"/>
          <w:szCs w:val="24"/>
        </w:rPr>
        <w:t xml:space="preserve">Verzija </w:t>
      </w:r>
      <w:r w:rsidR="00751393" w:rsidRPr="00E90F42">
        <w:rPr>
          <w:sz w:val="24"/>
          <w:szCs w:val="24"/>
        </w:rPr>
        <w:t>27. 2. 2026</w:t>
      </w:r>
    </w:p>
    <w:p w14:paraId="089C12F4" w14:textId="77777777" w:rsidR="00A5619C" w:rsidRDefault="00A5619C" w:rsidP="00530CCF">
      <w:pPr>
        <w:rPr>
          <w:b/>
          <w:bCs/>
          <w:sz w:val="24"/>
          <w:szCs w:val="24"/>
        </w:rPr>
      </w:pPr>
    </w:p>
    <w:p w14:paraId="06413FC4" w14:textId="2688AE47" w:rsidR="00530CCF" w:rsidRDefault="00530CCF" w:rsidP="00A5619C">
      <w:pPr>
        <w:spacing w:after="160" w:line="259" w:lineRule="auto"/>
        <w:rPr>
          <w:b/>
          <w:bCs/>
          <w:sz w:val="24"/>
          <w:szCs w:val="24"/>
        </w:rPr>
      </w:pPr>
      <w:r w:rsidRPr="00C15B74">
        <w:rPr>
          <w:b/>
          <w:bCs/>
          <w:sz w:val="24"/>
          <w:szCs w:val="24"/>
        </w:rPr>
        <w:t>Predvidena JN – EKP</w:t>
      </w:r>
      <w:r>
        <w:rPr>
          <w:b/>
          <w:bCs/>
          <w:sz w:val="24"/>
          <w:szCs w:val="24"/>
        </w:rPr>
        <w:t xml:space="preserve"> 2026</w:t>
      </w:r>
    </w:p>
    <w:p w14:paraId="1037E31A" w14:textId="77777777" w:rsidR="00530CCF" w:rsidRDefault="00530CCF" w:rsidP="00530CCF">
      <w:pPr>
        <w:rPr>
          <w:b/>
          <w:bCs/>
          <w:sz w:val="24"/>
          <w:szCs w:val="24"/>
        </w:rPr>
      </w:pPr>
    </w:p>
    <w:p w14:paraId="5EF85438" w14:textId="77777777" w:rsidR="00E90F42" w:rsidRPr="00C15B74" w:rsidRDefault="00E90F42" w:rsidP="00E90F42">
      <w:pPr>
        <w:jc w:val="both"/>
        <w:rPr>
          <w:color w:val="000000"/>
          <w:sz w:val="24"/>
          <w:szCs w:val="24"/>
          <w:lang w:eastAsia="sl-SI"/>
        </w:rPr>
      </w:pPr>
      <w:r w:rsidRPr="00C15B74">
        <w:rPr>
          <w:color w:val="000000"/>
          <w:sz w:val="24"/>
          <w:szCs w:val="24"/>
          <w:shd w:val="clear" w:color="auto" w:fill="FFFFFF"/>
        </w:rPr>
        <w:t xml:space="preserve">MP: </w:t>
      </w:r>
      <w:r>
        <w:rPr>
          <w:color w:val="000000"/>
          <w:sz w:val="24"/>
          <w:szCs w:val="24"/>
          <w:shd w:val="clear" w:color="auto" w:fill="FFFFFF"/>
        </w:rPr>
        <w:t xml:space="preserve">JN </w:t>
      </w:r>
      <w:r>
        <w:rPr>
          <w:color w:val="000000"/>
          <w:sz w:val="24"/>
          <w:szCs w:val="24"/>
          <w:lang w:eastAsia="sl-SI"/>
        </w:rPr>
        <w:t>»Nakup avdio in video opreme za URSIKS« – Q1 2026</w:t>
      </w:r>
    </w:p>
    <w:p w14:paraId="77C3CCBF" w14:textId="77777777" w:rsidR="00E90F42" w:rsidRDefault="00E90F42" w:rsidP="00E90F42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2D92A483" w14:textId="77777777" w:rsidR="00E90F42" w:rsidRPr="00BF146E" w:rsidRDefault="00E90F42" w:rsidP="00E90F42">
      <w:pPr>
        <w:jc w:val="both"/>
        <w:rPr>
          <w:color w:val="000000"/>
          <w:sz w:val="24"/>
          <w:szCs w:val="24"/>
          <w:lang w:eastAsia="sl-SI"/>
        </w:rPr>
      </w:pPr>
      <w:r>
        <w:rPr>
          <w:color w:val="000000"/>
          <w:sz w:val="24"/>
          <w:szCs w:val="24"/>
          <w:lang w:eastAsia="sl-SI"/>
        </w:rPr>
        <w:t>MP: evidenčno naročilo Nakup promocijskega materiala v sklopu projekta »Nakup avdio in video opreme za URSIKS – promocijske table in nalepke</w:t>
      </w:r>
      <w:r w:rsidRPr="00BF146E">
        <w:rPr>
          <w:color w:val="000000"/>
          <w:sz w:val="24"/>
          <w:szCs w:val="24"/>
          <w:lang w:eastAsia="sl-SI"/>
        </w:rPr>
        <w:t xml:space="preserve">« – Q4 2026 </w:t>
      </w:r>
    </w:p>
    <w:p w14:paraId="6DBE096F" w14:textId="77777777" w:rsidR="00E90F42" w:rsidRPr="00BF146E" w:rsidRDefault="00E90F42" w:rsidP="00E90F42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2E7CCAFB" w14:textId="77777777" w:rsidR="00E90F42" w:rsidRDefault="00E90F42" w:rsidP="00E90F42">
      <w:pPr>
        <w:jc w:val="both"/>
        <w:rPr>
          <w:color w:val="000000"/>
          <w:sz w:val="24"/>
          <w:szCs w:val="24"/>
          <w:lang w:eastAsia="sl-SI"/>
        </w:rPr>
      </w:pPr>
      <w:r w:rsidRPr="00BF146E">
        <w:rPr>
          <w:color w:val="000000"/>
          <w:sz w:val="24"/>
          <w:szCs w:val="24"/>
          <w:lang w:eastAsia="sl-SI"/>
        </w:rPr>
        <w:t>MP: evidenčno naročilo Nakup promocijskega materiala v sklopu projekta »</w:t>
      </w:r>
      <w:r w:rsidRPr="00BF146E">
        <w:rPr>
          <w:color w:val="000000"/>
          <w:sz w:val="24"/>
          <w:szCs w:val="24"/>
          <w:shd w:val="clear" w:color="auto" w:fill="FFFFFF"/>
        </w:rPr>
        <w:t>Nadgradnja obstoječega IS »ProbIS, z dostopi do svetovalno edukativnih modulov</w:t>
      </w:r>
      <w:r w:rsidRPr="00BF146E">
        <w:rPr>
          <w:color w:val="000000"/>
          <w:sz w:val="24"/>
          <w:szCs w:val="24"/>
          <w:lang w:eastAsia="sl-SI"/>
        </w:rPr>
        <w:t>« – Q4 2026</w:t>
      </w:r>
      <w:r>
        <w:rPr>
          <w:color w:val="000000"/>
          <w:sz w:val="24"/>
          <w:szCs w:val="24"/>
          <w:lang w:eastAsia="sl-SI"/>
        </w:rPr>
        <w:t xml:space="preserve"> </w:t>
      </w:r>
    </w:p>
    <w:p w14:paraId="0483C924" w14:textId="77777777" w:rsidR="00E90F42" w:rsidRDefault="00E90F42" w:rsidP="00E90F42">
      <w:pPr>
        <w:jc w:val="both"/>
        <w:rPr>
          <w:color w:val="000000"/>
          <w:sz w:val="24"/>
          <w:szCs w:val="24"/>
          <w:shd w:val="clear" w:color="auto" w:fill="FFFFFF"/>
        </w:rPr>
      </w:pPr>
    </w:p>
    <w:p w14:paraId="4EC82845" w14:textId="77777777" w:rsidR="00E90F42" w:rsidRDefault="00E90F42" w:rsidP="00E90F42">
      <w:pPr>
        <w:jc w:val="both"/>
        <w:rPr>
          <w:color w:val="000000"/>
          <w:sz w:val="24"/>
          <w:szCs w:val="24"/>
          <w:lang w:eastAsia="sl-SI"/>
        </w:rPr>
      </w:pPr>
      <w:r w:rsidRPr="00C15B74">
        <w:rPr>
          <w:color w:val="000000"/>
          <w:sz w:val="24"/>
          <w:szCs w:val="24"/>
          <w:shd w:val="clear" w:color="auto" w:fill="FFFFFF"/>
        </w:rPr>
        <w:t xml:space="preserve">MP: </w:t>
      </w:r>
      <w:r>
        <w:rPr>
          <w:color w:val="000000"/>
          <w:sz w:val="24"/>
          <w:szCs w:val="24"/>
          <w:shd w:val="clear" w:color="auto" w:fill="FFFFFF"/>
        </w:rPr>
        <w:t xml:space="preserve">JN </w:t>
      </w:r>
      <w:r w:rsidRPr="00C15B74">
        <w:rPr>
          <w:color w:val="000000"/>
          <w:sz w:val="24"/>
          <w:szCs w:val="24"/>
          <w:shd w:val="clear" w:color="auto" w:fill="FFFFFF"/>
        </w:rPr>
        <w:t>Izgradnja novega IS na področj</w:t>
      </w:r>
      <w:r>
        <w:rPr>
          <w:color w:val="000000"/>
          <w:sz w:val="24"/>
          <w:szCs w:val="24"/>
          <w:shd w:val="clear" w:color="auto" w:fill="FFFFFF"/>
        </w:rPr>
        <w:t>u</w:t>
      </w:r>
      <w:r w:rsidRPr="00C15B74">
        <w:rPr>
          <w:color w:val="000000"/>
          <w:sz w:val="24"/>
          <w:szCs w:val="24"/>
          <w:shd w:val="clear" w:color="auto" w:fill="FFFFFF"/>
        </w:rPr>
        <w:t xml:space="preserve"> imenovanj v pravosodju </w:t>
      </w:r>
      <w:r>
        <w:rPr>
          <w:color w:val="000000"/>
          <w:sz w:val="24"/>
          <w:szCs w:val="24"/>
          <w:shd w:val="clear" w:color="auto" w:fill="FFFFFF"/>
        </w:rPr>
        <w:t>–</w:t>
      </w:r>
      <w:r w:rsidRPr="00C15B74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>Q3 in Q4</w:t>
      </w:r>
      <w:r w:rsidRPr="00C15B74">
        <w:rPr>
          <w:color w:val="000000"/>
          <w:sz w:val="24"/>
          <w:szCs w:val="24"/>
          <w:lang w:eastAsia="sl-SI"/>
        </w:rPr>
        <w:t xml:space="preserve"> 202</w:t>
      </w:r>
      <w:r>
        <w:rPr>
          <w:color w:val="000000"/>
          <w:sz w:val="24"/>
          <w:szCs w:val="24"/>
          <w:lang w:eastAsia="sl-SI"/>
        </w:rPr>
        <w:t>6</w:t>
      </w:r>
    </w:p>
    <w:p w14:paraId="6FBDAFC3" w14:textId="77777777" w:rsidR="00E90F42" w:rsidRDefault="00E90F42" w:rsidP="00E90F42">
      <w:pPr>
        <w:jc w:val="both"/>
        <w:rPr>
          <w:b/>
          <w:bCs/>
          <w:sz w:val="24"/>
          <w:szCs w:val="24"/>
        </w:rPr>
      </w:pPr>
    </w:p>
    <w:p w14:paraId="5B0CBDBB" w14:textId="77777777" w:rsidR="00E90F42" w:rsidRPr="00C15B74" w:rsidRDefault="00E90F42" w:rsidP="00E90F42">
      <w:pPr>
        <w:jc w:val="both"/>
        <w:rPr>
          <w:sz w:val="24"/>
          <w:szCs w:val="24"/>
        </w:rPr>
      </w:pPr>
      <w:r w:rsidRPr="00C15B74">
        <w:rPr>
          <w:color w:val="000000"/>
          <w:sz w:val="24"/>
          <w:szCs w:val="24"/>
          <w:shd w:val="clear" w:color="auto" w:fill="FFFFFF"/>
        </w:rPr>
        <w:t xml:space="preserve">MP: </w:t>
      </w:r>
      <w:r>
        <w:rPr>
          <w:color w:val="000000"/>
          <w:sz w:val="24"/>
          <w:szCs w:val="24"/>
          <w:shd w:val="clear" w:color="auto" w:fill="FFFFFF"/>
        </w:rPr>
        <w:t xml:space="preserve">JN </w:t>
      </w:r>
      <w:r w:rsidRPr="00090C8D">
        <w:rPr>
          <w:color w:val="000000"/>
          <w:sz w:val="24"/>
          <w:szCs w:val="24"/>
          <w:shd w:val="clear" w:color="auto" w:fill="FFFFFF"/>
        </w:rPr>
        <w:t xml:space="preserve">Nakup opreme za zvočno snemanje </w:t>
      </w:r>
      <w:r>
        <w:rPr>
          <w:color w:val="000000"/>
          <w:sz w:val="24"/>
          <w:szCs w:val="24"/>
          <w:shd w:val="clear" w:color="auto" w:fill="FFFFFF"/>
        </w:rPr>
        <w:t>za sodišča –</w:t>
      </w:r>
      <w:r w:rsidRPr="00C15B74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Q1 in Q2 </w:t>
      </w:r>
      <w:r w:rsidRPr="00C15B74">
        <w:rPr>
          <w:color w:val="000000"/>
          <w:sz w:val="24"/>
          <w:szCs w:val="24"/>
          <w:lang w:eastAsia="sl-SI"/>
        </w:rPr>
        <w:t>202</w:t>
      </w:r>
      <w:r>
        <w:rPr>
          <w:color w:val="000000"/>
          <w:sz w:val="24"/>
          <w:szCs w:val="24"/>
          <w:lang w:eastAsia="sl-SI"/>
        </w:rPr>
        <w:t>6</w:t>
      </w:r>
    </w:p>
    <w:p w14:paraId="12D78C5F" w14:textId="77777777" w:rsidR="00E90F42" w:rsidRDefault="00E90F42" w:rsidP="00E90F42">
      <w:pPr>
        <w:jc w:val="both"/>
        <w:rPr>
          <w:color w:val="000000"/>
          <w:sz w:val="24"/>
          <w:szCs w:val="24"/>
          <w:lang w:eastAsia="sl-SI"/>
        </w:rPr>
      </w:pPr>
    </w:p>
    <w:p w14:paraId="7230DF64" w14:textId="77777777" w:rsidR="00E90F42" w:rsidRDefault="00E90F42" w:rsidP="00E90F42">
      <w:pPr>
        <w:jc w:val="both"/>
        <w:rPr>
          <w:color w:val="000000"/>
          <w:sz w:val="24"/>
          <w:szCs w:val="24"/>
          <w:lang w:eastAsia="sl-SI"/>
        </w:rPr>
      </w:pPr>
      <w:r>
        <w:rPr>
          <w:color w:val="000000"/>
          <w:sz w:val="24"/>
          <w:szCs w:val="24"/>
          <w:lang w:eastAsia="sl-SI"/>
        </w:rPr>
        <w:t>MP: evidenčno naročilo Nakup promocijskega materiala v sklopu projekta »Nakup opreme za zvočno snemanje za sodišča – promocijske tabele in nalepke</w:t>
      </w:r>
      <w:r w:rsidRPr="00BF146E">
        <w:rPr>
          <w:color w:val="000000"/>
          <w:sz w:val="24"/>
          <w:szCs w:val="24"/>
          <w:lang w:eastAsia="sl-SI"/>
        </w:rPr>
        <w:t xml:space="preserve">« – Q4 2026 </w:t>
      </w:r>
    </w:p>
    <w:p w14:paraId="57F6F916" w14:textId="77777777" w:rsidR="00E90F42" w:rsidRDefault="00E90F42" w:rsidP="00E90F42">
      <w:pPr>
        <w:jc w:val="both"/>
        <w:rPr>
          <w:color w:val="000000"/>
          <w:sz w:val="24"/>
          <w:szCs w:val="24"/>
          <w:lang w:eastAsia="sl-SI"/>
        </w:rPr>
      </w:pPr>
    </w:p>
    <w:p w14:paraId="38BEA147" w14:textId="77777777" w:rsidR="00E90F42" w:rsidRPr="00083099" w:rsidRDefault="00E90F42" w:rsidP="00E90F42">
      <w:pPr>
        <w:jc w:val="both"/>
        <w:rPr>
          <w:color w:val="000000"/>
          <w:sz w:val="24"/>
          <w:szCs w:val="24"/>
          <w:lang w:eastAsia="sl-SI"/>
        </w:rPr>
      </w:pPr>
      <w:r w:rsidRPr="00302513">
        <w:rPr>
          <w:color w:val="000000"/>
          <w:sz w:val="24"/>
          <w:szCs w:val="24"/>
          <w:lang w:eastAsia="sl-SI"/>
        </w:rPr>
        <w:t xml:space="preserve">MP: </w:t>
      </w:r>
      <w:r>
        <w:rPr>
          <w:color w:val="000000"/>
          <w:sz w:val="24"/>
          <w:szCs w:val="24"/>
          <w:lang w:eastAsia="sl-SI"/>
        </w:rPr>
        <w:t xml:space="preserve">JN </w:t>
      </w:r>
      <w:r w:rsidRPr="00302513">
        <w:rPr>
          <w:color w:val="000000"/>
          <w:sz w:val="24"/>
          <w:szCs w:val="24"/>
          <w:lang w:eastAsia="sl-SI"/>
        </w:rPr>
        <w:t xml:space="preserve">Razvoj novega informacijskega sistema »Notar na daljavo« v okviru projekta »Digitalizacija notarskih storitev« - </w:t>
      </w:r>
      <w:r>
        <w:rPr>
          <w:color w:val="000000"/>
          <w:sz w:val="24"/>
          <w:szCs w:val="24"/>
          <w:shd w:val="clear" w:color="auto" w:fill="FFFFFF"/>
        </w:rPr>
        <w:t xml:space="preserve">Q3 in Q4 </w:t>
      </w:r>
      <w:r w:rsidRPr="00C15B74">
        <w:rPr>
          <w:color w:val="000000"/>
          <w:sz w:val="24"/>
          <w:szCs w:val="24"/>
          <w:lang w:eastAsia="sl-SI"/>
        </w:rPr>
        <w:t>202</w:t>
      </w:r>
      <w:r>
        <w:rPr>
          <w:color w:val="000000"/>
          <w:sz w:val="24"/>
          <w:szCs w:val="24"/>
          <w:lang w:eastAsia="sl-SI"/>
        </w:rPr>
        <w:t>6</w:t>
      </w:r>
    </w:p>
    <w:p w14:paraId="1AAB986B" w14:textId="77777777" w:rsidR="00E90F42" w:rsidRDefault="00E90F42" w:rsidP="00530CCF">
      <w:pPr>
        <w:rPr>
          <w:b/>
          <w:bCs/>
          <w:sz w:val="24"/>
          <w:szCs w:val="24"/>
        </w:rPr>
      </w:pPr>
    </w:p>
    <w:p w14:paraId="5C8A5907" w14:textId="1CC1AA3C" w:rsidR="0032078E" w:rsidRPr="0032078E" w:rsidRDefault="0032078E" w:rsidP="0032078E">
      <w:pPr>
        <w:jc w:val="both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USRS: </w:t>
      </w:r>
      <w:r w:rsidRPr="0032078E">
        <w:rPr>
          <w:sz w:val="24"/>
          <w:szCs w:val="24"/>
          <w14:ligatures w14:val="none"/>
        </w:rPr>
        <w:t>evidenčna naročila za izobraževalne dogodke</w:t>
      </w:r>
      <w:r>
        <w:rPr>
          <w:sz w:val="24"/>
          <w:szCs w:val="24"/>
          <w14:ligatures w14:val="none"/>
        </w:rPr>
        <w:t xml:space="preserve"> – </w:t>
      </w:r>
      <w:r w:rsidRPr="0032078E">
        <w:rPr>
          <w:sz w:val="24"/>
          <w:szCs w:val="24"/>
          <w14:ligatures w14:val="none"/>
        </w:rPr>
        <w:t xml:space="preserve"> Q3-Q4 2026.</w:t>
      </w:r>
    </w:p>
    <w:p w14:paraId="54E322C9" w14:textId="77777777" w:rsidR="0032078E" w:rsidRDefault="0032078E" w:rsidP="00CD4C6E">
      <w:pPr>
        <w:jc w:val="both"/>
        <w:rPr>
          <w:sz w:val="24"/>
          <w:szCs w:val="24"/>
          <w14:ligatures w14:val="none"/>
        </w:rPr>
      </w:pPr>
    </w:p>
    <w:p w14:paraId="730D4723" w14:textId="46375C77" w:rsidR="00CD4C6E" w:rsidRPr="00751393" w:rsidRDefault="00CD4C6E" w:rsidP="00CD4C6E">
      <w:pPr>
        <w:jc w:val="both"/>
        <w:rPr>
          <w:sz w:val="24"/>
          <w:szCs w:val="24"/>
          <w14:ligatures w14:val="none"/>
        </w:rPr>
      </w:pPr>
      <w:r w:rsidRPr="00751393">
        <w:rPr>
          <w:sz w:val="24"/>
          <w:szCs w:val="24"/>
          <w14:ligatures w14:val="none"/>
        </w:rPr>
        <w:t xml:space="preserve">UPRO: </w:t>
      </w:r>
      <w:r w:rsidR="00C53B2D" w:rsidRPr="00751393">
        <w:rPr>
          <w:sz w:val="24"/>
          <w:szCs w:val="24"/>
          <w14:ligatures w14:val="none"/>
        </w:rPr>
        <w:t>evidenčno naročilo za izbor izvajalca za izvedbo strokovnega usposabljanja za obravnav</w:t>
      </w:r>
      <w:r w:rsidR="00CA2A3F" w:rsidRPr="00751393">
        <w:rPr>
          <w:sz w:val="24"/>
          <w:szCs w:val="24"/>
          <w14:ligatures w14:val="none"/>
        </w:rPr>
        <w:t>o</w:t>
      </w:r>
      <w:r w:rsidR="00C53B2D" w:rsidRPr="00751393">
        <w:rPr>
          <w:sz w:val="24"/>
          <w:szCs w:val="24"/>
          <w14:ligatures w14:val="none"/>
        </w:rPr>
        <w:t xml:space="preserve"> storilcev KD zoper spolno nedotakljivost, strokovnega svetovanja in pomoči pri pripravi strokovnega gradiva </w:t>
      </w:r>
      <w:r w:rsidR="00CA2A3F" w:rsidRPr="00751393">
        <w:rPr>
          <w:sz w:val="24"/>
          <w:szCs w:val="24"/>
          <w14:ligatures w14:val="none"/>
        </w:rPr>
        <w:t>za razvoj Specializiranega programa za storilce KD zoper spolno nedotakljivost (SPS)</w:t>
      </w:r>
      <w:r w:rsidRPr="00751393">
        <w:rPr>
          <w:sz w:val="24"/>
          <w:szCs w:val="24"/>
          <w14:ligatures w14:val="none"/>
        </w:rPr>
        <w:t>– Q</w:t>
      </w:r>
      <w:r w:rsidR="00CC4770" w:rsidRPr="00751393">
        <w:rPr>
          <w:sz w:val="24"/>
          <w:szCs w:val="24"/>
          <w14:ligatures w14:val="none"/>
        </w:rPr>
        <w:t>1</w:t>
      </w:r>
      <w:r w:rsidRPr="00751393">
        <w:rPr>
          <w:sz w:val="24"/>
          <w:szCs w:val="24"/>
          <w14:ligatures w14:val="none"/>
        </w:rPr>
        <w:t xml:space="preserve"> 2026</w:t>
      </w:r>
      <w:r w:rsidR="00CC4770" w:rsidRPr="00751393">
        <w:rPr>
          <w:sz w:val="24"/>
          <w:szCs w:val="24"/>
          <w14:ligatures w14:val="none"/>
        </w:rPr>
        <w:t xml:space="preserve"> že realizirano</w:t>
      </w:r>
    </w:p>
    <w:p w14:paraId="2815AD01" w14:textId="77777777" w:rsidR="00CC4770" w:rsidRPr="00751393" w:rsidRDefault="00CC4770" w:rsidP="00CD4C6E">
      <w:pPr>
        <w:jc w:val="both"/>
        <w:rPr>
          <w:sz w:val="24"/>
          <w:szCs w:val="24"/>
          <w14:ligatures w14:val="none"/>
        </w:rPr>
      </w:pPr>
    </w:p>
    <w:p w14:paraId="0E60729E" w14:textId="6F0C1E28" w:rsidR="00CC4770" w:rsidRPr="00751393" w:rsidRDefault="00CC4770" w:rsidP="00CC4770">
      <w:pPr>
        <w:jc w:val="both"/>
        <w:rPr>
          <w:sz w:val="24"/>
          <w:szCs w:val="24"/>
          <w14:ligatures w14:val="none"/>
        </w:rPr>
      </w:pPr>
      <w:r w:rsidRPr="00751393">
        <w:rPr>
          <w:sz w:val="24"/>
          <w:szCs w:val="24"/>
          <w14:ligatures w14:val="none"/>
        </w:rPr>
        <w:t xml:space="preserve">UPRO: </w:t>
      </w:r>
      <w:r w:rsidR="00C53B2D" w:rsidRPr="00751393">
        <w:rPr>
          <w:sz w:val="24"/>
          <w:szCs w:val="24"/>
          <w14:ligatures w14:val="none"/>
        </w:rPr>
        <w:t xml:space="preserve">evidenčno naročilo za izbor izvajalca za izvedbo strokovnega usposabljanja za obravnavo nasilja v družini, strokovnega svetovanja in pomoči pri pripravi strokovnega gradiva </w:t>
      </w:r>
      <w:r w:rsidRPr="00751393">
        <w:rPr>
          <w:sz w:val="24"/>
          <w:szCs w:val="24"/>
          <w14:ligatures w14:val="none"/>
        </w:rPr>
        <w:t>za razvoj Specializiranega programa za storilce kaznivih dejanj nasilja v družini (SPN) – Q1 2026 že realizirano</w:t>
      </w:r>
    </w:p>
    <w:p w14:paraId="5F6F0C50" w14:textId="77777777" w:rsidR="00CD4C6E" w:rsidRPr="00751393" w:rsidRDefault="00CD4C6E" w:rsidP="00CD4C6E">
      <w:pPr>
        <w:jc w:val="both"/>
        <w:rPr>
          <w:sz w:val="24"/>
          <w:szCs w:val="24"/>
          <w:shd w:val="clear" w:color="auto" w:fill="FFFFFF"/>
        </w:rPr>
      </w:pPr>
    </w:p>
    <w:p w14:paraId="423849FB" w14:textId="034D6742" w:rsidR="00CD4C6E" w:rsidRDefault="00CD4C6E" w:rsidP="00CD4C6E">
      <w:pPr>
        <w:jc w:val="both"/>
        <w:rPr>
          <w:sz w:val="24"/>
          <w:szCs w:val="24"/>
          <w14:ligatures w14:val="none"/>
        </w:rPr>
      </w:pPr>
      <w:r w:rsidRPr="00751393">
        <w:rPr>
          <w:sz w:val="24"/>
          <w:szCs w:val="24"/>
          <w14:ligatures w14:val="none"/>
        </w:rPr>
        <w:t xml:space="preserve">UPRO: evidenčna naročila skozi </w:t>
      </w:r>
      <w:r w:rsidR="001E3973" w:rsidRPr="00751393">
        <w:rPr>
          <w:sz w:val="24"/>
          <w:szCs w:val="24"/>
          <w14:ligatures w14:val="none"/>
        </w:rPr>
        <w:t xml:space="preserve">ves </w:t>
      </w:r>
      <w:r w:rsidRPr="00751393">
        <w:rPr>
          <w:sz w:val="24"/>
          <w:szCs w:val="24"/>
          <w14:ligatures w14:val="none"/>
        </w:rPr>
        <w:t>čas trajanja operacije (izobraževanja, literatura in strokovni pripomočki, sodelovanje s tujimi strokovnjaki ipd.) – Q1-Q4 2026</w:t>
      </w:r>
    </w:p>
    <w:p w14:paraId="735A0B3F" w14:textId="77777777" w:rsidR="00C661F4" w:rsidRDefault="00C661F4" w:rsidP="00CD4C6E">
      <w:pPr>
        <w:jc w:val="both"/>
        <w:rPr>
          <w:sz w:val="24"/>
          <w:szCs w:val="24"/>
          <w14:ligatures w14:val="none"/>
        </w:rPr>
      </w:pPr>
    </w:p>
    <w:p w14:paraId="05EA685A" w14:textId="77777777" w:rsidR="00C661F4" w:rsidRPr="00C661F4" w:rsidRDefault="00C661F4" w:rsidP="00C661F4">
      <w:pPr>
        <w:jc w:val="both"/>
        <w:rPr>
          <w:sz w:val="24"/>
          <w:szCs w:val="24"/>
          <w14:ligatures w14:val="none"/>
        </w:rPr>
      </w:pPr>
      <w:r w:rsidRPr="00C661F4">
        <w:rPr>
          <w:sz w:val="24"/>
          <w:szCs w:val="24"/>
          <w14:ligatures w14:val="none"/>
        </w:rPr>
        <w:t>MP: evidenčno naročilo Storitve zunanjih izvajalcev v sklopu projekta »Center za mladoletnike« – Q3 in Q4 2026</w:t>
      </w:r>
    </w:p>
    <w:p w14:paraId="0CB1F819" w14:textId="77777777" w:rsidR="00C661F4" w:rsidRPr="00C661F4" w:rsidRDefault="00C661F4" w:rsidP="00C661F4">
      <w:pPr>
        <w:rPr>
          <w:sz w:val="24"/>
          <w:szCs w:val="24"/>
          <w14:ligatures w14:val="none"/>
        </w:rPr>
      </w:pPr>
    </w:p>
    <w:p w14:paraId="2287A1CA" w14:textId="77777777" w:rsidR="00C661F4" w:rsidRPr="00C661F4" w:rsidRDefault="00C661F4" w:rsidP="00C661F4">
      <w:pPr>
        <w:jc w:val="both"/>
        <w:rPr>
          <w:sz w:val="24"/>
          <w:szCs w:val="24"/>
          <w14:ligatures w14:val="none"/>
        </w:rPr>
      </w:pPr>
      <w:r w:rsidRPr="00C661F4">
        <w:rPr>
          <w:sz w:val="24"/>
          <w:szCs w:val="24"/>
          <w14:ligatures w14:val="none"/>
        </w:rPr>
        <w:t>MP: evidenčno naročilo Storitve informiranja in komuniciranja v sklopu projekta »Center za mladoletnike« – Q3 in Q4 2026</w:t>
      </w:r>
    </w:p>
    <w:p w14:paraId="48567988" w14:textId="77777777" w:rsidR="00C661F4" w:rsidRPr="00C661F4" w:rsidRDefault="00C661F4" w:rsidP="00C661F4">
      <w:pPr>
        <w:rPr>
          <w:sz w:val="24"/>
          <w:szCs w:val="24"/>
          <w14:ligatures w14:val="none"/>
        </w:rPr>
      </w:pPr>
    </w:p>
    <w:p w14:paraId="38812442" w14:textId="77777777" w:rsidR="00C661F4" w:rsidRPr="00C661F4" w:rsidRDefault="00C661F4" w:rsidP="00C661F4">
      <w:pPr>
        <w:jc w:val="both"/>
        <w:rPr>
          <w:sz w:val="24"/>
          <w:szCs w:val="24"/>
          <w14:ligatures w14:val="none"/>
        </w:rPr>
      </w:pPr>
      <w:r w:rsidRPr="00C661F4">
        <w:rPr>
          <w:sz w:val="24"/>
          <w:szCs w:val="24"/>
          <w14:ligatures w14:val="none"/>
        </w:rPr>
        <w:t>MP: evidenčno naročilo Oprema prostorov Centra za mladoletnike v sklopu projekta »Center za mladoletnike« – Q3 in Q4 2026</w:t>
      </w:r>
    </w:p>
    <w:p w14:paraId="4D58C740" w14:textId="77777777" w:rsidR="00C661F4" w:rsidRPr="00C661F4" w:rsidRDefault="00C661F4" w:rsidP="00C661F4">
      <w:pPr>
        <w:jc w:val="both"/>
        <w:rPr>
          <w:sz w:val="24"/>
          <w:szCs w:val="24"/>
          <w14:ligatures w14:val="none"/>
        </w:rPr>
      </w:pPr>
    </w:p>
    <w:p w14:paraId="2322BF62" w14:textId="77777777" w:rsidR="00E90F42" w:rsidRDefault="00E90F42" w:rsidP="00C661F4">
      <w:pPr>
        <w:jc w:val="both"/>
        <w:rPr>
          <w:sz w:val="24"/>
          <w:szCs w:val="24"/>
          <w14:ligatures w14:val="none"/>
        </w:rPr>
      </w:pPr>
    </w:p>
    <w:p w14:paraId="61E0C2D5" w14:textId="5B27DBA9" w:rsidR="00C661F4" w:rsidRPr="00C661F4" w:rsidRDefault="00C661F4" w:rsidP="00C661F4">
      <w:pPr>
        <w:jc w:val="both"/>
        <w:rPr>
          <w:sz w:val="24"/>
          <w:szCs w:val="24"/>
          <w14:ligatures w14:val="none"/>
        </w:rPr>
      </w:pPr>
      <w:r w:rsidRPr="00C661F4">
        <w:rPr>
          <w:sz w:val="24"/>
          <w:szCs w:val="24"/>
          <w14:ligatures w14:val="none"/>
        </w:rPr>
        <w:t>MP: evidenčno naročilo Najem poslovnih prostorov Centra za mladoletnike v sklopu projekta »Center za mladoletnike« – Q3 2026</w:t>
      </w:r>
    </w:p>
    <w:p w14:paraId="7B997591" w14:textId="77777777" w:rsidR="00CD4C6E" w:rsidRDefault="00CD4C6E" w:rsidP="00530CCF">
      <w:pPr>
        <w:rPr>
          <w:sz w:val="24"/>
          <w:szCs w:val="24"/>
        </w:rPr>
      </w:pPr>
    </w:p>
    <w:p w14:paraId="55C089AA" w14:textId="1FEF79E0" w:rsidR="00FE5911" w:rsidRPr="00FE5911" w:rsidRDefault="00FE5911" w:rsidP="00FE5911">
      <w:pPr>
        <w:jc w:val="both"/>
        <w:rPr>
          <w:sz w:val="24"/>
          <w:szCs w:val="24"/>
          <w14:ligatures w14:val="none"/>
        </w:rPr>
      </w:pPr>
      <w:r w:rsidRPr="00FE5911">
        <w:rPr>
          <w:sz w:val="24"/>
          <w:szCs w:val="24"/>
          <w14:ligatures w14:val="none"/>
        </w:rPr>
        <w:t>URSIKS: JN za zagotovitev zunanjih izvajalcev za razvoj kompetenc zaprtih oseb (9 odprtih postopkov) – Q1 2026, ponovne objave (8 odprtih postopkov) – Q4 2026 za zagotovitev izvajalcev za leto 2027</w:t>
      </w:r>
    </w:p>
    <w:p w14:paraId="566E0F61" w14:textId="77777777" w:rsidR="00FE5911" w:rsidRPr="00FB1E6C" w:rsidRDefault="00FE5911" w:rsidP="00FE5911">
      <w:pPr>
        <w:jc w:val="both"/>
        <w:rPr>
          <w:color w:val="FF0000"/>
          <w:sz w:val="24"/>
          <w:szCs w:val="24"/>
          <w14:ligatures w14:val="none"/>
        </w:rPr>
      </w:pPr>
    </w:p>
    <w:p w14:paraId="5750E729" w14:textId="020CF3BD" w:rsidR="00FE5911" w:rsidRPr="00FE5911" w:rsidRDefault="00FE5911" w:rsidP="00FE5911">
      <w:pPr>
        <w:jc w:val="both"/>
        <w:rPr>
          <w:sz w:val="24"/>
          <w:szCs w:val="24"/>
          <w14:ligatures w14:val="none"/>
        </w:rPr>
      </w:pPr>
      <w:r w:rsidRPr="00FE5911">
        <w:rPr>
          <w:sz w:val="24"/>
          <w:szCs w:val="24"/>
          <w14:ligatures w14:val="none"/>
        </w:rPr>
        <w:t>URSIKS: JN za izbor izvajalca za vzpostavitev in izvajanja programa terapevtske skupnosti – Q2 2026</w:t>
      </w:r>
    </w:p>
    <w:p w14:paraId="55C0F173" w14:textId="77777777" w:rsidR="00FE5911" w:rsidRPr="00FB1E6C" w:rsidRDefault="00FE5911" w:rsidP="00FE5911">
      <w:pPr>
        <w:jc w:val="both"/>
        <w:rPr>
          <w:color w:val="FF0000"/>
          <w:sz w:val="24"/>
          <w:szCs w:val="24"/>
          <w14:ligatures w14:val="none"/>
        </w:rPr>
      </w:pPr>
    </w:p>
    <w:p w14:paraId="65FBB5A5" w14:textId="49C1B293" w:rsidR="00FE5911" w:rsidRPr="00E90F42" w:rsidRDefault="00FE5911" w:rsidP="00FE5911">
      <w:pPr>
        <w:jc w:val="both"/>
        <w:rPr>
          <w:sz w:val="24"/>
          <w:szCs w:val="24"/>
          <w14:ligatures w14:val="none"/>
        </w:rPr>
      </w:pPr>
      <w:r w:rsidRPr="00E90F42">
        <w:rPr>
          <w:sz w:val="24"/>
          <w:szCs w:val="24"/>
          <w14:ligatures w14:val="none"/>
        </w:rPr>
        <w:t>URSIKS: JN za nakup digitalne vadbeno simulacijske opreme Q2 2026, aktivnost bo realizirana v letu 2027</w:t>
      </w:r>
    </w:p>
    <w:p w14:paraId="0474783A" w14:textId="77777777" w:rsidR="00FE5911" w:rsidRPr="00FB1E6C" w:rsidRDefault="00FE5911" w:rsidP="00FE5911">
      <w:pPr>
        <w:jc w:val="both"/>
        <w:rPr>
          <w:color w:val="FF0000"/>
          <w:sz w:val="24"/>
          <w:szCs w:val="24"/>
          <w14:ligatures w14:val="none"/>
        </w:rPr>
      </w:pPr>
    </w:p>
    <w:p w14:paraId="0334F129" w14:textId="13AF5E4F" w:rsidR="00FE5911" w:rsidRPr="00FE5911" w:rsidRDefault="00FE5911" w:rsidP="00FE5911">
      <w:pPr>
        <w:jc w:val="both"/>
        <w:rPr>
          <w:sz w:val="24"/>
          <w:szCs w:val="24"/>
          <w14:ligatures w14:val="none"/>
        </w:rPr>
      </w:pPr>
      <w:r w:rsidRPr="00FE5911">
        <w:rPr>
          <w:sz w:val="24"/>
          <w:szCs w:val="24"/>
          <w14:ligatures w14:val="none"/>
        </w:rPr>
        <w:t xml:space="preserve">URSIKS: </w:t>
      </w:r>
      <w:r w:rsidRPr="00FE5911">
        <w:rPr>
          <w:sz w:val="24"/>
          <w:szCs w:val="24"/>
          <w:lang w:eastAsia="sl-SI"/>
        </w:rPr>
        <w:t>NMV</w:t>
      </w:r>
      <w:r w:rsidRPr="00FE5911">
        <w:rPr>
          <w:sz w:val="24"/>
          <w:szCs w:val="24"/>
          <w14:ligatures w14:val="none"/>
        </w:rPr>
        <w:t xml:space="preserve"> za nakup pametnih tabel in AVK za izobraževalni center – Q2 ali Q3 2026</w:t>
      </w:r>
    </w:p>
    <w:p w14:paraId="21146C31" w14:textId="77777777" w:rsidR="00FE5911" w:rsidRDefault="00FE5911" w:rsidP="00FE5911">
      <w:pPr>
        <w:jc w:val="both"/>
        <w:rPr>
          <w:color w:val="FF0000"/>
          <w:sz w:val="24"/>
          <w:szCs w:val="24"/>
          <w14:ligatures w14:val="none"/>
        </w:rPr>
      </w:pPr>
    </w:p>
    <w:p w14:paraId="2787536B" w14:textId="0D62BA5D" w:rsidR="00FE5911" w:rsidRPr="00FE5911" w:rsidRDefault="00FE5911" w:rsidP="00FE5911">
      <w:pPr>
        <w:jc w:val="both"/>
        <w:rPr>
          <w:sz w:val="24"/>
          <w:szCs w:val="24"/>
          <w14:ligatures w14:val="none"/>
        </w:rPr>
      </w:pPr>
      <w:r w:rsidRPr="00FE5911">
        <w:rPr>
          <w:sz w:val="24"/>
          <w:szCs w:val="24"/>
          <w14:ligatures w14:val="none"/>
        </w:rPr>
        <w:t xml:space="preserve">URSIKS: </w:t>
      </w:r>
      <w:r w:rsidRPr="00FE5911">
        <w:rPr>
          <w:sz w:val="24"/>
          <w:szCs w:val="24"/>
          <w:lang w:eastAsia="sl-SI"/>
        </w:rPr>
        <w:t>NMV</w:t>
      </w:r>
      <w:r w:rsidRPr="00FE5911">
        <w:rPr>
          <w:sz w:val="24"/>
          <w:szCs w:val="24"/>
          <w14:ligatures w14:val="none"/>
        </w:rPr>
        <w:t xml:space="preserve"> za izvajanje storitev razvoja kompetenčnega modela</w:t>
      </w:r>
      <w:r>
        <w:rPr>
          <w:sz w:val="24"/>
          <w:szCs w:val="24"/>
          <w14:ligatures w14:val="none"/>
        </w:rPr>
        <w:t xml:space="preserve"> –</w:t>
      </w:r>
      <w:r w:rsidRPr="00FE5911">
        <w:rPr>
          <w:sz w:val="24"/>
          <w:szCs w:val="24"/>
          <w14:ligatures w14:val="none"/>
        </w:rPr>
        <w:t xml:space="preserve"> Q2 2026</w:t>
      </w:r>
    </w:p>
    <w:p w14:paraId="0D980285" w14:textId="77777777" w:rsidR="00FE5911" w:rsidRDefault="00FE5911" w:rsidP="00FE5911">
      <w:pPr>
        <w:jc w:val="both"/>
        <w:rPr>
          <w:color w:val="FF0000"/>
          <w:sz w:val="24"/>
          <w:szCs w:val="24"/>
          <w14:ligatures w14:val="none"/>
        </w:rPr>
      </w:pPr>
    </w:p>
    <w:p w14:paraId="1BA56935" w14:textId="2482BBF3" w:rsidR="00FE5911" w:rsidRPr="00FE5911" w:rsidRDefault="00FE5911" w:rsidP="00FE5911">
      <w:pPr>
        <w:jc w:val="both"/>
        <w:rPr>
          <w:sz w:val="24"/>
          <w:szCs w:val="24"/>
          <w14:ligatures w14:val="none"/>
        </w:rPr>
      </w:pPr>
      <w:r w:rsidRPr="00FE5911">
        <w:rPr>
          <w:sz w:val="24"/>
          <w:szCs w:val="24"/>
          <w14:ligatures w14:val="none"/>
        </w:rPr>
        <w:t xml:space="preserve">URSIKS: </w:t>
      </w:r>
      <w:r w:rsidRPr="00FE5911">
        <w:rPr>
          <w:sz w:val="24"/>
          <w:szCs w:val="24"/>
          <w:lang w:eastAsia="sl-SI"/>
        </w:rPr>
        <w:t>NMV</w:t>
      </w:r>
      <w:r w:rsidRPr="00FE5911">
        <w:rPr>
          <w:sz w:val="24"/>
          <w:szCs w:val="24"/>
          <w14:ligatures w14:val="none"/>
        </w:rPr>
        <w:t xml:space="preserve"> za vzpostavitev mentorskega modela – Q3 2026</w:t>
      </w:r>
    </w:p>
    <w:p w14:paraId="33C1D545" w14:textId="77777777" w:rsidR="00FE5911" w:rsidRDefault="00FE5911" w:rsidP="00FE5911">
      <w:pPr>
        <w:jc w:val="both"/>
        <w:rPr>
          <w:color w:val="FF0000"/>
          <w:sz w:val="24"/>
          <w:szCs w:val="24"/>
          <w14:ligatures w14:val="none"/>
        </w:rPr>
      </w:pPr>
    </w:p>
    <w:p w14:paraId="2E1F88B1" w14:textId="20547551" w:rsidR="00FE5911" w:rsidRPr="00FE5911" w:rsidRDefault="00FE5911" w:rsidP="00FE5911">
      <w:pPr>
        <w:jc w:val="both"/>
        <w:rPr>
          <w:sz w:val="24"/>
          <w:szCs w:val="24"/>
          <w:lang w:eastAsia="sl-SI"/>
        </w:rPr>
      </w:pPr>
      <w:r w:rsidRPr="00FE5911">
        <w:rPr>
          <w:sz w:val="24"/>
          <w:szCs w:val="24"/>
          <w:lang w:eastAsia="sl-SI"/>
        </w:rPr>
        <w:t>URSIKS: NMV za nakup detektorje za zaznavo drog – Q2 ali Q3 2026</w:t>
      </w:r>
    </w:p>
    <w:p w14:paraId="0ACBB2DD" w14:textId="77777777" w:rsidR="00FE5911" w:rsidRDefault="00FE5911" w:rsidP="00FE5911">
      <w:pPr>
        <w:jc w:val="both"/>
        <w:rPr>
          <w:color w:val="FF0000"/>
          <w:sz w:val="24"/>
          <w:szCs w:val="24"/>
          <w:lang w:eastAsia="sl-SI"/>
        </w:rPr>
      </w:pPr>
    </w:p>
    <w:p w14:paraId="4399837B" w14:textId="15B6AE2F" w:rsidR="00FE5911" w:rsidRPr="00FE5911" w:rsidRDefault="00FE5911" w:rsidP="00FE5911">
      <w:pPr>
        <w:jc w:val="both"/>
        <w:rPr>
          <w:sz w:val="24"/>
          <w:szCs w:val="24"/>
          <w:lang w:eastAsia="sl-SI"/>
        </w:rPr>
      </w:pPr>
      <w:r w:rsidRPr="00FE5911">
        <w:rPr>
          <w:sz w:val="24"/>
          <w:szCs w:val="24"/>
          <w:lang w:eastAsia="sl-SI"/>
        </w:rPr>
        <w:t>URSIKS: pridružitev skupnim JN (MJU) za zagotovitev vozil – Q1</w:t>
      </w:r>
      <w:r>
        <w:rPr>
          <w:sz w:val="24"/>
          <w:szCs w:val="24"/>
          <w:lang w:eastAsia="sl-SI"/>
        </w:rPr>
        <w:t xml:space="preserve"> 2026</w:t>
      </w:r>
    </w:p>
    <w:p w14:paraId="0A4A434C" w14:textId="77777777" w:rsidR="00FE5911" w:rsidRDefault="00FE5911" w:rsidP="00FE5911">
      <w:pPr>
        <w:jc w:val="both"/>
        <w:rPr>
          <w:color w:val="FF0000"/>
          <w:sz w:val="24"/>
          <w:szCs w:val="24"/>
          <w:lang w:eastAsia="sl-SI"/>
        </w:rPr>
      </w:pPr>
    </w:p>
    <w:p w14:paraId="5E0474E7" w14:textId="41B1ECFE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evidenčna naročila za izbor zunanjih izvajalcev za zagotovitev usposabljanj za zaposlene URSIKS</w:t>
      </w:r>
      <w:r w:rsidR="00A2255A" w:rsidRPr="00A2255A">
        <w:rPr>
          <w:sz w:val="24"/>
          <w:szCs w:val="24"/>
          <w:lang w:eastAsia="sl-SI"/>
        </w:rPr>
        <w:t xml:space="preserve"> – Q1-Q4</w:t>
      </w:r>
    </w:p>
    <w:p w14:paraId="6C05A7E5" w14:textId="7777777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</w:p>
    <w:p w14:paraId="3006DE33" w14:textId="3F80ECA1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evidenčna naročila za zagotovitev prehrane in nočitev ter dvoran kot podporne aktivnosti za izvedbo usposabljanj in letalskih kart</w:t>
      </w:r>
      <w:r w:rsidR="00A2255A" w:rsidRPr="00A2255A">
        <w:rPr>
          <w:sz w:val="24"/>
          <w:szCs w:val="24"/>
          <w:lang w:eastAsia="sl-SI"/>
        </w:rPr>
        <w:t xml:space="preserve"> – Q1-Q4</w:t>
      </w:r>
    </w:p>
    <w:p w14:paraId="1287147C" w14:textId="7777777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</w:p>
    <w:p w14:paraId="6329973C" w14:textId="37567F9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evidenčna naročila za zagotovitev aktivnosti vadbeno simulacijske opreme (dimotvorci, simulator gašenja, zaščitne čelade, zaščitna oprema)</w:t>
      </w:r>
      <w:r w:rsidR="00A2255A" w:rsidRPr="00A2255A">
        <w:rPr>
          <w:sz w:val="24"/>
          <w:szCs w:val="24"/>
          <w:lang w:eastAsia="sl-SI"/>
        </w:rPr>
        <w:t xml:space="preserve"> – Q2 in Q3</w:t>
      </w:r>
    </w:p>
    <w:p w14:paraId="4D9BCFDC" w14:textId="7777777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</w:p>
    <w:p w14:paraId="6D81F672" w14:textId="491264CE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evidenčna naročila za nakup promocijskega materiala, nakup stalnih tabel in glasbil</w:t>
      </w:r>
      <w:r w:rsidR="00A2255A" w:rsidRPr="00A2255A">
        <w:rPr>
          <w:sz w:val="24"/>
          <w:szCs w:val="24"/>
          <w:lang w:eastAsia="sl-SI"/>
        </w:rPr>
        <w:t xml:space="preserve"> – Q2-Q3</w:t>
      </w:r>
    </w:p>
    <w:p w14:paraId="2DD87737" w14:textId="7777777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</w:p>
    <w:p w14:paraId="64623FF0" w14:textId="1FFCAFE6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NMV ali evidenčno naročilo za nakup knjig (več projektov)</w:t>
      </w:r>
      <w:r w:rsidR="00A2255A" w:rsidRPr="00A2255A">
        <w:rPr>
          <w:sz w:val="24"/>
          <w:szCs w:val="24"/>
          <w:lang w:eastAsia="sl-SI"/>
        </w:rPr>
        <w:t xml:space="preserve"> – Q3</w:t>
      </w:r>
    </w:p>
    <w:p w14:paraId="283BB48E" w14:textId="7777777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</w:p>
    <w:p w14:paraId="158A6150" w14:textId="1DC8E180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evidenčna naročila za nakup podporne opreme za OP27.00462 in OP27.606 (samostoječe table, tripod platno in stolov, stenska magnetna tabla, visoka greda, vadbene blazine, oblazinjeno pohištvo)</w:t>
      </w:r>
      <w:r w:rsidR="00A2255A" w:rsidRPr="00A2255A">
        <w:rPr>
          <w:sz w:val="24"/>
          <w:szCs w:val="24"/>
          <w:lang w:eastAsia="sl-SI"/>
        </w:rPr>
        <w:t xml:space="preserve"> – Q3</w:t>
      </w:r>
    </w:p>
    <w:p w14:paraId="78C3F69A" w14:textId="7777777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</w:p>
    <w:p w14:paraId="10D86929" w14:textId="5CA40F1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evidenčno naročilo za zagotovitev zunanjega izvajalca za izvedbo psihiatričnega svetovanja (avtorska pogodba)</w:t>
      </w:r>
      <w:r w:rsidR="00A2255A" w:rsidRPr="00A2255A">
        <w:rPr>
          <w:sz w:val="24"/>
          <w:szCs w:val="24"/>
          <w:lang w:eastAsia="sl-SI"/>
        </w:rPr>
        <w:t xml:space="preserve"> – Q4</w:t>
      </w:r>
    </w:p>
    <w:p w14:paraId="5946FD12" w14:textId="77777777" w:rsidR="00FE5911" w:rsidRPr="00A2255A" w:rsidRDefault="00FE5911" w:rsidP="00FE5911">
      <w:pPr>
        <w:jc w:val="both"/>
        <w:rPr>
          <w:sz w:val="24"/>
          <w:szCs w:val="24"/>
          <w:lang w:eastAsia="sl-SI"/>
        </w:rPr>
      </w:pPr>
    </w:p>
    <w:p w14:paraId="136777B4" w14:textId="55D73830" w:rsidR="00FE5911" w:rsidRDefault="00FE5911" w:rsidP="00FE5911">
      <w:pPr>
        <w:jc w:val="both"/>
        <w:rPr>
          <w:sz w:val="24"/>
          <w:szCs w:val="24"/>
          <w:lang w:eastAsia="sl-SI"/>
        </w:rPr>
      </w:pPr>
      <w:r w:rsidRPr="00A2255A">
        <w:rPr>
          <w:sz w:val="24"/>
          <w:szCs w:val="24"/>
          <w:lang w:eastAsia="sl-SI"/>
        </w:rPr>
        <w:t>URSIKS: evidenčno naročilo za nakup snemalnega kompleta</w:t>
      </w:r>
      <w:r w:rsidR="00A2255A" w:rsidRPr="00A2255A">
        <w:rPr>
          <w:sz w:val="24"/>
          <w:szCs w:val="24"/>
          <w:lang w:eastAsia="sl-SI"/>
        </w:rPr>
        <w:t xml:space="preserve"> – Q2</w:t>
      </w:r>
    </w:p>
    <w:p w14:paraId="3B86CDC3" w14:textId="77777777" w:rsidR="0064736E" w:rsidRDefault="0064736E" w:rsidP="00FE5911">
      <w:pPr>
        <w:jc w:val="both"/>
        <w:rPr>
          <w:sz w:val="24"/>
          <w:szCs w:val="24"/>
          <w:lang w:eastAsia="sl-SI"/>
        </w:rPr>
      </w:pPr>
    </w:p>
    <w:p w14:paraId="6DF21C61" w14:textId="76797F7F" w:rsidR="0064736E" w:rsidRDefault="0064736E" w:rsidP="00FE5911">
      <w:pPr>
        <w:jc w:val="both"/>
        <w:rPr>
          <w:sz w:val="24"/>
          <w:szCs w:val="24"/>
          <w:lang w:eastAsia="sl-SI"/>
        </w:rPr>
      </w:pPr>
    </w:p>
    <w:p w14:paraId="30A713D5" w14:textId="1E362748" w:rsidR="0064736E" w:rsidRDefault="0064736E" w:rsidP="00FE5911">
      <w:pPr>
        <w:jc w:val="both"/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VSRS: objava JN Optimizacija mednarodnih overitev na sodišču – Q2 2026</w:t>
      </w:r>
    </w:p>
    <w:p w14:paraId="3808CB4C" w14:textId="77777777" w:rsidR="0064736E" w:rsidRDefault="0064736E" w:rsidP="00FE5911">
      <w:pPr>
        <w:jc w:val="both"/>
        <w:rPr>
          <w:sz w:val="24"/>
          <w:szCs w:val="24"/>
          <w:lang w:eastAsia="sl-SI"/>
        </w:rPr>
      </w:pPr>
    </w:p>
    <w:p w14:paraId="528951C3" w14:textId="0833C25A" w:rsidR="00232ACF" w:rsidRDefault="0064736E" w:rsidP="0064736E">
      <w:pPr>
        <w:jc w:val="both"/>
        <w:rPr>
          <w:sz w:val="24"/>
          <w:szCs w:val="24"/>
          <w:highlight w:val="yellow"/>
        </w:rPr>
      </w:pPr>
      <w:r>
        <w:rPr>
          <w:sz w:val="24"/>
          <w:szCs w:val="24"/>
          <w:lang w:eastAsia="sl-SI"/>
        </w:rPr>
        <w:t>VSRS: izvedba javnih naročil Raziskava uporabe UI orodij v sodstvu ter raziskava zadovoljstva javnosti z delovanjem sodišč – Q3 in Q4 2026</w:t>
      </w:r>
    </w:p>
    <w:p w14:paraId="70B16464" w14:textId="77777777" w:rsidR="00FE5911" w:rsidRPr="00751393" w:rsidRDefault="00FE5911" w:rsidP="00530CCF">
      <w:pPr>
        <w:rPr>
          <w:sz w:val="24"/>
          <w:szCs w:val="24"/>
          <w:highlight w:val="yellow"/>
        </w:rPr>
      </w:pPr>
    </w:p>
    <w:p w14:paraId="027EAF8D" w14:textId="77777777" w:rsidR="00E90F42" w:rsidRPr="0087743D" w:rsidRDefault="00E90F42" w:rsidP="00E90F42">
      <w:pPr>
        <w:jc w:val="both"/>
        <w:rPr>
          <w:sz w:val="24"/>
          <w:szCs w:val="24"/>
          <w14:ligatures w14:val="none"/>
        </w:rPr>
      </w:pPr>
      <w:r w:rsidRPr="00E90F42">
        <w:rPr>
          <w:sz w:val="24"/>
          <w:szCs w:val="24"/>
        </w:rPr>
        <w:t>CIP:</w:t>
      </w:r>
      <w:r w:rsidRPr="00232ACF">
        <w:rPr>
          <w:sz w:val="24"/>
          <w:szCs w:val="24"/>
          <w:lang w:eastAsia="sl-SI"/>
        </w:rPr>
        <w:t xml:space="preserve"> </w:t>
      </w:r>
      <w:r w:rsidRPr="00AC070C">
        <w:rPr>
          <w:b/>
          <w:bCs/>
          <w:sz w:val="24"/>
          <w:szCs w:val="24"/>
          <w:lang w:eastAsia="sl-SI"/>
        </w:rPr>
        <w:t xml:space="preserve">evidenčna naročila za nadaljnje izobraževalne dogodke </w:t>
      </w:r>
      <w:r w:rsidRPr="00AC070C">
        <w:rPr>
          <w:b/>
          <w:bCs/>
          <w:sz w:val="24"/>
          <w:szCs w:val="24"/>
          <w14:ligatures w14:val="none"/>
        </w:rPr>
        <w:t>Q1-Q4 2026</w:t>
      </w:r>
    </w:p>
    <w:p w14:paraId="51216A2C" w14:textId="77777777" w:rsidR="00E90F42" w:rsidRDefault="00E90F42" w:rsidP="00E90F42">
      <w:pPr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L</w:t>
      </w:r>
      <w:r w:rsidRPr="002D1693">
        <w:rPr>
          <w:sz w:val="24"/>
          <w:szCs w:val="24"/>
          <w:lang w:eastAsia="sl-SI"/>
        </w:rPr>
        <w:t>etni posvet višjih sodnikov - civilnopravno področje</w:t>
      </w:r>
    </w:p>
    <w:p w14:paraId="09F2EB70" w14:textId="77777777" w:rsidR="00E90F42" w:rsidRPr="00C15B74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  <w:lang w:eastAsia="sl-SI"/>
        </w:rPr>
        <w:t>Zemljiško knjižna šola in l</w:t>
      </w:r>
      <w:r>
        <w:rPr>
          <w:sz w:val="24"/>
          <w:szCs w:val="24"/>
        </w:rPr>
        <w:t>etni posvet vodij zemljiških knjig</w:t>
      </w:r>
    </w:p>
    <w:p w14:paraId="473EDCD0" w14:textId="77777777" w:rsidR="00E90F42" w:rsidRDefault="00E90F42" w:rsidP="00E90F42">
      <w:pPr>
        <w:rPr>
          <w:sz w:val="24"/>
          <w:szCs w:val="24"/>
          <w:lang w:eastAsia="sl-SI"/>
        </w:rPr>
      </w:pPr>
      <w:r>
        <w:rPr>
          <w:sz w:val="24"/>
          <w:szCs w:val="24"/>
          <w:lang w:eastAsia="sl-SI"/>
        </w:rPr>
        <w:t>Letni posvet sodnikov višjega delovnega in socialnega sodišča</w:t>
      </w:r>
    </w:p>
    <w:p w14:paraId="51A9E915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Letni posvet višjih sodnikov – gospodarskopravno področje</w:t>
      </w:r>
    </w:p>
    <w:p w14:paraId="7E5FBC71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Letni posvet višjih sodnikov – kazenskopravno področje</w:t>
      </w:r>
    </w:p>
    <w:p w14:paraId="39CD37E2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Letni posvet višjih sodnikov – področje prekrškov</w:t>
      </w:r>
    </w:p>
    <w:p w14:paraId="10E5A442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Izobraževalni dan o pravicah žrtev in prič</w:t>
      </w:r>
    </w:p>
    <w:p w14:paraId="54DB3292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Letni posvet sodnikov upravnega sodišče Republike Slovenije</w:t>
      </w:r>
    </w:p>
    <w:p w14:paraId="782FE686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Dan ustavnega prava</w:t>
      </w:r>
    </w:p>
    <w:p w14:paraId="60AB9A90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Šola za vsebine brezplačne pravne pomoči</w:t>
      </w:r>
    </w:p>
    <w:p w14:paraId="32557821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Letno strokovno srečanje zaposlenih na vodstveni funkciji v pravosodju</w:t>
      </w:r>
    </w:p>
    <w:p w14:paraId="13EE6075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Vodenje v pravosodnih organih: Krepitev vodstvenih kompetenc za vodje notranje organizacijskih enot</w:t>
      </w:r>
    </w:p>
    <w:p w14:paraId="3AF73382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Prenova plačnega sistema in novosti uslužbenskega sistema s praktičnimi primeri</w:t>
      </w:r>
    </w:p>
    <w:p w14:paraId="387FD53F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Simulacija glavne obravnave v civilnem postopku</w:t>
      </w:r>
    </w:p>
    <w:p w14:paraId="1B24B59E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Simulacija glavne obravnave v kazenskem postopku</w:t>
      </w:r>
    </w:p>
    <w:p w14:paraId="6A583F2B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Delavnice o stroških postopka in sodnih taksah</w:t>
      </w:r>
    </w:p>
    <w:p w14:paraId="567C4D7B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Pišemo jasno, beremo pravilno: Delavnica slovenskega jezika (sodniki, tožilci…)</w:t>
      </w:r>
    </w:p>
    <w:p w14:paraId="79B540FF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  <w:lang w:eastAsia="sl-SI"/>
        </w:rPr>
        <w:t>E</w:t>
      </w:r>
      <w:r w:rsidRPr="002D1693">
        <w:rPr>
          <w:sz w:val="24"/>
          <w:szCs w:val="24"/>
          <w:lang w:eastAsia="sl-SI"/>
        </w:rPr>
        <w:t>tika in integriteta</w:t>
      </w:r>
    </w:p>
    <w:p w14:paraId="398B6442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Komunikacija v sodnih dvoranah in izven nje: Od psihologije do učinkovitega vodenja</w:t>
      </w:r>
    </w:p>
    <w:p w14:paraId="0446E1AC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Delavnice mediacijskih tehnik</w:t>
      </w:r>
    </w:p>
    <w:p w14:paraId="2E4C3D68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Uporaba umetne inteligence v pravosodju</w:t>
      </w:r>
    </w:p>
    <w:p w14:paraId="3DDC81EB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Varnost v pravosodnih organih: tveganja, odzivi in samozaščita</w:t>
      </w:r>
    </w:p>
    <w:p w14:paraId="4F70E49E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Supervizija – podporne skupine</w:t>
      </w:r>
    </w:p>
    <w:p w14:paraId="38FF6FD8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Delavnice sodniških veščin z uporabo supervizijskih tehnik</w:t>
      </w:r>
    </w:p>
    <w:p w14:paraId="3A728145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Usposabljanje vodij delavnic sodniških veščin z uporabo supervizijskih tehnik</w:t>
      </w:r>
    </w:p>
    <w:p w14:paraId="55D5F8B3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Etika in integriteta kot temelj zaupanja v pravosodje</w:t>
      </w:r>
    </w:p>
    <w:p w14:paraId="0CB2D38E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Vloga in pomen stalne arbitraže v sistemu pravnega varstva</w:t>
      </w:r>
    </w:p>
    <w:p w14:paraId="436AB0F9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Šola za pravosodno osebje</w:t>
      </w:r>
    </w:p>
    <w:p w14:paraId="6F1417BF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Pišemo jasno, beremo pravilno: Delavnica slovenskega jezika (pravosodno osebje)</w:t>
      </w:r>
    </w:p>
    <w:p w14:paraId="70DFEBAD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Prvi modul – sodni red in povezane vsebine</w:t>
      </w:r>
    </w:p>
    <w:p w14:paraId="59613E43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Drugi modul – Pravilna raba slovenskega jezika, poslovni bonton, etika in integriteta osebja ter korupcijska tveganja</w:t>
      </w:r>
    </w:p>
    <w:p w14:paraId="029E7845" w14:textId="77777777" w:rsidR="00E90F42" w:rsidRDefault="00E90F42" w:rsidP="00E90F42">
      <w:pPr>
        <w:jc w:val="both"/>
        <w:rPr>
          <w:sz w:val="24"/>
          <w:szCs w:val="24"/>
        </w:rPr>
      </w:pPr>
      <w:r>
        <w:rPr>
          <w:sz w:val="24"/>
          <w:szCs w:val="24"/>
        </w:rPr>
        <w:t>Uporaba IT</w:t>
      </w:r>
    </w:p>
    <w:p w14:paraId="0A9FF374" w14:textId="77777777" w:rsidR="00232ACF" w:rsidRDefault="00232ACF" w:rsidP="00530CCF">
      <w:pPr>
        <w:rPr>
          <w:b/>
          <w:bCs/>
          <w:sz w:val="24"/>
          <w:szCs w:val="24"/>
        </w:rPr>
      </w:pPr>
    </w:p>
    <w:p w14:paraId="26BFAFFD" w14:textId="77777777" w:rsidR="00232ACF" w:rsidRDefault="00232ACF" w:rsidP="00530CCF">
      <w:pPr>
        <w:rPr>
          <w:b/>
          <w:bCs/>
          <w:sz w:val="24"/>
          <w:szCs w:val="24"/>
        </w:rPr>
      </w:pPr>
    </w:p>
    <w:p w14:paraId="2AC3CEB2" w14:textId="2729B107" w:rsidR="00232ACF" w:rsidRPr="00C15B74" w:rsidRDefault="00530CCF" w:rsidP="00232ACF">
      <w:pPr>
        <w:pStyle w:val="Navadensplet"/>
        <w:spacing w:before="0" w:beforeAutospacing="0" w:after="0" w:afterAutospacing="0"/>
        <w:jc w:val="both"/>
        <w:rPr>
          <w:sz w:val="24"/>
          <w:szCs w:val="24"/>
        </w:rPr>
      </w:pPr>
      <w:r w:rsidRPr="00C15B74">
        <w:rPr>
          <w:sz w:val="24"/>
          <w:szCs w:val="24"/>
        </w:rPr>
        <w:t>* imena predmetov JN se lahko do dejanske objave spremenijo</w:t>
      </w:r>
      <w:r w:rsidR="00232ACF">
        <w:rPr>
          <w:sz w:val="24"/>
          <w:szCs w:val="24"/>
        </w:rPr>
        <w:t>;</w:t>
      </w:r>
      <w:r w:rsidR="00232ACF" w:rsidRPr="00232ACF">
        <w:rPr>
          <w:sz w:val="24"/>
          <w:szCs w:val="24"/>
        </w:rPr>
        <w:t xml:space="preserve"> </w:t>
      </w:r>
      <w:r w:rsidR="00232ACF">
        <w:rPr>
          <w:sz w:val="24"/>
          <w:szCs w:val="24"/>
        </w:rPr>
        <w:t>seznam se sproti dopolnjuje</w:t>
      </w:r>
    </w:p>
    <w:p w14:paraId="5A191CB8" w14:textId="34DD4D85" w:rsidR="00530CCF" w:rsidRPr="00C15B74" w:rsidRDefault="00530CCF" w:rsidP="00530CCF">
      <w:pPr>
        <w:pStyle w:val="Navadensplet"/>
        <w:spacing w:before="0" w:beforeAutospacing="0" w:after="0" w:afterAutospacing="0"/>
        <w:jc w:val="both"/>
        <w:rPr>
          <w:sz w:val="24"/>
          <w:szCs w:val="24"/>
        </w:rPr>
      </w:pPr>
    </w:p>
    <w:p w14:paraId="106FA1FA" w14:textId="77777777" w:rsidR="00530CCF" w:rsidRPr="00C15B74" w:rsidRDefault="00530CCF" w:rsidP="00530CCF">
      <w:pPr>
        <w:jc w:val="both"/>
        <w:rPr>
          <w:sz w:val="24"/>
          <w:szCs w:val="24"/>
        </w:rPr>
      </w:pPr>
    </w:p>
    <w:p w14:paraId="685A9FC3" w14:textId="77777777" w:rsidR="0086148A" w:rsidRDefault="0086148A"/>
    <w:sectPr w:rsidR="008614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D52F4" w14:textId="77777777" w:rsidR="00A5619C" w:rsidRDefault="00A5619C" w:rsidP="00A5619C">
      <w:r>
        <w:separator/>
      </w:r>
    </w:p>
  </w:endnote>
  <w:endnote w:type="continuationSeparator" w:id="0">
    <w:p w14:paraId="511CF08C" w14:textId="77777777" w:rsidR="00A5619C" w:rsidRDefault="00A5619C" w:rsidP="00A56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5231" w14:textId="77777777" w:rsidR="00A5619C" w:rsidRDefault="00A5619C" w:rsidP="00A5619C">
      <w:r>
        <w:separator/>
      </w:r>
    </w:p>
  </w:footnote>
  <w:footnote w:type="continuationSeparator" w:id="0">
    <w:p w14:paraId="663CD6B2" w14:textId="77777777" w:rsidR="00A5619C" w:rsidRDefault="00A5619C" w:rsidP="00A56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6E236" w14:textId="0305BFA9" w:rsidR="00A5619C" w:rsidRDefault="00A5619C" w:rsidP="00A5619C">
    <w:pPr>
      <w:pStyle w:val="Glava"/>
      <w:tabs>
        <w:tab w:val="clear" w:pos="4536"/>
        <w:tab w:val="clear" w:pos="9072"/>
        <w:tab w:val="left" w:pos="1521"/>
      </w:tabs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anchor distT="0" distB="0" distL="114300" distR="114300" simplePos="0" relativeHeight="251659264" behindDoc="0" locked="0" layoutInCell="1" allowOverlap="1" wp14:anchorId="7D84AB5D" wp14:editId="6B081848">
          <wp:simplePos x="0" y="0"/>
          <wp:positionH relativeFrom="column">
            <wp:posOffset>2713533</wp:posOffset>
          </wp:positionH>
          <wp:positionV relativeFrom="paragraph">
            <wp:posOffset>-215951</wp:posOffset>
          </wp:positionV>
          <wp:extent cx="2992120" cy="746125"/>
          <wp:effectExtent l="0" t="0" r="0" b="0"/>
          <wp:wrapThrough wrapText="bothSides">
            <wp:wrapPolygon edited="0">
              <wp:start x="0" y="0"/>
              <wp:lineTo x="0" y="20957"/>
              <wp:lineTo x="21453" y="20957"/>
              <wp:lineTo x="21453" y="0"/>
              <wp:lineTo x="0" y="0"/>
            </wp:wrapPolygon>
          </wp:wrapThrough>
          <wp:docPr id="4" name="Picture 3" descr="A blue and green flag with yellow st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ue and green flag with yellow sta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2120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C6C6C6"/>
      </w:rPr>
      <w:drawing>
        <wp:anchor distT="0" distB="0" distL="114300" distR="114300" simplePos="0" relativeHeight="251658240" behindDoc="0" locked="0" layoutInCell="1" allowOverlap="1" wp14:anchorId="6F6DB8D9" wp14:editId="2BE2B27E">
          <wp:simplePos x="0" y="0"/>
          <wp:positionH relativeFrom="column">
            <wp:posOffset>-644144</wp:posOffset>
          </wp:positionH>
          <wp:positionV relativeFrom="paragraph">
            <wp:posOffset>-150114</wp:posOffset>
          </wp:positionV>
          <wp:extent cx="2538095" cy="629285"/>
          <wp:effectExtent l="0" t="0" r="0" b="0"/>
          <wp:wrapThrough wrapText="bothSides">
            <wp:wrapPolygon edited="0">
              <wp:start x="0" y="0"/>
              <wp:lineTo x="0" y="20924"/>
              <wp:lineTo x="21400" y="20924"/>
              <wp:lineTo x="21400" y="0"/>
              <wp:lineTo x="0" y="0"/>
            </wp:wrapPolygon>
          </wp:wrapThrough>
          <wp:docPr id="3" name="Picture 4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A close 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09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3D7688"/>
    <w:multiLevelType w:val="hybridMultilevel"/>
    <w:tmpl w:val="0E786A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36BDE"/>
    <w:multiLevelType w:val="hybridMultilevel"/>
    <w:tmpl w:val="6E8C7E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46344"/>
    <w:multiLevelType w:val="hybridMultilevel"/>
    <w:tmpl w:val="C8226E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4049077">
    <w:abstractNumId w:val="1"/>
  </w:num>
  <w:num w:numId="2" w16cid:durableId="667750312">
    <w:abstractNumId w:val="2"/>
  </w:num>
  <w:num w:numId="3" w16cid:durableId="657001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CF"/>
    <w:rsid w:val="00106660"/>
    <w:rsid w:val="001C516E"/>
    <w:rsid w:val="001E3973"/>
    <w:rsid w:val="00232ACF"/>
    <w:rsid w:val="002A386F"/>
    <w:rsid w:val="002D1693"/>
    <w:rsid w:val="002E32EA"/>
    <w:rsid w:val="0032078E"/>
    <w:rsid w:val="00393695"/>
    <w:rsid w:val="004A60B4"/>
    <w:rsid w:val="00530CCF"/>
    <w:rsid w:val="00533845"/>
    <w:rsid w:val="00620443"/>
    <w:rsid w:val="0063455B"/>
    <w:rsid w:val="0064736E"/>
    <w:rsid w:val="006744E4"/>
    <w:rsid w:val="006C1EDF"/>
    <w:rsid w:val="00751393"/>
    <w:rsid w:val="00755130"/>
    <w:rsid w:val="00785B5D"/>
    <w:rsid w:val="00827FF2"/>
    <w:rsid w:val="0086148A"/>
    <w:rsid w:val="008C5812"/>
    <w:rsid w:val="00A2255A"/>
    <w:rsid w:val="00A5619C"/>
    <w:rsid w:val="00C53B2D"/>
    <w:rsid w:val="00C661F4"/>
    <w:rsid w:val="00CA2A3F"/>
    <w:rsid w:val="00CA7243"/>
    <w:rsid w:val="00CC4770"/>
    <w:rsid w:val="00CD4C6E"/>
    <w:rsid w:val="00CE7007"/>
    <w:rsid w:val="00D57E44"/>
    <w:rsid w:val="00DA3D30"/>
    <w:rsid w:val="00E90F42"/>
    <w:rsid w:val="00EE171D"/>
    <w:rsid w:val="00F25577"/>
    <w:rsid w:val="00FE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26B3"/>
  <w15:chartTrackingRefBased/>
  <w15:docId w15:val="{0D012918-E853-4148-B985-F355E1B04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30CCF"/>
    <w:pPr>
      <w:spacing w:after="0" w:line="240" w:lineRule="auto"/>
    </w:pPr>
    <w:rPr>
      <w:rFonts w:ascii="Calibri" w:hAnsi="Calibri" w:cs="Calibri"/>
      <w:kern w:val="0"/>
    </w:rPr>
  </w:style>
  <w:style w:type="paragraph" w:styleId="Naslov1">
    <w:name w:val="heading 1"/>
    <w:basedOn w:val="Navaden"/>
    <w:next w:val="Navaden"/>
    <w:link w:val="Naslov1Znak"/>
    <w:uiPriority w:val="9"/>
    <w:qFormat/>
    <w:rsid w:val="00530C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30C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30CC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30CC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30CC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30CC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30CC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30CC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30CC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30C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30C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30C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30CC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30CC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30CC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30CC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30CC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30CC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30C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30C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30CC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30C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30CCF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Znak">
    <w:name w:val="Citat Znak"/>
    <w:basedOn w:val="Privzetapisavaodstavka"/>
    <w:link w:val="Citat"/>
    <w:uiPriority w:val="29"/>
    <w:rsid w:val="00530CC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30CCF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Intenzivenpoudarek">
    <w:name w:val="Intense Emphasis"/>
    <w:basedOn w:val="Privzetapisavaodstavka"/>
    <w:uiPriority w:val="21"/>
    <w:qFormat/>
    <w:rsid w:val="00530CC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30C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30CC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30CCF"/>
    <w:rPr>
      <w:b/>
      <w:bCs/>
      <w:smallCaps/>
      <w:color w:val="0F4761" w:themeColor="accent1" w:themeShade="BF"/>
      <w:spacing w:val="5"/>
    </w:rPr>
  </w:style>
  <w:style w:type="paragraph" w:styleId="Navadensplet">
    <w:name w:val="Normal (Web)"/>
    <w:basedOn w:val="Navaden"/>
    <w:uiPriority w:val="99"/>
    <w:unhideWhenUsed/>
    <w:rsid w:val="00530CCF"/>
    <w:pPr>
      <w:spacing w:before="100" w:beforeAutospacing="1" w:after="100" w:afterAutospacing="1"/>
    </w:pPr>
    <w:rPr>
      <w:lang w:eastAsia="sl-SI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5619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5619C"/>
    <w:rPr>
      <w:rFonts w:ascii="Calibri" w:hAnsi="Calibri" w:cs="Calibri"/>
      <w:kern w:val="0"/>
    </w:rPr>
  </w:style>
  <w:style w:type="paragraph" w:styleId="Noga">
    <w:name w:val="footer"/>
    <w:basedOn w:val="Navaden"/>
    <w:link w:val="NogaZnak"/>
    <w:uiPriority w:val="99"/>
    <w:unhideWhenUsed/>
    <w:rsid w:val="00A5619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5619C"/>
    <w:rPr>
      <w:rFonts w:ascii="Calibri" w:hAnsi="Calibri" w:cs="Calibri"/>
      <w:kern w:val="0"/>
    </w:rPr>
  </w:style>
  <w:style w:type="character" w:customStyle="1" w:styleId="wacimagecontainer">
    <w:name w:val="wacimagecontainer"/>
    <w:basedOn w:val="Privzetapisavaodstavka"/>
    <w:rsid w:val="00A561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6068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Vratanar</dc:creator>
  <cp:keywords/>
  <dc:description/>
  <cp:lastModifiedBy>Tina Pirc (MP)</cp:lastModifiedBy>
  <cp:revision>8</cp:revision>
  <cp:lastPrinted>2025-08-06T15:32:00Z</cp:lastPrinted>
  <dcterms:created xsi:type="dcterms:W3CDTF">2026-02-23T13:12:00Z</dcterms:created>
  <dcterms:modified xsi:type="dcterms:W3CDTF">2026-02-27T13:39:00Z</dcterms:modified>
</cp:coreProperties>
</file>