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F7B8" w14:textId="5405AAFA" w:rsidR="00141085" w:rsidRPr="00141085" w:rsidRDefault="004A4048" w:rsidP="004A4048">
      <w:pPr>
        <w:pStyle w:val="NormalWeb"/>
        <w:spacing w:after="0"/>
        <w:jc w:val="both"/>
        <w:rPr>
          <w:rStyle w:val="Strong"/>
          <w:rFonts w:asciiTheme="minorHAnsi" w:eastAsiaTheme="minorEastAsia" w:hAnsiTheme="minorHAnsi" w:cstheme="minorBidi"/>
          <w:sz w:val="32"/>
          <w:szCs w:val="32"/>
        </w:rPr>
      </w:pPr>
      <w:r w:rsidRPr="004A4048">
        <w:rPr>
          <w:rStyle w:val="Strong"/>
          <w:rFonts w:asciiTheme="minorHAnsi" w:eastAsiaTheme="minorEastAsia" w:hAnsiTheme="minorHAnsi" w:cstheme="minorBidi"/>
          <w:sz w:val="32"/>
          <w:szCs w:val="32"/>
        </w:rPr>
        <w:t xml:space="preserve">Nadgrajen informacijski sistem </w:t>
      </w:r>
      <w:proofErr w:type="spellStart"/>
      <w:r w:rsidRPr="004A4048">
        <w:rPr>
          <w:rStyle w:val="Strong"/>
          <w:rFonts w:asciiTheme="minorHAnsi" w:eastAsiaTheme="minorEastAsia" w:hAnsiTheme="minorHAnsi" w:cstheme="minorBidi"/>
          <w:sz w:val="32"/>
          <w:szCs w:val="32"/>
        </w:rPr>
        <w:t>ProbIS</w:t>
      </w:r>
      <w:proofErr w:type="spellEnd"/>
      <w:r w:rsidRPr="004A4048">
        <w:rPr>
          <w:rStyle w:val="Strong"/>
          <w:rFonts w:asciiTheme="minorHAnsi" w:eastAsiaTheme="minorEastAsia" w:hAnsiTheme="minorHAnsi" w:cstheme="minorBidi"/>
          <w:sz w:val="32"/>
          <w:szCs w:val="32"/>
        </w:rPr>
        <w:t>, z dostopi do svetovalno edukativnih modulov</w:t>
      </w:r>
    </w:p>
    <w:p w14:paraId="0D7DDDA2" w14:textId="76229869"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 xml:space="preserve">Sklad: </w:t>
      </w:r>
      <w:r w:rsidRPr="25C82E03">
        <w:rPr>
          <w:rFonts w:asciiTheme="minorHAnsi" w:eastAsiaTheme="minorEastAsia" w:hAnsiTheme="minorHAnsi" w:cstheme="minorBidi"/>
        </w:rPr>
        <w:t>ESRR</w:t>
      </w:r>
    </w:p>
    <w:p w14:paraId="2A844132" w14:textId="72AEE50B"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30AC4713" w14:textId="77777777"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Cilj politike:</w:t>
      </w:r>
      <w:r w:rsidRPr="25C82E03">
        <w:rPr>
          <w:rFonts w:asciiTheme="minorHAnsi" w:eastAsiaTheme="minorEastAsia" w:hAnsiTheme="minorHAnsi" w:cstheme="minorBidi"/>
        </w:rPr>
        <w:t xml:space="preserve"> CP1: Konkurenčnejša in pametnejša Evropa s spodbujanjem inovativne in pametne gospodarske preobrazbe ter regionalne povezljivosti na področju IKT</w:t>
      </w:r>
    </w:p>
    <w:p w14:paraId="1BFAB4FD" w14:textId="7A2C2AD9"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5C2F78B8" w14:textId="6C3932D6"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Prednostna naloga:</w:t>
      </w:r>
      <w:r w:rsidRPr="25C82E03">
        <w:rPr>
          <w:rFonts w:asciiTheme="minorHAnsi" w:eastAsiaTheme="minorEastAsia" w:hAnsiTheme="minorHAnsi" w:cstheme="minorBidi"/>
        </w:rPr>
        <w:t xml:space="preserve"> PN</w:t>
      </w:r>
      <w:r w:rsidR="5AAFAD87" w:rsidRPr="25C82E03">
        <w:rPr>
          <w:rFonts w:asciiTheme="minorHAnsi" w:eastAsiaTheme="minorEastAsia" w:hAnsiTheme="minorHAnsi" w:cstheme="minorBidi"/>
        </w:rPr>
        <w:t>2</w:t>
      </w:r>
      <w:r w:rsidRPr="25C82E03">
        <w:rPr>
          <w:rFonts w:asciiTheme="minorHAnsi" w:eastAsiaTheme="minorEastAsia" w:hAnsiTheme="minorHAnsi" w:cstheme="minorBidi"/>
        </w:rPr>
        <w:t xml:space="preserve">: </w:t>
      </w:r>
      <w:r w:rsidR="58C97BCC" w:rsidRPr="25C82E03">
        <w:rPr>
          <w:rFonts w:asciiTheme="minorHAnsi" w:eastAsiaTheme="minorEastAsia" w:hAnsiTheme="minorHAnsi" w:cstheme="minorBidi"/>
        </w:rPr>
        <w:t>Digitalna povezljivost</w:t>
      </w:r>
    </w:p>
    <w:p w14:paraId="62FD2705" w14:textId="420B9DA2"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24371C5D" w14:textId="77777777"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Specifični cilj:</w:t>
      </w:r>
      <w:r w:rsidRPr="25C82E03">
        <w:rPr>
          <w:rFonts w:asciiTheme="minorHAnsi" w:eastAsiaTheme="minorEastAsia" w:hAnsiTheme="minorHAnsi" w:cstheme="minorBidi"/>
        </w:rPr>
        <w:t xml:space="preserve"> RSO1.2: Izkoriščanje prednosti digitalizacije za državljane, podjetja, raziskovalne organizacije in javne organe</w:t>
      </w:r>
    </w:p>
    <w:p w14:paraId="17E1DD3D" w14:textId="208E1F1C"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7147D660" w14:textId="28A1B03B"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Predvideno trajanje projekta:</w:t>
      </w:r>
      <w:r w:rsidRPr="25C82E03">
        <w:rPr>
          <w:rFonts w:asciiTheme="minorHAnsi" w:eastAsiaTheme="minorEastAsia" w:hAnsiTheme="minorHAnsi" w:cstheme="minorBidi"/>
        </w:rPr>
        <w:t xml:space="preserve"> </w:t>
      </w:r>
      <w:r w:rsidR="004A4048" w:rsidRPr="004A4048">
        <w:rPr>
          <w:rFonts w:asciiTheme="minorHAnsi" w:eastAsiaTheme="minorEastAsia" w:hAnsiTheme="minorHAnsi" w:cstheme="minorBidi"/>
        </w:rPr>
        <w:t xml:space="preserve">23. 2. 2023 </w:t>
      </w:r>
      <w:r w:rsidR="004A4048">
        <w:rPr>
          <w:rFonts w:asciiTheme="minorHAnsi" w:eastAsiaTheme="minorEastAsia" w:hAnsiTheme="minorHAnsi" w:cstheme="minorBidi"/>
        </w:rPr>
        <w:t>-</w:t>
      </w:r>
      <w:r w:rsidR="004A4048" w:rsidRPr="004A4048">
        <w:rPr>
          <w:rFonts w:asciiTheme="minorHAnsi" w:eastAsiaTheme="minorEastAsia" w:hAnsiTheme="minorHAnsi" w:cstheme="minorBidi"/>
        </w:rPr>
        <w:t xml:space="preserve"> 28. 2. 2028</w:t>
      </w:r>
    </w:p>
    <w:p w14:paraId="0DD75C48" w14:textId="6E87C1C4"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6BF822B9" w14:textId="7B551900"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Vrednost projekta:</w:t>
      </w:r>
      <w:r w:rsidRPr="25C82E03">
        <w:rPr>
          <w:rFonts w:asciiTheme="minorHAnsi" w:eastAsiaTheme="minorEastAsia" w:hAnsiTheme="minorHAnsi" w:cstheme="minorBidi"/>
        </w:rPr>
        <w:t xml:space="preserve"> </w:t>
      </w:r>
      <w:r w:rsidR="004A4048" w:rsidRPr="004A4048">
        <w:rPr>
          <w:rFonts w:asciiTheme="minorHAnsi" w:eastAsiaTheme="minorEastAsia" w:hAnsiTheme="minorHAnsi" w:cstheme="minorBidi"/>
        </w:rPr>
        <w:t>490.000,00 EUR</w:t>
      </w:r>
      <w:r w:rsidRPr="25C82E03">
        <w:rPr>
          <w:rFonts w:asciiTheme="minorHAnsi" w:eastAsiaTheme="minorEastAsia" w:hAnsiTheme="minorHAnsi" w:cstheme="minorBidi"/>
        </w:rPr>
        <w:t xml:space="preserve"> (od tega podpora Evropske unije </w:t>
      </w:r>
      <w:r w:rsidR="004A4048">
        <w:rPr>
          <w:rFonts w:asciiTheme="minorHAnsi" w:eastAsiaTheme="minorEastAsia" w:hAnsiTheme="minorHAnsi" w:cstheme="minorBidi"/>
        </w:rPr>
        <w:t xml:space="preserve">283.119,55 </w:t>
      </w:r>
      <w:r w:rsidRPr="25C82E03">
        <w:rPr>
          <w:rFonts w:asciiTheme="minorHAnsi" w:eastAsiaTheme="minorEastAsia" w:hAnsiTheme="minorHAnsi" w:cstheme="minorBidi"/>
        </w:rPr>
        <w:t xml:space="preserve">EUR in nacionalni javni prispevek iz državnega proračuna </w:t>
      </w:r>
      <w:r w:rsidR="004A4048">
        <w:rPr>
          <w:rFonts w:asciiTheme="minorHAnsi" w:eastAsiaTheme="minorEastAsia" w:hAnsiTheme="minorHAnsi" w:cstheme="minorBidi"/>
        </w:rPr>
        <w:t xml:space="preserve">206.880,45 </w:t>
      </w:r>
      <w:r w:rsidRPr="25C82E03">
        <w:rPr>
          <w:rFonts w:asciiTheme="minorHAnsi" w:eastAsiaTheme="minorEastAsia" w:hAnsiTheme="minorHAnsi" w:cstheme="minorBidi"/>
        </w:rPr>
        <w:t>EUR)</w:t>
      </w:r>
    </w:p>
    <w:p w14:paraId="22EC68F4" w14:textId="1B85E614"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29590B2B" w14:textId="77777777"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 xml:space="preserve">Opis upravičenca oz. uporabnika: </w:t>
      </w:r>
    </w:p>
    <w:p w14:paraId="5529972D" w14:textId="5DA4361A" w:rsidR="25C82E03" w:rsidRDefault="25C82E03" w:rsidP="004A1F9A">
      <w:pPr>
        <w:pStyle w:val="NormalWeb"/>
        <w:spacing w:before="0" w:beforeAutospacing="0" w:after="0" w:afterAutospacing="0"/>
        <w:jc w:val="both"/>
        <w:rPr>
          <w:rFonts w:asciiTheme="minorHAnsi" w:eastAsiaTheme="minorEastAsia" w:hAnsiTheme="minorHAnsi" w:cstheme="minorBidi"/>
        </w:rPr>
      </w:pPr>
    </w:p>
    <w:p w14:paraId="2DB240DB" w14:textId="24803F86" w:rsidR="00980F4D" w:rsidRDefault="00141085" w:rsidP="004A1F9A">
      <w:pPr>
        <w:pStyle w:val="NormalWeb"/>
        <w:spacing w:before="0" w:beforeAutospacing="0" w:after="0" w:afterAutospacing="0"/>
        <w:jc w:val="both"/>
        <w:rPr>
          <w:rFonts w:asciiTheme="minorHAnsi" w:eastAsiaTheme="minorEastAsia" w:hAnsiTheme="minorHAnsi" w:cstheme="minorHAnsi"/>
        </w:rPr>
      </w:pPr>
      <w:r w:rsidRPr="25C82E03">
        <w:rPr>
          <w:rFonts w:asciiTheme="minorHAnsi" w:eastAsiaTheme="minorEastAsia" w:hAnsiTheme="minorHAnsi" w:cstheme="minorBidi"/>
        </w:rPr>
        <w:t xml:space="preserve">Naloge upravičenca na projektu opravlja Ministrstvo za pravosodje (Služba za koordinacijo in izvajanje projektov), vendar bo uporabnik rezultatov projekta </w:t>
      </w:r>
      <w:r w:rsidR="6D395896" w:rsidRPr="25C82E03">
        <w:rPr>
          <w:rFonts w:asciiTheme="minorHAnsi" w:eastAsiaTheme="minorEastAsia" w:hAnsiTheme="minorHAnsi" w:cstheme="minorBidi"/>
        </w:rPr>
        <w:t xml:space="preserve">Uprava Republike Slovenije za </w:t>
      </w:r>
      <w:r w:rsidR="004A4048">
        <w:rPr>
          <w:rFonts w:asciiTheme="minorHAnsi" w:eastAsiaTheme="minorEastAsia" w:hAnsiTheme="minorHAnsi" w:cstheme="minorBidi"/>
        </w:rPr>
        <w:t>probacijo</w:t>
      </w:r>
      <w:r w:rsidR="6D395896" w:rsidRPr="25C82E03">
        <w:rPr>
          <w:rFonts w:asciiTheme="minorHAnsi" w:eastAsiaTheme="minorEastAsia" w:hAnsiTheme="minorHAnsi" w:cstheme="minorBidi"/>
        </w:rPr>
        <w:t xml:space="preserve"> (U</w:t>
      </w:r>
      <w:r w:rsidR="004A4048">
        <w:rPr>
          <w:rFonts w:asciiTheme="minorHAnsi" w:eastAsiaTheme="minorEastAsia" w:hAnsiTheme="minorHAnsi" w:cstheme="minorBidi"/>
        </w:rPr>
        <w:t>PRO</w:t>
      </w:r>
      <w:r w:rsidR="6D395896" w:rsidRPr="25C82E03">
        <w:rPr>
          <w:rFonts w:asciiTheme="minorHAnsi" w:eastAsiaTheme="minorEastAsia" w:hAnsiTheme="minorHAnsi" w:cstheme="minorBidi"/>
        </w:rPr>
        <w:t>)</w:t>
      </w:r>
      <w:r w:rsidRPr="25C82E03">
        <w:rPr>
          <w:rFonts w:asciiTheme="minorHAnsi" w:eastAsiaTheme="minorEastAsia" w:hAnsiTheme="minorHAnsi" w:cstheme="minorBidi"/>
        </w:rPr>
        <w:t xml:space="preserve">. </w:t>
      </w:r>
      <w:r w:rsidR="00B12E44" w:rsidRPr="00B12E44">
        <w:rPr>
          <w:rFonts w:asciiTheme="minorHAnsi" w:eastAsiaTheme="minorEastAsia" w:hAnsiTheme="minorHAnsi" w:cstheme="minorHAnsi"/>
        </w:rPr>
        <w:t>Poslanstvo UPRO je osebam v okviru izvrševanja kazenske sankcije nuditi pomoč, varstvo in nadzor z namenom, da oseba opusti kazniva dejanja in se uspešno integrira v skupnost, hkrati pa se zasleduje tudi cilj zagotavljanja večje varnosti družbe.</w:t>
      </w:r>
    </w:p>
    <w:p w14:paraId="12F5664E" w14:textId="77777777" w:rsidR="00B12E44" w:rsidRPr="00B12E44" w:rsidRDefault="00B12E44" w:rsidP="004A1F9A">
      <w:pPr>
        <w:pStyle w:val="NormalWeb"/>
        <w:spacing w:before="0" w:beforeAutospacing="0" w:after="0" w:afterAutospacing="0"/>
        <w:jc w:val="both"/>
        <w:rPr>
          <w:rStyle w:val="Strong"/>
          <w:rFonts w:asciiTheme="minorHAnsi" w:eastAsiaTheme="minorEastAsia" w:hAnsiTheme="minorHAnsi" w:cstheme="minorHAnsi"/>
        </w:rPr>
      </w:pPr>
    </w:p>
    <w:p w14:paraId="64C08800" w14:textId="2B66DE5E" w:rsidR="00980F4D"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Opis projekta:</w:t>
      </w:r>
      <w:r w:rsidR="4DD39B86" w:rsidRPr="25C82E03">
        <w:rPr>
          <w:rStyle w:val="Strong"/>
          <w:rFonts w:asciiTheme="minorHAnsi" w:eastAsiaTheme="minorEastAsia" w:hAnsiTheme="minorHAnsi" w:cstheme="minorBidi"/>
        </w:rPr>
        <w:t xml:space="preserve"> </w:t>
      </w:r>
    </w:p>
    <w:p w14:paraId="6341EA8C" w14:textId="0B7E87F7" w:rsidR="00980F4D" w:rsidRDefault="00980F4D" w:rsidP="004A1F9A">
      <w:pPr>
        <w:spacing w:after="0" w:line="240" w:lineRule="auto"/>
        <w:jc w:val="both"/>
        <w:rPr>
          <w:rFonts w:eastAsiaTheme="minorEastAsia"/>
          <w:sz w:val="24"/>
          <w:szCs w:val="24"/>
        </w:rPr>
      </w:pPr>
    </w:p>
    <w:p w14:paraId="2655B0AB" w14:textId="0CE1BB4B" w:rsidR="00F85C1D" w:rsidRPr="00141085" w:rsidRDefault="00F85C1D" w:rsidP="00F85C1D">
      <w:pPr>
        <w:spacing w:after="0" w:line="240" w:lineRule="auto"/>
        <w:jc w:val="both"/>
        <w:rPr>
          <w:rFonts w:eastAsiaTheme="minorEastAsia"/>
          <w:sz w:val="24"/>
          <w:szCs w:val="24"/>
        </w:rPr>
      </w:pPr>
      <w:r w:rsidRPr="00F85C1D">
        <w:rPr>
          <w:rFonts w:eastAsiaTheme="minorEastAsia"/>
          <w:sz w:val="24"/>
          <w:szCs w:val="24"/>
        </w:rPr>
        <w:t>Cilj operacije je nadgradnja obstoječega informacijskega sistema U</w:t>
      </w:r>
      <w:r>
        <w:rPr>
          <w:rFonts w:eastAsiaTheme="minorEastAsia"/>
          <w:sz w:val="24"/>
          <w:szCs w:val="24"/>
        </w:rPr>
        <w:t xml:space="preserve">PRO </w:t>
      </w:r>
      <w:proofErr w:type="spellStart"/>
      <w:r w:rsidRPr="00F85C1D">
        <w:rPr>
          <w:rFonts w:eastAsiaTheme="minorEastAsia"/>
          <w:sz w:val="24"/>
          <w:szCs w:val="24"/>
        </w:rPr>
        <w:t>ProbIS</w:t>
      </w:r>
      <w:proofErr w:type="spellEnd"/>
      <w:r>
        <w:rPr>
          <w:rFonts w:eastAsiaTheme="minorEastAsia"/>
          <w:sz w:val="24"/>
          <w:szCs w:val="24"/>
        </w:rPr>
        <w:t>.</w:t>
      </w:r>
      <w:r w:rsidRPr="00F85C1D">
        <w:rPr>
          <w:rFonts w:eastAsiaTheme="minorEastAsia"/>
          <w:sz w:val="24"/>
          <w:szCs w:val="24"/>
        </w:rPr>
        <w:t xml:space="preserve"> Ta bo nadgrajen tako, da bodo osebam v probaciji in institucijam, ki sodelujejo v </w:t>
      </w:r>
      <w:proofErr w:type="spellStart"/>
      <w:r w:rsidRPr="00F85C1D">
        <w:rPr>
          <w:rFonts w:eastAsiaTheme="minorEastAsia"/>
          <w:sz w:val="24"/>
          <w:szCs w:val="24"/>
        </w:rPr>
        <w:t>probacijski</w:t>
      </w:r>
      <w:proofErr w:type="spellEnd"/>
      <w:r w:rsidRPr="00F85C1D">
        <w:rPr>
          <w:rFonts w:eastAsiaTheme="minorEastAsia"/>
          <w:sz w:val="24"/>
          <w:szCs w:val="24"/>
        </w:rPr>
        <w:t xml:space="preserve"> obravnavi, specifične podporne storitve na voljo v obliki digitaliziranih svetovalno-izobraževalnih modulov, do katerih bodo osebe </w:t>
      </w:r>
      <w:r>
        <w:rPr>
          <w:rFonts w:eastAsiaTheme="minorEastAsia"/>
          <w:sz w:val="24"/>
          <w:szCs w:val="24"/>
        </w:rPr>
        <w:t>v</w:t>
      </w:r>
      <w:r w:rsidRPr="00F85C1D">
        <w:rPr>
          <w:rFonts w:eastAsiaTheme="minorEastAsia"/>
          <w:sz w:val="24"/>
          <w:szCs w:val="24"/>
        </w:rPr>
        <w:t xml:space="preserve"> probaciji dostopale z uporabniškim imenom in geslom, in sicer do zanje primernega modula (specifičnega področja) glede na rezultat digitaliziranega modela za ocenjevanje tveganj in potreb. Dostopanje bo prostovoljno, na podlagi predhodno izvedenega procesa, ki prepoznava </w:t>
      </w:r>
      <w:proofErr w:type="spellStart"/>
      <w:r w:rsidRPr="00F85C1D">
        <w:rPr>
          <w:rFonts w:eastAsiaTheme="minorEastAsia"/>
          <w:sz w:val="24"/>
          <w:szCs w:val="24"/>
        </w:rPr>
        <w:t>kriminogene</w:t>
      </w:r>
      <w:proofErr w:type="spellEnd"/>
      <w:r w:rsidRPr="00F85C1D">
        <w:rPr>
          <w:rFonts w:eastAsiaTheme="minorEastAsia"/>
          <w:sz w:val="24"/>
          <w:szCs w:val="24"/>
        </w:rPr>
        <w:t xml:space="preserve"> dejavnike in močna področja posameznika.</w:t>
      </w:r>
    </w:p>
    <w:sectPr w:rsidR="00F85C1D" w:rsidRPr="0014108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F6B8" w14:textId="77777777" w:rsidR="00141085" w:rsidRDefault="00141085" w:rsidP="00141085">
      <w:pPr>
        <w:spacing w:after="0" w:line="240" w:lineRule="auto"/>
      </w:pPr>
      <w:r>
        <w:separator/>
      </w:r>
    </w:p>
  </w:endnote>
  <w:endnote w:type="continuationSeparator" w:id="0">
    <w:p w14:paraId="29697F9E" w14:textId="77777777" w:rsidR="00141085" w:rsidRDefault="00141085" w:rsidP="0014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B1BA" w14:textId="77777777" w:rsidR="00141085" w:rsidRDefault="00141085" w:rsidP="00141085">
      <w:pPr>
        <w:spacing w:after="0" w:line="240" w:lineRule="auto"/>
      </w:pPr>
      <w:r>
        <w:separator/>
      </w:r>
    </w:p>
  </w:footnote>
  <w:footnote w:type="continuationSeparator" w:id="0">
    <w:p w14:paraId="0D7D96BC" w14:textId="77777777" w:rsidR="00141085" w:rsidRDefault="00141085" w:rsidP="00141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4898" w14:textId="540605AE" w:rsidR="00141085" w:rsidRDefault="00141085">
    <w:pPr>
      <w:pStyle w:val="Header"/>
    </w:pPr>
    <w:r>
      <w:rPr>
        <w:noProof/>
      </w:rPr>
      <w:drawing>
        <wp:anchor distT="0" distB="0" distL="114300" distR="114300" simplePos="0" relativeHeight="251661312" behindDoc="0" locked="0" layoutInCell="1" allowOverlap="1" wp14:anchorId="5C4A008B" wp14:editId="718C971B">
          <wp:simplePos x="0" y="0"/>
          <wp:positionH relativeFrom="column">
            <wp:posOffset>2701925</wp:posOffset>
          </wp:positionH>
          <wp:positionV relativeFrom="paragraph">
            <wp:posOffset>-16261</wp:posOffset>
          </wp:positionV>
          <wp:extent cx="1263650" cy="676910"/>
          <wp:effectExtent l="0" t="0" r="0" b="8890"/>
          <wp:wrapThrough wrapText="bothSides">
            <wp:wrapPolygon edited="0">
              <wp:start x="0" y="0"/>
              <wp:lineTo x="0" y="21276"/>
              <wp:lineTo x="21166" y="21276"/>
              <wp:lineTo x="21166" y="0"/>
              <wp:lineTo x="0" y="0"/>
            </wp:wrapPolygon>
          </wp:wrapThrough>
          <wp:docPr id="1103608416" name="Slika 110360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650" cy="6769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24E1DCC" wp14:editId="22993B58">
          <wp:simplePos x="0" y="0"/>
          <wp:positionH relativeFrom="column">
            <wp:posOffset>4029821</wp:posOffset>
          </wp:positionH>
          <wp:positionV relativeFrom="paragraph">
            <wp:posOffset>42131</wp:posOffset>
          </wp:positionV>
          <wp:extent cx="2210435" cy="619125"/>
          <wp:effectExtent l="0" t="0" r="0" b="9525"/>
          <wp:wrapThrough wrapText="bothSides">
            <wp:wrapPolygon edited="0">
              <wp:start x="0" y="0"/>
              <wp:lineTo x="0" y="21268"/>
              <wp:lineTo x="21408" y="21268"/>
              <wp:lineTo x="21408" y="0"/>
              <wp:lineTo x="0" y="0"/>
            </wp:wrapPolygon>
          </wp:wrapThrough>
          <wp:docPr id="2016583424" name="Slika 201658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10435" cy="619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D33093A" wp14:editId="3A7A28DD">
          <wp:simplePos x="0" y="0"/>
          <wp:positionH relativeFrom="column">
            <wp:posOffset>-518160</wp:posOffset>
          </wp:positionH>
          <wp:positionV relativeFrom="paragraph">
            <wp:posOffset>89535</wp:posOffset>
          </wp:positionV>
          <wp:extent cx="2814320" cy="572770"/>
          <wp:effectExtent l="0" t="0" r="5080" b="0"/>
          <wp:wrapThrough wrapText="bothSides">
            <wp:wrapPolygon edited="0">
              <wp:start x="0" y="0"/>
              <wp:lineTo x="0" y="20834"/>
              <wp:lineTo x="21493" y="20834"/>
              <wp:lineTo x="21493" y="0"/>
              <wp:lineTo x="0" y="0"/>
            </wp:wrapPolygon>
          </wp:wrapThrough>
          <wp:docPr id="1118022910" name="Slika 111802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814320" cy="5727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67"/>
    <w:rsid w:val="00141085"/>
    <w:rsid w:val="00150E49"/>
    <w:rsid w:val="003659D5"/>
    <w:rsid w:val="004A1F9A"/>
    <w:rsid w:val="004A4048"/>
    <w:rsid w:val="00793E20"/>
    <w:rsid w:val="00980F4D"/>
    <w:rsid w:val="00B12E44"/>
    <w:rsid w:val="00E94E67"/>
    <w:rsid w:val="00F85C1D"/>
    <w:rsid w:val="10A77C57"/>
    <w:rsid w:val="143BAA48"/>
    <w:rsid w:val="1E1AA0AA"/>
    <w:rsid w:val="25C82E03"/>
    <w:rsid w:val="28C05FDF"/>
    <w:rsid w:val="2A3F6F10"/>
    <w:rsid w:val="2B7BB842"/>
    <w:rsid w:val="2CBE057E"/>
    <w:rsid w:val="3A1E2F16"/>
    <w:rsid w:val="3CD5B22A"/>
    <w:rsid w:val="470BD017"/>
    <w:rsid w:val="4AD05E3D"/>
    <w:rsid w:val="4CA5CE15"/>
    <w:rsid w:val="4DD39B86"/>
    <w:rsid w:val="58C97BCC"/>
    <w:rsid w:val="58F7F3AE"/>
    <w:rsid w:val="5AAFAD87"/>
    <w:rsid w:val="5DDC2F5B"/>
    <w:rsid w:val="64DE471F"/>
    <w:rsid w:val="6511D49B"/>
    <w:rsid w:val="6A0BEEA4"/>
    <w:rsid w:val="6AD0BC9A"/>
    <w:rsid w:val="6D395896"/>
    <w:rsid w:val="6D7DD2CC"/>
    <w:rsid w:val="6D90FE1F"/>
    <w:rsid w:val="6E3EE90E"/>
    <w:rsid w:val="6F0A5AA7"/>
    <w:rsid w:val="70AE8693"/>
    <w:rsid w:val="742EECAD"/>
    <w:rsid w:val="74486A10"/>
    <w:rsid w:val="75F894FD"/>
    <w:rsid w:val="76263251"/>
    <w:rsid w:val="7A1D3E48"/>
    <w:rsid w:val="7C9391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809F"/>
  <w15:chartTrackingRefBased/>
  <w15:docId w15:val="{70A0F52E-3985-4DE2-816F-645E3CF5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1085"/>
  </w:style>
  <w:style w:type="paragraph" w:styleId="Footer">
    <w:name w:val="footer"/>
    <w:basedOn w:val="Normal"/>
    <w:link w:val="FooterChar"/>
    <w:uiPriority w:val="99"/>
    <w:unhideWhenUsed/>
    <w:rsid w:val="001410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1085"/>
  </w:style>
  <w:style w:type="paragraph" w:styleId="NormalWeb">
    <w:name w:val="Normal (Web)"/>
    <w:basedOn w:val="Normal"/>
    <w:uiPriority w:val="99"/>
    <w:unhideWhenUsed/>
    <w:rsid w:val="0014108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Strong">
    <w:name w:val="Strong"/>
    <w:basedOn w:val="DefaultParagraphFont"/>
    <w:uiPriority w:val="22"/>
    <w:qFormat/>
    <w:rsid w:val="00141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MJU</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Kovačič (MP)</dc:creator>
  <cp:keywords/>
  <dc:description/>
  <cp:lastModifiedBy>Helena Kovačič (MP)</cp:lastModifiedBy>
  <cp:revision>2</cp:revision>
  <dcterms:created xsi:type="dcterms:W3CDTF">2025-07-07T10:27:00Z</dcterms:created>
  <dcterms:modified xsi:type="dcterms:W3CDTF">2025-07-07T10:27:00Z</dcterms:modified>
</cp:coreProperties>
</file>