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AABD7" w14:textId="77777777" w:rsidR="00074C3E" w:rsidRDefault="00074C3E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  <w:b/>
          <w:bCs/>
          <w:sz w:val="32"/>
          <w:szCs w:val="32"/>
        </w:rPr>
      </w:pPr>
    </w:p>
    <w:p w14:paraId="3BE9B77A" w14:textId="48CA18EA" w:rsidR="00074C3E" w:rsidRDefault="00074C3E" w:rsidP="004A1F9A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inorEastAsia" w:hAnsiTheme="minorHAnsi" w:cstheme="minorBidi"/>
          <w:sz w:val="32"/>
          <w:szCs w:val="32"/>
        </w:rPr>
      </w:pPr>
      <w:r w:rsidRPr="00074C3E">
        <w:rPr>
          <w:rFonts w:asciiTheme="minorHAnsi" w:eastAsiaTheme="minorEastAsia" w:hAnsiTheme="minorHAnsi" w:cstheme="minorBidi"/>
          <w:b/>
          <w:bCs/>
          <w:sz w:val="32"/>
          <w:szCs w:val="32"/>
        </w:rPr>
        <w:t>Optimizacija mednarodnih overitev na sodiščih</w:t>
      </w:r>
    </w:p>
    <w:p w14:paraId="35F2A995" w14:textId="77777777" w:rsidR="00074C3E" w:rsidRDefault="00074C3E" w:rsidP="004A1F9A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inorEastAsia" w:hAnsiTheme="minorHAnsi" w:cstheme="minorBidi"/>
          <w:sz w:val="32"/>
          <w:szCs w:val="32"/>
        </w:rPr>
      </w:pPr>
    </w:p>
    <w:p w14:paraId="0D7DDDA2" w14:textId="1030A9E6" w:rsidR="00141085" w:rsidRPr="00141085" w:rsidRDefault="00141085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  <w:r w:rsidRPr="25C82E03">
        <w:rPr>
          <w:rStyle w:val="Krepko"/>
          <w:rFonts w:asciiTheme="minorHAnsi" w:eastAsiaTheme="minorEastAsia" w:hAnsiTheme="minorHAnsi" w:cstheme="minorBidi"/>
        </w:rPr>
        <w:t xml:space="preserve">Sklad: </w:t>
      </w:r>
      <w:r w:rsidRPr="25C82E03">
        <w:rPr>
          <w:rFonts w:asciiTheme="minorHAnsi" w:eastAsiaTheme="minorEastAsia" w:hAnsiTheme="minorHAnsi" w:cstheme="minorBidi"/>
        </w:rPr>
        <w:t>ESRR</w:t>
      </w:r>
    </w:p>
    <w:p w14:paraId="2A844132" w14:textId="72AEE50B" w:rsidR="25C82E03" w:rsidRDefault="25C82E03" w:rsidP="004A1F9A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inorEastAsia" w:hAnsiTheme="minorHAnsi" w:cstheme="minorBidi"/>
        </w:rPr>
      </w:pPr>
    </w:p>
    <w:p w14:paraId="30AC4713" w14:textId="77777777" w:rsidR="00141085" w:rsidRPr="00141085" w:rsidRDefault="00141085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  <w:r w:rsidRPr="25C82E03">
        <w:rPr>
          <w:rStyle w:val="Krepko"/>
          <w:rFonts w:asciiTheme="minorHAnsi" w:eastAsiaTheme="minorEastAsia" w:hAnsiTheme="minorHAnsi" w:cstheme="minorBidi"/>
        </w:rPr>
        <w:t>Cilj politike:</w:t>
      </w:r>
      <w:r w:rsidRPr="25C82E03">
        <w:rPr>
          <w:rFonts w:asciiTheme="minorHAnsi" w:eastAsiaTheme="minorEastAsia" w:hAnsiTheme="minorHAnsi" w:cstheme="minorBidi"/>
        </w:rPr>
        <w:t xml:space="preserve"> CP1: Konkurenčnejša in pametnejša Evropa s spodbujanjem inovativne in pametne gospodarske preobrazbe ter regionalne povezljivosti na področju IKT</w:t>
      </w:r>
    </w:p>
    <w:p w14:paraId="1BFAB4FD" w14:textId="7A2C2AD9" w:rsidR="25C82E03" w:rsidRDefault="25C82E03" w:rsidP="004A1F9A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inorEastAsia" w:hAnsiTheme="minorHAnsi" w:cstheme="minorBidi"/>
        </w:rPr>
      </w:pPr>
    </w:p>
    <w:p w14:paraId="5C2F78B8" w14:textId="46205506" w:rsidR="00141085" w:rsidRPr="00141085" w:rsidRDefault="00141085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  <w:r w:rsidRPr="25C82E03">
        <w:rPr>
          <w:rStyle w:val="Krepko"/>
          <w:rFonts w:asciiTheme="minorHAnsi" w:eastAsiaTheme="minorEastAsia" w:hAnsiTheme="minorHAnsi" w:cstheme="minorBidi"/>
        </w:rPr>
        <w:t>Prednostna naloga:</w:t>
      </w:r>
      <w:r w:rsidRPr="25C82E03">
        <w:rPr>
          <w:rFonts w:asciiTheme="minorHAnsi" w:eastAsiaTheme="minorEastAsia" w:hAnsiTheme="minorHAnsi" w:cstheme="minorBidi"/>
        </w:rPr>
        <w:t xml:space="preserve"> PN</w:t>
      </w:r>
      <w:r w:rsidR="00074C3E">
        <w:rPr>
          <w:rFonts w:asciiTheme="minorHAnsi" w:eastAsiaTheme="minorEastAsia" w:hAnsiTheme="minorHAnsi" w:cstheme="minorBidi"/>
        </w:rPr>
        <w:t>1</w:t>
      </w:r>
      <w:r w:rsidRPr="25C82E03">
        <w:rPr>
          <w:rFonts w:asciiTheme="minorHAnsi" w:eastAsiaTheme="minorEastAsia" w:hAnsiTheme="minorHAnsi" w:cstheme="minorBidi"/>
        </w:rPr>
        <w:t xml:space="preserve">: </w:t>
      </w:r>
      <w:r w:rsidR="00074C3E" w:rsidRPr="00074C3E">
        <w:rPr>
          <w:rFonts w:asciiTheme="minorHAnsi" w:eastAsiaTheme="minorEastAsia" w:hAnsiTheme="minorHAnsi" w:cstheme="minorBidi"/>
        </w:rPr>
        <w:t>Inovacijska družba znanja</w:t>
      </w:r>
    </w:p>
    <w:p w14:paraId="62FD2705" w14:textId="420B9DA2" w:rsidR="25C82E03" w:rsidRDefault="25C82E03" w:rsidP="004A1F9A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inorEastAsia" w:hAnsiTheme="minorHAnsi" w:cstheme="minorBidi"/>
        </w:rPr>
      </w:pPr>
    </w:p>
    <w:p w14:paraId="24371C5D" w14:textId="77777777" w:rsidR="00141085" w:rsidRPr="00141085" w:rsidRDefault="00141085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  <w:r w:rsidRPr="25C82E03">
        <w:rPr>
          <w:rStyle w:val="Krepko"/>
          <w:rFonts w:asciiTheme="minorHAnsi" w:eastAsiaTheme="minorEastAsia" w:hAnsiTheme="minorHAnsi" w:cstheme="minorBidi"/>
        </w:rPr>
        <w:t>Specifični cilj:</w:t>
      </w:r>
      <w:r w:rsidRPr="25C82E03">
        <w:rPr>
          <w:rFonts w:asciiTheme="minorHAnsi" w:eastAsiaTheme="minorEastAsia" w:hAnsiTheme="minorHAnsi" w:cstheme="minorBidi"/>
        </w:rPr>
        <w:t xml:space="preserve"> RSO1.2: Izkoriščanje prednosti digitalizacije za državljane, podjetja, raziskovalne organizacije in javne organe</w:t>
      </w:r>
    </w:p>
    <w:p w14:paraId="17E1DD3D" w14:textId="208E1F1C" w:rsidR="25C82E03" w:rsidRDefault="25C82E03" w:rsidP="004A1F9A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inorEastAsia" w:hAnsiTheme="minorHAnsi" w:cstheme="minorBidi"/>
        </w:rPr>
      </w:pPr>
    </w:p>
    <w:p w14:paraId="7147D660" w14:textId="0596D6AB" w:rsidR="00141085" w:rsidRPr="00141085" w:rsidRDefault="00141085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  <w:r w:rsidRPr="25C82E03">
        <w:rPr>
          <w:rStyle w:val="Krepko"/>
          <w:rFonts w:asciiTheme="minorHAnsi" w:eastAsiaTheme="minorEastAsia" w:hAnsiTheme="minorHAnsi" w:cstheme="minorBidi"/>
        </w:rPr>
        <w:t>Predvideno trajanje projekta:</w:t>
      </w:r>
      <w:r w:rsidRPr="25C82E03">
        <w:rPr>
          <w:rFonts w:asciiTheme="minorHAnsi" w:eastAsiaTheme="minorEastAsia" w:hAnsiTheme="minorHAnsi" w:cstheme="minorBidi"/>
        </w:rPr>
        <w:t xml:space="preserve"> </w:t>
      </w:r>
      <w:r w:rsidR="00074C3E">
        <w:rPr>
          <w:rFonts w:asciiTheme="minorHAnsi" w:eastAsiaTheme="minorEastAsia" w:hAnsiTheme="minorHAnsi" w:cstheme="minorBidi"/>
        </w:rPr>
        <w:t>1. 1. 2026</w:t>
      </w:r>
      <w:r w:rsidR="004A4048" w:rsidRPr="004A4048">
        <w:rPr>
          <w:rFonts w:asciiTheme="minorHAnsi" w:eastAsiaTheme="minorEastAsia" w:hAnsiTheme="minorHAnsi" w:cstheme="minorBidi"/>
        </w:rPr>
        <w:t xml:space="preserve"> </w:t>
      </w:r>
      <w:r w:rsidR="004A4048">
        <w:rPr>
          <w:rFonts w:asciiTheme="minorHAnsi" w:eastAsiaTheme="minorEastAsia" w:hAnsiTheme="minorHAnsi" w:cstheme="minorBidi"/>
        </w:rPr>
        <w:t>-</w:t>
      </w:r>
      <w:r w:rsidR="004A4048" w:rsidRPr="004A4048">
        <w:rPr>
          <w:rFonts w:asciiTheme="minorHAnsi" w:eastAsiaTheme="minorEastAsia" w:hAnsiTheme="minorHAnsi" w:cstheme="minorBidi"/>
        </w:rPr>
        <w:t xml:space="preserve"> </w:t>
      </w:r>
      <w:r w:rsidR="00074C3E">
        <w:rPr>
          <w:rFonts w:asciiTheme="minorHAnsi" w:eastAsiaTheme="minorEastAsia" w:hAnsiTheme="minorHAnsi" w:cstheme="minorBidi"/>
        </w:rPr>
        <w:t>15</w:t>
      </w:r>
      <w:r w:rsidR="004A4048" w:rsidRPr="004A4048">
        <w:rPr>
          <w:rFonts w:asciiTheme="minorHAnsi" w:eastAsiaTheme="minorEastAsia" w:hAnsiTheme="minorHAnsi" w:cstheme="minorBidi"/>
        </w:rPr>
        <w:t xml:space="preserve">. </w:t>
      </w:r>
      <w:r w:rsidR="00074C3E">
        <w:rPr>
          <w:rFonts w:asciiTheme="minorHAnsi" w:eastAsiaTheme="minorEastAsia" w:hAnsiTheme="minorHAnsi" w:cstheme="minorBidi"/>
        </w:rPr>
        <w:t>11</w:t>
      </w:r>
      <w:r w:rsidR="004A4048" w:rsidRPr="004A4048">
        <w:rPr>
          <w:rFonts w:asciiTheme="minorHAnsi" w:eastAsiaTheme="minorEastAsia" w:hAnsiTheme="minorHAnsi" w:cstheme="minorBidi"/>
        </w:rPr>
        <w:t>. 202</w:t>
      </w:r>
      <w:r w:rsidR="00074C3E">
        <w:rPr>
          <w:rFonts w:asciiTheme="minorHAnsi" w:eastAsiaTheme="minorEastAsia" w:hAnsiTheme="minorHAnsi" w:cstheme="minorBidi"/>
        </w:rPr>
        <w:t>7</w:t>
      </w:r>
    </w:p>
    <w:p w14:paraId="0DD75C48" w14:textId="6E87C1C4" w:rsidR="25C82E03" w:rsidRDefault="25C82E03" w:rsidP="004A1F9A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inorEastAsia" w:hAnsiTheme="minorHAnsi" w:cstheme="minorBidi"/>
        </w:rPr>
      </w:pPr>
    </w:p>
    <w:p w14:paraId="6BF822B9" w14:textId="57E20A45" w:rsidR="00141085" w:rsidRPr="00141085" w:rsidRDefault="00141085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  <w:r w:rsidRPr="25C82E03">
        <w:rPr>
          <w:rStyle w:val="Krepko"/>
          <w:rFonts w:asciiTheme="minorHAnsi" w:eastAsiaTheme="minorEastAsia" w:hAnsiTheme="minorHAnsi" w:cstheme="minorBidi"/>
        </w:rPr>
        <w:t>Vrednost projekta:</w:t>
      </w:r>
      <w:r w:rsidRPr="25C82E03">
        <w:rPr>
          <w:rFonts w:asciiTheme="minorHAnsi" w:eastAsiaTheme="minorEastAsia" w:hAnsiTheme="minorHAnsi" w:cstheme="minorBidi"/>
        </w:rPr>
        <w:t xml:space="preserve"> </w:t>
      </w:r>
      <w:r w:rsidR="00074C3E">
        <w:rPr>
          <w:rFonts w:asciiTheme="minorHAnsi" w:eastAsiaTheme="minorEastAsia" w:hAnsiTheme="minorHAnsi" w:cstheme="minorBidi"/>
        </w:rPr>
        <w:t>300.000</w:t>
      </w:r>
      <w:r w:rsidR="004A4048" w:rsidRPr="004A4048">
        <w:rPr>
          <w:rFonts w:asciiTheme="minorHAnsi" w:eastAsiaTheme="minorEastAsia" w:hAnsiTheme="minorHAnsi" w:cstheme="minorBidi"/>
        </w:rPr>
        <w:t>,00 EUR</w:t>
      </w:r>
      <w:r w:rsidRPr="25C82E03">
        <w:rPr>
          <w:rFonts w:asciiTheme="minorHAnsi" w:eastAsiaTheme="minorEastAsia" w:hAnsiTheme="minorHAnsi" w:cstheme="minorBidi"/>
        </w:rPr>
        <w:t xml:space="preserve"> (od tega podpora Evropske unije </w:t>
      </w:r>
      <w:r w:rsidR="00074C3E">
        <w:rPr>
          <w:rFonts w:asciiTheme="minorHAnsi" w:eastAsiaTheme="minorEastAsia" w:hAnsiTheme="minorHAnsi" w:cstheme="minorBidi"/>
        </w:rPr>
        <w:t>173.338,50</w:t>
      </w:r>
      <w:r w:rsidR="004A4048">
        <w:rPr>
          <w:rFonts w:asciiTheme="minorHAnsi" w:eastAsiaTheme="minorEastAsia" w:hAnsiTheme="minorHAnsi" w:cstheme="minorBidi"/>
        </w:rPr>
        <w:t xml:space="preserve"> </w:t>
      </w:r>
      <w:r w:rsidRPr="25C82E03">
        <w:rPr>
          <w:rFonts w:asciiTheme="minorHAnsi" w:eastAsiaTheme="minorEastAsia" w:hAnsiTheme="minorHAnsi" w:cstheme="minorBidi"/>
        </w:rPr>
        <w:t xml:space="preserve">EUR in nacionalni javni prispevek iz državnega proračuna </w:t>
      </w:r>
      <w:r w:rsidR="00074C3E">
        <w:rPr>
          <w:rFonts w:asciiTheme="minorHAnsi" w:eastAsiaTheme="minorEastAsia" w:hAnsiTheme="minorHAnsi" w:cstheme="minorBidi"/>
        </w:rPr>
        <w:t>126.661,50</w:t>
      </w:r>
      <w:r w:rsidR="004A4048">
        <w:rPr>
          <w:rFonts w:asciiTheme="minorHAnsi" w:eastAsiaTheme="minorEastAsia" w:hAnsiTheme="minorHAnsi" w:cstheme="minorBidi"/>
        </w:rPr>
        <w:t xml:space="preserve"> </w:t>
      </w:r>
      <w:r w:rsidRPr="25C82E03">
        <w:rPr>
          <w:rFonts w:asciiTheme="minorHAnsi" w:eastAsiaTheme="minorEastAsia" w:hAnsiTheme="minorHAnsi" w:cstheme="minorBidi"/>
        </w:rPr>
        <w:t>EUR)</w:t>
      </w:r>
    </w:p>
    <w:p w14:paraId="22EC68F4" w14:textId="1B85E614" w:rsidR="25C82E03" w:rsidRDefault="25C82E03" w:rsidP="004A1F9A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inorEastAsia" w:hAnsiTheme="minorHAnsi" w:cstheme="minorBidi"/>
        </w:rPr>
      </w:pPr>
    </w:p>
    <w:p w14:paraId="29590B2B" w14:textId="77777777" w:rsidR="00141085" w:rsidRPr="00141085" w:rsidRDefault="00141085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  <w:r w:rsidRPr="25C82E03">
        <w:rPr>
          <w:rStyle w:val="Krepko"/>
          <w:rFonts w:asciiTheme="minorHAnsi" w:eastAsiaTheme="minorEastAsia" w:hAnsiTheme="minorHAnsi" w:cstheme="minorBidi"/>
        </w:rPr>
        <w:t xml:space="preserve">Opis upravičenca oz. uporabnika: </w:t>
      </w:r>
    </w:p>
    <w:p w14:paraId="5529972D" w14:textId="5DA4361A" w:rsidR="25C82E03" w:rsidRPr="00074C3E" w:rsidRDefault="25C82E03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</w:p>
    <w:p w14:paraId="7431A051" w14:textId="77777777" w:rsidR="00074C3E" w:rsidRPr="00074C3E" w:rsidRDefault="00074C3E" w:rsidP="00074C3E">
      <w:pPr>
        <w:spacing w:after="0" w:line="240" w:lineRule="auto"/>
        <w:jc w:val="both"/>
        <w:rPr>
          <w:sz w:val="24"/>
          <w:szCs w:val="24"/>
        </w:rPr>
      </w:pPr>
      <w:r w:rsidRPr="00074C3E">
        <w:rPr>
          <w:sz w:val="24"/>
          <w:szCs w:val="24"/>
        </w:rPr>
        <w:t>Naloge upravičenca na projektu opravlja Vrhovno sodišče Republike Slovenije. Vrhovno sodišče Republike Slovenije je najvišje sodišče v Sloveniji. Poleg vsebinskega odločanja v sodnih postopkih odloča tudi v sporih o pristojnosti med nižjimi sodišči ter o prenosu pristojnosti na druga sodišča. Ob tem skrbi tudi za evidenco sodne prakse.</w:t>
      </w:r>
    </w:p>
    <w:p w14:paraId="12F5664E" w14:textId="77777777" w:rsidR="00B12E44" w:rsidRPr="00B12E44" w:rsidRDefault="00B12E44" w:rsidP="004A1F9A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inorEastAsia" w:hAnsiTheme="minorHAnsi" w:cstheme="minorHAnsi"/>
        </w:rPr>
      </w:pPr>
    </w:p>
    <w:p w14:paraId="64C08800" w14:textId="2B66DE5E" w:rsidR="00980F4D" w:rsidRDefault="00141085" w:rsidP="004A1F9A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inorEastAsia" w:hAnsiTheme="minorHAnsi" w:cstheme="minorBidi"/>
        </w:rPr>
      </w:pPr>
      <w:r w:rsidRPr="25C82E03">
        <w:rPr>
          <w:rStyle w:val="Krepko"/>
          <w:rFonts w:asciiTheme="minorHAnsi" w:eastAsiaTheme="minorEastAsia" w:hAnsiTheme="minorHAnsi" w:cstheme="minorBidi"/>
        </w:rPr>
        <w:t>Opis projekta:</w:t>
      </w:r>
      <w:r w:rsidR="4DD39B86" w:rsidRPr="25C82E03">
        <w:rPr>
          <w:rStyle w:val="Krepko"/>
          <w:rFonts w:asciiTheme="minorHAnsi" w:eastAsiaTheme="minorEastAsia" w:hAnsiTheme="minorHAnsi" w:cstheme="minorBidi"/>
        </w:rPr>
        <w:t xml:space="preserve"> </w:t>
      </w:r>
    </w:p>
    <w:p w14:paraId="42D4E5A2" w14:textId="77777777" w:rsidR="00772521" w:rsidRPr="00141085" w:rsidRDefault="00772521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</w:p>
    <w:p w14:paraId="7CF6A762" w14:textId="77777777" w:rsidR="00772521" w:rsidRPr="00772521" w:rsidRDefault="00772521" w:rsidP="00772521">
      <w:pPr>
        <w:spacing w:after="0" w:line="240" w:lineRule="auto"/>
        <w:jc w:val="both"/>
        <w:rPr>
          <w:rFonts w:eastAsiaTheme="minorEastAsia"/>
          <w:sz w:val="24"/>
          <w:szCs w:val="24"/>
        </w:rPr>
      </w:pPr>
      <w:r w:rsidRPr="00772521">
        <w:rPr>
          <w:rFonts w:eastAsiaTheme="minorEastAsia"/>
          <w:sz w:val="24"/>
          <w:szCs w:val="24"/>
        </w:rPr>
        <w:t>Podlago za neposredno potrditev operacije predstavlja Zakon o overitvi listin v mednarodnem</w:t>
      </w:r>
    </w:p>
    <w:p w14:paraId="415A5F72" w14:textId="2DEA02E4" w:rsidR="00772521" w:rsidRDefault="00772521" w:rsidP="00772521">
      <w:pPr>
        <w:spacing w:after="0" w:line="240" w:lineRule="auto"/>
        <w:jc w:val="both"/>
        <w:rPr>
          <w:rFonts w:eastAsiaTheme="minorEastAsia"/>
          <w:sz w:val="24"/>
          <w:szCs w:val="24"/>
        </w:rPr>
      </w:pPr>
      <w:r w:rsidRPr="00772521">
        <w:rPr>
          <w:rFonts w:eastAsiaTheme="minorEastAsia"/>
          <w:sz w:val="24"/>
          <w:szCs w:val="24"/>
        </w:rPr>
        <w:t>prometu (ZOLMP-1 - Uradni list RS, št. 9/17), na podlagi katerega Vrhovno sodišče Republike</w:t>
      </w:r>
      <w:r>
        <w:rPr>
          <w:rFonts w:eastAsiaTheme="minorEastAsia"/>
          <w:sz w:val="24"/>
          <w:szCs w:val="24"/>
        </w:rPr>
        <w:t xml:space="preserve"> </w:t>
      </w:r>
      <w:r w:rsidRPr="00772521">
        <w:rPr>
          <w:rFonts w:eastAsiaTheme="minorEastAsia"/>
          <w:sz w:val="24"/>
          <w:szCs w:val="24"/>
        </w:rPr>
        <w:t>Slovenije prevzema vlogo upravičenca za izvajanje predmetne operacije. Po tem zakonu se overjajo javne listine, izdane v Republiki Sloveniji, ki so namenjene za uporabo v tujini, če se po pravu države, v kateri bodo uporabljene, zahteva njihova overitev in če ni z mednarodno</w:t>
      </w:r>
      <w:r>
        <w:rPr>
          <w:rFonts w:eastAsiaTheme="minorEastAsia"/>
          <w:sz w:val="24"/>
          <w:szCs w:val="24"/>
        </w:rPr>
        <w:t xml:space="preserve"> </w:t>
      </w:r>
      <w:r w:rsidRPr="00772521">
        <w:rPr>
          <w:rFonts w:eastAsiaTheme="minorEastAsia"/>
          <w:sz w:val="24"/>
          <w:szCs w:val="24"/>
        </w:rPr>
        <w:t xml:space="preserve">pogodbo ali pravnim aktom Evropske Unije določeno drugače ali obratno. Vsebina </w:t>
      </w:r>
      <w:r>
        <w:rPr>
          <w:rFonts w:eastAsiaTheme="minorEastAsia"/>
          <w:sz w:val="24"/>
          <w:szCs w:val="24"/>
        </w:rPr>
        <w:t xml:space="preserve">projekta </w:t>
      </w:r>
      <w:r w:rsidRPr="00772521">
        <w:rPr>
          <w:rFonts w:eastAsiaTheme="minorEastAsia"/>
          <w:sz w:val="24"/>
          <w:szCs w:val="24"/>
        </w:rPr>
        <w:t>»Optimizacija mednarodnih overitev na sodiščih« je izrednega pomena za področje, ki ga urejata 4. in 6. člen zakona, saj bo z izvedbo operacije implementirana rešitev, ki bo bistveno</w:t>
      </w:r>
      <w:r>
        <w:rPr>
          <w:rFonts w:eastAsiaTheme="minorEastAsia"/>
          <w:sz w:val="24"/>
          <w:szCs w:val="24"/>
        </w:rPr>
        <w:t xml:space="preserve"> </w:t>
      </w:r>
      <w:r w:rsidRPr="00772521">
        <w:rPr>
          <w:rFonts w:eastAsiaTheme="minorEastAsia"/>
          <w:sz w:val="24"/>
          <w:szCs w:val="24"/>
        </w:rPr>
        <w:t>izboljšala pristop pri preverjanju pristnosti elektronskih podpisov na izvorno elektronskih</w:t>
      </w:r>
      <w:r>
        <w:rPr>
          <w:rFonts w:eastAsiaTheme="minorEastAsia"/>
          <w:sz w:val="24"/>
          <w:szCs w:val="24"/>
        </w:rPr>
        <w:t xml:space="preserve"> </w:t>
      </w:r>
      <w:r w:rsidRPr="00772521">
        <w:rPr>
          <w:rFonts w:eastAsiaTheme="minorEastAsia"/>
          <w:sz w:val="24"/>
          <w:szCs w:val="24"/>
        </w:rPr>
        <w:t>listinah tistih izdajateljev javnih listin, ki omogočajo preverjanje avtentičnosti teh listin v svojih informacijskih sistemih.</w:t>
      </w:r>
    </w:p>
    <w:p w14:paraId="30CF029D" w14:textId="77777777" w:rsidR="00772521" w:rsidRPr="00772521" w:rsidRDefault="00772521" w:rsidP="00772521">
      <w:pPr>
        <w:spacing w:after="0" w:line="240" w:lineRule="auto"/>
        <w:jc w:val="both"/>
        <w:rPr>
          <w:rFonts w:eastAsiaTheme="minorEastAsia"/>
          <w:sz w:val="24"/>
          <w:szCs w:val="24"/>
        </w:rPr>
      </w:pPr>
    </w:p>
    <w:p w14:paraId="6341EA8C" w14:textId="430C7EC4" w:rsidR="00980F4D" w:rsidRDefault="00772521" w:rsidP="00772521">
      <w:pPr>
        <w:spacing w:after="0" w:line="240" w:lineRule="auto"/>
        <w:jc w:val="both"/>
        <w:rPr>
          <w:rFonts w:eastAsiaTheme="minorEastAsia"/>
          <w:sz w:val="24"/>
          <w:szCs w:val="24"/>
        </w:rPr>
      </w:pPr>
      <w:r w:rsidRPr="00772521">
        <w:rPr>
          <w:rFonts w:eastAsiaTheme="minorEastAsia"/>
          <w:sz w:val="24"/>
          <w:szCs w:val="24"/>
        </w:rPr>
        <w:t>Uporabniki optimizirane rešitve v okviru sodstva bodo okrožna sodišča, ki izvajajo overjanje javnih listin. Dejanski uporabniki, ki bodo z optimizirano rešitvijo največ pridobili, pa bodo zunanje javnosti, to so fizične in pravne osebe, izdajatelji javnih listin in prejemniki  overjenih javnih listin v tujini.</w:t>
      </w:r>
    </w:p>
    <w:sectPr w:rsidR="00980F4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6A982" w14:textId="77777777" w:rsidR="00BF6E51" w:rsidRDefault="00BF6E51" w:rsidP="00141085">
      <w:pPr>
        <w:spacing w:after="0" w:line="240" w:lineRule="auto"/>
      </w:pPr>
      <w:r>
        <w:separator/>
      </w:r>
    </w:p>
  </w:endnote>
  <w:endnote w:type="continuationSeparator" w:id="0">
    <w:p w14:paraId="2BCBC63D" w14:textId="77777777" w:rsidR="00BF6E51" w:rsidRDefault="00BF6E51" w:rsidP="00141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73F87" w14:textId="77777777" w:rsidR="00BF6E51" w:rsidRDefault="00BF6E51" w:rsidP="00141085">
      <w:pPr>
        <w:spacing w:after="0" w:line="240" w:lineRule="auto"/>
      </w:pPr>
      <w:r>
        <w:separator/>
      </w:r>
    </w:p>
  </w:footnote>
  <w:footnote w:type="continuationSeparator" w:id="0">
    <w:p w14:paraId="3EEA66A3" w14:textId="77777777" w:rsidR="00BF6E51" w:rsidRDefault="00BF6E51" w:rsidP="00141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E4898" w14:textId="540605AE" w:rsidR="00141085" w:rsidRDefault="00141085">
    <w:pPr>
      <w:pStyle w:val="Glav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C4A008B" wp14:editId="718C971B">
          <wp:simplePos x="0" y="0"/>
          <wp:positionH relativeFrom="column">
            <wp:posOffset>2701925</wp:posOffset>
          </wp:positionH>
          <wp:positionV relativeFrom="paragraph">
            <wp:posOffset>-16261</wp:posOffset>
          </wp:positionV>
          <wp:extent cx="1263650" cy="676910"/>
          <wp:effectExtent l="0" t="0" r="0" b="8890"/>
          <wp:wrapThrough wrapText="bothSides">
            <wp:wrapPolygon edited="0">
              <wp:start x="0" y="0"/>
              <wp:lineTo x="0" y="21276"/>
              <wp:lineTo x="21166" y="21276"/>
              <wp:lineTo x="21166" y="0"/>
              <wp:lineTo x="0" y="0"/>
            </wp:wrapPolygon>
          </wp:wrapThrough>
          <wp:docPr id="1103608416" name="Slika 11036084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650" cy="676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24E1DCC" wp14:editId="22993B58">
          <wp:simplePos x="0" y="0"/>
          <wp:positionH relativeFrom="column">
            <wp:posOffset>4029821</wp:posOffset>
          </wp:positionH>
          <wp:positionV relativeFrom="paragraph">
            <wp:posOffset>42131</wp:posOffset>
          </wp:positionV>
          <wp:extent cx="2210435" cy="619125"/>
          <wp:effectExtent l="0" t="0" r="0" b="9525"/>
          <wp:wrapThrough wrapText="bothSides">
            <wp:wrapPolygon edited="0">
              <wp:start x="0" y="0"/>
              <wp:lineTo x="0" y="21268"/>
              <wp:lineTo x="21408" y="21268"/>
              <wp:lineTo x="21408" y="0"/>
              <wp:lineTo x="0" y="0"/>
            </wp:wrapPolygon>
          </wp:wrapThrough>
          <wp:docPr id="2016583424" name="Slika 20165834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0435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D33093A" wp14:editId="3A7A28DD">
          <wp:simplePos x="0" y="0"/>
          <wp:positionH relativeFrom="column">
            <wp:posOffset>-518160</wp:posOffset>
          </wp:positionH>
          <wp:positionV relativeFrom="paragraph">
            <wp:posOffset>89535</wp:posOffset>
          </wp:positionV>
          <wp:extent cx="2814320" cy="572770"/>
          <wp:effectExtent l="0" t="0" r="5080" b="0"/>
          <wp:wrapThrough wrapText="bothSides">
            <wp:wrapPolygon edited="0">
              <wp:start x="0" y="0"/>
              <wp:lineTo x="0" y="20834"/>
              <wp:lineTo x="21493" y="20834"/>
              <wp:lineTo x="21493" y="0"/>
              <wp:lineTo x="0" y="0"/>
            </wp:wrapPolygon>
          </wp:wrapThrough>
          <wp:docPr id="1118022910" name="Slika 1118022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4320" cy="572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67"/>
    <w:rsid w:val="00074C3E"/>
    <w:rsid w:val="00141085"/>
    <w:rsid w:val="00150E49"/>
    <w:rsid w:val="003659D5"/>
    <w:rsid w:val="003902D3"/>
    <w:rsid w:val="004A1F9A"/>
    <w:rsid w:val="004A4048"/>
    <w:rsid w:val="0060082A"/>
    <w:rsid w:val="00735E7A"/>
    <w:rsid w:val="00772521"/>
    <w:rsid w:val="00793E20"/>
    <w:rsid w:val="007B119A"/>
    <w:rsid w:val="00855A51"/>
    <w:rsid w:val="00980F4D"/>
    <w:rsid w:val="00A4223F"/>
    <w:rsid w:val="00B12E44"/>
    <w:rsid w:val="00BF6E51"/>
    <w:rsid w:val="00D11BE9"/>
    <w:rsid w:val="00DD094C"/>
    <w:rsid w:val="00E94E67"/>
    <w:rsid w:val="00F85C1D"/>
    <w:rsid w:val="10A77C57"/>
    <w:rsid w:val="143BAA48"/>
    <w:rsid w:val="1E1AA0AA"/>
    <w:rsid w:val="25C82E03"/>
    <w:rsid w:val="28C05FDF"/>
    <w:rsid w:val="2A3F6F10"/>
    <w:rsid w:val="2B7BB842"/>
    <w:rsid w:val="2CBE057E"/>
    <w:rsid w:val="3A1E2F16"/>
    <w:rsid w:val="3CD5B22A"/>
    <w:rsid w:val="470BD017"/>
    <w:rsid w:val="4AD05E3D"/>
    <w:rsid w:val="4CA5CE15"/>
    <w:rsid w:val="4DD39B86"/>
    <w:rsid w:val="58C97BCC"/>
    <w:rsid w:val="58F7F3AE"/>
    <w:rsid w:val="5AAFAD87"/>
    <w:rsid w:val="5DDC2F5B"/>
    <w:rsid w:val="64DE471F"/>
    <w:rsid w:val="6511D49B"/>
    <w:rsid w:val="6A0BEEA4"/>
    <w:rsid w:val="6AD0BC9A"/>
    <w:rsid w:val="6D395896"/>
    <w:rsid w:val="6D7DD2CC"/>
    <w:rsid w:val="6D90FE1F"/>
    <w:rsid w:val="6E3EE90E"/>
    <w:rsid w:val="6F0A5AA7"/>
    <w:rsid w:val="70AE8693"/>
    <w:rsid w:val="742EECAD"/>
    <w:rsid w:val="74486A10"/>
    <w:rsid w:val="75F894FD"/>
    <w:rsid w:val="76263251"/>
    <w:rsid w:val="7A1D3E48"/>
    <w:rsid w:val="7C939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6809F"/>
  <w15:chartTrackingRefBased/>
  <w15:docId w15:val="{70A0F52E-3985-4DE2-816F-645E3CF5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41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41085"/>
  </w:style>
  <w:style w:type="paragraph" w:styleId="Noga">
    <w:name w:val="footer"/>
    <w:basedOn w:val="Navaden"/>
    <w:link w:val="NogaZnak"/>
    <w:uiPriority w:val="99"/>
    <w:unhideWhenUsed/>
    <w:rsid w:val="00141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41085"/>
  </w:style>
  <w:style w:type="paragraph" w:styleId="Navadensplet">
    <w:name w:val="Normal (Web)"/>
    <w:basedOn w:val="Navaden"/>
    <w:uiPriority w:val="99"/>
    <w:unhideWhenUsed/>
    <w:rsid w:val="00141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character" w:styleId="Krepko">
    <w:name w:val="Strong"/>
    <w:basedOn w:val="Privzetapisavaodstavka"/>
    <w:uiPriority w:val="22"/>
    <w:qFormat/>
    <w:rsid w:val="001410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2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Kovačič (MP)</dc:creator>
  <cp:keywords/>
  <dc:description/>
  <cp:lastModifiedBy>Lea Aissatou Levpušček</cp:lastModifiedBy>
  <cp:revision>4</cp:revision>
  <dcterms:created xsi:type="dcterms:W3CDTF">2025-08-05T12:11:00Z</dcterms:created>
  <dcterms:modified xsi:type="dcterms:W3CDTF">2026-10-22T11:36:00Z</dcterms:modified>
</cp:coreProperties>
</file>