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9884" w14:textId="77777777" w:rsidR="00083998" w:rsidRDefault="00083998" w:rsidP="00DE3B63">
      <w:pPr>
        <w:pStyle w:val="datumtevilka"/>
        <w:rPr>
          <w:rFonts w:cs="Arial"/>
          <w:color w:val="000000"/>
        </w:rPr>
      </w:pPr>
    </w:p>
    <w:p w14:paraId="3DCCC723" w14:textId="77777777" w:rsidR="00083998" w:rsidRDefault="00083998" w:rsidP="00DE3B63">
      <w:pPr>
        <w:pStyle w:val="datumtevilka"/>
        <w:rPr>
          <w:rFonts w:cs="Arial"/>
          <w:color w:val="000000"/>
        </w:rPr>
      </w:pPr>
    </w:p>
    <w:p w14:paraId="7400529E" w14:textId="77777777" w:rsidR="00083998" w:rsidRPr="002760DC" w:rsidRDefault="00083998" w:rsidP="00DE3B63">
      <w:pPr>
        <w:pStyle w:val="datumtevilka"/>
      </w:pPr>
      <w:r w:rsidRPr="002760DC">
        <w:rPr>
          <w:rFonts w:cs="Arial"/>
          <w:color w:val="000000"/>
        </w:rPr>
        <w:tab/>
      </w:r>
    </w:p>
    <w:p w14:paraId="4B6E6D7C" w14:textId="77777777" w:rsidR="007D75CF" w:rsidRPr="002760DC" w:rsidRDefault="007D75CF" w:rsidP="00DE3B63">
      <w:pPr>
        <w:pStyle w:val="datumtevilka"/>
      </w:pPr>
      <w:r w:rsidRPr="002760DC">
        <w:t xml:space="preserve">Številka: </w:t>
      </w:r>
      <w:r w:rsidRPr="002760DC">
        <w:tab/>
      </w:r>
      <w:r w:rsidR="00CA1CBD">
        <w:rPr>
          <w:rFonts w:cs="Arial"/>
          <w:color w:val="000000"/>
        </w:rPr>
        <w:t>02402-2/2021/4</w:t>
      </w:r>
    </w:p>
    <w:p w14:paraId="666B1213" w14:textId="77777777" w:rsidR="007D75CF" w:rsidRPr="002760DC" w:rsidRDefault="002B51E3" w:rsidP="00DE3B63">
      <w:pPr>
        <w:pStyle w:val="datumtevilka"/>
      </w:pPr>
      <w:r>
        <w:t>Datum:</w:t>
      </w:r>
      <w:r w:rsidR="00C250D5" w:rsidRPr="002760DC">
        <w:t xml:space="preserve"> </w:t>
      </w:r>
      <w:r w:rsidR="00C250D5" w:rsidRPr="002760DC">
        <w:tab/>
      </w:r>
      <w:r w:rsidR="00CA1CBD">
        <w:rPr>
          <w:rFonts w:cs="Arial"/>
          <w:color w:val="000000"/>
        </w:rPr>
        <w:t>4. 2. 2021</w:t>
      </w:r>
      <w:r w:rsidR="007D75CF" w:rsidRPr="002760DC">
        <w:t xml:space="preserve"> </w:t>
      </w:r>
    </w:p>
    <w:p w14:paraId="34A14F8D" w14:textId="77777777" w:rsidR="007D75CF" w:rsidRPr="002760DC" w:rsidRDefault="007D75CF" w:rsidP="00DE3B63"/>
    <w:p w14:paraId="2B75963C" w14:textId="77777777" w:rsidR="006630A4" w:rsidRDefault="006630A4" w:rsidP="00DE3B63">
      <w:pPr>
        <w:autoSpaceDE w:val="0"/>
        <w:autoSpaceDN w:val="0"/>
        <w:adjustRightInd w:val="0"/>
        <w:rPr>
          <w:rFonts w:cs="Arial"/>
          <w:color w:val="000000"/>
          <w:szCs w:val="20"/>
        </w:rPr>
      </w:pPr>
    </w:p>
    <w:p w14:paraId="5911569C" w14:textId="77777777" w:rsidR="00DE3B63" w:rsidRPr="009D0932" w:rsidRDefault="00DE3B63" w:rsidP="00DE3B63">
      <w:pPr>
        <w:pStyle w:val="Naslovpredpisa"/>
        <w:spacing w:before="0" w:after="0" w:line="260" w:lineRule="exact"/>
        <w:jc w:val="both"/>
        <w:rPr>
          <w:iCs/>
        </w:rPr>
      </w:pPr>
      <w:r w:rsidRPr="009D0932">
        <w:t xml:space="preserve">Poročilo o delu </w:t>
      </w:r>
      <w:r w:rsidRPr="009D0932">
        <w:rPr>
          <w:iCs/>
        </w:rPr>
        <w:t>Medresorske delovne skupine za koordinacijo izvrševanja sodb Evropskega sodišča za človekove pravice v letu 2020</w:t>
      </w:r>
    </w:p>
    <w:p w14:paraId="09347E36" w14:textId="77777777" w:rsidR="00DE3B63" w:rsidRPr="009D0932" w:rsidRDefault="00DE3B63" w:rsidP="00DE3B63">
      <w:pPr>
        <w:pStyle w:val="Naslovpredpisa"/>
        <w:spacing w:before="0" w:after="0" w:line="260" w:lineRule="exact"/>
        <w:jc w:val="both"/>
        <w:rPr>
          <w:iCs/>
        </w:rPr>
      </w:pPr>
    </w:p>
    <w:p w14:paraId="3DDA816F" w14:textId="77777777" w:rsidR="00DE3B63" w:rsidRPr="009D0932" w:rsidRDefault="00DE3B63" w:rsidP="00DE3B63">
      <w:pPr>
        <w:jc w:val="both"/>
        <w:rPr>
          <w:rFonts w:cs="Arial"/>
          <w:szCs w:val="20"/>
          <w:lang w:eastAsia="sl-SI"/>
        </w:rPr>
      </w:pPr>
      <w:r w:rsidRPr="009D0932">
        <w:rPr>
          <w:rFonts w:cs="Arial"/>
          <w:iCs/>
          <w:szCs w:val="20"/>
        </w:rPr>
        <w:t xml:space="preserve">Medresorska delovna skupina za koordinacijo izvrševanja sodb Evropskega sodišča za človekove pravice (v </w:t>
      </w:r>
      <w:r>
        <w:rPr>
          <w:rFonts w:cs="Arial"/>
          <w:iCs/>
          <w:szCs w:val="20"/>
        </w:rPr>
        <w:t>nadaljnjem besedilu</w:t>
      </w:r>
      <w:r w:rsidRPr="009D0932">
        <w:rPr>
          <w:rFonts w:cs="Arial"/>
          <w:iCs/>
          <w:szCs w:val="20"/>
        </w:rPr>
        <w:t>: MDS ESČP) je bila</w:t>
      </w:r>
      <w:r w:rsidRPr="009D0932">
        <w:rPr>
          <w:rFonts w:cs="Arial"/>
          <w:szCs w:val="20"/>
        </w:rPr>
        <w:t xml:space="preserve"> ustanovljena s </w:t>
      </w:r>
      <w:r>
        <w:rPr>
          <w:rFonts w:cs="Arial"/>
          <w:szCs w:val="20"/>
        </w:rPr>
        <w:t>S</w:t>
      </w:r>
      <w:r w:rsidRPr="009D0932">
        <w:rPr>
          <w:rFonts w:cs="Arial"/>
          <w:szCs w:val="20"/>
        </w:rPr>
        <w:t>klepom Vlade Republike Slovenije št. 00405-8/2015/7 z dne 23. 12. 2015,</w:t>
      </w:r>
      <w:r w:rsidR="00AD6034">
        <w:rPr>
          <w:rFonts w:cs="Arial"/>
          <w:szCs w:val="20"/>
        </w:rPr>
        <w:t xml:space="preserve"> dopolnjenim in spremenjenim s s</w:t>
      </w:r>
      <w:r w:rsidRPr="009D0932">
        <w:rPr>
          <w:rFonts w:cs="Arial"/>
          <w:szCs w:val="20"/>
        </w:rPr>
        <w:t xml:space="preserve">klepi št. 00405-8/2015/12 z dne 12. 5. 2016, št. 00405-8/2015/13 z dne 12. 5. 2016, </w:t>
      </w:r>
      <w:r>
        <w:rPr>
          <w:rFonts w:cs="Arial"/>
          <w:szCs w:val="20"/>
        </w:rPr>
        <w:br/>
      </w:r>
      <w:r w:rsidRPr="009D0932">
        <w:rPr>
          <w:rFonts w:cs="Arial"/>
          <w:szCs w:val="20"/>
        </w:rPr>
        <w:t>št. 02401-23/2018/4 z dne 22. 11. 2018 in nazadnje s sklepom št</w:t>
      </w:r>
      <w:r>
        <w:rPr>
          <w:rFonts w:cs="Arial"/>
          <w:szCs w:val="20"/>
        </w:rPr>
        <w:t xml:space="preserve">. </w:t>
      </w:r>
      <w:r w:rsidRPr="009D0932">
        <w:rPr>
          <w:rFonts w:cs="Arial"/>
          <w:szCs w:val="20"/>
          <w:lang w:eastAsia="sl-SI"/>
        </w:rPr>
        <w:t xml:space="preserve">02401-14/2020/5 z </w:t>
      </w:r>
      <w:r>
        <w:rPr>
          <w:rFonts w:cs="Arial"/>
          <w:szCs w:val="20"/>
          <w:lang w:eastAsia="sl-SI"/>
        </w:rPr>
        <w:br/>
      </w:r>
      <w:r w:rsidRPr="009D0932">
        <w:rPr>
          <w:rFonts w:cs="Arial"/>
          <w:szCs w:val="20"/>
          <w:lang w:eastAsia="sl-SI"/>
        </w:rPr>
        <w:t xml:space="preserve">dne 2. 7. 2020. Od 2. 7. 2020 </w:t>
      </w:r>
      <w:r w:rsidRPr="009D0932">
        <w:rPr>
          <w:rFonts w:cs="Arial"/>
          <w:szCs w:val="20"/>
        </w:rPr>
        <w:t xml:space="preserve">MDS ESČP vodi Matic Zupan, državni sekretar </w:t>
      </w:r>
      <w:r>
        <w:rPr>
          <w:rFonts w:cs="Arial"/>
          <w:szCs w:val="20"/>
        </w:rPr>
        <w:t>v</w:t>
      </w:r>
      <w:r w:rsidRPr="009D0932">
        <w:rPr>
          <w:rFonts w:cs="Arial"/>
          <w:szCs w:val="20"/>
        </w:rPr>
        <w:t xml:space="preserve"> Ministrstvu za pravosodje, člani MDS ESČP pa so poleg predstavnikov Ministrstva za pravosodje še iz Ministrstva za zunanje zadeve, Ministrstva za notranje zadeve, Ministrstva za finance, Ministrstva za delo, družino, socialne zadeve in enake možnosti, Državnega odvetništva</w:t>
      </w:r>
      <w:r>
        <w:rPr>
          <w:rFonts w:cs="Arial"/>
          <w:szCs w:val="20"/>
        </w:rPr>
        <w:t xml:space="preserve"> Republike Slovenije</w:t>
      </w:r>
      <w:r w:rsidRPr="009D0932">
        <w:rPr>
          <w:rFonts w:cs="Arial"/>
          <w:szCs w:val="20"/>
        </w:rPr>
        <w:t xml:space="preserve">, Varuha človekovih pravic </w:t>
      </w:r>
      <w:r>
        <w:rPr>
          <w:rFonts w:cs="Arial"/>
          <w:szCs w:val="20"/>
        </w:rPr>
        <w:t xml:space="preserve">Republike Slovenije </w:t>
      </w:r>
      <w:r w:rsidRPr="009D0932">
        <w:rPr>
          <w:rFonts w:cs="Arial"/>
          <w:szCs w:val="20"/>
        </w:rPr>
        <w:t xml:space="preserve">in Vrhovnega sodišča Republike Slovenije. </w:t>
      </w:r>
    </w:p>
    <w:p w14:paraId="02A4526C" w14:textId="77777777" w:rsidR="00DE3B63" w:rsidRPr="009D0932" w:rsidRDefault="00DE3B63" w:rsidP="00DE3B63">
      <w:pPr>
        <w:jc w:val="both"/>
        <w:rPr>
          <w:rFonts w:cs="Arial"/>
          <w:szCs w:val="20"/>
        </w:rPr>
      </w:pPr>
    </w:p>
    <w:p w14:paraId="74FABD91" w14:textId="77777777" w:rsidR="00DE3B63" w:rsidRPr="009D0932" w:rsidRDefault="00DE3B63" w:rsidP="00DE3B63">
      <w:pPr>
        <w:jc w:val="both"/>
        <w:rPr>
          <w:rFonts w:cs="Arial"/>
          <w:iCs/>
          <w:szCs w:val="20"/>
        </w:rPr>
      </w:pPr>
      <w:bookmarkStart w:id="0" w:name="_Hlk63155913"/>
      <w:r w:rsidRPr="009D0932">
        <w:rPr>
          <w:rFonts w:cs="Arial"/>
          <w:szCs w:val="20"/>
        </w:rPr>
        <w:t xml:space="preserve">MDS ESČP se v letu 2020 ni sestala </w:t>
      </w:r>
      <w:r>
        <w:t xml:space="preserve">zaradi </w:t>
      </w:r>
      <w:r w:rsidRPr="009D0932">
        <w:rPr>
          <w:rFonts w:cs="Arial"/>
          <w:szCs w:val="20"/>
        </w:rPr>
        <w:t>učinkovit</w:t>
      </w:r>
      <w:r>
        <w:rPr>
          <w:rFonts w:cs="Arial"/>
          <w:szCs w:val="20"/>
        </w:rPr>
        <w:t>e</w:t>
      </w:r>
      <w:r w:rsidRPr="009D0932">
        <w:rPr>
          <w:rFonts w:cs="Arial"/>
          <w:szCs w:val="20"/>
        </w:rPr>
        <w:t xml:space="preserve"> in zadostn</w:t>
      </w:r>
      <w:r>
        <w:rPr>
          <w:rFonts w:cs="Arial"/>
          <w:szCs w:val="20"/>
        </w:rPr>
        <w:t>e koordinacije</w:t>
      </w:r>
      <w:r w:rsidRPr="009D0932">
        <w:rPr>
          <w:rFonts w:cs="Arial"/>
          <w:szCs w:val="20"/>
        </w:rPr>
        <w:t xml:space="preserve"> na ravni Projektne skupine za </w:t>
      </w:r>
      <w:r w:rsidRPr="009D0932">
        <w:rPr>
          <w:rFonts w:cs="Arial"/>
          <w:iCs/>
          <w:szCs w:val="20"/>
        </w:rPr>
        <w:t xml:space="preserve">koordinacijo izvrševanja sodb Evropskega sodišča za človekove pravice (v </w:t>
      </w:r>
      <w:r>
        <w:rPr>
          <w:rFonts w:cs="Arial"/>
          <w:iCs/>
          <w:szCs w:val="20"/>
        </w:rPr>
        <w:t>nadaljnjem besedilu</w:t>
      </w:r>
      <w:r w:rsidRPr="009D0932">
        <w:rPr>
          <w:rFonts w:cs="Arial"/>
          <w:iCs/>
          <w:szCs w:val="20"/>
        </w:rPr>
        <w:t xml:space="preserve">: PS ESČP), ki deluje </w:t>
      </w:r>
      <w:r>
        <w:rPr>
          <w:rFonts w:cs="Arial"/>
          <w:iCs/>
          <w:szCs w:val="20"/>
        </w:rPr>
        <w:t>v</w:t>
      </w:r>
      <w:r w:rsidRPr="009D0932">
        <w:rPr>
          <w:rFonts w:cs="Arial"/>
          <w:iCs/>
          <w:szCs w:val="20"/>
        </w:rPr>
        <w:t xml:space="preserve"> Ministrstvu za pravosodje. </w:t>
      </w:r>
    </w:p>
    <w:bookmarkEnd w:id="0"/>
    <w:p w14:paraId="524756B1" w14:textId="77777777" w:rsidR="00DE3B63" w:rsidRPr="009D0932" w:rsidRDefault="00DE3B63" w:rsidP="00DE3B63">
      <w:pPr>
        <w:jc w:val="both"/>
        <w:rPr>
          <w:rFonts w:cs="Arial"/>
          <w:szCs w:val="20"/>
        </w:rPr>
      </w:pPr>
    </w:p>
    <w:p w14:paraId="15D5AE2D" w14:textId="77777777" w:rsidR="00DE3B63" w:rsidRPr="009D0932" w:rsidRDefault="00DE3B63" w:rsidP="00DE3B63">
      <w:pPr>
        <w:jc w:val="both"/>
        <w:rPr>
          <w:rFonts w:cs="Arial"/>
          <w:szCs w:val="20"/>
        </w:rPr>
      </w:pPr>
      <w:r w:rsidRPr="009D0932">
        <w:rPr>
          <w:rFonts w:cs="Arial"/>
          <w:szCs w:val="20"/>
        </w:rPr>
        <w:t>Ko govorimo o izvrševanju sodb ESČP, mislimo predvsem določitev potrebnih individualnih in splošnih ukrepov,</w:t>
      </w:r>
      <w:r w:rsidRPr="009D0932">
        <w:rPr>
          <w:rStyle w:val="Sprotnaopomba-sklic"/>
          <w:rFonts w:cs="Arial"/>
          <w:szCs w:val="20"/>
        </w:rPr>
        <w:footnoteReference w:id="1"/>
      </w:r>
      <w:r w:rsidRPr="009D0932">
        <w:rPr>
          <w:rFonts w:cs="Arial"/>
          <w:szCs w:val="20"/>
        </w:rPr>
        <w:t xml:space="preserve"> ki se navedejo v akcijskih poročilih ali načrtih, ki jih obravnava Oddelek Sveta Evrope za izvrševanje sodb ESČP in nato Odbor ministrov Sveta Evrope na zasedanjih, ki so štirikrat na leto namenjena pregledu izvrševanja sodb. </w:t>
      </w:r>
    </w:p>
    <w:p w14:paraId="4187C113" w14:textId="77777777" w:rsidR="00DE3B63" w:rsidRDefault="00DE3B63" w:rsidP="00DE3B63">
      <w:pPr>
        <w:jc w:val="both"/>
        <w:rPr>
          <w:rFonts w:cs="Arial"/>
          <w:szCs w:val="20"/>
        </w:rPr>
      </w:pPr>
    </w:p>
    <w:p w14:paraId="1006CFBF" w14:textId="77777777" w:rsidR="00DE3B63" w:rsidRPr="009D0932" w:rsidRDefault="00DE3B63" w:rsidP="00DE3B63">
      <w:pPr>
        <w:jc w:val="both"/>
        <w:rPr>
          <w:rFonts w:cs="Arial"/>
          <w:szCs w:val="20"/>
        </w:rPr>
      </w:pPr>
      <w:r w:rsidRPr="009D0932">
        <w:rPr>
          <w:rFonts w:cs="Arial"/>
          <w:szCs w:val="20"/>
        </w:rPr>
        <w:t xml:space="preserve">Evropsko sodišče za človekove pravice je </w:t>
      </w:r>
      <w:r w:rsidRPr="009D0932">
        <w:rPr>
          <w:rFonts w:cs="Arial"/>
          <w:b/>
          <w:bCs/>
          <w:szCs w:val="20"/>
        </w:rPr>
        <w:t xml:space="preserve">v letu 2020 odločilo s sodbo v </w:t>
      </w:r>
      <w:r>
        <w:rPr>
          <w:rFonts w:cs="Arial"/>
          <w:b/>
          <w:bCs/>
          <w:szCs w:val="20"/>
        </w:rPr>
        <w:t>treh</w:t>
      </w:r>
      <w:r w:rsidRPr="009D0932">
        <w:rPr>
          <w:rFonts w:cs="Arial"/>
          <w:b/>
          <w:bCs/>
          <w:szCs w:val="20"/>
        </w:rPr>
        <w:t xml:space="preserve"> zadevah</w:t>
      </w:r>
      <w:r w:rsidRPr="009D0932">
        <w:rPr>
          <w:rFonts w:cs="Arial"/>
          <w:szCs w:val="20"/>
        </w:rPr>
        <w:t xml:space="preserve">, od tega je bilo ugotovljeno </w:t>
      </w:r>
      <w:r w:rsidRPr="009D0932">
        <w:rPr>
          <w:rFonts w:cs="Arial"/>
          <w:b/>
          <w:bCs/>
          <w:szCs w:val="20"/>
        </w:rPr>
        <w:t xml:space="preserve">v dveh zadevah, </w:t>
      </w:r>
      <w:r w:rsidRPr="009D0932">
        <w:rPr>
          <w:rFonts w:cs="Arial"/>
          <w:szCs w:val="20"/>
        </w:rPr>
        <w:t>da je</w:t>
      </w:r>
      <w:r w:rsidRPr="009D0932">
        <w:rPr>
          <w:rFonts w:cs="Arial"/>
          <w:b/>
          <w:bCs/>
          <w:szCs w:val="20"/>
        </w:rPr>
        <w:t xml:space="preserve"> Slovenija kršila Evropsko konvencijo o človekovih pravicah </w:t>
      </w:r>
      <w:r w:rsidRPr="009D0932">
        <w:rPr>
          <w:rFonts w:cs="Arial"/>
          <w:szCs w:val="20"/>
        </w:rPr>
        <w:t>(</w:t>
      </w:r>
      <w:r>
        <w:rPr>
          <w:rFonts w:cs="Arial"/>
          <w:szCs w:val="20"/>
        </w:rPr>
        <w:t xml:space="preserve">v nadaljnjem besedilu: </w:t>
      </w:r>
      <w:r w:rsidRPr="009D0932">
        <w:rPr>
          <w:rFonts w:cs="Arial"/>
          <w:szCs w:val="20"/>
        </w:rPr>
        <w:t>EKČP)</w:t>
      </w:r>
      <w:r>
        <w:rPr>
          <w:rFonts w:cs="Arial"/>
          <w:szCs w:val="20"/>
        </w:rPr>
        <w:t>,</w:t>
      </w:r>
      <w:r w:rsidRPr="009D0932">
        <w:rPr>
          <w:rFonts w:cs="Arial"/>
          <w:szCs w:val="20"/>
        </w:rPr>
        <w:t xml:space="preserve"> in sicer v</w:t>
      </w:r>
      <w:r w:rsidRPr="009D0932">
        <w:rPr>
          <w:rFonts w:cs="Arial"/>
          <w:b/>
          <w:bCs/>
          <w:szCs w:val="20"/>
        </w:rPr>
        <w:t xml:space="preserve"> </w:t>
      </w:r>
      <w:r w:rsidRPr="009D0932">
        <w:rPr>
          <w:rFonts w:cs="Arial"/>
          <w:szCs w:val="20"/>
        </w:rPr>
        <w:t xml:space="preserve">zadevi </w:t>
      </w:r>
      <w:r w:rsidRPr="009D0932">
        <w:rPr>
          <w:rFonts w:cs="Arial"/>
          <w:b/>
          <w:bCs/>
          <w:i/>
          <w:iCs/>
          <w:szCs w:val="20"/>
        </w:rPr>
        <w:t>Cimperšek</w:t>
      </w:r>
      <w:r w:rsidRPr="009D0932">
        <w:rPr>
          <w:rFonts w:cs="Arial"/>
          <w:szCs w:val="20"/>
        </w:rPr>
        <w:t xml:space="preserve"> (</w:t>
      </w:r>
      <w:proofErr w:type="spellStart"/>
      <w:r w:rsidRPr="009D0932">
        <w:rPr>
          <w:rFonts w:cs="Arial"/>
          <w:szCs w:val="20"/>
        </w:rPr>
        <w:t>neizvedba</w:t>
      </w:r>
      <w:proofErr w:type="spellEnd"/>
      <w:r w:rsidRPr="009D0932">
        <w:rPr>
          <w:rFonts w:cs="Arial"/>
          <w:szCs w:val="20"/>
        </w:rPr>
        <w:t xml:space="preserve"> javne obravnave pred upravnim sodiščem v sporu glede </w:t>
      </w:r>
      <w:proofErr w:type="spellStart"/>
      <w:r w:rsidRPr="009D0932">
        <w:rPr>
          <w:rFonts w:cs="Arial"/>
          <w:szCs w:val="20"/>
        </w:rPr>
        <w:t>neimenovanja</w:t>
      </w:r>
      <w:proofErr w:type="spellEnd"/>
      <w:r w:rsidRPr="009D0932">
        <w:rPr>
          <w:rFonts w:cs="Arial"/>
          <w:szCs w:val="20"/>
        </w:rPr>
        <w:t xml:space="preserve"> sodnega izvedenca) in v zadevi </w:t>
      </w:r>
      <w:r w:rsidRPr="009D0932">
        <w:rPr>
          <w:rFonts w:cs="Arial"/>
          <w:b/>
          <w:bCs/>
          <w:i/>
          <w:iCs/>
          <w:szCs w:val="20"/>
        </w:rPr>
        <w:t>Gros</w:t>
      </w:r>
      <w:r w:rsidRPr="009D0932">
        <w:rPr>
          <w:rFonts w:cs="Arial"/>
          <w:i/>
          <w:iCs/>
          <w:szCs w:val="20"/>
        </w:rPr>
        <w:t xml:space="preserve"> </w:t>
      </w:r>
      <w:r w:rsidRPr="009D0932">
        <w:rPr>
          <w:rFonts w:cs="Arial"/>
          <w:szCs w:val="20"/>
        </w:rPr>
        <w:t xml:space="preserve">(kršitev glede </w:t>
      </w:r>
      <w:r w:rsidRPr="009D0932">
        <w:rPr>
          <w:rFonts w:cs="Arial"/>
          <w:szCs w:val="20"/>
          <w:lang w:eastAsia="sl-SI"/>
        </w:rPr>
        <w:t>dostopa do sodišča</w:t>
      </w:r>
      <w:r w:rsidRPr="009D0932">
        <w:rPr>
          <w:rFonts w:cs="Arial"/>
          <w:szCs w:val="20"/>
        </w:rPr>
        <w:t xml:space="preserve">), medtem ko je v zadevi </w:t>
      </w:r>
      <w:proofErr w:type="spellStart"/>
      <w:r w:rsidRPr="009D0932">
        <w:rPr>
          <w:rFonts w:cs="Arial"/>
          <w:b/>
          <w:bCs/>
          <w:i/>
          <w:iCs/>
          <w:szCs w:val="20"/>
        </w:rPr>
        <w:t>Hudorović</w:t>
      </w:r>
      <w:proofErr w:type="spellEnd"/>
      <w:r w:rsidRPr="009D0932">
        <w:rPr>
          <w:rFonts w:cs="Arial"/>
          <w:b/>
          <w:bCs/>
          <w:i/>
          <w:iCs/>
          <w:szCs w:val="20"/>
        </w:rPr>
        <w:t xml:space="preserve"> in drugi</w:t>
      </w:r>
      <w:r w:rsidRPr="009D0932">
        <w:rPr>
          <w:rFonts w:cs="Arial"/>
          <w:szCs w:val="20"/>
        </w:rPr>
        <w:t xml:space="preserve"> (pravice do tekoče pitne vode v romskih naseljih) ESČP presodilo, da Slovenija ni kršila EKČP. </w:t>
      </w:r>
    </w:p>
    <w:p w14:paraId="705C7DB1" w14:textId="77777777" w:rsidR="00DE3B63" w:rsidRPr="009D0932" w:rsidRDefault="00DE3B63" w:rsidP="00DE3B63">
      <w:pPr>
        <w:jc w:val="both"/>
        <w:rPr>
          <w:rFonts w:cs="Arial"/>
          <w:szCs w:val="20"/>
        </w:rPr>
      </w:pPr>
    </w:p>
    <w:p w14:paraId="274EEF0E" w14:textId="77777777" w:rsidR="00DE3B63" w:rsidRPr="009D0932" w:rsidRDefault="00DE3B63" w:rsidP="00DE3B63">
      <w:pPr>
        <w:jc w:val="both"/>
        <w:rPr>
          <w:rFonts w:cs="Arial"/>
          <w:szCs w:val="20"/>
        </w:rPr>
      </w:pPr>
      <w:r w:rsidRPr="009D0932">
        <w:rPr>
          <w:rFonts w:cs="Arial"/>
          <w:szCs w:val="20"/>
        </w:rPr>
        <w:t xml:space="preserve">ESČP je v letu 2020 izdalo še </w:t>
      </w:r>
      <w:r w:rsidRPr="009D0932">
        <w:rPr>
          <w:rFonts w:cs="Arial"/>
          <w:b/>
          <w:bCs/>
          <w:szCs w:val="20"/>
        </w:rPr>
        <w:t>1 sklep o nedopustnosti pritožbe</w:t>
      </w:r>
      <w:r w:rsidRPr="009D0932">
        <w:rPr>
          <w:rFonts w:cs="Arial"/>
          <w:szCs w:val="20"/>
        </w:rPr>
        <w:t xml:space="preserve"> v zadevi </w:t>
      </w:r>
      <w:r w:rsidRPr="009D0932">
        <w:rPr>
          <w:rFonts w:cs="Arial"/>
          <w:b/>
          <w:bCs/>
          <w:i/>
          <w:iCs/>
          <w:szCs w:val="20"/>
          <w:lang w:eastAsia="sl-SI"/>
        </w:rPr>
        <w:t>Žigon in Keber</w:t>
      </w:r>
      <w:r w:rsidRPr="009D0932">
        <w:rPr>
          <w:rFonts w:cs="Arial"/>
          <w:szCs w:val="20"/>
          <w:lang w:eastAsia="sl-SI"/>
        </w:rPr>
        <w:t xml:space="preserve"> (stečajni postopek in zatrjevana kršitev načela sorazmernosti), kjer je </w:t>
      </w:r>
      <w:r w:rsidRPr="009D0932">
        <w:rPr>
          <w:rFonts w:cs="Arial"/>
          <w:szCs w:val="20"/>
        </w:rPr>
        <w:t>pri pripravi odgovora na pritožbo z državno odvetnico sodelovalo tudi Ministrstvo za pravosodje.</w:t>
      </w:r>
    </w:p>
    <w:p w14:paraId="1A35BA63" w14:textId="77777777" w:rsidR="00DE3B63" w:rsidRPr="009D0932" w:rsidRDefault="00DE3B63" w:rsidP="00DE3B63">
      <w:pPr>
        <w:jc w:val="both"/>
        <w:rPr>
          <w:rFonts w:cs="Arial"/>
          <w:szCs w:val="20"/>
        </w:rPr>
      </w:pPr>
    </w:p>
    <w:p w14:paraId="1A3C3AB0" w14:textId="77777777" w:rsidR="00DE3B63" w:rsidRPr="009D0932" w:rsidRDefault="00DE3B63" w:rsidP="00DE3B63">
      <w:pPr>
        <w:jc w:val="both"/>
        <w:rPr>
          <w:rFonts w:cs="Arial"/>
          <w:szCs w:val="20"/>
          <w:lang w:eastAsia="sl-SI"/>
        </w:rPr>
      </w:pPr>
      <w:r w:rsidRPr="009D0932">
        <w:rPr>
          <w:rFonts w:cs="Arial"/>
          <w:szCs w:val="20"/>
        </w:rPr>
        <w:t xml:space="preserve">Na podlagi akcijskih poročil Slovenije je Odbor ministrov Sveta Evrope </w:t>
      </w:r>
      <w:r w:rsidRPr="009D0932">
        <w:rPr>
          <w:rFonts w:cs="Arial"/>
          <w:b/>
          <w:bCs/>
          <w:szCs w:val="20"/>
        </w:rPr>
        <w:t>v letu 2020 s končno resolucijo zaprl nadzor nad 7 sodbami ESČP proti Sloveniji:</w:t>
      </w:r>
      <w:r w:rsidRPr="009D0932">
        <w:rPr>
          <w:rFonts w:cs="Arial"/>
          <w:szCs w:val="20"/>
        </w:rPr>
        <w:t xml:space="preserve"> </w:t>
      </w:r>
      <w:r w:rsidRPr="009D0932">
        <w:rPr>
          <w:rFonts w:cs="Arial"/>
          <w:b/>
          <w:bCs/>
          <w:i/>
          <w:iCs/>
          <w:szCs w:val="20"/>
        </w:rPr>
        <w:t xml:space="preserve">Prebil </w:t>
      </w:r>
      <w:r w:rsidRPr="009D0932">
        <w:rPr>
          <w:rFonts w:cs="Arial"/>
          <w:szCs w:val="20"/>
        </w:rPr>
        <w:t xml:space="preserve">(sodna razrešitev člana nadzornega sveta v gospodarski družbi), </w:t>
      </w:r>
      <w:r w:rsidRPr="009D0932">
        <w:rPr>
          <w:rFonts w:cs="Arial"/>
          <w:b/>
          <w:bCs/>
          <w:i/>
          <w:iCs/>
          <w:szCs w:val="20"/>
        </w:rPr>
        <w:t>A.V.</w:t>
      </w:r>
      <w:r w:rsidRPr="009D0932">
        <w:rPr>
          <w:rFonts w:cs="Arial"/>
          <w:szCs w:val="20"/>
        </w:rPr>
        <w:t xml:space="preserve"> (neizvršitev pravice očeta do stikov z otroki) </w:t>
      </w:r>
      <w:r w:rsidRPr="009D0932">
        <w:rPr>
          <w:rStyle w:val="Poudarek"/>
          <w:rFonts w:cs="Arial"/>
          <w:b/>
          <w:bCs/>
          <w:szCs w:val="20"/>
          <w:bdr w:val="none" w:sz="0" w:space="0" w:color="auto" w:frame="1"/>
        </w:rPr>
        <w:lastRenderedPageBreak/>
        <w:t>Matko</w:t>
      </w:r>
      <w:r w:rsidRPr="009D0932">
        <w:rPr>
          <w:rFonts w:cs="Arial"/>
          <w:szCs w:val="20"/>
        </w:rPr>
        <w:t> in </w:t>
      </w:r>
      <w:r w:rsidRPr="009D0932">
        <w:rPr>
          <w:rStyle w:val="Poudarek"/>
          <w:rFonts w:cs="Arial"/>
          <w:b/>
          <w:bCs/>
          <w:szCs w:val="20"/>
          <w:bdr w:val="none" w:sz="0" w:space="0" w:color="auto" w:frame="1"/>
        </w:rPr>
        <w:t>Butolen</w:t>
      </w:r>
      <w:r w:rsidRPr="009D0932">
        <w:rPr>
          <w:rFonts w:cs="Arial"/>
          <w:szCs w:val="20"/>
        </w:rPr>
        <w:t> (policijsko nasilje in neučinkovita preiskava v letih 1995 (</w:t>
      </w:r>
      <w:r w:rsidRPr="009D0932">
        <w:rPr>
          <w:rStyle w:val="Poudarek"/>
          <w:rFonts w:cs="Arial"/>
          <w:szCs w:val="20"/>
          <w:bdr w:val="none" w:sz="0" w:space="0" w:color="auto" w:frame="1"/>
        </w:rPr>
        <w:t>Matko)</w:t>
      </w:r>
      <w:r w:rsidRPr="009D0932">
        <w:rPr>
          <w:rFonts w:cs="Arial"/>
          <w:szCs w:val="20"/>
        </w:rPr>
        <w:t> in 2001 (</w:t>
      </w:r>
      <w:r w:rsidRPr="009D0932">
        <w:rPr>
          <w:rStyle w:val="Poudarek"/>
          <w:rFonts w:cs="Arial"/>
          <w:szCs w:val="20"/>
          <w:bdr w:val="none" w:sz="0" w:space="0" w:color="auto" w:frame="1"/>
        </w:rPr>
        <w:t>Butolen)</w:t>
      </w:r>
      <w:r w:rsidRPr="009D0932">
        <w:rPr>
          <w:rFonts w:cs="Arial"/>
          <w:szCs w:val="20"/>
        </w:rPr>
        <w:t xml:space="preserve">), </w:t>
      </w:r>
      <w:r w:rsidRPr="009D0932">
        <w:rPr>
          <w:rFonts w:cs="Arial"/>
          <w:b/>
          <w:bCs/>
          <w:i/>
          <w:iCs/>
          <w:szCs w:val="20"/>
        </w:rPr>
        <w:t>Koprivnikar</w:t>
      </w:r>
      <w:r w:rsidRPr="009D0932">
        <w:rPr>
          <w:rFonts w:cs="Arial"/>
          <w:szCs w:val="20"/>
        </w:rPr>
        <w:t xml:space="preserve"> (</w:t>
      </w:r>
      <w:r w:rsidRPr="009D0932">
        <w:rPr>
          <w:rFonts w:cs="Arial"/>
          <w:szCs w:val="20"/>
          <w:lang w:eastAsia="sl-SI"/>
        </w:rPr>
        <w:t xml:space="preserve">neustrezno izrečena enotna kazen), </w:t>
      </w:r>
      <w:r w:rsidRPr="009D0932">
        <w:rPr>
          <w:rFonts w:cs="Arial"/>
          <w:b/>
          <w:bCs/>
          <w:i/>
          <w:iCs/>
          <w:szCs w:val="20"/>
          <w:lang w:eastAsia="sl-SI"/>
        </w:rPr>
        <w:t>Kranjc</w:t>
      </w:r>
      <w:r w:rsidRPr="009D0932">
        <w:rPr>
          <w:rFonts w:cs="Arial"/>
          <w:szCs w:val="20"/>
          <w:lang w:eastAsia="sl-SI"/>
        </w:rPr>
        <w:t xml:space="preserve"> (prenizko nadomestilo za invalidnost). </w:t>
      </w:r>
    </w:p>
    <w:p w14:paraId="13A439CC" w14:textId="77777777" w:rsidR="00DE3B63" w:rsidRDefault="00DE3B63" w:rsidP="00DE3B63">
      <w:pPr>
        <w:jc w:val="both"/>
        <w:rPr>
          <w:rFonts w:cs="Arial"/>
          <w:szCs w:val="20"/>
          <w:lang w:eastAsia="sl-SI"/>
        </w:rPr>
      </w:pPr>
    </w:p>
    <w:p w14:paraId="1E4A0201" w14:textId="77777777" w:rsidR="00DE3B63" w:rsidRPr="00DE3B63" w:rsidRDefault="00DE3B63" w:rsidP="00DE3B63">
      <w:pPr>
        <w:jc w:val="both"/>
        <w:rPr>
          <w:rFonts w:cs="Arial"/>
          <w:szCs w:val="20"/>
        </w:rPr>
      </w:pPr>
      <w:r w:rsidRPr="009D0932">
        <w:rPr>
          <w:rFonts w:cs="Arial"/>
          <w:szCs w:val="20"/>
          <w:lang w:eastAsia="sl-SI"/>
        </w:rPr>
        <w:t xml:space="preserve">Posebej velja </w:t>
      </w:r>
      <w:r w:rsidRPr="00DE3B63">
        <w:rPr>
          <w:rFonts w:cs="Arial"/>
          <w:szCs w:val="20"/>
          <w:lang w:eastAsia="sl-SI"/>
        </w:rPr>
        <w:t xml:space="preserve">izpostaviti </w:t>
      </w:r>
      <w:r w:rsidRPr="00DE3B63">
        <w:rPr>
          <w:rFonts w:cs="Arial"/>
          <w:szCs w:val="20"/>
        </w:rPr>
        <w:t xml:space="preserve">zaključek okrepljenega nadzora v zadevi </w:t>
      </w:r>
      <w:r w:rsidRPr="00DE3B63">
        <w:rPr>
          <w:rFonts w:cs="Arial"/>
          <w:b/>
          <w:bCs/>
          <w:i/>
          <w:iCs/>
          <w:szCs w:val="20"/>
        </w:rPr>
        <w:t>Mandić in Jović</w:t>
      </w:r>
      <w:r w:rsidRPr="00DE3B63">
        <w:rPr>
          <w:rFonts w:cs="Arial"/>
          <w:szCs w:val="20"/>
        </w:rPr>
        <w:t xml:space="preserve"> proti Sloveniji, ki se nanaša na neustrezne razmere v zaporu v Ljubljani med leti 2008 in 2012. V marcu 2018 je bila že sprejeta končna </w:t>
      </w:r>
      <w:hyperlink r:id="rId7" w:history="1">
        <w:r w:rsidRPr="00DE3B63">
          <w:rPr>
            <w:rStyle w:val="Hiperpovezava"/>
            <w:rFonts w:cs="Arial"/>
            <w:color w:val="auto"/>
            <w:szCs w:val="20"/>
          </w:rPr>
          <w:t>resolucija za t. i. klonske primere zadeve</w:t>
        </w:r>
        <w:r w:rsidRPr="00DE3B63">
          <w:rPr>
            <w:rStyle w:val="Poudarek"/>
            <w:rFonts w:cs="Arial"/>
            <w:szCs w:val="20"/>
            <w:bdr w:val="none" w:sz="0" w:space="0" w:color="auto" w:frame="1"/>
          </w:rPr>
          <w:t> Mandič in Jović</w:t>
        </w:r>
      </w:hyperlink>
      <w:r w:rsidRPr="00DE3B63">
        <w:rPr>
          <w:rFonts w:cs="Arial"/>
          <w:szCs w:val="20"/>
        </w:rPr>
        <w:t>, v kateri je bil pozdravljen napredek glede razmer v zaporu Ljubljana. Kot izhaja iz takratnega akcijskega poročila, so bili sprejeti ukrepi, ki zapornikom in pripornikom zagotavljajo zadosten bivalni prostor, ki je v skladu s standardi Odbora Sveta Evrope proti mučenju (CPT).</w:t>
      </w:r>
      <w:r w:rsidRPr="00DE3B63">
        <w:rPr>
          <w:rStyle w:val="Sprotnaopomba-sklic"/>
          <w:rFonts w:cs="Arial"/>
          <w:szCs w:val="20"/>
        </w:rPr>
        <w:footnoteReference w:id="2"/>
      </w:r>
      <w:r w:rsidRPr="00DE3B63">
        <w:rPr>
          <w:rFonts w:cs="Arial"/>
          <w:szCs w:val="20"/>
        </w:rPr>
        <w:t xml:space="preserve"> V </w:t>
      </w:r>
      <w:hyperlink r:id="rId8" w:anchor="{%22EXECIdentifier%22:[%22DH-DD(2020)284E%22]}" w:history="1">
        <w:r w:rsidRPr="00DE3B63">
          <w:rPr>
            <w:rStyle w:val="Hiperpovezava"/>
            <w:rFonts w:cs="Arial"/>
            <w:color w:val="auto"/>
            <w:szCs w:val="20"/>
          </w:rPr>
          <w:t>prenovljenem akcijskem poročilu</w:t>
        </w:r>
      </w:hyperlink>
      <w:r w:rsidRPr="00DE3B63">
        <w:rPr>
          <w:rFonts w:cs="Arial"/>
          <w:szCs w:val="20"/>
        </w:rPr>
        <w:t> marca 2020 je Slovenija med drugim dopolnila podatke glede učinkovitega pravnega sredstva za zapornike oziroma pripornike v civilnih odškodninskih postopkih. Po dodatno sprejetih ukrepih in prizadevanjih Ministrstva za pravosodje glede spremembe področne zakonodaje, kot tudi ukrepov Uprave Republike Slovenije za izvrševanje kazenskih sankcij, je Odbor ministrov 4. 6. 2020 sprejel</w:t>
      </w:r>
      <w:hyperlink r:id="rId9" w:history="1">
        <w:r w:rsidRPr="00DE3B63">
          <w:rPr>
            <w:rStyle w:val="Hiperpovezava"/>
            <w:rFonts w:cs="Arial"/>
            <w:color w:val="auto"/>
            <w:szCs w:val="20"/>
          </w:rPr>
          <w:t> končno resolucijo</w:t>
        </w:r>
      </w:hyperlink>
      <w:r w:rsidRPr="00DE3B63">
        <w:rPr>
          <w:rFonts w:cs="Arial"/>
          <w:szCs w:val="20"/>
        </w:rPr>
        <w:t xml:space="preserve">, v kateri je pozdravil vse navedene ukrepe in sprejel analizo sekretariata Oddelka za izvrševanje sodb ESČP glede učinkovitosti preventivnih in odškodninskih pravnih sredstev za pripornike in zapornike v Sloveniji ter sprejeto odškodninsko shemo primerjal z novejšo sodno prakso ESČP. Na ESČP proti Sloveniji tudi ni bila vložena nobena pritožba povezana z razmerami v zaporih. </w:t>
      </w:r>
    </w:p>
    <w:p w14:paraId="183BB15D" w14:textId="77777777" w:rsidR="00DE3B63" w:rsidRDefault="00DE3B63" w:rsidP="00DE3B63">
      <w:pPr>
        <w:jc w:val="both"/>
        <w:rPr>
          <w:rFonts w:cs="Arial"/>
          <w:szCs w:val="20"/>
        </w:rPr>
      </w:pPr>
    </w:p>
    <w:p w14:paraId="450FFDD3" w14:textId="77777777" w:rsidR="00DE3B63" w:rsidRPr="009D0932" w:rsidRDefault="00DE3B63" w:rsidP="00DE3B63">
      <w:pPr>
        <w:jc w:val="both"/>
        <w:rPr>
          <w:rFonts w:cs="Arial"/>
          <w:szCs w:val="20"/>
        </w:rPr>
      </w:pPr>
      <w:r w:rsidRPr="009D0932">
        <w:rPr>
          <w:rFonts w:cs="Arial"/>
          <w:szCs w:val="20"/>
        </w:rPr>
        <w:t xml:space="preserve">V letu 2020 sta bila v obravnavo na Oddelek Sveta Evrope za izvrševanje sodb ESČP poslani še akcijski poročili za zadevo </w:t>
      </w:r>
      <w:r w:rsidRPr="009D0932">
        <w:rPr>
          <w:rFonts w:cs="Arial"/>
          <w:b/>
          <w:bCs/>
          <w:i/>
          <w:iCs/>
          <w:szCs w:val="20"/>
        </w:rPr>
        <w:t>Rola</w:t>
      </w:r>
      <w:r w:rsidRPr="009D0932">
        <w:rPr>
          <w:rFonts w:cs="Arial"/>
          <w:szCs w:val="20"/>
        </w:rPr>
        <w:t xml:space="preserve"> (odvzem licence stečajnemu upravitelju) in za zadevo </w:t>
      </w:r>
      <w:r w:rsidRPr="009D0932">
        <w:rPr>
          <w:rFonts w:cs="Arial"/>
          <w:b/>
          <w:bCs/>
          <w:i/>
          <w:iCs/>
          <w:szCs w:val="20"/>
        </w:rPr>
        <w:t xml:space="preserve">X </w:t>
      </w:r>
      <w:r w:rsidRPr="009D0932">
        <w:rPr>
          <w:rFonts w:cs="Arial"/>
          <w:szCs w:val="20"/>
        </w:rPr>
        <w:t xml:space="preserve">(pomanjkanje skrbnosti pri izvrševanju starševskih pravic), v obeh primerih so bile posredovane dodatne informacije. </w:t>
      </w:r>
    </w:p>
    <w:p w14:paraId="1189549B" w14:textId="77777777" w:rsidR="00DE3B63" w:rsidRDefault="00DE3B63" w:rsidP="00DE3B63">
      <w:pPr>
        <w:jc w:val="both"/>
        <w:rPr>
          <w:rFonts w:cs="Arial"/>
          <w:szCs w:val="20"/>
        </w:rPr>
      </w:pPr>
    </w:p>
    <w:p w14:paraId="5C7F86B0" w14:textId="77777777" w:rsidR="00DE3B63" w:rsidRPr="009D0932" w:rsidRDefault="00DE3B63" w:rsidP="00DE3B63">
      <w:pPr>
        <w:jc w:val="both"/>
        <w:rPr>
          <w:rFonts w:cs="Arial"/>
          <w:szCs w:val="20"/>
        </w:rPr>
      </w:pPr>
      <w:r w:rsidRPr="009D0932">
        <w:rPr>
          <w:rFonts w:cs="Arial"/>
          <w:szCs w:val="20"/>
        </w:rPr>
        <w:t xml:space="preserve">Pri pripravi nekaterih akcijskih poročil in načrtov je PS ESČP sodelovala z Državnim odvetništvom </w:t>
      </w:r>
      <w:r>
        <w:rPr>
          <w:rFonts w:cs="Arial"/>
          <w:szCs w:val="20"/>
        </w:rPr>
        <w:t xml:space="preserve">Republike Slovenije </w:t>
      </w:r>
      <w:r w:rsidRPr="009D0932">
        <w:rPr>
          <w:rFonts w:cs="Arial"/>
          <w:szCs w:val="20"/>
        </w:rPr>
        <w:t xml:space="preserve">ter predstavniki nosilnih ministrstev ter sodstvom. </w:t>
      </w:r>
    </w:p>
    <w:p w14:paraId="235EF99D" w14:textId="77777777" w:rsidR="00DE3B63" w:rsidRPr="009D0932" w:rsidRDefault="00DE3B63" w:rsidP="00DE3B63">
      <w:pPr>
        <w:jc w:val="both"/>
        <w:rPr>
          <w:rFonts w:cs="Arial"/>
          <w:szCs w:val="20"/>
        </w:rPr>
      </w:pPr>
    </w:p>
    <w:p w14:paraId="0D9AB030" w14:textId="77777777" w:rsidR="00DE3B63" w:rsidRPr="009D0932" w:rsidRDefault="00DE3B63" w:rsidP="00DE3B63">
      <w:pPr>
        <w:jc w:val="both"/>
        <w:rPr>
          <w:rFonts w:cs="Arial"/>
          <w:szCs w:val="20"/>
        </w:rPr>
      </w:pPr>
      <w:r w:rsidRPr="009D0932">
        <w:rPr>
          <w:rFonts w:cs="Arial"/>
          <w:szCs w:val="20"/>
        </w:rPr>
        <w:t>V letu 2020 je bilo sicer Republiki Sloveniji vročenih 8 novih pritožb pred ESČP.</w:t>
      </w:r>
      <w:r w:rsidRPr="009D0932">
        <w:rPr>
          <w:rStyle w:val="Sprotnaopomba-sklic"/>
          <w:rFonts w:cs="Arial"/>
          <w:szCs w:val="20"/>
        </w:rPr>
        <w:footnoteReference w:id="3"/>
      </w:r>
    </w:p>
    <w:p w14:paraId="0265E51A" w14:textId="77777777" w:rsidR="00DE3B63" w:rsidRPr="009D0932" w:rsidRDefault="00DE3B63" w:rsidP="00DE3B63">
      <w:pPr>
        <w:jc w:val="both"/>
        <w:rPr>
          <w:rFonts w:cs="Arial"/>
          <w:szCs w:val="20"/>
        </w:rPr>
      </w:pPr>
    </w:p>
    <w:p w14:paraId="1A12CABF" w14:textId="77777777" w:rsidR="00DE3B63" w:rsidRPr="009D0932" w:rsidRDefault="00DE3B63" w:rsidP="00DE3B63">
      <w:pPr>
        <w:jc w:val="both"/>
        <w:rPr>
          <w:rFonts w:cs="Arial"/>
          <w:szCs w:val="20"/>
        </w:rPr>
      </w:pPr>
      <w:bookmarkStart w:id="1" w:name="_Hlk63159167"/>
      <w:r w:rsidRPr="009D0932">
        <w:rPr>
          <w:rFonts w:cs="Arial"/>
          <w:b/>
          <w:bCs/>
          <w:szCs w:val="20"/>
        </w:rPr>
        <w:t>Konec leta 2020 je imela Slovenija neizvršenih še 8 dokončnih sodb ESČP</w:t>
      </w:r>
      <w:r w:rsidRPr="009D0932">
        <w:rPr>
          <w:rFonts w:cs="Arial"/>
          <w:szCs w:val="20"/>
        </w:rPr>
        <w:t xml:space="preserve"> (za primerjavo: konec leta 2015 je imela Slovenija 309 neizvršenih sodb, konec leta 2016 še 49 neizvršenih sodb, konec leta 2019 pa 12 neizvršenih sodb)</w:t>
      </w:r>
      <w:r w:rsidRPr="009D0932">
        <w:rPr>
          <w:rStyle w:val="Krepko"/>
          <w:rFonts w:cs="Arial"/>
          <w:szCs w:val="20"/>
        </w:rPr>
        <w:t xml:space="preserve">; </w:t>
      </w:r>
      <w:r w:rsidRPr="009D0932">
        <w:rPr>
          <w:rFonts w:cs="Arial"/>
          <w:szCs w:val="20"/>
        </w:rPr>
        <w:t xml:space="preserve">nobena sodba pa ni predmet okrepljenega nadzora. </w:t>
      </w:r>
      <w:r>
        <w:rPr>
          <w:rFonts w:cs="Arial"/>
          <w:szCs w:val="20"/>
        </w:rPr>
        <w:t>Neizvršene sodbe so v postopku izvrševanja (priprava analiz ter akcijskih poročil; pri eni sodbi je potrebna sprememba zakonodaje; pri dveh sprejem odločitev v novih sodnih postopkih skladno z ugodenimi zahtevami za varstvo zakonitosti na podlagi ESČP sodb; v eni zadevi pa sprejem odločitve v okviru ponovljenega upravnega postopka).</w:t>
      </w:r>
    </w:p>
    <w:bookmarkEnd w:id="1"/>
    <w:p w14:paraId="5DF8D2FC" w14:textId="77777777" w:rsidR="00DE3B63" w:rsidRPr="009D0932" w:rsidRDefault="00DE3B63" w:rsidP="00DE3B63">
      <w:pPr>
        <w:jc w:val="both"/>
        <w:rPr>
          <w:rFonts w:cs="Arial"/>
          <w:szCs w:val="20"/>
        </w:rPr>
      </w:pPr>
    </w:p>
    <w:p w14:paraId="2DC2F6F9" w14:textId="77777777" w:rsidR="00DE3B63" w:rsidRPr="009D0932" w:rsidRDefault="00DE3B63" w:rsidP="00DE3B63">
      <w:pPr>
        <w:jc w:val="both"/>
        <w:rPr>
          <w:rFonts w:cs="Arial"/>
          <w:szCs w:val="20"/>
        </w:rPr>
      </w:pPr>
      <w:r w:rsidRPr="009D0932">
        <w:rPr>
          <w:rFonts w:cs="Arial"/>
          <w:szCs w:val="20"/>
          <w:shd w:val="clear" w:color="auto" w:fill="FFFFFF"/>
          <w:lang w:eastAsia="sl-SI"/>
        </w:rPr>
        <w:lastRenderedPageBreak/>
        <w:t xml:space="preserve">Odbor ministrov Sveta Evrope je v 1. aprila 2020 </w:t>
      </w:r>
      <w:proofErr w:type="spellStart"/>
      <w:r w:rsidRPr="009D0932">
        <w:rPr>
          <w:rFonts w:cs="Arial"/>
          <w:szCs w:val="20"/>
          <w:shd w:val="clear" w:color="auto" w:fill="FFFFFF"/>
          <w:lang w:eastAsia="sl-SI"/>
        </w:rPr>
        <w:t>o</w:t>
      </w:r>
      <w:r w:rsidR="006C20F2">
        <w:rPr>
          <w:rFonts w:cs="Arial"/>
          <w:szCs w:val="20"/>
          <w:shd w:val="clear" w:color="auto" w:fill="FFFFFF"/>
          <w:lang w:eastAsia="sl-SI"/>
        </w:rPr>
        <w:t>bjavl</w:t>
      </w:r>
      <w:r w:rsidRPr="009D0932">
        <w:rPr>
          <w:rFonts w:cs="Arial"/>
          <w:szCs w:val="20"/>
          <w:shd w:val="clear" w:color="auto" w:fill="FFFFFF"/>
          <w:lang w:eastAsia="sl-SI"/>
        </w:rPr>
        <w:t>enem</w:t>
      </w:r>
      <w:proofErr w:type="spellEnd"/>
      <w:r w:rsidRPr="009D0932">
        <w:rPr>
          <w:rFonts w:cs="Arial"/>
          <w:szCs w:val="20"/>
          <w:shd w:val="clear" w:color="auto" w:fill="FFFFFF"/>
          <w:lang w:eastAsia="sl-SI"/>
        </w:rPr>
        <w:t xml:space="preserve"> letnem poročilu</w:t>
      </w:r>
      <w:r w:rsidRPr="009D0932">
        <w:rPr>
          <w:rStyle w:val="Sprotnaopomba-sklic"/>
          <w:rFonts w:cs="Arial"/>
          <w:szCs w:val="20"/>
          <w:shd w:val="clear" w:color="auto" w:fill="FFFFFF"/>
          <w:lang w:eastAsia="sl-SI"/>
        </w:rPr>
        <w:footnoteReference w:id="4"/>
      </w:r>
      <w:r w:rsidRPr="009D0932">
        <w:rPr>
          <w:rFonts w:cs="Arial"/>
          <w:szCs w:val="20"/>
          <w:shd w:val="clear" w:color="auto" w:fill="FFFFFF"/>
          <w:lang w:eastAsia="sl-SI"/>
        </w:rPr>
        <w:t xml:space="preserve"> o izvrševanju sodb ESČP v letu 2019 ugotovil pomemben napredek pri izvrševanju sodb ESČP s strani držav članic Sveta Evrope, a tudi izzive. Iz poročila izhaja, da </w:t>
      </w:r>
      <w:r w:rsidRPr="009D0932">
        <w:rPr>
          <w:rFonts w:cs="Arial"/>
          <w:b/>
          <w:bCs/>
          <w:szCs w:val="20"/>
          <w:shd w:val="clear" w:color="auto" w:fill="FFFFFF"/>
          <w:lang w:eastAsia="sl-SI"/>
        </w:rPr>
        <w:t>Slovenija sodi v skupino držav z najmanjšim številom neizvršenih sodb ESČP.</w:t>
      </w:r>
    </w:p>
    <w:p w14:paraId="2B8977BD" w14:textId="77777777" w:rsidR="00DE3B63" w:rsidRPr="009D0932" w:rsidRDefault="00DE3B63" w:rsidP="00DE3B63">
      <w:pPr>
        <w:jc w:val="both"/>
        <w:rPr>
          <w:rFonts w:cs="Arial"/>
          <w:szCs w:val="20"/>
        </w:rPr>
      </w:pPr>
    </w:p>
    <w:p w14:paraId="53C359DD" w14:textId="77777777" w:rsidR="00DE3B63" w:rsidRPr="009D0932" w:rsidRDefault="00DE3B63" w:rsidP="00DE3B63">
      <w:pPr>
        <w:jc w:val="both"/>
        <w:rPr>
          <w:rFonts w:cs="Arial"/>
          <w:szCs w:val="20"/>
          <w:lang w:eastAsia="sl-SI"/>
        </w:rPr>
      </w:pPr>
      <w:r w:rsidRPr="009D0932">
        <w:rPr>
          <w:rFonts w:cs="Arial"/>
          <w:szCs w:val="20"/>
          <w:lang w:eastAsia="sl-SI"/>
        </w:rPr>
        <w:t xml:space="preserve">Spoštovanje in pomen sodb ESČP je tudi tema, ki je redno obravnavana tudi na usposabljanjih tožilcev in sodnikov, ki jih organizira Center za izobraževanje v pravosodju. </w:t>
      </w:r>
    </w:p>
    <w:p w14:paraId="085B42B6" w14:textId="77777777" w:rsidR="00DE3B63" w:rsidRPr="009D0932" w:rsidRDefault="00DE3B63" w:rsidP="00DE3B63">
      <w:pPr>
        <w:jc w:val="both"/>
        <w:rPr>
          <w:rFonts w:cs="Arial"/>
          <w:szCs w:val="20"/>
          <w:lang w:eastAsia="sl-SI"/>
        </w:rPr>
      </w:pPr>
    </w:p>
    <w:p w14:paraId="301B0846" w14:textId="77777777" w:rsidR="00DE3B63" w:rsidRPr="009D0932" w:rsidRDefault="00DE3B63" w:rsidP="00DE3B63">
      <w:pPr>
        <w:jc w:val="both"/>
        <w:rPr>
          <w:rFonts w:cs="Arial"/>
          <w:szCs w:val="20"/>
          <w:lang w:eastAsia="sl-SI"/>
        </w:rPr>
      </w:pPr>
      <w:r w:rsidRPr="009D0932">
        <w:rPr>
          <w:rFonts w:cs="Arial"/>
          <w:szCs w:val="20"/>
          <w:lang w:eastAsia="sl-SI"/>
        </w:rPr>
        <w:t xml:space="preserve">Ministrstvo za pravosodje je s </w:t>
      </w:r>
      <w:r w:rsidRPr="009D0932">
        <w:rPr>
          <w:rFonts w:cs="Arial"/>
          <w:szCs w:val="20"/>
        </w:rPr>
        <w:t>Pravno fakulteto Univerze v Ljubljani sodelovalo pri pripravi znanstvene monografije z naslovom »</w:t>
      </w:r>
      <w:r w:rsidRPr="009D0932">
        <w:rPr>
          <w:rFonts w:cs="Arial"/>
          <w:i/>
          <w:iCs/>
          <w:szCs w:val="20"/>
        </w:rPr>
        <w:t>Glavna obravnava pred upravnim sodnikom</w:t>
      </w:r>
      <w:r w:rsidRPr="009D0932">
        <w:rPr>
          <w:rFonts w:cs="Arial"/>
          <w:szCs w:val="20"/>
        </w:rPr>
        <w:t>«, ki je bila izdana decembra 2020.</w:t>
      </w:r>
      <w:r w:rsidRPr="009D0932">
        <w:rPr>
          <w:rStyle w:val="Sprotnaopomba-sklic"/>
          <w:rFonts w:cs="Arial"/>
          <w:szCs w:val="20"/>
        </w:rPr>
        <w:footnoteReference w:id="5"/>
      </w:r>
      <w:r w:rsidRPr="009D0932">
        <w:rPr>
          <w:rFonts w:cs="Arial"/>
          <w:szCs w:val="20"/>
        </w:rPr>
        <w:t xml:space="preserve"> Znanstvena monografija obravnava tematiko, ki je dandanes še vedno aktualna tudi v luči sodb ESČP v zadevah </w:t>
      </w:r>
      <w:r w:rsidRPr="009D0932">
        <w:rPr>
          <w:rFonts w:cs="Arial"/>
          <w:i/>
          <w:iCs/>
          <w:szCs w:val="20"/>
        </w:rPr>
        <w:t>Mirovni inštitut proti Sloveniji</w:t>
      </w:r>
      <w:r w:rsidRPr="009D0932">
        <w:rPr>
          <w:rFonts w:cs="Arial"/>
          <w:szCs w:val="20"/>
        </w:rPr>
        <w:t xml:space="preserve">, </w:t>
      </w:r>
      <w:r w:rsidRPr="009D0932">
        <w:rPr>
          <w:rFonts w:cs="Arial"/>
          <w:i/>
          <w:iCs/>
          <w:szCs w:val="20"/>
        </w:rPr>
        <w:t>Produkcija Plus d.</w:t>
      </w:r>
      <w:r>
        <w:rPr>
          <w:rFonts w:cs="Arial"/>
          <w:i/>
          <w:iCs/>
          <w:szCs w:val="20"/>
        </w:rPr>
        <w:t> </w:t>
      </w:r>
      <w:r w:rsidRPr="009D0932">
        <w:rPr>
          <w:rFonts w:cs="Arial"/>
          <w:i/>
          <w:iCs/>
          <w:szCs w:val="20"/>
        </w:rPr>
        <w:t>o.</w:t>
      </w:r>
      <w:r>
        <w:rPr>
          <w:rFonts w:cs="Arial"/>
          <w:i/>
          <w:iCs/>
          <w:szCs w:val="20"/>
        </w:rPr>
        <w:t> </w:t>
      </w:r>
      <w:r w:rsidRPr="009D0932">
        <w:rPr>
          <w:rFonts w:cs="Arial"/>
          <w:i/>
          <w:iCs/>
          <w:szCs w:val="20"/>
        </w:rPr>
        <w:t>o. proti Sloveniji</w:t>
      </w:r>
      <w:r w:rsidRPr="009D0932">
        <w:rPr>
          <w:rFonts w:cs="Arial"/>
          <w:szCs w:val="20"/>
        </w:rPr>
        <w:t xml:space="preserve"> in </w:t>
      </w:r>
      <w:r w:rsidRPr="009D0932">
        <w:rPr>
          <w:rFonts w:cs="Arial"/>
          <w:i/>
          <w:iCs/>
          <w:szCs w:val="20"/>
        </w:rPr>
        <w:t xml:space="preserve">Cimperšek proti Sloveniji. </w:t>
      </w:r>
      <w:r w:rsidRPr="009D0932">
        <w:rPr>
          <w:rFonts w:cs="Arial"/>
          <w:szCs w:val="20"/>
        </w:rPr>
        <w:t>Publikacije je namenjena tudi pravosodnim deležnikom ter udeležencem usposabljanj v organizaciji Centra za izobraževanje v pravosodju.</w:t>
      </w:r>
    </w:p>
    <w:p w14:paraId="18193C33" w14:textId="77777777" w:rsidR="00DE3B63" w:rsidRPr="009D0932" w:rsidRDefault="00DE3B63" w:rsidP="00DE3B63">
      <w:pPr>
        <w:jc w:val="both"/>
        <w:rPr>
          <w:rFonts w:cs="Arial"/>
          <w:szCs w:val="20"/>
        </w:rPr>
      </w:pPr>
    </w:p>
    <w:p w14:paraId="1B27310B" w14:textId="77777777" w:rsidR="00DE3B63" w:rsidRPr="009D0932" w:rsidRDefault="00DE3B63" w:rsidP="00DE3B63">
      <w:pPr>
        <w:jc w:val="both"/>
        <w:rPr>
          <w:rFonts w:cs="Arial"/>
          <w:szCs w:val="20"/>
        </w:rPr>
      </w:pPr>
      <w:r w:rsidRPr="009D0932">
        <w:rPr>
          <w:rFonts w:cs="Arial"/>
          <w:szCs w:val="20"/>
        </w:rPr>
        <w:t xml:space="preserve">Ministrstvo za pravosodje redno posodablja </w:t>
      </w:r>
      <w:r w:rsidRPr="009D0932">
        <w:rPr>
          <w:rFonts w:cs="Arial"/>
          <w:b/>
          <w:bCs/>
          <w:szCs w:val="20"/>
        </w:rPr>
        <w:t>spletno stran vlade glede izvrševanja sodb ESČP</w:t>
      </w:r>
      <w:r w:rsidRPr="009D0932">
        <w:rPr>
          <w:rStyle w:val="Sprotnaopomba-sklic"/>
          <w:rFonts w:cs="Arial"/>
          <w:szCs w:val="20"/>
        </w:rPr>
        <w:footnoteReference w:id="6"/>
      </w:r>
      <w:r w:rsidRPr="009D0932">
        <w:rPr>
          <w:rFonts w:cs="Arial"/>
          <w:szCs w:val="20"/>
        </w:rPr>
        <w:t>, tako s povezavami na aktualna letna poročila Sveta Evrope glede izvrševanja sodb ESČP kot tudi glede tabelarnega pregleda</w:t>
      </w:r>
      <w:r w:rsidRPr="009D0932">
        <w:rPr>
          <w:rFonts w:cs="Arial"/>
          <w:szCs w:val="20"/>
          <w:lang w:eastAsia="sl-SI"/>
        </w:rPr>
        <w:t xml:space="preserve"> sodb ESČP proti Sloveniji, v katerih je ESČP ugotovilo kršitev EKČP in njihovega izvrševanja. V tabeli so tako objavljene tudi na povezave na vsebine sodb ESČP proti Sloveniji, objavljena akcijska poročila in načrt</w:t>
      </w:r>
      <w:r>
        <w:rPr>
          <w:rFonts w:cs="Arial"/>
          <w:szCs w:val="20"/>
          <w:lang w:eastAsia="sl-SI"/>
        </w:rPr>
        <w:t>i</w:t>
      </w:r>
      <w:r w:rsidRPr="009D0932">
        <w:rPr>
          <w:rFonts w:cs="Arial"/>
          <w:szCs w:val="20"/>
          <w:lang w:eastAsia="sl-SI"/>
        </w:rPr>
        <w:t xml:space="preserve"> ter zaključne resolucije Odbora ministrov Sveta Evrope. Na ta način se zagotavlja pregledno informiranje javnosti glede ugotovljenih kršitev </w:t>
      </w:r>
      <w:r>
        <w:rPr>
          <w:rFonts w:cs="Arial"/>
          <w:szCs w:val="20"/>
          <w:lang w:eastAsia="sl-SI"/>
        </w:rPr>
        <w:t>EKČP</w:t>
      </w:r>
      <w:r w:rsidRPr="009D0932">
        <w:rPr>
          <w:rFonts w:cs="Arial"/>
          <w:szCs w:val="20"/>
          <w:lang w:eastAsia="sl-SI"/>
        </w:rPr>
        <w:t xml:space="preserve"> s strani Slovenije kot tudi glede načrtovanih ali izvedenih ukrepov, da do kršitev ne bi več prihajalo. </w:t>
      </w:r>
    </w:p>
    <w:p w14:paraId="49913588" w14:textId="77777777" w:rsidR="00DE3B63" w:rsidRPr="009D0932" w:rsidRDefault="00DE3B63" w:rsidP="00DE3B63">
      <w:pPr>
        <w:rPr>
          <w:rFonts w:cs="Arial"/>
          <w:szCs w:val="20"/>
        </w:rPr>
      </w:pPr>
    </w:p>
    <w:p w14:paraId="62BF87A2" w14:textId="77777777" w:rsidR="00DE3B63" w:rsidRPr="009D0932" w:rsidRDefault="00DE3B63" w:rsidP="00DE3B63">
      <w:pPr>
        <w:jc w:val="both"/>
        <w:rPr>
          <w:rFonts w:cs="Arial"/>
          <w:szCs w:val="20"/>
        </w:rPr>
      </w:pPr>
      <w:r w:rsidRPr="009D0932">
        <w:rPr>
          <w:rStyle w:val="Krepko"/>
          <w:rFonts w:cs="Arial"/>
          <w:szCs w:val="20"/>
        </w:rPr>
        <w:t>U</w:t>
      </w:r>
      <w:r w:rsidRPr="009D0932">
        <w:rPr>
          <w:rFonts w:cs="Arial"/>
          <w:szCs w:val="20"/>
        </w:rPr>
        <w:t xml:space="preserve">činkovito in hitro izvrševanje sodb ESČP tudi naprej ostaja ena izmed prioritet Ministrstva za pravosodje. </w:t>
      </w:r>
      <w:r w:rsidRPr="009D0932">
        <w:rPr>
          <w:rFonts w:cs="Arial"/>
          <w:szCs w:val="20"/>
          <w:shd w:val="clear" w:color="auto" w:fill="FFFFFF"/>
          <w:lang w:eastAsia="sl-SI"/>
        </w:rPr>
        <w:t xml:space="preserve">Slovenija tudi z izvrševanjem sodb ESČP </w:t>
      </w:r>
      <w:r w:rsidRPr="009D0932">
        <w:rPr>
          <w:rFonts w:cs="Arial"/>
          <w:szCs w:val="20"/>
          <w:lang w:eastAsia="sl-SI"/>
        </w:rPr>
        <w:t>izkazuje svojo zavezanost vladavini prava in spoštovanju človekovih pravic ter izpolnjevanju obveznosti članice Sveta Evrope.</w:t>
      </w:r>
    </w:p>
    <w:p w14:paraId="68C33AE6" w14:textId="77777777" w:rsidR="00CA1CBD" w:rsidRDefault="00CA1CBD" w:rsidP="00DE3B63">
      <w:pPr>
        <w:autoSpaceDE w:val="0"/>
        <w:autoSpaceDN w:val="0"/>
        <w:adjustRightInd w:val="0"/>
        <w:jc w:val="both"/>
        <w:rPr>
          <w:rFonts w:cs="Arial"/>
          <w:color w:val="000000"/>
          <w:szCs w:val="20"/>
        </w:rPr>
      </w:pPr>
    </w:p>
    <w:sectPr w:rsidR="00CA1CBD" w:rsidSect="00D5647B">
      <w:headerReference w:type="default" r:id="rId10"/>
      <w:footerReference w:type="even" r:id="rId11"/>
      <w:footerReference w:type="default" r:id="rId12"/>
      <w:headerReference w:type="first" r:id="rId13"/>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71E0" w14:textId="77777777" w:rsidR="00CC4AE5" w:rsidRDefault="00CC4AE5">
      <w:r>
        <w:separator/>
      </w:r>
    </w:p>
  </w:endnote>
  <w:endnote w:type="continuationSeparator" w:id="0">
    <w:p w14:paraId="635C8150" w14:textId="77777777" w:rsidR="00CC4AE5" w:rsidRDefault="00CC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C6E" w14:textId="77777777" w:rsidR="00F9695B" w:rsidRDefault="00F9695B" w:rsidP="00D8511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1FA7A59" w14:textId="77777777" w:rsidR="00F9695B" w:rsidRDefault="00F9695B" w:rsidP="00F9695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E80E" w14:textId="77777777" w:rsidR="00F9695B" w:rsidRDefault="00F9695B" w:rsidP="00D8511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D6034">
      <w:rPr>
        <w:rStyle w:val="tevilkastrani"/>
        <w:noProof/>
      </w:rPr>
      <w:t>3</w:t>
    </w:r>
    <w:r>
      <w:rPr>
        <w:rStyle w:val="tevilkastrani"/>
      </w:rPr>
      <w:fldChar w:fldCharType="end"/>
    </w:r>
  </w:p>
  <w:p w14:paraId="71A32D23" w14:textId="77777777" w:rsidR="00D5647B" w:rsidRDefault="00D5647B" w:rsidP="00F9695B">
    <w:pPr>
      <w:pStyle w:val="Noga"/>
      <w:ind w:right="360"/>
      <w:jc w:val="right"/>
    </w:pPr>
  </w:p>
  <w:p w14:paraId="1C077F91" w14:textId="77777777" w:rsidR="00D5647B" w:rsidRDefault="00D564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7CB9" w14:textId="77777777" w:rsidR="00CC4AE5" w:rsidRDefault="00CC4AE5">
      <w:r>
        <w:separator/>
      </w:r>
    </w:p>
  </w:footnote>
  <w:footnote w:type="continuationSeparator" w:id="0">
    <w:p w14:paraId="4885F738" w14:textId="77777777" w:rsidR="00CC4AE5" w:rsidRDefault="00CC4AE5">
      <w:r>
        <w:continuationSeparator/>
      </w:r>
    </w:p>
  </w:footnote>
  <w:footnote w:id="1">
    <w:p w14:paraId="6C077EFF" w14:textId="77777777" w:rsidR="00DE3B63" w:rsidRPr="009D0932" w:rsidRDefault="00DE3B63" w:rsidP="00DE3B63">
      <w:pPr>
        <w:spacing w:after="120" w:line="240" w:lineRule="auto"/>
        <w:jc w:val="both"/>
        <w:rPr>
          <w:rFonts w:cs="Arial"/>
          <w:sz w:val="18"/>
          <w:szCs w:val="18"/>
        </w:rPr>
      </w:pPr>
      <w:r w:rsidRPr="009D0932">
        <w:rPr>
          <w:rStyle w:val="Sprotnaopomba-sklic"/>
          <w:rFonts w:cs="Arial"/>
          <w:sz w:val="18"/>
          <w:szCs w:val="18"/>
        </w:rPr>
        <w:footnoteRef/>
      </w:r>
      <w:r w:rsidRPr="009D0932">
        <w:rPr>
          <w:rFonts w:cs="Arial"/>
          <w:sz w:val="18"/>
          <w:szCs w:val="18"/>
        </w:rPr>
        <w:t xml:space="preserve"> Med individualnimi ukrepi je to plačilo pravičnega zadoščenja, ki poteka preko Državnega odvetništva (lahko je tudi še kakšen drug individualni ukrep), med splošnimi pa so lahko spremembe zakonodaje, prakse, navodila, izobraževanje, osveščanje; če sodba napotuje na spremembe, ki se še morajo zgoditi, pa tudi drugi ukrepi, kot je na primer gradnja novega zapora.</w:t>
      </w:r>
    </w:p>
  </w:footnote>
  <w:footnote w:id="2">
    <w:p w14:paraId="769FE0F6" w14:textId="77777777" w:rsidR="00DE3B63" w:rsidRPr="00DE3B63" w:rsidRDefault="00DE3B63" w:rsidP="00DE3B63">
      <w:pPr>
        <w:pStyle w:val="Navadensplet"/>
        <w:spacing w:before="0" w:beforeAutospacing="0" w:after="0" w:afterAutospacing="0"/>
        <w:jc w:val="both"/>
        <w:textAlignment w:val="baseline"/>
        <w:rPr>
          <w:rFonts w:ascii="Arial" w:hAnsi="Arial" w:cs="Arial"/>
          <w:sz w:val="18"/>
          <w:szCs w:val="18"/>
        </w:rPr>
      </w:pPr>
      <w:r w:rsidRPr="009D0932">
        <w:rPr>
          <w:rStyle w:val="Sprotnaopomba-sklic"/>
          <w:rFonts w:ascii="Arial" w:hAnsi="Arial" w:cs="Arial"/>
          <w:sz w:val="18"/>
          <w:szCs w:val="18"/>
        </w:rPr>
        <w:footnoteRef/>
      </w:r>
      <w:r w:rsidRPr="009D0932">
        <w:rPr>
          <w:rFonts w:ascii="Arial" w:hAnsi="Arial" w:cs="Arial"/>
          <w:sz w:val="18"/>
          <w:szCs w:val="18"/>
        </w:rPr>
        <w:t xml:space="preserve"> </w:t>
      </w:r>
      <w:r w:rsidRPr="00DE3B63">
        <w:rPr>
          <w:rFonts w:ascii="Arial" w:hAnsi="Arial" w:cs="Arial"/>
          <w:sz w:val="18"/>
          <w:szCs w:val="18"/>
        </w:rPr>
        <w:t>Temu pritrjujejo tudi ugotovitve CPT med zadnjim obiskom zaporov v Sloveniji v letu 2017. Od sodbe ESČP v zadevi </w:t>
      </w:r>
      <w:r w:rsidRPr="00DE3B63">
        <w:rPr>
          <w:rStyle w:val="Poudarek"/>
          <w:rFonts w:ascii="Arial" w:hAnsi="Arial" w:cs="Arial"/>
          <w:sz w:val="18"/>
          <w:szCs w:val="18"/>
          <w:bdr w:val="none" w:sz="0" w:space="0" w:color="auto" w:frame="1"/>
        </w:rPr>
        <w:t>Mandić in Jović</w:t>
      </w:r>
      <w:r w:rsidRPr="00DE3B63">
        <w:rPr>
          <w:rFonts w:ascii="Arial" w:hAnsi="Arial" w:cs="Arial"/>
          <w:sz w:val="18"/>
          <w:szCs w:val="18"/>
        </w:rPr>
        <w:t> so bile uvedene nekatere dodatne aktivnosti za zapornike in pripornike ter povečan čas prebit izven celic. Uveden je bil mehanizem za prerazporeditev zapornikov in pripornikov v primeru povečanega števila, nacionalni sistem izvrševanja skupnostnih sankcij (delovanje </w:t>
      </w:r>
      <w:hyperlink r:id="rId1" w:history="1">
        <w:r w:rsidRPr="00DE3B63">
          <w:rPr>
            <w:rStyle w:val="Hiperpovezava"/>
            <w:rFonts w:ascii="Arial" w:hAnsi="Arial" w:cs="Arial"/>
            <w:color w:val="auto"/>
            <w:sz w:val="18"/>
            <w:szCs w:val="18"/>
          </w:rPr>
          <w:t>Uprave za probacijo</w:t>
        </w:r>
      </w:hyperlink>
      <w:r w:rsidRPr="00DE3B63">
        <w:rPr>
          <w:rFonts w:ascii="Arial" w:hAnsi="Arial" w:cs="Arial"/>
          <w:sz w:val="18"/>
          <w:szCs w:val="18"/>
        </w:rPr>
        <w:t>), prav tako je na spletni strani Uprave Republike Slovenije za izvrševanje kazenskih sankcij objavljena tudi </w:t>
      </w:r>
      <w:hyperlink r:id="rId2" w:anchor="e55480" w:history="1">
        <w:r w:rsidRPr="00DE3B63">
          <w:rPr>
            <w:rStyle w:val="Hiperpovezava"/>
            <w:rFonts w:ascii="Arial" w:hAnsi="Arial" w:cs="Arial"/>
            <w:color w:val="auto"/>
            <w:sz w:val="18"/>
            <w:szCs w:val="18"/>
          </w:rPr>
          <w:t>statistika zasedenosti zavodov</w:t>
        </w:r>
      </w:hyperlink>
      <w:r w:rsidRPr="00DE3B63">
        <w:rPr>
          <w:rFonts w:ascii="Arial" w:hAnsi="Arial" w:cs="Arial"/>
          <w:sz w:val="18"/>
          <w:szCs w:val="18"/>
        </w:rPr>
        <w:t>. </w:t>
      </w:r>
    </w:p>
    <w:p w14:paraId="6E8645F5" w14:textId="77777777" w:rsidR="00DE3B63" w:rsidRPr="00DE3B63" w:rsidRDefault="00DE3B63" w:rsidP="00DE3B63">
      <w:pPr>
        <w:pStyle w:val="Sprotnaopomba-besedilo"/>
        <w:jc w:val="both"/>
        <w:rPr>
          <w:rFonts w:cs="Arial"/>
          <w:sz w:val="18"/>
          <w:szCs w:val="18"/>
        </w:rPr>
      </w:pPr>
      <w:r w:rsidRPr="00DE3B63">
        <w:rPr>
          <w:rFonts w:cs="Arial"/>
          <w:sz w:val="18"/>
          <w:szCs w:val="18"/>
        </w:rPr>
        <w:t>V luči trajnejše rešitve se nadaljujejo aktivnosti za izgradnjo novega zapora v Ljubljani ter prenovo ženskega zapora na Igu. Slovenija je v </w:t>
      </w:r>
      <w:hyperlink r:id="rId3" w:anchor="{%22EXECIdentifier%22:[%22DH-DD(2018)182E%22]}" w:history="1">
        <w:r w:rsidRPr="00DE3B63">
          <w:rPr>
            <w:rStyle w:val="Hiperpovezava"/>
            <w:rFonts w:cs="Arial"/>
            <w:color w:val="auto"/>
            <w:sz w:val="18"/>
            <w:szCs w:val="18"/>
          </w:rPr>
          <w:t>akcijskem poročilu</w:t>
        </w:r>
      </w:hyperlink>
      <w:r w:rsidRPr="00DE3B63">
        <w:rPr>
          <w:rFonts w:cs="Arial"/>
          <w:sz w:val="18"/>
          <w:szCs w:val="18"/>
        </w:rPr>
        <w:t> februarja 2018 podala pojasnila tudi glede učinkovitosti preventivnih in odškodninskih pravnih sredstev za pripornike in zapornike. V letu 2015 je bil dopolnjen Zakon o izvrševanju kazenskih sankcij, ki omogoča vlaganje pritožbe in zahtevka za odškodnino tudi zaradi neustreznih razmer v zaporu, ki pomenijo mučenje ali nečloveško ravnanje, v letu 2017 pa je bil dopolnjen Pravilnik o izvrševanju pripora, ki izrecno določa možnost pritožbe pripornika v primeru neustreznega ravnanja in prezasedenosti.</w:t>
      </w:r>
    </w:p>
  </w:footnote>
  <w:footnote w:id="3">
    <w:p w14:paraId="3036CD4D" w14:textId="77777777" w:rsidR="00DE3B63" w:rsidRPr="009D0932" w:rsidRDefault="00DE3B63" w:rsidP="00DE3B63">
      <w:pPr>
        <w:spacing w:after="120" w:line="240" w:lineRule="auto"/>
        <w:jc w:val="both"/>
        <w:rPr>
          <w:rFonts w:cs="Arial"/>
          <w:sz w:val="18"/>
          <w:szCs w:val="18"/>
        </w:rPr>
      </w:pPr>
      <w:r w:rsidRPr="00DE3B63">
        <w:rPr>
          <w:rStyle w:val="Sprotnaopomba-sklic"/>
          <w:rFonts w:cs="Arial"/>
          <w:sz w:val="18"/>
          <w:szCs w:val="18"/>
        </w:rPr>
        <w:footnoteRef/>
      </w:r>
      <w:r w:rsidRPr="00DE3B63">
        <w:rPr>
          <w:rFonts w:cs="Arial"/>
          <w:sz w:val="18"/>
          <w:szCs w:val="18"/>
        </w:rPr>
        <w:t xml:space="preserve"> </w:t>
      </w:r>
      <w:r w:rsidRPr="00DE3B63">
        <w:rPr>
          <w:rFonts w:cs="Arial"/>
          <w:sz w:val="18"/>
          <w:szCs w:val="18"/>
          <w:lang w:eastAsia="sl-SI"/>
        </w:rPr>
        <w:t xml:space="preserve">Proti Sloveniji: </w:t>
      </w:r>
      <w:r w:rsidRPr="00DE3B63">
        <w:rPr>
          <w:rFonts w:cs="Arial"/>
          <w:i/>
          <w:iCs/>
          <w:sz w:val="18"/>
          <w:szCs w:val="18"/>
          <w:lang w:eastAsia="sl-SI"/>
        </w:rPr>
        <w:t>A.U. in drugi in J.M., Toplak in Mrak, Boštjan Šoba, Rutar in Rutar Marketing, Q in R, Dolenc, Ferhatović</w:t>
      </w:r>
      <w:r w:rsidRPr="00DE3B63">
        <w:rPr>
          <w:rFonts w:cs="Arial"/>
          <w:sz w:val="18"/>
          <w:szCs w:val="18"/>
          <w:lang w:eastAsia="sl-SI"/>
        </w:rPr>
        <w:t xml:space="preserve">; ter </w:t>
      </w:r>
      <w:r w:rsidRPr="00DE3B63">
        <w:rPr>
          <w:rFonts w:cs="Arial"/>
          <w:i/>
          <w:iCs/>
          <w:sz w:val="18"/>
          <w:szCs w:val="18"/>
          <w:lang w:eastAsia="sl-SI"/>
        </w:rPr>
        <w:t xml:space="preserve">Claudia Duarte </w:t>
      </w:r>
      <w:proofErr w:type="spellStart"/>
      <w:r w:rsidRPr="00DE3B63">
        <w:rPr>
          <w:rFonts w:cs="Arial"/>
          <w:i/>
          <w:iCs/>
          <w:sz w:val="18"/>
          <w:szCs w:val="18"/>
          <w:lang w:eastAsia="sl-SI"/>
        </w:rPr>
        <w:t>Agostinho</w:t>
      </w:r>
      <w:proofErr w:type="spellEnd"/>
      <w:r w:rsidRPr="00DE3B63">
        <w:rPr>
          <w:rFonts w:cs="Arial"/>
          <w:i/>
          <w:iCs/>
          <w:sz w:val="18"/>
          <w:szCs w:val="18"/>
          <w:lang w:eastAsia="sl-SI"/>
        </w:rPr>
        <w:t xml:space="preserve"> in drugi proti Portugalski in 32 drugim</w:t>
      </w:r>
      <w:r w:rsidRPr="009D0932">
        <w:rPr>
          <w:rFonts w:cs="Arial"/>
          <w:i/>
          <w:iCs/>
          <w:sz w:val="18"/>
          <w:szCs w:val="18"/>
          <w:lang w:eastAsia="sl-SI"/>
        </w:rPr>
        <w:t xml:space="preserve"> državam</w:t>
      </w:r>
      <w:r w:rsidRPr="009D0932">
        <w:rPr>
          <w:rFonts w:cs="Arial"/>
          <w:sz w:val="18"/>
          <w:szCs w:val="18"/>
          <w:lang w:eastAsia="sl-SI"/>
        </w:rPr>
        <w:t xml:space="preserve"> (tudi Sloveniji).</w:t>
      </w:r>
    </w:p>
  </w:footnote>
  <w:footnote w:id="4">
    <w:p w14:paraId="416EE235" w14:textId="77777777" w:rsidR="00DE3B63" w:rsidRPr="00DE3B63" w:rsidRDefault="00DE3B63" w:rsidP="00DE3B63">
      <w:pPr>
        <w:pStyle w:val="Sprotnaopomba-besedilo"/>
        <w:rPr>
          <w:rFonts w:cs="Arial"/>
          <w:sz w:val="18"/>
          <w:szCs w:val="18"/>
        </w:rPr>
      </w:pPr>
      <w:r w:rsidRPr="00DE3B63">
        <w:rPr>
          <w:rStyle w:val="Sprotnaopomba-sklic"/>
          <w:rFonts w:cs="Arial"/>
          <w:sz w:val="18"/>
          <w:szCs w:val="18"/>
        </w:rPr>
        <w:footnoteRef/>
      </w:r>
      <w:r w:rsidRPr="00DE3B63">
        <w:rPr>
          <w:rFonts w:cs="Arial"/>
          <w:sz w:val="18"/>
          <w:szCs w:val="18"/>
        </w:rPr>
        <w:t xml:space="preserve"> </w:t>
      </w:r>
      <w:r w:rsidRPr="00DE3B63">
        <w:rPr>
          <w:rFonts w:cs="Arial"/>
          <w:sz w:val="18"/>
          <w:szCs w:val="18"/>
        </w:rPr>
        <w:t>https://www.coe.int/en/web/execution/-/supervision-of-the-execution-of-echr-judgments-annual-report-2019-shows-significant-progress-but-challenges-remain.</w:t>
      </w:r>
    </w:p>
  </w:footnote>
  <w:footnote w:id="5">
    <w:p w14:paraId="55E8DFEC" w14:textId="77777777" w:rsidR="00DE3B63" w:rsidRPr="00DE3B63" w:rsidRDefault="00DE3B63" w:rsidP="00DE3B63">
      <w:pPr>
        <w:pStyle w:val="Sprotnaopomba-besedilo"/>
        <w:rPr>
          <w:rFonts w:cs="Arial"/>
          <w:sz w:val="18"/>
          <w:szCs w:val="18"/>
        </w:rPr>
      </w:pPr>
      <w:r w:rsidRPr="00DE3B63">
        <w:rPr>
          <w:rStyle w:val="Sprotnaopomba-sklic"/>
          <w:rFonts w:cs="Arial"/>
          <w:sz w:val="18"/>
          <w:szCs w:val="18"/>
        </w:rPr>
        <w:footnoteRef/>
      </w:r>
      <w:r w:rsidRPr="00DE3B63">
        <w:rPr>
          <w:rFonts w:cs="Arial"/>
          <w:sz w:val="18"/>
          <w:szCs w:val="18"/>
        </w:rPr>
        <w:t xml:space="preserve"> </w:t>
      </w:r>
      <w:r w:rsidRPr="00AD6034">
        <w:rPr>
          <w:rStyle w:val="Hiperpovezava"/>
          <w:rFonts w:cs="Arial"/>
          <w:color w:val="auto"/>
          <w:sz w:val="18"/>
          <w:szCs w:val="18"/>
          <w:u w:val="none"/>
        </w:rPr>
        <w:t>http://www.pf.uni-lj.si/zalozba/publikacije-pravne-fakultete-33173/novosti-34318/</w:t>
      </w:r>
      <w:r w:rsidRPr="00DE3B63">
        <w:rPr>
          <w:rStyle w:val="Hiperpovezava"/>
          <w:rFonts w:cs="Arial"/>
          <w:color w:val="auto"/>
          <w:sz w:val="18"/>
          <w:szCs w:val="18"/>
        </w:rPr>
        <w:t>.</w:t>
      </w:r>
    </w:p>
  </w:footnote>
  <w:footnote w:id="6">
    <w:p w14:paraId="61E34450" w14:textId="77777777" w:rsidR="00DE3B63" w:rsidRPr="009D0932" w:rsidRDefault="00DE3B63" w:rsidP="00DE3B63">
      <w:pPr>
        <w:pStyle w:val="Sprotnaopomba-besedilo"/>
        <w:rPr>
          <w:rFonts w:cs="Arial"/>
          <w:sz w:val="18"/>
          <w:szCs w:val="18"/>
        </w:rPr>
      </w:pPr>
      <w:r w:rsidRPr="00DE3B63">
        <w:rPr>
          <w:rStyle w:val="Sprotnaopomba-sklic"/>
          <w:rFonts w:cs="Arial"/>
          <w:sz w:val="18"/>
          <w:szCs w:val="18"/>
        </w:rPr>
        <w:footnoteRef/>
      </w:r>
      <w:r w:rsidRPr="00DE3B63">
        <w:rPr>
          <w:rFonts w:cs="Arial"/>
          <w:sz w:val="18"/>
          <w:szCs w:val="18"/>
        </w:rPr>
        <w:t xml:space="preserve"> </w:t>
      </w:r>
      <w:r w:rsidRPr="00AD6034">
        <w:rPr>
          <w:rStyle w:val="Hiperpovezava"/>
          <w:rFonts w:cs="Arial"/>
          <w:color w:val="auto"/>
          <w:sz w:val="18"/>
          <w:szCs w:val="18"/>
          <w:u w:val="none"/>
        </w:rPr>
        <w:t>https://www.gov.si/teme/izvrsevanje-sodb-evropskega-sodisca-za-clovekove-pravice/</w:t>
      </w:r>
      <w:r w:rsidRPr="009D0932">
        <w:rPr>
          <w:rStyle w:val="Hiperpovezava"/>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523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85ECD13" w14:textId="77777777" w:rsidTr="0033463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2E9A4A9"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27EE1809" w14:textId="545AC094" w:rsidR="00265265" w:rsidRDefault="0033463A" w:rsidP="00265265">
    <w:pPr>
      <w:pStyle w:val="Glava"/>
      <w:tabs>
        <w:tab w:val="clear" w:pos="432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3466EFBA" wp14:editId="6A6E8717">
          <wp:simplePos x="0" y="0"/>
          <wp:positionH relativeFrom="page">
            <wp:posOffset>0</wp:posOffset>
          </wp:positionH>
          <wp:positionV relativeFrom="page">
            <wp:posOffset>0</wp:posOffset>
          </wp:positionV>
          <wp:extent cx="4321810" cy="972185"/>
          <wp:effectExtent l="0" t="0" r="0" b="0"/>
          <wp:wrapSquare wrapText="bothSides"/>
          <wp:docPr id="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65">
      <w:rPr>
        <w:rFonts w:cs="Arial"/>
        <w:sz w:val="16"/>
      </w:rPr>
      <w:t>Gregorčičeva 20–25, Sl-1001 Ljubljana</w:t>
    </w:r>
    <w:r w:rsidR="00265265">
      <w:rPr>
        <w:rFonts w:cs="Arial"/>
        <w:sz w:val="16"/>
      </w:rPr>
      <w:tab/>
      <w:t>T: +386 1 478 1000</w:t>
    </w:r>
  </w:p>
  <w:p w14:paraId="741CEBB5" w14:textId="77777777" w:rsidR="00265265" w:rsidRDefault="00265265" w:rsidP="00265265">
    <w:pPr>
      <w:pStyle w:val="Glava"/>
      <w:tabs>
        <w:tab w:val="clear" w:pos="4320"/>
        <w:tab w:val="left" w:pos="5112"/>
      </w:tabs>
      <w:spacing w:line="240" w:lineRule="exact"/>
      <w:rPr>
        <w:rFonts w:cs="Arial"/>
        <w:sz w:val="16"/>
      </w:rPr>
    </w:pPr>
    <w:r>
      <w:rPr>
        <w:rFonts w:cs="Arial"/>
        <w:sz w:val="16"/>
      </w:rPr>
      <w:tab/>
      <w:t>F: +386 1 478 1607</w:t>
    </w:r>
  </w:p>
  <w:p w14:paraId="148B61D0" w14:textId="77777777" w:rsidR="00265265" w:rsidRDefault="00265265" w:rsidP="00265265">
    <w:pPr>
      <w:pStyle w:val="Glava"/>
      <w:tabs>
        <w:tab w:val="clear" w:pos="4320"/>
        <w:tab w:val="left" w:pos="5112"/>
      </w:tabs>
      <w:spacing w:line="240" w:lineRule="exact"/>
      <w:rPr>
        <w:rFonts w:cs="Arial"/>
        <w:sz w:val="16"/>
      </w:rPr>
    </w:pPr>
    <w:r>
      <w:rPr>
        <w:rFonts w:cs="Arial"/>
        <w:sz w:val="16"/>
      </w:rPr>
      <w:tab/>
      <w:t>E: gp.gs@gov.si</w:t>
    </w:r>
  </w:p>
  <w:p w14:paraId="42342122" w14:textId="77777777" w:rsidR="00265265" w:rsidRDefault="00265265" w:rsidP="00265265">
    <w:pPr>
      <w:pStyle w:val="Glava"/>
      <w:tabs>
        <w:tab w:val="clear" w:pos="4320"/>
        <w:tab w:val="left" w:pos="5112"/>
      </w:tabs>
      <w:spacing w:line="240" w:lineRule="exact"/>
      <w:rPr>
        <w:rFonts w:cs="Arial"/>
        <w:sz w:val="16"/>
      </w:rPr>
    </w:pPr>
    <w:r>
      <w:rPr>
        <w:rFonts w:cs="Arial"/>
        <w:sz w:val="16"/>
      </w:rPr>
      <w:tab/>
      <w:t>http://www.vlada.si/</w:t>
    </w:r>
  </w:p>
  <w:p w14:paraId="64E7F48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9F16B3E"/>
    <w:multiLevelType w:val="hybridMultilevel"/>
    <w:tmpl w:val="D78A6E18"/>
    <w:lvl w:ilvl="0" w:tplc="C12E8DE4">
      <w:start w:val="1"/>
      <w:numFmt w:val="bullet"/>
      <w:lvlText w:val=""/>
      <w:lvlJc w:val="left"/>
      <w:pPr>
        <w:ind w:left="720" w:hanging="360"/>
      </w:pPr>
      <w:rPr>
        <w:rFonts w:ascii="Symbol" w:eastAsia="Calibri"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135418347">
    <w:abstractNumId w:val="5"/>
  </w:num>
  <w:num w:numId="2" w16cid:durableId="1708987432">
    <w:abstractNumId w:val="2"/>
  </w:num>
  <w:num w:numId="3" w16cid:durableId="1866940244">
    <w:abstractNumId w:val="3"/>
  </w:num>
  <w:num w:numId="4" w16cid:durableId="864758408">
    <w:abstractNumId w:val="0"/>
  </w:num>
  <w:num w:numId="5" w16cid:durableId="1454013725">
    <w:abstractNumId w:val="1"/>
  </w:num>
  <w:num w:numId="6" w16cid:durableId="671371820">
    <w:abstractNumId w:val="6"/>
  </w:num>
  <w:num w:numId="7" w16cid:durableId="380597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5480"/>
    <w:rsid w:val="00083998"/>
    <w:rsid w:val="000A7238"/>
    <w:rsid w:val="001064ED"/>
    <w:rsid w:val="001357B2"/>
    <w:rsid w:val="0017478F"/>
    <w:rsid w:val="001D0F1F"/>
    <w:rsid w:val="00202A77"/>
    <w:rsid w:val="00256E8E"/>
    <w:rsid w:val="00265265"/>
    <w:rsid w:val="00271CE5"/>
    <w:rsid w:val="002760DC"/>
    <w:rsid w:val="00282020"/>
    <w:rsid w:val="002A2B69"/>
    <w:rsid w:val="002B51E3"/>
    <w:rsid w:val="002F5D67"/>
    <w:rsid w:val="00317540"/>
    <w:rsid w:val="003314F7"/>
    <w:rsid w:val="0033463A"/>
    <w:rsid w:val="003544A1"/>
    <w:rsid w:val="003636BF"/>
    <w:rsid w:val="003673B7"/>
    <w:rsid w:val="00371442"/>
    <w:rsid w:val="003845B4"/>
    <w:rsid w:val="00387B1A"/>
    <w:rsid w:val="003B60BD"/>
    <w:rsid w:val="003C5EE5"/>
    <w:rsid w:val="003D1491"/>
    <w:rsid w:val="003E1C74"/>
    <w:rsid w:val="00446260"/>
    <w:rsid w:val="004657EE"/>
    <w:rsid w:val="00472E33"/>
    <w:rsid w:val="00473E8B"/>
    <w:rsid w:val="004B6193"/>
    <w:rsid w:val="00526246"/>
    <w:rsid w:val="00542A58"/>
    <w:rsid w:val="00550BF7"/>
    <w:rsid w:val="00567106"/>
    <w:rsid w:val="005E1D3C"/>
    <w:rsid w:val="00606274"/>
    <w:rsid w:val="00625AE6"/>
    <w:rsid w:val="00632253"/>
    <w:rsid w:val="00642714"/>
    <w:rsid w:val="006455CE"/>
    <w:rsid w:val="00655841"/>
    <w:rsid w:val="006630A4"/>
    <w:rsid w:val="00673A42"/>
    <w:rsid w:val="006921D0"/>
    <w:rsid w:val="006B3692"/>
    <w:rsid w:val="006C20F2"/>
    <w:rsid w:val="006D2DFF"/>
    <w:rsid w:val="00733017"/>
    <w:rsid w:val="00770421"/>
    <w:rsid w:val="00783310"/>
    <w:rsid w:val="007A4A6D"/>
    <w:rsid w:val="007D1BCF"/>
    <w:rsid w:val="007D75CF"/>
    <w:rsid w:val="007E0440"/>
    <w:rsid w:val="007E05F8"/>
    <w:rsid w:val="007E6DC5"/>
    <w:rsid w:val="00805294"/>
    <w:rsid w:val="00837017"/>
    <w:rsid w:val="0088043C"/>
    <w:rsid w:val="00884889"/>
    <w:rsid w:val="008906C9"/>
    <w:rsid w:val="008A0E8D"/>
    <w:rsid w:val="008B0745"/>
    <w:rsid w:val="008C5738"/>
    <w:rsid w:val="008D04F0"/>
    <w:rsid w:val="008F3500"/>
    <w:rsid w:val="00924E3C"/>
    <w:rsid w:val="009612BB"/>
    <w:rsid w:val="009C740A"/>
    <w:rsid w:val="00A125C5"/>
    <w:rsid w:val="00A15DB1"/>
    <w:rsid w:val="00A2451C"/>
    <w:rsid w:val="00A65EE7"/>
    <w:rsid w:val="00A70133"/>
    <w:rsid w:val="00A770A6"/>
    <w:rsid w:val="00A813B1"/>
    <w:rsid w:val="00AA324E"/>
    <w:rsid w:val="00AB36C4"/>
    <w:rsid w:val="00AC32B2"/>
    <w:rsid w:val="00AC36CB"/>
    <w:rsid w:val="00AD6034"/>
    <w:rsid w:val="00B159A2"/>
    <w:rsid w:val="00B15DB4"/>
    <w:rsid w:val="00B16F3F"/>
    <w:rsid w:val="00B17141"/>
    <w:rsid w:val="00B24C99"/>
    <w:rsid w:val="00B31575"/>
    <w:rsid w:val="00B8547D"/>
    <w:rsid w:val="00C250D5"/>
    <w:rsid w:val="00C33AB3"/>
    <w:rsid w:val="00C35666"/>
    <w:rsid w:val="00C728A1"/>
    <w:rsid w:val="00C92898"/>
    <w:rsid w:val="00C948ED"/>
    <w:rsid w:val="00CA1CBD"/>
    <w:rsid w:val="00CA4340"/>
    <w:rsid w:val="00CC4AE5"/>
    <w:rsid w:val="00CD6F23"/>
    <w:rsid w:val="00CE5238"/>
    <w:rsid w:val="00CE7514"/>
    <w:rsid w:val="00CF775A"/>
    <w:rsid w:val="00D04605"/>
    <w:rsid w:val="00D248DE"/>
    <w:rsid w:val="00D5647B"/>
    <w:rsid w:val="00D80C4A"/>
    <w:rsid w:val="00D85115"/>
    <w:rsid w:val="00D8542D"/>
    <w:rsid w:val="00D8574F"/>
    <w:rsid w:val="00D87AD8"/>
    <w:rsid w:val="00DC6A71"/>
    <w:rsid w:val="00DE3B63"/>
    <w:rsid w:val="00DE7756"/>
    <w:rsid w:val="00E0357D"/>
    <w:rsid w:val="00E80AB0"/>
    <w:rsid w:val="00E875D5"/>
    <w:rsid w:val="00ED1C3E"/>
    <w:rsid w:val="00EF3C5A"/>
    <w:rsid w:val="00F02D7D"/>
    <w:rsid w:val="00F22059"/>
    <w:rsid w:val="00F240BB"/>
    <w:rsid w:val="00F37BBB"/>
    <w:rsid w:val="00F57FED"/>
    <w:rsid w:val="00F9695B"/>
    <w:rsid w:val="00FD41C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1D49F2D5"/>
  <w15:chartTrackingRefBased/>
  <w15:docId w15:val="{DA9E2138-5A8A-4346-8700-95370D0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265265"/>
    <w:rPr>
      <w:rFonts w:ascii="Arial" w:hAnsi="Arial"/>
      <w:szCs w:val="24"/>
      <w:lang w:val="en-US" w:eastAsia="en-US"/>
    </w:rPr>
  </w:style>
  <w:style w:type="character" w:customStyle="1" w:styleId="NogaZnak">
    <w:name w:val="Noga Znak"/>
    <w:link w:val="Noga"/>
    <w:uiPriority w:val="99"/>
    <w:rsid w:val="00D5647B"/>
    <w:rPr>
      <w:rFonts w:ascii="Arial" w:hAnsi="Arial"/>
      <w:szCs w:val="24"/>
      <w:lang w:eastAsia="en-US"/>
    </w:rPr>
  </w:style>
  <w:style w:type="character" w:styleId="tevilkastrani">
    <w:name w:val="page number"/>
    <w:basedOn w:val="Privzetapisavaodstavka"/>
    <w:rsid w:val="00606274"/>
  </w:style>
  <w:style w:type="paragraph" w:styleId="Odstavekseznama">
    <w:name w:val="List Paragraph"/>
    <w:basedOn w:val="Navaden"/>
    <w:uiPriority w:val="34"/>
    <w:qFormat/>
    <w:rsid w:val="00D8574F"/>
    <w:pPr>
      <w:spacing w:line="240" w:lineRule="auto"/>
      <w:ind w:left="720"/>
    </w:pPr>
    <w:rPr>
      <w:rFonts w:ascii="Times New Roman" w:hAnsi="Times New Roman"/>
      <w:sz w:val="24"/>
      <w:lang w:eastAsia="sl-SI"/>
    </w:rPr>
  </w:style>
  <w:style w:type="character" w:customStyle="1" w:styleId="NaslovpredpisaZnak">
    <w:name w:val="Naslov_predpisa Znak"/>
    <w:link w:val="Naslovpredpisa"/>
    <w:rsid w:val="00DE3B63"/>
    <w:rPr>
      <w:rFonts w:ascii="Arial" w:hAnsi="Arial" w:cs="Arial"/>
      <w:b/>
    </w:rPr>
  </w:style>
  <w:style w:type="paragraph" w:customStyle="1" w:styleId="Naslovpredpisa">
    <w:name w:val="Naslov_predpisa"/>
    <w:basedOn w:val="Navaden"/>
    <w:link w:val="NaslovpredpisaZnak"/>
    <w:qFormat/>
    <w:rsid w:val="00DE3B63"/>
    <w:pPr>
      <w:suppressAutoHyphens/>
      <w:overflowPunct w:val="0"/>
      <w:autoSpaceDE w:val="0"/>
      <w:autoSpaceDN w:val="0"/>
      <w:adjustRightInd w:val="0"/>
      <w:spacing w:before="120" w:after="160" w:line="200" w:lineRule="exact"/>
      <w:jc w:val="center"/>
    </w:pPr>
    <w:rPr>
      <w:rFonts w:cs="Arial"/>
      <w:b/>
      <w:szCs w:val="20"/>
      <w:lang w:eastAsia="sl-SI"/>
    </w:rPr>
  </w:style>
  <w:style w:type="character" w:styleId="Krepko">
    <w:name w:val="Strong"/>
    <w:uiPriority w:val="22"/>
    <w:qFormat/>
    <w:rsid w:val="00DE3B63"/>
    <w:rPr>
      <w:b/>
      <w:bCs/>
    </w:rPr>
  </w:style>
  <w:style w:type="paragraph" w:styleId="Sprotnaopomba-besedilo">
    <w:name w:val="footnote text"/>
    <w:basedOn w:val="Navaden"/>
    <w:link w:val="Sprotnaopomba-besediloZnak"/>
    <w:uiPriority w:val="99"/>
    <w:unhideWhenUsed/>
    <w:rsid w:val="00DE3B63"/>
    <w:pPr>
      <w:spacing w:line="240" w:lineRule="auto"/>
    </w:pPr>
    <w:rPr>
      <w:szCs w:val="20"/>
    </w:rPr>
  </w:style>
  <w:style w:type="character" w:customStyle="1" w:styleId="Sprotnaopomba-besediloZnak">
    <w:name w:val="Sprotna opomba - besedilo Znak"/>
    <w:link w:val="Sprotnaopomba-besedilo"/>
    <w:uiPriority w:val="99"/>
    <w:rsid w:val="00DE3B63"/>
    <w:rPr>
      <w:rFonts w:ascii="Arial" w:hAnsi="Arial"/>
      <w:lang w:eastAsia="en-US"/>
    </w:rPr>
  </w:style>
  <w:style w:type="character" w:styleId="Sprotnaopomba-sklic">
    <w:name w:val="footnote reference"/>
    <w:uiPriority w:val="99"/>
    <w:unhideWhenUsed/>
    <w:rsid w:val="00DE3B63"/>
    <w:rPr>
      <w:vertAlign w:val="superscript"/>
    </w:rPr>
  </w:style>
  <w:style w:type="paragraph" w:styleId="Navadensplet">
    <w:name w:val="Normal (Web)"/>
    <w:basedOn w:val="Navaden"/>
    <w:uiPriority w:val="99"/>
    <w:unhideWhenUsed/>
    <w:rsid w:val="00DE3B63"/>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DE3B63"/>
    <w:rPr>
      <w:i/>
      <w:iCs/>
    </w:rPr>
  </w:style>
  <w:style w:type="table" w:styleId="Navadnatabela4">
    <w:name w:val="Plain Table 4"/>
    <w:basedOn w:val="Navadnatabela"/>
    <w:uiPriority w:val="44"/>
    <w:rsid w:val="003346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7389">
      <w:bodyDiv w:val="1"/>
      <w:marLeft w:val="0"/>
      <w:marRight w:val="0"/>
      <w:marTop w:val="0"/>
      <w:marBottom w:val="0"/>
      <w:divBdr>
        <w:top w:val="none" w:sz="0" w:space="0" w:color="auto"/>
        <w:left w:val="none" w:sz="0" w:space="0" w:color="auto"/>
        <w:bottom w:val="none" w:sz="0" w:space="0" w:color="auto"/>
        <w:right w:val="none" w:sz="0" w:space="0" w:color="auto"/>
      </w:divBdr>
    </w:div>
    <w:div w:id="822816549">
      <w:bodyDiv w:val="1"/>
      <w:marLeft w:val="0"/>
      <w:marRight w:val="0"/>
      <w:marTop w:val="0"/>
      <w:marBottom w:val="0"/>
      <w:divBdr>
        <w:top w:val="none" w:sz="0" w:space="0" w:color="auto"/>
        <w:left w:val="none" w:sz="0" w:space="0" w:color="auto"/>
        <w:bottom w:val="none" w:sz="0" w:space="0" w:color="auto"/>
        <w:right w:val="none" w:sz="0" w:space="0" w:color="auto"/>
      </w:divBdr>
    </w:div>
    <w:div w:id="14705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doc.exec.coe.int/e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earch.coe.int/cm/pages/result_details.aspx?objectid=090000168078d1b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rch.coe.int/cm/Pages/result_details.aspx?ObjectID=09000016809e95b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doc.exec.coe.int/eng" TargetMode="External"/><Relationship Id="rId2" Type="http://schemas.openxmlformats.org/officeDocument/2006/relationships/hyperlink" Target="https://www.gov.si/drzavni-organi/organi-v-sestavi/uprava-za-izvrsevanje-kazenskih-sankcij/o-upravi/" TargetMode="External"/><Relationship Id="rId1" Type="http://schemas.openxmlformats.org/officeDocument/2006/relationships/hyperlink" Target="https://www.gov.si/drzavni-organi/organi-v-sestavi/uprava-za-probacij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6675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7747</CharactersWithSpaces>
  <SharedDoc>false</SharedDoc>
  <HLinks>
    <vt:vector size="36" baseType="variant">
      <vt:variant>
        <vt:i4>1966132</vt:i4>
      </vt:variant>
      <vt:variant>
        <vt:i4>6</vt:i4>
      </vt:variant>
      <vt:variant>
        <vt:i4>0</vt:i4>
      </vt:variant>
      <vt:variant>
        <vt:i4>5</vt:i4>
      </vt:variant>
      <vt:variant>
        <vt:lpwstr>https://search.coe.int/cm/Pages/result_details.aspx?ObjectID=09000016809e95b5</vt:lpwstr>
      </vt:variant>
      <vt:variant>
        <vt:lpwstr/>
      </vt:variant>
      <vt:variant>
        <vt:i4>262165</vt:i4>
      </vt:variant>
      <vt:variant>
        <vt:i4>3</vt:i4>
      </vt:variant>
      <vt:variant>
        <vt:i4>0</vt:i4>
      </vt:variant>
      <vt:variant>
        <vt:i4>5</vt:i4>
      </vt:variant>
      <vt:variant>
        <vt:lpwstr>https://hudoc.exec.coe.int/eng</vt:lpwstr>
      </vt:variant>
      <vt:variant>
        <vt:lpwstr>{%22EXECIdentifier%22:[%22DH-DD(2020)284E%22]}</vt:lpwstr>
      </vt:variant>
      <vt:variant>
        <vt:i4>5046381</vt:i4>
      </vt:variant>
      <vt:variant>
        <vt:i4>0</vt:i4>
      </vt:variant>
      <vt:variant>
        <vt:i4>0</vt:i4>
      </vt:variant>
      <vt:variant>
        <vt:i4>5</vt:i4>
      </vt:variant>
      <vt:variant>
        <vt:lpwstr>https://search.coe.int/cm/pages/result_details.aspx?objectid=090000168078d1bc</vt:lpwstr>
      </vt:variant>
      <vt:variant>
        <vt:lpwstr/>
      </vt:variant>
      <vt:variant>
        <vt:i4>2752545</vt:i4>
      </vt:variant>
      <vt:variant>
        <vt:i4>6</vt:i4>
      </vt:variant>
      <vt:variant>
        <vt:i4>0</vt:i4>
      </vt:variant>
      <vt:variant>
        <vt:i4>5</vt:i4>
      </vt:variant>
      <vt:variant>
        <vt:lpwstr>http://hudoc.exec.coe.int/eng</vt:lpwstr>
      </vt:variant>
      <vt:variant>
        <vt:lpwstr>{%22EXECIdentifier%22:[%22DH-DD(2018)182E%22]}</vt:lpwstr>
      </vt:variant>
      <vt:variant>
        <vt:i4>6815783</vt:i4>
      </vt:variant>
      <vt:variant>
        <vt:i4>3</vt:i4>
      </vt:variant>
      <vt:variant>
        <vt:i4>0</vt:i4>
      </vt:variant>
      <vt:variant>
        <vt:i4>5</vt:i4>
      </vt:variant>
      <vt:variant>
        <vt:lpwstr>https://www.gov.si/drzavni-organi/organi-v-sestavi/uprava-za-izvrsevanje-kazenskih-sankcij/o-upravi/</vt:lpwstr>
      </vt:variant>
      <vt:variant>
        <vt:lpwstr>e55480</vt:lpwstr>
      </vt:variant>
      <vt:variant>
        <vt:i4>6881335</vt:i4>
      </vt:variant>
      <vt:variant>
        <vt:i4>0</vt:i4>
      </vt:variant>
      <vt:variant>
        <vt:i4>0</vt:i4>
      </vt:variant>
      <vt:variant>
        <vt:i4>5</vt:i4>
      </vt:variant>
      <vt:variant>
        <vt:lpwstr>https://www.gov.si/drzavni-organi/organi-v-sestavi/uprava-za-probacijo/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Rajh</dc:creator>
  <cp:keywords/>
  <cp:lastModifiedBy>Simona Vučak</cp:lastModifiedBy>
  <cp:revision>2</cp:revision>
  <cp:lastPrinted>2010-07-16T07:41:00Z</cp:lastPrinted>
  <dcterms:created xsi:type="dcterms:W3CDTF">2023-06-07T10:44:00Z</dcterms:created>
  <dcterms:modified xsi:type="dcterms:W3CDTF">2023-06-07T10:44:00Z</dcterms:modified>
</cp:coreProperties>
</file>