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960C7" w14:textId="77777777" w:rsidR="00D83C9C" w:rsidRDefault="00D83C9C" w:rsidP="00E07A05">
      <w:pPr>
        <w:pStyle w:val="Naslovpredpisa"/>
        <w:spacing w:after="0" w:line="360" w:lineRule="auto"/>
        <w:jc w:val="both"/>
        <w:rPr>
          <w:sz w:val="20"/>
          <w:szCs w:val="20"/>
        </w:rPr>
      </w:pPr>
      <w:bookmarkStart w:id="0" w:name="_Hlk47535264"/>
      <w:bookmarkStart w:id="1" w:name="_Hlk529180481"/>
    </w:p>
    <w:p w14:paraId="7812A335" w14:textId="77777777" w:rsidR="00D83C9C" w:rsidRPr="00D83C9C" w:rsidRDefault="00D83C9C" w:rsidP="00D83C9C">
      <w:pPr>
        <w:pStyle w:val="datumtevilka"/>
        <w:rPr>
          <w:rFonts w:ascii="Arial" w:hAnsi="Arial" w:cs="Arial"/>
          <w:sz w:val="20"/>
        </w:rPr>
      </w:pPr>
      <w:r w:rsidRPr="00D83C9C">
        <w:rPr>
          <w:rFonts w:ascii="Arial" w:hAnsi="Arial" w:cs="Arial"/>
          <w:sz w:val="20"/>
        </w:rPr>
        <w:t xml:space="preserve">Številka: </w:t>
      </w:r>
      <w:r w:rsidRPr="00D83C9C">
        <w:rPr>
          <w:rFonts w:ascii="Arial" w:hAnsi="Arial" w:cs="Arial"/>
          <w:sz w:val="20"/>
        </w:rPr>
        <w:tab/>
      </w:r>
      <w:r w:rsidRPr="00D83C9C">
        <w:rPr>
          <w:rFonts w:ascii="Arial" w:hAnsi="Arial" w:cs="Arial"/>
          <w:color w:val="000000"/>
          <w:sz w:val="20"/>
        </w:rPr>
        <w:t>02402-19/2020/3</w:t>
      </w:r>
    </w:p>
    <w:p w14:paraId="7E0C1E43" w14:textId="77777777" w:rsidR="00D83C9C" w:rsidRPr="00D83C9C" w:rsidRDefault="00D83C9C" w:rsidP="00D83C9C">
      <w:pPr>
        <w:pStyle w:val="datumtevilka"/>
        <w:rPr>
          <w:rFonts w:ascii="Arial" w:hAnsi="Arial" w:cs="Arial"/>
          <w:sz w:val="20"/>
        </w:rPr>
      </w:pPr>
      <w:r w:rsidRPr="00D83C9C">
        <w:rPr>
          <w:rFonts w:ascii="Arial" w:hAnsi="Arial" w:cs="Arial"/>
          <w:sz w:val="20"/>
        </w:rPr>
        <w:t xml:space="preserve">Datum: </w:t>
      </w:r>
      <w:r w:rsidRPr="00D83C9C">
        <w:rPr>
          <w:rFonts w:ascii="Arial" w:hAnsi="Arial" w:cs="Arial"/>
          <w:sz w:val="20"/>
        </w:rPr>
        <w:tab/>
      </w:r>
      <w:r w:rsidRPr="00D83C9C">
        <w:rPr>
          <w:rFonts w:ascii="Arial" w:hAnsi="Arial" w:cs="Arial"/>
          <w:color w:val="000000"/>
          <w:sz w:val="20"/>
        </w:rPr>
        <w:t>3. 9. 2020</w:t>
      </w:r>
      <w:r w:rsidRPr="00D83C9C">
        <w:rPr>
          <w:rFonts w:ascii="Arial" w:hAnsi="Arial" w:cs="Arial"/>
          <w:sz w:val="20"/>
        </w:rPr>
        <w:t xml:space="preserve"> </w:t>
      </w:r>
    </w:p>
    <w:p w14:paraId="31F1F3D7" w14:textId="77777777" w:rsidR="00D83C9C" w:rsidRDefault="00D83C9C" w:rsidP="00D83C9C">
      <w:pPr>
        <w:pStyle w:val="Naslovpredpisa"/>
        <w:spacing w:before="0" w:after="0" w:line="260" w:lineRule="exact"/>
        <w:jc w:val="both"/>
        <w:rPr>
          <w:sz w:val="20"/>
          <w:szCs w:val="20"/>
        </w:rPr>
      </w:pPr>
    </w:p>
    <w:p w14:paraId="2A24508E" w14:textId="77777777" w:rsidR="00356582" w:rsidRPr="00E07A05" w:rsidRDefault="006560E4" w:rsidP="00D83C9C">
      <w:pPr>
        <w:pStyle w:val="Naslovpredpisa"/>
        <w:spacing w:before="0" w:after="0" w:line="260" w:lineRule="exact"/>
        <w:jc w:val="both"/>
        <w:rPr>
          <w:iCs/>
          <w:sz w:val="20"/>
          <w:szCs w:val="20"/>
        </w:rPr>
      </w:pPr>
      <w:r w:rsidRPr="00E07A05">
        <w:rPr>
          <w:sz w:val="20"/>
          <w:szCs w:val="20"/>
        </w:rPr>
        <w:t xml:space="preserve">Poročilo o delu </w:t>
      </w:r>
      <w:r w:rsidRPr="00E07A05">
        <w:rPr>
          <w:iCs/>
          <w:sz w:val="20"/>
          <w:szCs w:val="20"/>
        </w:rPr>
        <w:t>Medresorske delovne skupine za koordinacijo izvrševanja sodb Evropskega sodišča za človekove pravice v letu 2019</w:t>
      </w:r>
      <w:bookmarkEnd w:id="0"/>
    </w:p>
    <w:p w14:paraId="4E331C12" w14:textId="77777777" w:rsidR="006560E4" w:rsidRPr="00E07A05" w:rsidRDefault="006560E4" w:rsidP="00D83C9C">
      <w:pPr>
        <w:pStyle w:val="Naslovpredpisa"/>
        <w:spacing w:before="0" w:after="0" w:line="260" w:lineRule="exact"/>
        <w:jc w:val="both"/>
        <w:rPr>
          <w:iCs/>
          <w:sz w:val="20"/>
          <w:szCs w:val="20"/>
        </w:rPr>
      </w:pPr>
    </w:p>
    <w:p w14:paraId="19C8B921" w14:textId="77777777" w:rsidR="00D60629" w:rsidRDefault="006560E4" w:rsidP="00D83C9C">
      <w:pPr>
        <w:spacing w:line="260" w:lineRule="exact"/>
        <w:jc w:val="both"/>
        <w:rPr>
          <w:rFonts w:cs="Arial"/>
          <w:szCs w:val="20"/>
        </w:rPr>
      </w:pPr>
      <w:r w:rsidRPr="008965B7">
        <w:rPr>
          <w:rFonts w:cs="Arial"/>
          <w:iCs/>
          <w:szCs w:val="20"/>
        </w:rPr>
        <w:t>Medresorska delovna skupina za koordinacijo izvrševanja sodb Evropskega sodišča za človekove pravice</w:t>
      </w:r>
      <w:r w:rsidR="00E07A05" w:rsidRPr="008965B7">
        <w:rPr>
          <w:rFonts w:cs="Arial"/>
          <w:iCs/>
          <w:szCs w:val="20"/>
        </w:rPr>
        <w:t xml:space="preserve"> (v nadalj</w:t>
      </w:r>
      <w:r w:rsidR="00D83C9C">
        <w:rPr>
          <w:rFonts w:cs="Arial"/>
          <w:iCs/>
          <w:szCs w:val="20"/>
        </w:rPr>
        <w:t>njem besedilu</w:t>
      </w:r>
      <w:r w:rsidR="00E07A05" w:rsidRPr="008965B7">
        <w:rPr>
          <w:rFonts w:cs="Arial"/>
          <w:iCs/>
          <w:szCs w:val="20"/>
        </w:rPr>
        <w:t>: MDS ESČP)</w:t>
      </w:r>
      <w:r w:rsidRPr="008965B7">
        <w:rPr>
          <w:rFonts w:cs="Arial"/>
          <w:iCs/>
          <w:szCs w:val="20"/>
        </w:rPr>
        <w:t xml:space="preserve"> </w:t>
      </w:r>
      <w:r w:rsidR="00E07A05" w:rsidRPr="00C83CA4">
        <w:rPr>
          <w:rFonts w:cs="Arial"/>
          <w:iCs/>
          <w:szCs w:val="20"/>
        </w:rPr>
        <w:t>je bila</w:t>
      </w:r>
      <w:r w:rsidR="00D83C9C">
        <w:rPr>
          <w:rFonts w:cs="Arial"/>
          <w:szCs w:val="20"/>
        </w:rPr>
        <w:t xml:space="preserve"> ustanovljena s S</w:t>
      </w:r>
      <w:r w:rsidR="00E07A05" w:rsidRPr="00C83CA4">
        <w:rPr>
          <w:rFonts w:cs="Arial"/>
          <w:szCs w:val="20"/>
        </w:rPr>
        <w:t>klepom Vlade Republike Slovenije št. 00405-8/2015/7 z dne 23.</w:t>
      </w:r>
      <w:r w:rsidR="00D83C9C">
        <w:rPr>
          <w:rFonts w:cs="Arial"/>
          <w:szCs w:val="20"/>
        </w:rPr>
        <w:t> </w:t>
      </w:r>
      <w:r w:rsidR="00E07A05" w:rsidRPr="00C83CA4">
        <w:rPr>
          <w:rFonts w:cs="Arial"/>
          <w:szCs w:val="20"/>
        </w:rPr>
        <w:t>12.</w:t>
      </w:r>
      <w:r w:rsidR="00D83C9C">
        <w:rPr>
          <w:rFonts w:cs="Arial"/>
          <w:szCs w:val="20"/>
        </w:rPr>
        <w:t> </w:t>
      </w:r>
      <w:r w:rsidR="00E07A05" w:rsidRPr="00C83CA4">
        <w:rPr>
          <w:rFonts w:cs="Arial"/>
          <w:szCs w:val="20"/>
        </w:rPr>
        <w:t>2015, dopolnjenim in spremenjenim s sklepi št. 00405-8/2015/12 z dne 12.</w:t>
      </w:r>
      <w:r w:rsidR="00D83C9C">
        <w:rPr>
          <w:rFonts w:cs="Arial"/>
          <w:szCs w:val="20"/>
        </w:rPr>
        <w:t> 5. </w:t>
      </w:r>
      <w:r w:rsidR="00E07A05" w:rsidRPr="00C83CA4">
        <w:rPr>
          <w:rFonts w:cs="Arial"/>
          <w:szCs w:val="20"/>
        </w:rPr>
        <w:t>2016, št. 00405-8/2015/13 z dne 12.</w:t>
      </w:r>
      <w:r w:rsidR="00D83C9C">
        <w:rPr>
          <w:rFonts w:cs="Arial"/>
          <w:szCs w:val="20"/>
        </w:rPr>
        <w:t> </w:t>
      </w:r>
      <w:r w:rsidR="00E07A05" w:rsidRPr="00C83CA4">
        <w:rPr>
          <w:rFonts w:cs="Arial"/>
          <w:szCs w:val="20"/>
        </w:rPr>
        <w:t>5.</w:t>
      </w:r>
      <w:r w:rsidR="00D83C9C">
        <w:rPr>
          <w:rFonts w:cs="Arial"/>
          <w:szCs w:val="20"/>
        </w:rPr>
        <w:t> </w:t>
      </w:r>
      <w:r w:rsidR="00E07A05" w:rsidRPr="00C83CA4">
        <w:rPr>
          <w:rFonts w:cs="Arial"/>
          <w:szCs w:val="20"/>
        </w:rPr>
        <w:t xml:space="preserve">2016, </w:t>
      </w:r>
      <w:r w:rsidR="00D83C9C">
        <w:rPr>
          <w:rFonts w:cs="Arial"/>
          <w:szCs w:val="20"/>
        </w:rPr>
        <w:t>št. 02401-23/2018/4 z dne 22. </w:t>
      </w:r>
      <w:r w:rsidR="00E07A05" w:rsidRPr="00C83CA4">
        <w:rPr>
          <w:rFonts w:cs="Arial"/>
          <w:szCs w:val="20"/>
        </w:rPr>
        <w:t>11.</w:t>
      </w:r>
      <w:r w:rsidR="00D83C9C">
        <w:rPr>
          <w:rFonts w:cs="Arial"/>
          <w:szCs w:val="20"/>
        </w:rPr>
        <w:t> </w:t>
      </w:r>
      <w:r w:rsidR="00E07A05" w:rsidRPr="00C83CA4">
        <w:rPr>
          <w:rFonts w:cs="Arial"/>
          <w:szCs w:val="20"/>
        </w:rPr>
        <w:t xml:space="preserve">2018 in nazadnje </w:t>
      </w:r>
      <w:r w:rsidR="00D83C9C">
        <w:rPr>
          <w:rFonts w:cs="Arial"/>
          <w:szCs w:val="20"/>
        </w:rPr>
        <w:t xml:space="preserve">s sklepom št. </w:t>
      </w:r>
      <w:r w:rsidR="00D83C9C">
        <w:rPr>
          <w:rFonts w:cs="Arial"/>
          <w:color w:val="000000"/>
          <w:szCs w:val="20"/>
          <w:lang w:eastAsia="sl-SI"/>
        </w:rPr>
        <w:t>02401-14/2020/5 z dne 2. 7. </w:t>
      </w:r>
      <w:r w:rsidR="00E07A05" w:rsidRPr="00D60629">
        <w:rPr>
          <w:rFonts w:cs="Arial"/>
          <w:color w:val="000000"/>
          <w:szCs w:val="20"/>
          <w:lang w:eastAsia="sl-SI"/>
        </w:rPr>
        <w:t xml:space="preserve">2020. Od </w:t>
      </w:r>
      <w:r w:rsidR="00E6347E" w:rsidRPr="00D60629">
        <w:rPr>
          <w:rFonts w:cs="Arial"/>
          <w:color w:val="000000"/>
          <w:szCs w:val="20"/>
          <w:lang w:eastAsia="sl-SI"/>
        </w:rPr>
        <w:t>2.</w:t>
      </w:r>
      <w:r w:rsidR="00D83C9C">
        <w:rPr>
          <w:rFonts w:cs="Arial"/>
          <w:color w:val="000000"/>
          <w:szCs w:val="20"/>
          <w:lang w:eastAsia="sl-SI"/>
        </w:rPr>
        <w:t> </w:t>
      </w:r>
      <w:r w:rsidR="00E6347E" w:rsidRPr="00D60629">
        <w:rPr>
          <w:rFonts w:cs="Arial"/>
          <w:color w:val="000000"/>
          <w:szCs w:val="20"/>
          <w:lang w:eastAsia="sl-SI"/>
        </w:rPr>
        <w:t>7.</w:t>
      </w:r>
      <w:r w:rsidR="00D83C9C">
        <w:rPr>
          <w:rFonts w:cs="Arial"/>
          <w:color w:val="000000"/>
          <w:szCs w:val="20"/>
          <w:lang w:eastAsia="sl-SI"/>
        </w:rPr>
        <w:t> </w:t>
      </w:r>
      <w:r w:rsidR="00E6347E" w:rsidRPr="00D60629">
        <w:rPr>
          <w:rFonts w:cs="Arial"/>
          <w:color w:val="000000"/>
          <w:szCs w:val="20"/>
          <w:lang w:eastAsia="sl-SI"/>
        </w:rPr>
        <w:t xml:space="preserve">2020 </w:t>
      </w:r>
      <w:r w:rsidR="00E07A05" w:rsidRPr="00D60629">
        <w:rPr>
          <w:rFonts w:cs="Arial"/>
          <w:szCs w:val="20"/>
        </w:rPr>
        <w:t xml:space="preserve">MDS ESČP </w:t>
      </w:r>
      <w:r w:rsidR="00E6347E" w:rsidRPr="00D60629">
        <w:rPr>
          <w:rFonts w:cs="Arial"/>
          <w:szCs w:val="20"/>
        </w:rPr>
        <w:t xml:space="preserve">vodi </w:t>
      </w:r>
      <w:r w:rsidR="00E07A05" w:rsidRPr="00D60629">
        <w:rPr>
          <w:rFonts w:cs="Arial"/>
          <w:szCs w:val="20"/>
        </w:rPr>
        <w:t xml:space="preserve">Matic Zupan, državni sekretar </w:t>
      </w:r>
      <w:r w:rsidR="00E6347E" w:rsidRPr="00D60629">
        <w:rPr>
          <w:rFonts w:cs="Arial"/>
          <w:szCs w:val="20"/>
        </w:rPr>
        <w:t>na</w:t>
      </w:r>
      <w:r w:rsidR="00E07A05" w:rsidRPr="00D60629">
        <w:rPr>
          <w:rFonts w:cs="Arial"/>
          <w:szCs w:val="20"/>
        </w:rPr>
        <w:t xml:space="preserve"> Ministrstvu za pravosodje, </w:t>
      </w:r>
      <w:r w:rsidR="00E6347E" w:rsidRPr="00D60629">
        <w:rPr>
          <w:rFonts w:cs="Arial"/>
          <w:szCs w:val="20"/>
        </w:rPr>
        <w:t xml:space="preserve">člani </w:t>
      </w:r>
      <w:r w:rsidR="00E07A05" w:rsidRPr="00D60629">
        <w:rPr>
          <w:rFonts w:cs="Arial"/>
          <w:szCs w:val="20"/>
        </w:rPr>
        <w:t xml:space="preserve">MDS ESČP </w:t>
      </w:r>
      <w:r w:rsidR="00E6347E" w:rsidRPr="00D60629">
        <w:rPr>
          <w:rFonts w:cs="Arial"/>
          <w:szCs w:val="20"/>
        </w:rPr>
        <w:t xml:space="preserve">pa so </w:t>
      </w:r>
      <w:r w:rsidR="00E07A05" w:rsidRPr="00D60629">
        <w:rPr>
          <w:rFonts w:cs="Arial"/>
          <w:szCs w:val="20"/>
        </w:rPr>
        <w:t xml:space="preserve">poleg predstavnikov Ministrstva za pravosodje še iz </w:t>
      </w:r>
      <w:r w:rsidR="00E07A05" w:rsidRPr="008965B7">
        <w:rPr>
          <w:rFonts w:cs="Arial"/>
          <w:szCs w:val="20"/>
        </w:rPr>
        <w:t>Ministrstva za zunanje zadeve, Ministrstva za notranje zadeve, Ministrstva za finance, Ministrstva za delo, družino, socialne zadeve in enake možnosti, Državnega odvetništva, Varuha človekovih pravic in Vrhovnega sodišča Republike Slovenije.</w:t>
      </w:r>
      <w:r w:rsidR="00D60629">
        <w:rPr>
          <w:rFonts w:cs="Arial"/>
          <w:szCs w:val="20"/>
        </w:rPr>
        <w:t xml:space="preserve"> </w:t>
      </w:r>
    </w:p>
    <w:p w14:paraId="4472F19E" w14:textId="77777777" w:rsidR="00D60629" w:rsidRDefault="00D60629" w:rsidP="00D83C9C">
      <w:pPr>
        <w:spacing w:line="260" w:lineRule="exact"/>
        <w:jc w:val="both"/>
        <w:rPr>
          <w:rFonts w:cs="Arial"/>
          <w:szCs w:val="20"/>
        </w:rPr>
      </w:pPr>
    </w:p>
    <w:p w14:paraId="08AC10F2" w14:textId="77777777" w:rsidR="00D60629" w:rsidRDefault="00E07A05" w:rsidP="00D83C9C">
      <w:pPr>
        <w:spacing w:line="260" w:lineRule="exact"/>
        <w:jc w:val="both"/>
        <w:rPr>
          <w:rFonts w:cs="Arial"/>
          <w:iCs/>
          <w:szCs w:val="20"/>
        </w:rPr>
      </w:pPr>
      <w:r w:rsidRPr="00C83CA4">
        <w:rPr>
          <w:rFonts w:cs="Arial"/>
          <w:szCs w:val="20"/>
        </w:rPr>
        <w:t xml:space="preserve">MDS ESČP se v letu 2019 ni sestala, ker ni bilo potrebe po medresorskem usklajevanju pri izvrševanju sodb ESČP, saj je delo na tem področju potekalo učinkovito in zadostno na ravni Projektne skupine za </w:t>
      </w:r>
      <w:r w:rsidRPr="00D60629">
        <w:rPr>
          <w:rFonts w:cs="Arial"/>
          <w:iCs/>
          <w:szCs w:val="20"/>
        </w:rPr>
        <w:t>koordinacijo izvrševanja sodb Evropskega sodišča za človekove pravice (</w:t>
      </w:r>
      <w:r w:rsidR="00D83C9C" w:rsidRPr="008965B7">
        <w:rPr>
          <w:rFonts w:cs="Arial"/>
          <w:iCs/>
          <w:szCs w:val="20"/>
        </w:rPr>
        <w:t>v nadalj</w:t>
      </w:r>
      <w:r w:rsidR="00D83C9C">
        <w:rPr>
          <w:rFonts w:cs="Arial"/>
          <w:iCs/>
          <w:szCs w:val="20"/>
        </w:rPr>
        <w:t>njem besedilu</w:t>
      </w:r>
      <w:r w:rsidR="00D83C9C" w:rsidRPr="008965B7">
        <w:rPr>
          <w:rFonts w:cs="Arial"/>
          <w:iCs/>
          <w:szCs w:val="20"/>
        </w:rPr>
        <w:t>:</w:t>
      </w:r>
      <w:r w:rsidR="00D83C9C">
        <w:rPr>
          <w:rFonts w:cs="Arial"/>
          <w:iCs/>
          <w:szCs w:val="20"/>
        </w:rPr>
        <w:t xml:space="preserve"> </w:t>
      </w:r>
      <w:r w:rsidR="00D83C9C">
        <w:rPr>
          <w:rFonts w:cs="Arial"/>
          <w:iCs/>
          <w:szCs w:val="20"/>
        </w:rPr>
        <w:br/>
      </w:r>
      <w:r w:rsidRPr="00D60629">
        <w:rPr>
          <w:rFonts w:cs="Arial"/>
          <w:iCs/>
          <w:szCs w:val="20"/>
        </w:rPr>
        <w:t>PS ESČP), ki deluje na Ministrstvu za pravosodje.</w:t>
      </w:r>
      <w:r w:rsidR="00E6347E" w:rsidRPr="00D60629">
        <w:rPr>
          <w:rFonts w:cs="Arial"/>
          <w:iCs/>
          <w:szCs w:val="20"/>
        </w:rPr>
        <w:t xml:space="preserve"> </w:t>
      </w:r>
    </w:p>
    <w:p w14:paraId="4C12BF86" w14:textId="77777777" w:rsidR="00D60629" w:rsidRDefault="00D60629" w:rsidP="00D83C9C">
      <w:pPr>
        <w:spacing w:line="260" w:lineRule="exact"/>
        <w:jc w:val="both"/>
        <w:rPr>
          <w:rFonts w:cs="Arial"/>
          <w:iCs/>
          <w:szCs w:val="20"/>
        </w:rPr>
      </w:pPr>
    </w:p>
    <w:p w14:paraId="064A4695" w14:textId="77777777" w:rsidR="00D60629" w:rsidRDefault="00D60629" w:rsidP="00D83C9C">
      <w:pPr>
        <w:spacing w:line="260" w:lineRule="exact"/>
        <w:jc w:val="both"/>
        <w:rPr>
          <w:rFonts w:cs="Arial"/>
          <w:szCs w:val="20"/>
        </w:rPr>
      </w:pPr>
      <w:r>
        <w:rPr>
          <w:rFonts w:cs="Arial"/>
          <w:iCs/>
          <w:szCs w:val="20"/>
        </w:rPr>
        <w:t>Č</w:t>
      </w:r>
      <w:r w:rsidR="00E6347E" w:rsidRPr="00C83CA4">
        <w:rPr>
          <w:rFonts w:cs="Arial"/>
          <w:iCs/>
          <w:szCs w:val="20"/>
        </w:rPr>
        <w:t xml:space="preserve">lani MDS ESČP so bili vabljeni na </w:t>
      </w:r>
      <w:r w:rsidR="00E6347E" w:rsidRPr="008965B7">
        <w:rPr>
          <w:rFonts w:cs="Arial"/>
          <w:szCs w:val="20"/>
        </w:rPr>
        <w:t>posvet ob obeležitvi 60-letnice Evropskega sodišča za človekove pravice</w:t>
      </w:r>
      <w:r w:rsidR="00E6347E" w:rsidRPr="00C83CA4">
        <w:rPr>
          <w:rFonts w:cs="Arial"/>
          <w:szCs w:val="20"/>
        </w:rPr>
        <w:t xml:space="preserve">, ki ga je Ministrstvo za pravosodje organiziralo v sodelovanju s Pravno fakulteto Univerze v Ljubljani </w:t>
      </w:r>
      <w:r w:rsidR="00E6347E" w:rsidRPr="00D60629">
        <w:rPr>
          <w:rFonts w:cs="Arial"/>
          <w:szCs w:val="20"/>
        </w:rPr>
        <w:t xml:space="preserve">16. aprila 2019 (na Pravni fakulteti). Posvet z naslovom »ESČP – varuh človekovih pravic in vladavine prava« je bil dobro obiskan, kot </w:t>
      </w:r>
      <w:proofErr w:type="spellStart"/>
      <w:r w:rsidR="00E6347E" w:rsidRPr="00D60629">
        <w:rPr>
          <w:rFonts w:cs="Arial"/>
          <w:szCs w:val="20"/>
        </w:rPr>
        <w:t>panelisti</w:t>
      </w:r>
      <w:proofErr w:type="spellEnd"/>
      <w:r w:rsidR="00E6347E" w:rsidRPr="00D60629">
        <w:rPr>
          <w:rFonts w:cs="Arial"/>
          <w:szCs w:val="20"/>
        </w:rPr>
        <w:t xml:space="preserve"> pa so sodelovali najvišji predstavniki slovenskega pravosodja ter povabljeni iz tujine. Na posvet so bili vabljeni tudi študenti in širša strokovna javnost. Program posveta je bil razdeljen na tri strokovne panele, v okviru k</w:t>
      </w:r>
      <w:r w:rsidR="003B4314">
        <w:rPr>
          <w:rFonts w:cs="Arial"/>
          <w:szCs w:val="20"/>
        </w:rPr>
        <w:t>aterih se je namen osredotočiti</w:t>
      </w:r>
      <w:r w:rsidR="00E6347E" w:rsidRPr="00D60629">
        <w:rPr>
          <w:rFonts w:cs="Arial"/>
          <w:szCs w:val="20"/>
        </w:rPr>
        <w:t xml:space="preserve"> na vlogo ESČP v sistemu varstva človekovih pravic Sveta Evrope in njegovega pomena za spoštovanje vladavine prava, na vprašanje preprečevanja kršitev Evropske konvencije o človekovih pravicah ter v primeru, ko do (obsodilnih) sodb ESČP vseeno pride, na njihovo izvršitev ter nadzor pri tem.</w:t>
      </w:r>
    </w:p>
    <w:p w14:paraId="6A827FDE" w14:textId="77777777" w:rsidR="001C3E3C" w:rsidRDefault="001C3E3C" w:rsidP="00D83C9C">
      <w:pPr>
        <w:spacing w:line="260" w:lineRule="exact"/>
        <w:jc w:val="both"/>
        <w:rPr>
          <w:rFonts w:cs="Arial"/>
          <w:szCs w:val="20"/>
        </w:rPr>
      </w:pPr>
    </w:p>
    <w:p w14:paraId="2B705B44" w14:textId="77777777" w:rsidR="00D60629" w:rsidRDefault="00E6347E" w:rsidP="00D83C9C">
      <w:pPr>
        <w:spacing w:line="260" w:lineRule="exact"/>
        <w:jc w:val="both"/>
        <w:rPr>
          <w:rFonts w:cs="Arial"/>
          <w:szCs w:val="20"/>
        </w:rPr>
      </w:pPr>
      <w:r w:rsidRPr="00C83CA4">
        <w:rPr>
          <w:rFonts w:cs="Arial"/>
          <w:szCs w:val="20"/>
        </w:rPr>
        <w:t>Državn</w:t>
      </w:r>
      <w:r w:rsidR="00167466" w:rsidRPr="00D60629">
        <w:rPr>
          <w:rFonts w:cs="Arial"/>
          <w:szCs w:val="20"/>
        </w:rPr>
        <w:t>i</w:t>
      </w:r>
      <w:r w:rsidRPr="00D60629">
        <w:rPr>
          <w:rFonts w:cs="Arial"/>
          <w:szCs w:val="20"/>
        </w:rPr>
        <w:t xml:space="preserve"> sekretar z </w:t>
      </w:r>
      <w:r w:rsidR="00D60629" w:rsidRPr="00D60629">
        <w:rPr>
          <w:rFonts w:cs="Arial"/>
          <w:szCs w:val="20"/>
        </w:rPr>
        <w:t>M</w:t>
      </w:r>
      <w:r w:rsidRPr="00D60629">
        <w:rPr>
          <w:rFonts w:cs="Arial"/>
          <w:szCs w:val="20"/>
        </w:rPr>
        <w:t xml:space="preserve">inistrstva za pravosodje je sodeloval na </w:t>
      </w:r>
      <w:r w:rsidRPr="008965B7">
        <w:rPr>
          <w:rFonts w:cs="Arial"/>
          <w:szCs w:val="20"/>
        </w:rPr>
        <w:t>tematski razpravi o obveznosti uvedbe preiskave v primeru kršitev 2. in 3. člena EKČP</w:t>
      </w:r>
      <w:r w:rsidR="00167466" w:rsidRPr="008965B7">
        <w:rPr>
          <w:rFonts w:cs="Arial"/>
          <w:szCs w:val="20"/>
        </w:rPr>
        <w:t>,</w:t>
      </w:r>
      <w:r w:rsidRPr="00C83CA4">
        <w:rPr>
          <w:rFonts w:cs="Arial"/>
          <w:szCs w:val="20"/>
        </w:rPr>
        <w:t xml:space="preserve"> </w:t>
      </w:r>
      <w:r w:rsidR="00167466" w:rsidRPr="008965B7">
        <w:rPr>
          <w:rFonts w:cs="Arial"/>
          <w:szCs w:val="20"/>
        </w:rPr>
        <w:t xml:space="preserve">ki je potekala </w:t>
      </w:r>
      <w:r w:rsidR="00167466" w:rsidRPr="00C83CA4">
        <w:rPr>
          <w:rFonts w:cs="Arial"/>
          <w:szCs w:val="20"/>
        </w:rPr>
        <w:t xml:space="preserve">v okviru sestanka </w:t>
      </w:r>
      <w:r w:rsidR="00167466" w:rsidRPr="008965B7">
        <w:rPr>
          <w:rFonts w:cs="Arial"/>
          <w:szCs w:val="20"/>
        </w:rPr>
        <w:t xml:space="preserve">Odbora ministrskih namestnikov v formaciji človekove pravice (OMN-DH) </w:t>
      </w:r>
      <w:r w:rsidRPr="00C83CA4">
        <w:rPr>
          <w:rFonts w:cs="Arial"/>
          <w:szCs w:val="20"/>
        </w:rPr>
        <w:t>(Strasbourg, 12. marca 2019)</w:t>
      </w:r>
      <w:r w:rsidR="00D60629" w:rsidRPr="00C83CA4">
        <w:rPr>
          <w:rFonts w:cs="Arial"/>
          <w:szCs w:val="20"/>
        </w:rPr>
        <w:t>.</w:t>
      </w:r>
      <w:r w:rsidRPr="008965B7">
        <w:rPr>
          <w:rFonts w:cs="Arial"/>
          <w:szCs w:val="20"/>
        </w:rPr>
        <w:t xml:space="preserve"> </w:t>
      </w:r>
    </w:p>
    <w:p w14:paraId="1069FD99" w14:textId="77777777" w:rsidR="00D60629" w:rsidRPr="008965B7" w:rsidRDefault="00D60629" w:rsidP="00D83C9C">
      <w:pPr>
        <w:spacing w:line="260" w:lineRule="exact"/>
        <w:jc w:val="both"/>
        <w:rPr>
          <w:rFonts w:cs="Arial"/>
          <w:szCs w:val="20"/>
        </w:rPr>
      </w:pPr>
    </w:p>
    <w:p w14:paraId="4D328B68" w14:textId="77777777" w:rsidR="00E6347E" w:rsidRPr="00D60629" w:rsidRDefault="00E6347E" w:rsidP="00D83C9C">
      <w:pPr>
        <w:spacing w:line="260" w:lineRule="exact"/>
        <w:jc w:val="both"/>
        <w:rPr>
          <w:rFonts w:cs="Arial"/>
          <w:szCs w:val="20"/>
        </w:rPr>
      </w:pPr>
      <w:r w:rsidRPr="00C83CA4">
        <w:rPr>
          <w:rFonts w:cs="Arial"/>
          <w:szCs w:val="20"/>
        </w:rPr>
        <w:t xml:space="preserve">Ko govorimo o izvrševanju sodb, mislimo predvsem </w:t>
      </w:r>
      <w:r w:rsidRPr="008965B7">
        <w:rPr>
          <w:rFonts w:cs="Arial"/>
          <w:szCs w:val="20"/>
        </w:rPr>
        <w:t>določitev potrebnih individualnih in splošnih ukrepov</w:t>
      </w:r>
      <w:r w:rsidRPr="00C83CA4">
        <w:rPr>
          <w:rFonts w:cs="Arial"/>
          <w:szCs w:val="20"/>
        </w:rPr>
        <w:t>, ki se navedejo</w:t>
      </w:r>
      <w:r w:rsidRPr="008965B7">
        <w:rPr>
          <w:rFonts w:cs="Arial"/>
          <w:szCs w:val="20"/>
        </w:rPr>
        <w:t xml:space="preserve"> v akcijskih poročilih ali načrtih,</w:t>
      </w:r>
      <w:r w:rsidRPr="00C83CA4">
        <w:rPr>
          <w:rFonts w:cs="Arial"/>
          <w:szCs w:val="20"/>
        </w:rPr>
        <w:t xml:space="preserve"> ki jih obravnava Oddelek Sveta Evrope za izvrševanje sodb ESČP in nato Odbor ministrov Sveta Evrope na zasedanjih, ki so štirikrat na leto namenjena pregledu izvrševanja sodb. Med individualnimi ukrepi je to plačilo pravičnega zadoščenja</w:t>
      </w:r>
      <w:r w:rsidRPr="00C83CA4">
        <w:rPr>
          <w:rStyle w:val="Sprotnaopomba-sklic"/>
          <w:rFonts w:cs="Arial"/>
          <w:szCs w:val="20"/>
        </w:rPr>
        <w:footnoteReference w:id="1"/>
      </w:r>
      <w:r w:rsidRPr="00C83CA4">
        <w:rPr>
          <w:rFonts w:cs="Arial"/>
          <w:szCs w:val="20"/>
        </w:rPr>
        <w:t xml:space="preserve"> (lahko je tudi še kakšen drug individualni ukrep), med splošnimi pa so lahko spremembe zakonodaje, prakse, navodila, izobraževanje, osveščanje; če sodba napotuje na spremembe, ki se še morajo zgoditi, pa tudi drugi ukrepi, kot je na primer gradnja novega zapora.</w:t>
      </w:r>
    </w:p>
    <w:p w14:paraId="271AF0CC" w14:textId="77777777" w:rsidR="00D60629" w:rsidRDefault="00E07A05" w:rsidP="00D83C9C">
      <w:pPr>
        <w:spacing w:line="260" w:lineRule="exact"/>
        <w:jc w:val="both"/>
        <w:rPr>
          <w:rFonts w:cs="Arial"/>
          <w:szCs w:val="20"/>
        </w:rPr>
      </w:pPr>
      <w:r w:rsidRPr="008965B7">
        <w:rPr>
          <w:rFonts w:cs="Arial"/>
          <w:szCs w:val="20"/>
        </w:rPr>
        <w:lastRenderedPageBreak/>
        <w:t>Evropsk</w:t>
      </w:r>
      <w:r w:rsidR="00167466" w:rsidRPr="008965B7">
        <w:rPr>
          <w:rFonts w:cs="Arial"/>
          <w:szCs w:val="20"/>
        </w:rPr>
        <w:t>o</w:t>
      </w:r>
      <w:r w:rsidRPr="008965B7">
        <w:rPr>
          <w:rFonts w:cs="Arial"/>
          <w:szCs w:val="20"/>
        </w:rPr>
        <w:t xml:space="preserve"> sodišč</w:t>
      </w:r>
      <w:r w:rsidR="00167466" w:rsidRPr="008965B7">
        <w:rPr>
          <w:rFonts w:cs="Arial"/>
          <w:szCs w:val="20"/>
        </w:rPr>
        <w:t xml:space="preserve">e za </w:t>
      </w:r>
      <w:r w:rsidRPr="008965B7">
        <w:rPr>
          <w:rFonts w:cs="Arial"/>
          <w:szCs w:val="20"/>
        </w:rPr>
        <w:t>človekov</w:t>
      </w:r>
      <w:r w:rsidR="00167466" w:rsidRPr="008965B7">
        <w:rPr>
          <w:rFonts w:cs="Arial"/>
          <w:szCs w:val="20"/>
        </w:rPr>
        <w:t>e</w:t>
      </w:r>
      <w:r w:rsidRPr="008965B7">
        <w:rPr>
          <w:rFonts w:cs="Arial"/>
          <w:szCs w:val="20"/>
        </w:rPr>
        <w:t xml:space="preserve"> pravic</w:t>
      </w:r>
      <w:r w:rsidR="00167466" w:rsidRPr="008965B7">
        <w:rPr>
          <w:rFonts w:cs="Arial"/>
          <w:szCs w:val="20"/>
        </w:rPr>
        <w:t>e</w:t>
      </w:r>
      <w:r w:rsidR="00D60629" w:rsidRPr="008965B7">
        <w:rPr>
          <w:rFonts w:cs="Arial"/>
          <w:szCs w:val="20"/>
        </w:rPr>
        <w:t xml:space="preserve"> </w:t>
      </w:r>
      <w:r w:rsidR="00167466" w:rsidRPr="00D60629">
        <w:rPr>
          <w:rFonts w:cs="Arial"/>
          <w:szCs w:val="20"/>
        </w:rPr>
        <w:t xml:space="preserve">je </w:t>
      </w:r>
      <w:r w:rsidR="003B4314">
        <w:rPr>
          <w:rFonts w:cs="Arial"/>
          <w:szCs w:val="20"/>
        </w:rPr>
        <w:t>v letu 2019 odločilo s sodbo v petih</w:t>
      </w:r>
      <w:r w:rsidRPr="00D60629">
        <w:rPr>
          <w:rFonts w:cs="Arial"/>
          <w:szCs w:val="20"/>
        </w:rPr>
        <w:t xml:space="preserve"> zadevah, od tega je bilo ugotovljeno v štirih zadevah, da je Slovenija kršila Evropsko konvencijo o človekovih pravicah (</w:t>
      </w:r>
      <w:r w:rsidRPr="008965B7">
        <w:rPr>
          <w:rFonts w:cs="Arial"/>
          <w:szCs w:val="20"/>
        </w:rPr>
        <w:t xml:space="preserve">zadeve </w:t>
      </w:r>
      <w:r w:rsidRPr="008965B7">
        <w:rPr>
          <w:rFonts w:cs="Arial"/>
          <w:i/>
          <w:iCs/>
          <w:szCs w:val="20"/>
        </w:rPr>
        <w:t>Aleksič</w:t>
      </w:r>
      <w:r w:rsidRPr="00C83CA4">
        <w:rPr>
          <w:rFonts w:cs="Arial"/>
          <w:szCs w:val="20"/>
        </w:rPr>
        <w:t xml:space="preserve"> (</w:t>
      </w:r>
      <w:r w:rsidRPr="00C83CA4">
        <w:rPr>
          <w:rFonts w:cs="Arial"/>
          <w:color w:val="000000"/>
          <w:szCs w:val="20"/>
        </w:rPr>
        <w:t>zavrnjena pravica do pokojnine, ker pritožnik ni imel slovenskega državljanstva)</w:t>
      </w:r>
      <w:r w:rsidRPr="00C83CA4">
        <w:rPr>
          <w:rFonts w:cs="Arial"/>
          <w:szCs w:val="20"/>
        </w:rPr>
        <w:t xml:space="preserve">, </w:t>
      </w:r>
      <w:r w:rsidRPr="008965B7">
        <w:rPr>
          <w:rFonts w:cs="Arial"/>
          <w:i/>
          <w:iCs/>
          <w:szCs w:val="20"/>
        </w:rPr>
        <w:t>Prebil</w:t>
      </w:r>
      <w:r w:rsidRPr="008965B7">
        <w:rPr>
          <w:rFonts w:cs="Arial"/>
          <w:szCs w:val="20"/>
        </w:rPr>
        <w:t xml:space="preserve"> </w:t>
      </w:r>
      <w:r w:rsidRPr="00C83CA4">
        <w:rPr>
          <w:rFonts w:cs="Arial"/>
          <w:szCs w:val="20"/>
        </w:rPr>
        <w:t>(</w:t>
      </w:r>
      <w:r w:rsidRPr="00C83CA4">
        <w:rPr>
          <w:rFonts w:cs="Arial"/>
          <w:color w:val="000000"/>
          <w:szCs w:val="20"/>
        </w:rPr>
        <w:t>sodna razrešitev člana nadzornega sveta v gospodarski družbi</w:t>
      </w:r>
      <w:r w:rsidRPr="00C83CA4">
        <w:rPr>
          <w:rFonts w:cs="Arial"/>
          <w:szCs w:val="20"/>
        </w:rPr>
        <w:t xml:space="preserve">), </w:t>
      </w:r>
      <w:r w:rsidRPr="008965B7">
        <w:rPr>
          <w:rFonts w:cs="Arial"/>
          <w:i/>
          <w:iCs/>
          <w:szCs w:val="20"/>
        </w:rPr>
        <w:t>A.V.</w:t>
      </w:r>
      <w:r w:rsidRPr="00C83CA4">
        <w:rPr>
          <w:rFonts w:cs="Arial"/>
          <w:szCs w:val="20"/>
        </w:rPr>
        <w:t xml:space="preserve"> (</w:t>
      </w:r>
      <w:r w:rsidRPr="00C83CA4">
        <w:rPr>
          <w:rFonts w:cs="Arial"/>
          <w:color w:val="000000"/>
          <w:szCs w:val="20"/>
        </w:rPr>
        <w:t>neizvršitev pravice očeta do stikov z otroki</w:t>
      </w:r>
      <w:r w:rsidRPr="00C83CA4">
        <w:rPr>
          <w:rFonts w:cs="Arial"/>
          <w:szCs w:val="20"/>
        </w:rPr>
        <w:t xml:space="preserve">) in </w:t>
      </w:r>
      <w:r w:rsidRPr="008965B7">
        <w:rPr>
          <w:rFonts w:cs="Arial"/>
          <w:i/>
          <w:iCs/>
          <w:szCs w:val="20"/>
        </w:rPr>
        <w:t>Rola</w:t>
      </w:r>
      <w:r w:rsidRPr="00C83CA4">
        <w:rPr>
          <w:rFonts w:cs="Arial"/>
          <w:i/>
          <w:iCs/>
          <w:szCs w:val="20"/>
        </w:rPr>
        <w:t xml:space="preserve"> </w:t>
      </w:r>
      <w:r w:rsidRPr="00C83CA4">
        <w:rPr>
          <w:rFonts w:cs="Arial"/>
          <w:szCs w:val="20"/>
        </w:rPr>
        <w:t>(</w:t>
      </w:r>
      <w:r w:rsidRPr="00C83CA4">
        <w:rPr>
          <w:rFonts w:cs="Arial"/>
          <w:color w:val="000000"/>
          <w:szCs w:val="20"/>
        </w:rPr>
        <w:t>odvzem licence stečajnemu upravitelju</w:t>
      </w:r>
      <w:r w:rsidRPr="00D60629">
        <w:rPr>
          <w:rFonts w:cs="Arial"/>
          <w:szCs w:val="20"/>
        </w:rPr>
        <w:t xml:space="preserve">)); v zadevi </w:t>
      </w:r>
      <w:proofErr w:type="spellStart"/>
      <w:r w:rsidRPr="00D60629">
        <w:rPr>
          <w:rFonts w:cs="Arial"/>
          <w:i/>
          <w:iCs/>
          <w:color w:val="000000"/>
          <w:szCs w:val="20"/>
        </w:rPr>
        <w:t>Sh.D</w:t>
      </w:r>
      <w:proofErr w:type="spellEnd"/>
      <w:r w:rsidRPr="00D60629">
        <w:rPr>
          <w:rFonts w:cs="Arial"/>
          <w:i/>
          <w:iCs/>
          <w:color w:val="000000"/>
          <w:szCs w:val="20"/>
        </w:rPr>
        <w:t xml:space="preserve">. in drugi proti Grčiji, Avstriji, Hrvaški, Madžarski, Severni Makedoniji, Srbiji in Sloveniji </w:t>
      </w:r>
      <w:r w:rsidRPr="00D60629">
        <w:rPr>
          <w:rFonts w:cs="Arial"/>
          <w:color w:val="000000"/>
          <w:szCs w:val="20"/>
        </w:rPr>
        <w:t xml:space="preserve">je bila pritožba proti Sloveniji nesprejemljiva glede očitane kršitve 3. in 5. člena (v tej sodbi je bila le Grčija spoznana za kršitev </w:t>
      </w:r>
      <w:r w:rsidRPr="008965B7">
        <w:rPr>
          <w:rFonts w:cs="Arial"/>
          <w:szCs w:val="20"/>
        </w:rPr>
        <w:t>Evropske konvencije o človekovih pravicah (</w:t>
      </w:r>
      <w:r w:rsidR="003B4314" w:rsidRPr="008965B7">
        <w:rPr>
          <w:rFonts w:cs="Arial"/>
          <w:iCs/>
          <w:szCs w:val="20"/>
        </w:rPr>
        <w:t>v nadalj</w:t>
      </w:r>
      <w:r w:rsidR="003B4314">
        <w:rPr>
          <w:rFonts w:cs="Arial"/>
          <w:iCs/>
          <w:szCs w:val="20"/>
        </w:rPr>
        <w:t>njem besedilu</w:t>
      </w:r>
      <w:r w:rsidR="003B4314" w:rsidRPr="008965B7">
        <w:rPr>
          <w:rFonts w:cs="Arial"/>
          <w:iCs/>
          <w:szCs w:val="20"/>
        </w:rPr>
        <w:t>:</w:t>
      </w:r>
      <w:r w:rsidR="003B4314">
        <w:rPr>
          <w:rFonts w:cs="Arial"/>
          <w:iCs/>
          <w:szCs w:val="20"/>
        </w:rPr>
        <w:t xml:space="preserve"> </w:t>
      </w:r>
      <w:r w:rsidRPr="00D60629">
        <w:rPr>
          <w:rFonts w:cs="Arial"/>
          <w:color w:val="000000"/>
          <w:szCs w:val="20"/>
        </w:rPr>
        <w:t>EKČP) glede pridržanja mladoletnih afganistanskih migrantov v Grčiji).</w:t>
      </w:r>
      <w:r w:rsidR="00D60629" w:rsidRPr="00D60629">
        <w:rPr>
          <w:rFonts w:cs="Arial"/>
          <w:color w:val="000000"/>
          <w:szCs w:val="20"/>
        </w:rPr>
        <w:t xml:space="preserve"> </w:t>
      </w:r>
      <w:r w:rsidRPr="00D60629">
        <w:rPr>
          <w:rFonts w:cs="Arial"/>
          <w:szCs w:val="20"/>
        </w:rPr>
        <w:t>ESČP je v letu 2019 izdalo še 5 sklepov o nedopustnosti pritožbe (</w:t>
      </w:r>
      <w:r w:rsidRPr="00D60629">
        <w:rPr>
          <w:rFonts w:cs="Arial"/>
          <w:i/>
          <w:iCs/>
          <w:szCs w:val="20"/>
        </w:rPr>
        <w:t>Rau in ostali, Rezar, Naim Kukaj, Marijan Bunc, Zevnik in ostali)</w:t>
      </w:r>
      <w:r w:rsidRPr="00D60629">
        <w:rPr>
          <w:rFonts w:cs="Arial"/>
          <w:szCs w:val="20"/>
        </w:rPr>
        <w:t xml:space="preserve">; bila pa je sklenjena tudi ena prijateljska poravnava (zadeva </w:t>
      </w:r>
      <w:r w:rsidRPr="00D60629">
        <w:rPr>
          <w:rFonts w:cs="Arial"/>
          <w:i/>
          <w:iCs/>
          <w:szCs w:val="20"/>
        </w:rPr>
        <w:t>Niko Miholič</w:t>
      </w:r>
      <w:r w:rsidRPr="00D60629">
        <w:rPr>
          <w:rFonts w:cs="Arial"/>
          <w:szCs w:val="20"/>
        </w:rPr>
        <w:t>).</w:t>
      </w:r>
      <w:r w:rsidR="00D60629">
        <w:rPr>
          <w:rFonts w:cs="Arial"/>
          <w:szCs w:val="20"/>
        </w:rPr>
        <w:t xml:space="preserve"> </w:t>
      </w:r>
    </w:p>
    <w:p w14:paraId="4F9477AF" w14:textId="77777777" w:rsidR="00D60629" w:rsidRDefault="00D60629" w:rsidP="00D83C9C">
      <w:pPr>
        <w:spacing w:line="260" w:lineRule="exact"/>
        <w:jc w:val="both"/>
        <w:rPr>
          <w:rFonts w:cs="Arial"/>
          <w:szCs w:val="20"/>
        </w:rPr>
      </w:pPr>
    </w:p>
    <w:p w14:paraId="0DC0498C" w14:textId="77777777" w:rsidR="00D60629" w:rsidRDefault="00E07A05" w:rsidP="00D83C9C">
      <w:pPr>
        <w:spacing w:line="260" w:lineRule="exact"/>
        <w:jc w:val="both"/>
        <w:rPr>
          <w:rFonts w:cs="Arial"/>
          <w:szCs w:val="20"/>
        </w:rPr>
      </w:pPr>
      <w:r w:rsidRPr="00C83CA4">
        <w:rPr>
          <w:rFonts w:cs="Arial"/>
          <w:szCs w:val="20"/>
        </w:rPr>
        <w:t>Na podlagi akcijskih poročil</w:t>
      </w:r>
      <w:r w:rsidR="00167466" w:rsidRPr="00C83CA4">
        <w:rPr>
          <w:rFonts w:cs="Arial"/>
          <w:szCs w:val="20"/>
        </w:rPr>
        <w:t xml:space="preserve"> Slovenije </w:t>
      </w:r>
      <w:r w:rsidRPr="00C83CA4">
        <w:rPr>
          <w:rFonts w:cs="Arial"/>
          <w:szCs w:val="20"/>
        </w:rPr>
        <w:t xml:space="preserve">je Odbor ministrov Sveta Evrope </w:t>
      </w:r>
      <w:r w:rsidRPr="008965B7">
        <w:rPr>
          <w:rFonts w:cs="Arial"/>
          <w:szCs w:val="20"/>
        </w:rPr>
        <w:t xml:space="preserve">v letu 2019 s končno resolucijo zaprl nadzor nad </w:t>
      </w:r>
      <w:r w:rsidR="003B4314">
        <w:rPr>
          <w:rFonts w:cs="Arial"/>
          <w:szCs w:val="20"/>
        </w:rPr>
        <w:t xml:space="preserve">šestimi </w:t>
      </w:r>
      <w:r w:rsidRPr="008965B7">
        <w:rPr>
          <w:rFonts w:cs="Arial"/>
          <w:szCs w:val="20"/>
        </w:rPr>
        <w:t>sodbami ESČP proti Sloveniji</w:t>
      </w:r>
      <w:r w:rsidRPr="00C83CA4">
        <w:rPr>
          <w:rFonts w:cs="Arial"/>
          <w:szCs w:val="20"/>
        </w:rPr>
        <w:t xml:space="preserve">: </w:t>
      </w:r>
      <w:r w:rsidRPr="008965B7">
        <w:rPr>
          <w:rFonts w:cs="Arial"/>
          <w:i/>
          <w:iCs/>
          <w:szCs w:val="20"/>
        </w:rPr>
        <w:t xml:space="preserve">S.I. skupina </w:t>
      </w:r>
      <w:r w:rsidRPr="00C83CA4">
        <w:rPr>
          <w:rFonts w:cs="Arial"/>
          <w:i/>
          <w:iCs/>
          <w:szCs w:val="20"/>
        </w:rPr>
        <w:t>(sodbi S.I. in Furman, ki</w:t>
      </w:r>
      <w:r w:rsidRPr="00C83CA4">
        <w:rPr>
          <w:rFonts w:cs="Arial"/>
          <w:szCs w:val="20"/>
        </w:rPr>
        <w:t xml:space="preserve"> se nanašata na</w:t>
      </w:r>
      <w:r w:rsidRPr="008965B7">
        <w:rPr>
          <w:rFonts w:cs="Arial"/>
          <w:i/>
          <w:iCs/>
          <w:szCs w:val="20"/>
        </w:rPr>
        <w:t xml:space="preserve"> </w:t>
      </w:r>
      <w:r w:rsidRPr="00C83CA4">
        <w:rPr>
          <w:rFonts w:cs="Arial"/>
          <w:szCs w:val="20"/>
          <w:lang w:eastAsia="sl-SI"/>
        </w:rPr>
        <w:t>predolge postopke glede ureditev stikov z otroki</w:t>
      </w:r>
      <w:r w:rsidRPr="00C83CA4">
        <w:rPr>
          <w:rFonts w:cs="Arial"/>
          <w:szCs w:val="20"/>
        </w:rPr>
        <w:t>),</w:t>
      </w:r>
      <w:r w:rsidRPr="008965B7">
        <w:rPr>
          <w:rFonts w:cs="Arial"/>
          <w:i/>
          <w:iCs/>
          <w:szCs w:val="20"/>
        </w:rPr>
        <w:t xml:space="preserve"> Cerovšek in Božičnik </w:t>
      </w:r>
      <w:r w:rsidRPr="00C83CA4">
        <w:rPr>
          <w:rFonts w:cs="Arial"/>
          <w:szCs w:val="20"/>
        </w:rPr>
        <w:t>(</w:t>
      </w:r>
      <w:r w:rsidRPr="00C83CA4">
        <w:rPr>
          <w:rFonts w:cs="Arial"/>
          <w:szCs w:val="20"/>
          <w:lang w:eastAsia="sl-SI"/>
        </w:rPr>
        <w:t>kršitev kazenskega postopka)</w:t>
      </w:r>
      <w:r w:rsidRPr="008965B7">
        <w:rPr>
          <w:rFonts w:cs="Arial"/>
          <w:i/>
          <w:iCs/>
          <w:szCs w:val="20"/>
        </w:rPr>
        <w:t xml:space="preserve">, Poropat </w:t>
      </w:r>
      <w:r w:rsidRPr="00C83CA4">
        <w:rPr>
          <w:rFonts w:cs="Arial"/>
          <w:szCs w:val="20"/>
        </w:rPr>
        <w:t>(</w:t>
      </w:r>
      <w:r w:rsidRPr="00C83CA4">
        <w:rPr>
          <w:rFonts w:cs="Arial"/>
          <w:szCs w:val="20"/>
          <w:lang w:eastAsia="sl-SI"/>
        </w:rPr>
        <w:t>procesne kršitve kazenskega postopka v medsosedskem sporu)</w:t>
      </w:r>
      <w:r w:rsidRPr="008965B7">
        <w:rPr>
          <w:rFonts w:cs="Arial"/>
          <w:i/>
          <w:iCs/>
          <w:szCs w:val="20"/>
        </w:rPr>
        <w:t xml:space="preserve">, Mirovni inštitut </w:t>
      </w:r>
      <w:r w:rsidRPr="00C83CA4">
        <w:rPr>
          <w:rFonts w:cs="Arial"/>
          <w:szCs w:val="20"/>
        </w:rPr>
        <w:t>(</w:t>
      </w:r>
      <w:r w:rsidRPr="00C83CA4">
        <w:rPr>
          <w:rFonts w:cs="Arial"/>
          <w:szCs w:val="20"/>
          <w:lang w:eastAsia="sl-SI"/>
        </w:rPr>
        <w:t>ne dovoljšna obrazložitev odločitve glede zavrnitve ustne obravnave)</w:t>
      </w:r>
      <w:r w:rsidRPr="008965B7">
        <w:rPr>
          <w:rFonts w:cs="Arial"/>
          <w:szCs w:val="20"/>
        </w:rPr>
        <w:t xml:space="preserve"> </w:t>
      </w:r>
      <w:r w:rsidRPr="00C83CA4">
        <w:rPr>
          <w:rFonts w:cs="Arial"/>
          <w:szCs w:val="20"/>
        </w:rPr>
        <w:t>in</w:t>
      </w:r>
      <w:r w:rsidRPr="008965B7">
        <w:rPr>
          <w:rFonts w:cs="Arial"/>
          <w:i/>
          <w:iCs/>
          <w:szCs w:val="20"/>
        </w:rPr>
        <w:t xml:space="preserve"> Aleksič </w:t>
      </w:r>
      <w:r w:rsidRPr="00C83CA4">
        <w:rPr>
          <w:rFonts w:cs="Arial"/>
          <w:szCs w:val="20"/>
        </w:rPr>
        <w:t>(</w:t>
      </w:r>
      <w:r w:rsidRPr="00C83CA4">
        <w:rPr>
          <w:rFonts w:cs="Arial"/>
          <w:color w:val="000000"/>
          <w:szCs w:val="20"/>
        </w:rPr>
        <w:t>zavrnjena pravica do pokojnine, ker pritožnik ni imel slovenskega državljanstva)</w:t>
      </w:r>
      <w:r w:rsidRPr="008965B7">
        <w:rPr>
          <w:rFonts w:cs="Arial"/>
          <w:i/>
          <w:iCs/>
          <w:szCs w:val="20"/>
        </w:rPr>
        <w:t>.</w:t>
      </w:r>
    </w:p>
    <w:p w14:paraId="24D23296" w14:textId="77777777" w:rsidR="00D60629" w:rsidRDefault="00D60629" w:rsidP="00D83C9C">
      <w:pPr>
        <w:spacing w:line="260" w:lineRule="exact"/>
        <w:jc w:val="both"/>
        <w:rPr>
          <w:rFonts w:cs="Arial"/>
          <w:szCs w:val="20"/>
        </w:rPr>
      </w:pPr>
    </w:p>
    <w:p w14:paraId="2EEB7D35" w14:textId="77777777" w:rsidR="00D60629" w:rsidRDefault="00E07A05" w:rsidP="00D83C9C">
      <w:pPr>
        <w:spacing w:line="260" w:lineRule="exact"/>
        <w:jc w:val="both"/>
        <w:rPr>
          <w:rFonts w:cs="Arial"/>
          <w:szCs w:val="20"/>
        </w:rPr>
      </w:pPr>
      <w:r w:rsidRPr="00C83CA4">
        <w:rPr>
          <w:rFonts w:cs="Arial"/>
          <w:szCs w:val="20"/>
        </w:rPr>
        <w:t xml:space="preserve">V letu 2019 so bili v obravnavo na Oddelek Sveta Evrope za izvrševanje sodb ESČP poslani še akcijsko poročilo za zadevo </w:t>
      </w:r>
      <w:r w:rsidRPr="008965B7">
        <w:rPr>
          <w:rFonts w:cs="Arial"/>
          <w:i/>
          <w:iCs/>
          <w:szCs w:val="20"/>
        </w:rPr>
        <w:t>Kranjc</w:t>
      </w:r>
      <w:r w:rsidRPr="00C83CA4">
        <w:rPr>
          <w:rFonts w:cs="Arial"/>
          <w:szCs w:val="20"/>
        </w:rPr>
        <w:t xml:space="preserve"> (</w:t>
      </w:r>
      <w:r w:rsidRPr="00C83CA4">
        <w:rPr>
          <w:rFonts w:cs="Arial"/>
          <w:szCs w:val="20"/>
          <w:lang w:eastAsia="sl-SI"/>
        </w:rPr>
        <w:t>prenizko nadomestilo za invalidnost)</w:t>
      </w:r>
      <w:r w:rsidRPr="00C83CA4">
        <w:rPr>
          <w:rStyle w:val="Sprotnaopomba-sklic"/>
          <w:rFonts w:cs="Arial"/>
          <w:szCs w:val="20"/>
          <w:lang w:eastAsia="sl-SI"/>
        </w:rPr>
        <w:footnoteReference w:id="2"/>
      </w:r>
      <w:r w:rsidRPr="00C83CA4">
        <w:rPr>
          <w:rFonts w:cs="Arial"/>
          <w:szCs w:val="20"/>
        </w:rPr>
        <w:t xml:space="preserve"> ter akcijski načrti za zadeve </w:t>
      </w:r>
      <w:r w:rsidRPr="008965B7">
        <w:rPr>
          <w:rFonts w:cs="Arial"/>
          <w:i/>
          <w:iCs/>
          <w:szCs w:val="20"/>
        </w:rPr>
        <w:t>Benedik</w:t>
      </w:r>
      <w:r w:rsidRPr="00C83CA4">
        <w:rPr>
          <w:rFonts w:cs="Arial"/>
          <w:szCs w:val="20"/>
        </w:rPr>
        <w:t xml:space="preserve"> (kršitev pravice do zasebnosti v povezavi s podatki o uporabniku dinamičnega IP naslova), </w:t>
      </w:r>
      <w:r w:rsidRPr="008965B7">
        <w:rPr>
          <w:rFonts w:cs="Arial"/>
          <w:i/>
          <w:iCs/>
          <w:szCs w:val="20"/>
        </w:rPr>
        <w:t>Vizgirda</w:t>
      </w:r>
      <w:r w:rsidRPr="00C83CA4">
        <w:rPr>
          <w:rFonts w:cs="Arial"/>
          <w:szCs w:val="20"/>
        </w:rPr>
        <w:t xml:space="preserve"> (</w:t>
      </w:r>
      <w:r w:rsidRPr="00C83CA4">
        <w:rPr>
          <w:rFonts w:cs="Arial"/>
          <w:szCs w:val="20"/>
          <w:lang w:eastAsia="sl-SI"/>
        </w:rPr>
        <w:t>zagotovitev tolmačenja v kazenskem postopku zoper pritožnika -državljana Litve le v ruskem jeziku)</w:t>
      </w:r>
      <w:r w:rsidRPr="00D60629">
        <w:rPr>
          <w:rFonts w:cs="Arial"/>
          <w:szCs w:val="20"/>
        </w:rPr>
        <w:t xml:space="preserve"> in </w:t>
      </w:r>
      <w:r w:rsidRPr="008965B7">
        <w:rPr>
          <w:rFonts w:cs="Arial"/>
          <w:szCs w:val="20"/>
        </w:rPr>
        <w:t>Produkcija Plus storitveno podjetje d.</w:t>
      </w:r>
      <w:r w:rsidR="003B4314">
        <w:rPr>
          <w:rFonts w:cs="Arial"/>
          <w:szCs w:val="20"/>
        </w:rPr>
        <w:t> </w:t>
      </w:r>
      <w:r w:rsidRPr="008965B7">
        <w:rPr>
          <w:rFonts w:cs="Arial"/>
          <w:szCs w:val="20"/>
        </w:rPr>
        <w:t>o.</w:t>
      </w:r>
      <w:r w:rsidR="003B4314">
        <w:rPr>
          <w:rFonts w:cs="Arial"/>
          <w:szCs w:val="20"/>
        </w:rPr>
        <w:t> </w:t>
      </w:r>
      <w:r w:rsidRPr="008965B7">
        <w:rPr>
          <w:rFonts w:cs="Arial"/>
          <w:szCs w:val="20"/>
        </w:rPr>
        <w:t>o.</w:t>
      </w:r>
      <w:r w:rsidRPr="00C83CA4">
        <w:rPr>
          <w:rFonts w:cs="Arial"/>
          <w:szCs w:val="20"/>
        </w:rPr>
        <w:t xml:space="preserve"> (zavrnitev ustne obravnave v postopku sodnega varstva zoper odločbo o denarni kazni zaradi oviranja preiskave po ZPOmK-1)</w:t>
      </w:r>
      <w:r w:rsidR="00D106A4" w:rsidRPr="00C83CA4">
        <w:rPr>
          <w:rFonts w:cs="Arial"/>
          <w:szCs w:val="20"/>
        </w:rPr>
        <w:t>.</w:t>
      </w:r>
    </w:p>
    <w:p w14:paraId="1B2F367E" w14:textId="77777777" w:rsidR="00D60629" w:rsidRDefault="00D60629" w:rsidP="00D83C9C">
      <w:pPr>
        <w:spacing w:line="260" w:lineRule="exact"/>
        <w:jc w:val="both"/>
        <w:rPr>
          <w:rFonts w:cs="Arial"/>
          <w:szCs w:val="20"/>
        </w:rPr>
      </w:pPr>
    </w:p>
    <w:p w14:paraId="7D4A4A40" w14:textId="77777777" w:rsidR="00D60629" w:rsidRDefault="00167466" w:rsidP="00D83C9C">
      <w:pPr>
        <w:spacing w:line="260" w:lineRule="exact"/>
        <w:jc w:val="both"/>
        <w:rPr>
          <w:rFonts w:cs="Arial"/>
          <w:szCs w:val="20"/>
        </w:rPr>
      </w:pPr>
      <w:r w:rsidRPr="00C83CA4">
        <w:rPr>
          <w:rFonts w:cs="Arial"/>
          <w:szCs w:val="20"/>
        </w:rPr>
        <w:t>Pri pripravi a</w:t>
      </w:r>
      <w:r w:rsidRPr="00D60629">
        <w:rPr>
          <w:rFonts w:cs="Arial"/>
          <w:szCs w:val="20"/>
        </w:rPr>
        <w:t xml:space="preserve">kcijskih poročil in načrtov je PS ESČP sodelovala z </w:t>
      </w:r>
      <w:r w:rsidR="008965B7">
        <w:rPr>
          <w:rFonts w:cs="Arial"/>
          <w:szCs w:val="20"/>
        </w:rPr>
        <w:t>D</w:t>
      </w:r>
      <w:r w:rsidRPr="00D60629">
        <w:rPr>
          <w:rFonts w:cs="Arial"/>
          <w:szCs w:val="20"/>
        </w:rPr>
        <w:t xml:space="preserve">ržavnim odvetništvom ter predstavniki nosilnih ministrstev ter sodstvom. </w:t>
      </w:r>
    </w:p>
    <w:p w14:paraId="260F6839" w14:textId="77777777" w:rsidR="00D60629" w:rsidRDefault="00D60629" w:rsidP="00D83C9C">
      <w:pPr>
        <w:spacing w:line="260" w:lineRule="exact"/>
        <w:jc w:val="both"/>
        <w:rPr>
          <w:rFonts w:cs="Arial"/>
          <w:szCs w:val="20"/>
        </w:rPr>
      </w:pPr>
    </w:p>
    <w:p w14:paraId="381E06A2" w14:textId="77777777" w:rsidR="00E07A05" w:rsidRPr="00D60629" w:rsidRDefault="00E07A05" w:rsidP="00D83C9C">
      <w:pPr>
        <w:spacing w:line="260" w:lineRule="exact"/>
        <w:jc w:val="both"/>
        <w:rPr>
          <w:rFonts w:cs="Arial"/>
          <w:szCs w:val="20"/>
        </w:rPr>
      </w:pPr>
      <w:r w:rsidRPr="008965B7">
        <w:rPr>
          <w:rFonts w:cs="Arial"/>
          <w:szCs w:val="20"/>
        </w:rPr>
        <w:t>Konec leta 2019 je imela Slovenija neizvršenih še 12 dokončnih sodb ESČP</w:t>
      </w:r>
      <w:r w:rsidRPr="00C83CA4">
        <w:rPr>
          <w:rFonts w:cs="Arial"/>
          <w:szCs w:val="20"/>
        </w:rPr>
        <w:t xml:space="preserve"> (za primerjavo: konec leta 2015 je imela Slovenija 309 neizvršenih sodb, konec leta 2016 še 49 neizvršenih sodb, </w:t>
      </w:r>
      <w:r w:rsidR="00275D99">
        <w:rPr>
          <w:rFonts w:cs="Arial"/>
          <w:szCs w:val="20"/>
        </w:rPr>
        <w:t>v sredini</w:t>
      </w:r>
      <w:r w:rsidRPr="00C83CA4">
        <w:rPr>
          <w:rStyle w:val="Krepko"/>
          <w:rFonts w:cs="Arial"/>
          <w:b w:val="0"/>
          <w:bCs w:val="0"/>
          <w:szCs w:val="20"/>
        </w:rPr>
        <w:t xml:space="preserve"> avgusta</w:t>
      </w:r>
      <w:r w:rsidRPr="00D60629">
        <w:rPr>
          <w:rStyle w:val="Krepko"/>
          <w:rFonts w:cs="Arial"/>
          <w:b w:val="0"/>
          <w:bCs w:val="0"/>
          <w:szCs w:val="20"/>
          <w:u w:val="single"/>
        </w:rPr>
        <w:t xml:space="preserve"> 2020</w:t>
      </w:r>
      <w:r w:rsidRPr="00D60629">
        <w:rPr>
          <w:rStyle w:val="Krepko"/>
          <w:rFonts w:cs="Arial"/>
          <w:b w:val="0"/>
          <w:bCs w:val="0"/>
          <w:szCs w:val="20"/>
        </w:rPr>
        <w:t xml:space="preserve"> pa ima Slovenija neizvršenih še </w:t>
      </w:r>
      <w:r w:rsidR="003B4314">
        <w:rPr>
          <w:rStyle w:val="Krepko"/>
          <w:rFonts w:cs="Arial"/>
          <w:b w:val="0"/>
          <w:bCs w:val="0"/>
          <w:szCs w:val="20"/>
        </w:rPr>
        <w:t xml:space="preserve">šest </w:t>
      </w:r>
      <w:r w:rsidRPr="00D60629">
        <w:rPr>
          <w:rStyle w:val="Krepko"/>
          <w:rFonts w:cs="Arial"/>
          <w:b w:val="0"/>
          <w:bCs w:val="0"/>
          <w:szCs w:val="20"/>
          <w:u w:val="single"/>
        </w:rPr>
        <w:t>dokončnih</w:t>
      </w:r>
      <w:r w:rsidRPr="00D60629">
        <w:rPr>
          <w:rStyle w:val="Krepko"/>
          <w:rFonts w:cs="Arial"/>
          <w:b w:val="0"/>
          <w:bCs w:val="0"/>
          <w:szCs w:val="20"/>
        </w:rPr>
        <w:t xml:space="preserve"> sodb ESČP</w:t>
      </w:r>
      <w:r w:rsidR="003B4314">
        <w:rPr>
          <w:rStyle w:val="Krepko"/>
          <w:rFonts w:cs="Arial"/>
          <w:b w:val="0"/>
          <w:bCs w:val="0"/>
          <w:szCs w:val="20"/>
        </w:rPr>
        <w:t>)</w:t>
      </w:r>
      <w:r w:rsidRPr="00D60629">
        <w:rPr>
          <w:rStyle w:val="Krepko"/>
          <w:rFonts w:cs="Arial"/>
          <w:b w:val="0"/>
          <w:bCs w:val="0"/>
          <w:szCs w:val="20"/>
        </w:rPr>
        <w:t>. U</w:t>
      </w:r>
      <w:r w:rsidRPr="00D60629">
        <w:rPr>
          <w:rFonts w:cs="Arial"/>
          <w:szCs w:val="20"/>
        </w:rPr>
        <w:t xml:space="preserve">činkovito in hitro izvrševanje sodb ESČP tudi vnaprej ostaja ena izmed prioritet Ministrstva za pravosodje. </w:t>
      </w:r>
    </w:p>
    <w:p w14:paraId="72F149F8" w14:textId="77777777" w:rsidR="00D60629" w:rsidRPr="00D60629" w:rsidRDefault="00D60629" w:rsidP="00D83C9C">
      <w:pPr>
        <w:spacing w:line="260" w:lineRule="exact"/>
        <w:jc w:val="both"/>
        <w:rPr>
          <w:rFonts w:cs="Arial"/>
          <w:szCs w:val="20"/>
        </w:rPr>
      </w:pPr>
    </w:p>
    <w:p w14:paraId="2DAF961F" w14:textId="77777777" w:rsidR="00167466" w:rsidRPr="00D60629" w:rsidRDefault="00167466" w:rsidP="00D83C9C">
      <w:pPr>
        <w:spacing w:line="260" w:lineRule="exact"/>
        <w:jc w:val="both"/>
        <w:rPr>
          <w:rFonts w:cs="Arial"/>
          <w:szCs w:val="20"/>
          <w:lang w:eastAsia="sl-SI"/>
        </w:rPr>
      </w:pPr>
      <w:r w:rsidRPr="00D60629">
        <w:rPr>
          <w:rFonts w:cs="Arial"/>
          <w:szCs w:val="20"/>
          <w:lang w:eastAsia="sl-SI"/>
        </w:rPr>
        <w:t xml:space="preserve">Spoštovanje in pomen sodb ESČP je tema, ki je redno obravnavana tudi na usposabljanjih tožilcev in sodnikov, ki jih organizira Center za izobraževanje v pravosodju. </w:t>
      </w:r>
    </w:p>
    <w:p w14:paraId="441EF3CF" w14:textId="77777777" w:rsidR="00167466" w:rsidRPr="00D60629" w:rsidRDefault="00167466" w:rsidP="00D83C9C">
      <w:pPr>
        <w:spacing w:line="260" w:lineRule="exact"/>
        <w:jc w:val="both"/>
        <w:rPr>
          <w:rFonts w:cs="Arial"/>
          <w:szCs w:val="20"/>
        </w:rPr>
      </w:pPr>
    </w:p>
    <w:p w14:paraId="727C3027" w14:textId="77777777" w:rsidR="005A171E" w:rsidRPr="00C83CA4" w:rsidRDefault="00167466" w:rsidP="00D83C9C">
      <w:pPr>
        <w:spacing w:line="260" w:lineRule="exact"/>
        <w:jc w:val="both"/>
        <w:rPr>
          <w:rFonts w:cs="Arial"/>
          <w:szCs w:val="20"/>
        </w:rPr>
      </w:pPr>
      <w:r w:rsidRPr="00D60629">
        <w:rPr>
          <w:rFonts w:cs="Arial"/>
          <w:szCs w:val="20"/>
        </w:rPr>
        <w:t>Ministrstvo za pravosodje redno posodablja s</w:t>
      </w:r>
      <w:r w:rsidR="00E07A05" w:rsidRPr="00D60629">
        <w:rPr>
          <w:rFonts w:cs="Arial"/>
          <w:szCs w:val="20"/>
        </w:rPr>
        <w:t>pletn</w:t>
      </w:r>
      <w:r w:rsidRPr="00D60629">
        <w:rPr>
          <w:rFonts w:cs="Arial"/>
          <w:szCs w:val="20"/>
        </w:rPr>
        <w:t>o</w:t>
      </w:r>
      <w:r w:rsidR="00E07A05" w:rsidRPr="00D60629">
        <w:rPr>
          <w:rFonts w:cs="Arial"/>
          <w:szCs w:val="20"/>
        </w:rPr>
        <w:t xml:space="preserve"> stran vlade glede izvrševanja sodb ESČP</w:t>
      </w:r>
      <w:r w:rsidR="00E07A05" w:rsidRPr="00C83CA4">
        <w:rPr>
          <w:rStyle w:val="Sprotnaopomba-sklic"/>
          <w:rFonts w:cs="Arial"/>
          <w:szCs w:val="20"/>
        </w:rPr>
        <w:footnoteReference w:id="3"/>
      </w:r>
      <w:r w:rsidR="00E07A05" w:rsidRPr="00C83CA4">
        <w:rPr>
          <w:rFonts w:cs="Arial"/>
          <w:szCs w:val="20"/>
        </w:rPr>
        <w:t xml:space="preserve">, tako s povezavami na aktualna </w:t>
      </w:r>
      <w:r w:rsidRPr="00C83CA4">
        <w:rPr>
          <w:rFonts w:cs="Arial"/>
          <w:szCs w:val="20"/>
        </w:rPr>
        <w:t xml:space="preserve">letna </w:t>
      </w:r>
      <w:r w:rsidR="00E07A05" w:rsidRPr="00D60629">
        <w:rPr>
          <w:rFonts w:cs="Arial"/>
          <w:szCs w:val="20"/>
        </w:rPr>
        <w:t xml:space="preserve">poročila Sveta Evrope </w:t>
      </w:r>
      <w:r w:rsidRPr="00D60629">
        <w:rPr>
          <w:rFonts w:cs="Arial"/>
          <w:szCs w:val="20"/>
        </w:rPr>
        <w:t xml:space="preserve">glede izvrševanja sodb ESČP </w:t>
      </w:r>
      <w:r w:rsidR="00E07A05" w:rsidRPr="00D60629">
        <w:rPr>
          <w:rFonts w:cs="Arial"/>
          <w:szCs w:val="20"/>
        </w:rPr>
        <w:t>kot tudi glede tabelarnega pregleda</w:t>
      </w:r>
      <w:r w:rsidR="00E07A05" w:rsidRPr="00D60629">
        <w:rPr>
          <w:rFonts w:cs="Arial"/>
          <w:szCs w:val="20"/>
          <w:lang w:eastAsia="sl-SI"/>
        </w:rPr>
        <w:t xml:space="preserve"> sodb ESČP proti Sloveniji, </w:t>
      </w:r>
      <w:r w:rsidRPr="00D60629">
        <w:rPr>
          <w:rFonts w:cs="Arial"/>
          <w:szCs w:val="20"/>
          <w:lang w:eastAsia="sl-SI"/>
        </w:rPr>
        <w:t xml:space="preserve">v katerih </w:t>
      </w:r>
      <w:r w:rsidR="00E07A05" w:rsidRPr="00D60629">
        <w:rPr>
          <w:rFonts w:cs="Arial"/>
          <w:szCs w:val="20"/>
          <w:lang w:eastAsia="sl-SI"/>
        </w:rPr>
        <w:t>je ESČP ugotovilo kršitev EKČP in njihovega izvrševanja</w:t>
      </w:r>
      <w:r w:rsidR="00D60629" w:rsidRPr="00D60629">
        <w:rPr>
          <w:rFonts w:cs="Arial"/>
          <w:szCs w:val="20"/>
          <w:lang w:eastAsia="sl-SI"/>
        </w:rPr>
        <w:t>. V</w:t>
      </w:r>
      <w:r w:rsidR="00E07A05" w:rsidRPr="00D60629">
        <w:rPr>
          <w:rFonts w:cs="Arial"/>
          <w:szCs w:val="20"/>
          <w:lang w:eastAsia="sl-SI"/>
        </w:rPr>
        <w:t xml:space="preserve"> tabeli </w:t>
      </w:r>
      <w:r w:rsidR="00D60629" w:rsidRPr="00D60629">
        <w:rPr>
          <w:rFonts w:cs="Arial"/>
          <w:szCs w:val="20"/>
          <w:lang w:eastAsia="sl-SI"/>
        </w:rPr>
        <w:t xml:space="preserve">so tako </w:t>
      </w:r>
      <w:r w:rsidR="00E07A05" w:rsidRPr="00D60629">
        <w:rPr>
          <w:rFonts w:cs="Arial"/>
          <w:szCs w:val="20"/>
          <w:lang w:eastAsia="sl-SI"/>
        </w:rPr>
        <w:t>objavljene tudi na povezave na vsebine sodb</w:t>
      </w:r>
      <w:r w:rsidR="00D60629" w:rsidRPr="00D60629">
        <w:rPr>
          <w:rFonts w:cs="Arial"/>
          <w:szCs w:val="20"/>
          <w:lang w:eastAsia="sl-SI"/>
        </w:rPr>
        <w:t xml:space="preserve"> ESČP proti Sloveniji</w:t>
      </w:r>
      <w:r w:rsidR="00E07A05" w:rsidRPr="00D60629">
        <w:rPr>
          <w:rFonts w:cs="Arial"/>
          <w:szCs w:val="20"/>
          <w:lang w:eastAsia="sl-SI"/>
        </w:rPr>
        <w:t xml:space="preserve">, objavljena akcijska poročila in načrte </w:t>
      </w:r>
      <w:r w:rsidR="00D60629" w:rsidRPr="00D60629">
        <w:rPr>
          <w:rFonts w:cs="Arial"/>
          <w:szCs w:val="20"/>
          <w:lang w:eastAsia="sl-SI"/>
        </w:rPr>
        <w:t xml:space="preserve">ter </w:t>
      </w:r>
      <w:r w:rsidR="00E07A05" w:rsidRPr="00D60629">
        <w:rPr>
          <w:rFonts w:cs="Arial"/>
          <w:szCs w:val="20"/>
          <w:lang w:eastAsia="sl-SI"/>
        </w:rPr>
        <w:t>zaključne resolucije Odbora ministrov Sveta Evrope</w:t>
      </w:r>
      <w:r w:rsidR="00D60629" w:rsidRPr="00D60629">
        <w:rPr>
          <w:rFonts w:cs="Arial"/>
          <w:szCs w:val="20"/>
          <w:lang w:eastAsia="sl-SI"/>
        </w:rPr>
        <w:t xml:space="preserve">. Na ta način se zagotavlja pregledno informiranje javnosti glede ugotovljenih kršitev Evropske konvencije o človekovih pravicah s strani Slovenije kot tudi glede načrtovanih ali izvedenih ukrepov, da do kršitev ne bi več prihajalo. </w:t>
      </w:r>
      <w:bookmarkEnd w:id="1"/>
    </w:p>
    <w:sectPr w:rsidR="005A171E" w:rsidRPr="00C83CA4" w:rsidSect="001410F1">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01CD6" w14:textId="77777777" w:rsidR="001A55F3" w:rsidRDefault="00D106A4">
      <w:pPr>
        <w:spacing w:line="240" w:lineRule="auto"/>
      </w:pPr>
      <w:r>
        <w:separator/>
      </w:r>
    </w:p>
  </w:endnote>
  <w:endnote w:type="continuationSeparator" w:id="0">
    <w:p w14:paraId="0A86D5C1" w14:textId="77777777" w:rsidR="001A55F3" w:rsidRDefault="00D10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Light">
    <w:altName w:val="Courier New"/>
    <w:charset w:val="00"/>
    <w:family w:val="auto"/>
    <w:pitch w:val="variable"/>
    <w:sig w:usb0="03000000" w:usb1="00000000" w:usb2="00000000" w:usb3="00000000" w:csb0="00000001" w:csb1="00000000"/>
  </w:font>
  <w:font w:name="ヒラギノ角ゴ Pro W3">
    <w:altName w:val="Cambria"/>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377980"/>
      <w:docPartObj>
        <w:docPartGallery w:val="Page Numbers (Bottom of Page)"/>
        <w:docPartUnique/>
      </w:docPartObj>
    </w:sdtPr>
    <w:sdtEndPr/>
    <w:sdtContent>
      <w:p w14:paraId="633958A9" w14:textId="77777777" w:rsidR="001410F1" w:rsidRDefault="001410F1">
        <w:pPr>
          <w:pStyle w:val="Noga"/>
          <w:jc w:val="right"/>
        </w:pPr>
        <w:r>
          <w:fldChar w:fldCharType="begin"/>
        </w:r>
        <w:r>
          <w:instrText>PAGE   \* MERGEFORMAT</w:instrText>
        </w:r>
        <w:r>
          <w:fldChar w:fldCharType="separate"/>
        </w:r>
        <w:r w:rsidR="003B4314">
          <w:rPr>
            <w:noProof/>
          </w:rPr>
          <w:t>2</w:t>
        </w:r>
        <w:r>
          <w:fldChar w:fldCharType="end"/>
        </w:r>
      </w:p>
    </w:sdtContent>
  </w:sdt>
  <w:p w14:paraId="2A0B38B7" w14:textId="77777777" w:rsidR="001410F1" w:rsidRDefault="001410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2DD9" w14:textId="77777777" w:rsidR="001A55F3" w:rsidRDefault="00D106A4">
      <w:pPr>
        <w:spacing w:line="240" w:lineRule="auto"/>
      </w:pPr>
      <w:r>
        <w:separator/>
      </w:r>
    </w:p>
  </w:footnote>
  <w:footnote w:type="continuationSeparator" w:id="0">
    <w:p w14:paraId="1FD0F50B" w14:textId="77777777" w:rsidR="001A55F3" w:rsidRDefault="00D106A4">
      <w:pPr>
        <w:spacing w:line="240" w:lineRule="auto"/>
      </w:pPr>
      <w:r>
        <w:continuationSeparator/>
      </w:r>
    </w:p>
  </w:footnote>
  <w:footnote w:id="1">
    <w:p w14:paraId="416753F8" w14:textId="77777777" w:rsidR="00E6347E" w:rsidRDefault="00E6347E" w:rsidP="00E6347E">
      <w:pPr>
        <w:pStyle w:val="Sprotnaopomba-besedilo"/>
      </w:pPr>
      <w:r w:rsidRPr="003B4314">
        <w:rPr>
          <w:rStyle w:val="Sprotnaopomba-sklic"/>
          <w:sz w:val="16"/>
        </w:rPr>
        <w:footnoteRef/>
      </w:r>
      <w:r w:rsidRPr="003B4314">
        <w:rPr>
          <w:sz w:val="16"/>
        </w:rPr>
        <w:t xml:space="preserve"> Plačila pravičnega zadoščenja </w:t>
      </w:r>
      <w:r w:rsidRPr="003B4314">
        <w:rPr>
          <w:rFonts w:cs="Arial"/>
          <w:sz w:val="16"/>
        </w:rPr>
        <w:t>potekajo preko Državnega odvetništva</w:t>
      </w:r>
      <w:r>
        <w:rPr>
          <w:rFonts w:cs="Arial"/>
        </w:rPr>
        <w:t>.</w:t>
      </w:r>
    </w:p>
  </w:footnote>
  <w:footnote w:id="2">
    <w:p w14:paraId="340D3606" w14:textId="77777777" w:rsidR="00E07A05" w:rsidRPr="003B4314" w:rsidRDefault="00E07A05">
      <w:pPr>
        <w:pStyle w:val="Sprotnaopomba-besedilo"/>
        <w:rPr>
          <w:rFonts w:cs="Arial"/>
          <w:sz w:val="16"/>
        </w:rPr>
      </w:pPr>
      <w:r w:rsidRPr="003B4314">
        <w:rPr>
          <w:rStyle w:val="Sprotnaopomba-sklic"/>
          <w:rFonts w:cs="Arial"/>
          <w:sz w:val="16"/>
        </w:rPr>
        <w:footnoteRef/>
      </w:r>
      <w:r w:rsidRPr="00E07A05">
        <w:rPr>
          <w:rFonts w:cs="Arial"/>
        </w:rPr>
        <w:t xml:space="preserve"> </w:t>
      </w:r>
      <w:r w:rsidRPr="003B4314">
        <w:rPr>
          <w:rFonts w:cs="Arial"/>
          <w:sz w:val="16"/>
        </w:rPr>
        <w:t>Zadeva je bila zaključena v l. 2020.</w:t>
      </w:r>
    </w:p>
  </w:footnote>
  <w:footnote w:id="3">
    <w:p w14:paraId="79DE515A" w14:textId="77777777" w:rsidR="00E07A05" w:rsidRDefault="00E07A05" w:rsidP="00E07A05">
      <w:pPr>
        <w:pStyle w:val="Sprotnaopomba-besedilo"/>
      </w:pPr>
      <w:r w:rsidRPr="003B4314">
        <w:rPr>
          <w:rStyle w:val="Sprotnaopomba-sklic"/>
          <w:rFonts w:cs="Arial"/>
          <w:sz w:val="16"/>
        </w:rPr>
        <w:footnoteRef/>
      </w:r>
      <w:r w:rsidRPr="003B4314">
        <w:rPr>
          <w:rFonts w:cs="Arial"/>
          <w:sz w:val="16"/>
        </w:rPr>
        <w:t xml:space="preserve"> </w:t>
      </w:r>
      <w:hyperlink r:id="rId1" w:history="1">
        <w:r w:rsidRPr="003B4314">
          <w:rPr>
            <w:rStyle w:val="Hiperpovezava"/>
            <w:rFonts w:cs="Arial"/>
            <w:color w:val="auto"/>
            <w:sz w:val="16"/>
            <w:u w:val="none"/>
          </w:rPr>
          <w:t>https://www.gov.si/teme/izvrsevanje-sodb-evropskega-sodisca-za-clovekove-pravice/</w:t>
        </w:r>
      </w:hyperlink>
      <w:r w:rsidR="00D60629" w:rsidRPr="003B4314">
        <w:rPr>
          <w:rStyle w:val="Hiperpovezava"/>
          <w:rFonts w:cs="Arial"/>
          <w:color w:val="auto"/>
          <w:sz w:val="16"/>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A08F" w14:textId="77777777" w:rsidR="00D83C9C" w:rsidRDefault="00D83C9C" w:rsidP="00D83C9C">
    <w:pPr>
      <w:pStyle w:val="Glava"/>
      <w:tabs>
        <w:tab w:val="left" w:pos="5112"/>
      </w:tabs>
      <w:spacing w:before="120" w:line="240" w:lineRule="exact"/>
      <w:rPr>
        <w:rFonts w:cs="Arial"/>
        <w:sz w:val="16"/>
      </w:rPr>
    </w:pPr>
  </w:p>
  <w:p w14:paraId="37714A7E" w14:textId="77777777" w:rsidR="00D83C9C" w:rsidRDefault="00D83C9C" w:rsidP="00D83C9C">
    <w:pPr>
      <w:pStyle w:val="Glava"/>
      <w:tabs>
        <w:tab w:val="left" w:pos="5112"/>
      </w:tabs>
      <w:spacing w:before="120" w:line="240" w:lineRule="exact"/>
      <w:rPr>
        <w:rFonts w:cs="Arial"/>
        <w:sz w:val="16"/>
      </w:rPr>
    </w:pPr>
  </w:p>
  <w:p w14:paraId="104394A0" w14:textId="77777777" w:rsidR="00D83C9C" w:rsidRDefault="00D83C9C" w:rsidP="00D83C9C">
    <w:pPr>
      <w:pStyle w:val="Glava"/>
      <w:tabs>
        <w:tab w:val="left" w:pos="5112"/>
      </w:tabs>
      <w:spacing w:before="120" w:line="240" w:lineRule="exact"/>
      <w:rPr>
        <w:rFonts w:cs="Arial"/>
        <w:sz w:val="16"/>
      </w:rPr>
    </w:pPr>
  </w:p>
  <w:p w14:paraId="0BA9713B" w14:textId="77777777" w:rsidR="00D83C9C" w:rsidRDefault="00D83C9C" w:rsidP="00D83C9C">
    <w:pPr>
      <w:pStyle w:val="Glava"/>
      <w:tabs>
        <w:tab w:val="left" w:pos="5112"/>
      </w:tabs>
      <w:spacing w:before="120" w:line="240" w:lineRule="exact"/>
      <w:rPr>
        <w:rFonts w:cs="Arial"/>
        <w:sz w:val="16"/>
      </w:rPr>
    </w:pPr>
    <w:r>
      <w:rPr>
        <w:rFonts w:cs="Arial"/>
        <w:sz w:val="16"/>
      </w:rPr>
      <w:t xml:space="preserve">      </w:t>
    </w:r>
    <w:r>
      <w:rPr>
        <w:noProof/>
        <w:lang w:eastAsia="sl-SI"/>
      </w:rPr>
      <w:drawing>
        <wp:anchor distT="0" distB="0" distL="114300" distR="114300" simplePos="0" relativeHeight="251659264" behindDoc="0" locked="0" layoutInCell="1" allowOverlap="1" wp14:anchorId="662EA949" wp14:editId="597823DE">
          <wp:simplePos x="0" y="0"/>
          <wp:positionH relativeFrom="page">
            <wp:posOffset>0</wp:posOffset>
          </wp:positionH>
          <wp:positionV relativeFrom="page">
            <wp:posOffset>0</wp:posOffset>
          </wp:positionV>
          <wp:extent cx="4321810" cy="972185"/>
          <wp:effectExtent l="0" t="0" r="2540" b="0"/>
          <wp:wrapSquare wrapText="bothSides"/>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Gregorčičeva 20–25, Sl-1001 Ljubljana</w:t>
    </w:r>
    <w:r>
      <w:rPr>
        <w:rFonts w:cs="Arial"/>
        <w:sz w:val="16"/>
      </w:rPr>
      <w:tab/>
      <w:t xml:space="preserve">    T: +386 1 478 1000</w:t>
    </w:r>
  </w:p>
  <w:p w14:paraId="7E699343" w14:textId="77777777" w:rsidR="00D83C9C" w:rsidRDefault="00D83C9C" w:rsidP="00D83C9C">
    <w:pPr>
      <w:pStyle w:val="Glava"/>
      <w:tabs>
        <w:tab w:val="left" w:pos="5112"/>
      </w:tabs>
      <w:spacing w:line="240" w:lineRule="exact"/>
      <w:rPr>
        <w:rFonts w:cs="Arial"/>
        <w:sz w:val="16"/>
      </w:rPr>
    </w:pPr>
    <w:r>
      <w:rPr>
        <w:rFonts w:cs="Arial"/>
        <w:sz w:val="16"/>
      </w:rPr>
      <w:tab/>
      <w:t xml:space="preserve">     F: +386 1 478 1607</w:t>
    </w:r>
  </w:p>
  <w:p w14:paraId="33435F56" w14:textId="77777777" w:rsidR="00D83C9C" w:rsidRDefault="00D83C9C" w:rsidP="00D83C9C">
    <w:pPr>
      <w:pStyle w:val="Glava"/>
      <w:tabs>
        <w:tab w:val="left" w:pos="5112"/>
      </w:tabs>
      <w:spacing w:line="240" w:lineRule="exact"/>
      <w:rPr>
        <w:rFonts w:cs="Arial"/>
        <w:sz w:val="16"/>
      </w:rPr>
    </w:pPr>
    <w:r>
      <w:rPr>
        <w:rFonts w:cs="Arial"/>
        <w:sz w:val="16"/>
      </w:rPr>
      <w:tab/>
      <w:t>E: gp.gs@gov.si</w:t>
    </w:r>
  </w:p>
  <w:p w14:paraId="3AAD3298" w14:textId="77777777" w:rsidR="00D83C9C" w:rsidRDefault="00D83C9C" w:rsidP="00D83C9C">
    <w:pPr>
      <w:pStyle w:val="Glava"/>
      <w:tabs>
        <w:tab w:val="left" w:pos="5112"/>
      </w:tabs>
      <w:spacing w:line="240" w:lineRule="exact"/>
      <w:rPr>
        <w:rFonts w:cs="Arial"/>
        <w:sz w:val="16"/>
      </w:rPr>
    </w:pPr>
    <w:r>
      <w:rPr>
        <w:rFonts w:cs="Arial"/>
        <w:sz w:val="16"/>
      </w:rPr>
      <w:tab/>
      <w:t xml:space="preserve">      http://www.vlada.si/</w:t>
    </w:r>
  </w:p>
  <w:p w14:paraId="217ACE95" w14:textId="77777777" w:rsidR="001410F1" w:rsidRDefault="001410F1">
    <w:pPr>
      <w:pStyle w:val="Glava"/>
    </w:pPr>
  </w:p>
  <w:p w14:paraId="7F53EA0A" w14:textId="77777777" w:rsidR="001410F1" w:rsidRDefault="001410F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20D9"/>
    <w:multiLevelType w:val="hybridMultilevel"/>
    <w:tmpl w:val="8CBECD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50462A2"/>
    <w:multiLevelType w:val="hybridMultilevel"/>
    <w:tmpl w:val="92D2E638"/>
    <w:lvl w:ilvl="0" w:tplc="A9B86DB0">
      <w:start w:val="1"/>
      <w:numFmt w:val="decimal"/>
      <w:lvlText w:val="%1."/>
      <w:lvlJc w:val="left"/>
      <w:pPr>
        <w:ind w:left="644" w:hanging="360"/>
      </w:pPr>
      <w:rPr>
        <w:rFonts w:hint="default"/>
        <w:b/>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3DF0B48"/>
    <w:multiLevelType w:val="hybridMultilevel"/>
    <w:tmpl w:val="74BA6058"/>
    <w:lvl w:ilvl="0" w:tplc="6F06DD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62D01BD"/>
    <w:multiLevelType w:val="hybridMultilevel"/>
    <w:tmpl w:val="B70A7056"/>
    <w:lvl w:ilvl="0" w:tplc="F12CAD38">
      <w:start w:val="1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026D8B"/>
    <w:multiLevelType w:val="hybridMultilevel"/>
    <w:tmpl w:val="4874FC84"/>
    <w:lvl w:ilvl="0" w:tplc="76AC1A70">
      <w:start w:val="49"/>
      <w:numFmt w:val="bullet"/>
      <w:lvlText w:val=""/>
      <w:lvlJc w:val="left"/>
      <w:pPr>
        <w:ind w:left="681" w:hanging="360"/>
      </w:pPr>
      <w:rPr>
        <w:rFonts w:ascii="Symbol" w:eastAsia="Times New Roman" w:hAnsi="Symbol" w:cs="Times New Roman" w:hint="default"/>
      </w:rPr>
    </w:lvl>
    <w:lvl w:ilvl="1" w:tplc="04240003" w:tentative="1">
      <w:start w:val="1"/>
      <w:numFmt w:val="bullet"/>
      <w:lvlText w:val="o"/>
      <w:lvlJc w:val="left"/>
      <w:pPr>
        <w:ind w:left="1401" w:hanging="360"/>
      </w:pPr>
      <w:rPr>
        <w:rFonts w:ascii="Courier New" w:hAnsi="Courier New" w:cs="Courier New" w:hint="default"/>
      </w:rPr>
    </w:lvl>
    <w:lvl w:ilvl="2" w:tplc="04240005" w:tentative="1">
      <w:start w:val="1"/>
      <w:numFmt w:val="bullet"/>
      <w:lvlText w:val=""/>
      <w:lvlJc w:val="left"/>
      <w:pPr>
        <w:ind w:left="2121" w:hanging="360"/>
      </w:pPr>
      <w:rPr>
        <w:rFonts w:ascii="Wingdings" w:hAnsi="Wingdings" w:hint="default"/>
      </w:rPr>
    </w:lvl>
    <w:lvl w:ilvl="3" w:tplc="04240001" w:tentative="1">
      <w:start w:val="1"/>
      <w:numFmt w:val="bullet"/>
      <w:lvlText w:val=""/>
      <w:lvlJc w:val="left"/>
      <w:pPr>
        <w:ind w:left="2841" w:hanging="360"/>
      </w:pPr>
      <w:rPr>
        <w:rFonts w:ascii="Symbol" w:hAnsi="Symbol" w:hint="default"/>
      </w:rPr>
    </w:lvl>
    <w:lvl w:ilvl="4" w:tplc="04240003" w:tentative="1">
      <w:start w:val="1"/>
      <w:numFmt w:val="bullet"/>
      <w:lvlText w:val="o"/>
      <w:lvlJc w:val="left"/>
      <w:pPr>
        <w:ind w:left="3561" w:hanging="360"/>
      </w:pPr>
      <w:rPr>
        <w:rFonts w:ascii="Courier New" w:hAnsi="Courier New" w:cs="Courier New" w:hint="default"/>
      </w:rPr>
    </w:lvl>
    <w:lvl w:ilvl="5" w:tplc="04240005" w:tentative="1">
      <w:start w:val="1"/>
      <w:numFmt w:val="bullet"/>
      <w:lvlText w:val=""/>
      <w:lvlJc w:val="left"/>
      <w:pPr>
        <w:ind w:left="4281" w:hanging="360"/>
      </w:pPr>
      <w:rPr>
        <w:rFonts w:ascii="Wingdings" w:hAnsi="Wingdings" w:hint="default"/>
      </w:rPr>
    </w:lvl>
    <w:lvl w:ilvl="6" w:tplc="04240001" w:tentative="1">
      <w:start w:val="1"/>
      <w:numFmt w:val="bullet"/>
      <w:lvlText w:val=""/>
      <w:lvlJc w:val="left"/>
      <w:pPr>
        <w:ind w:left="5001" w:hanging="360"/>
      </w:pPr>
      <w:rPr>
        <w:rFonts w:ascii="Symbol" w:hAnsi="Symbol" w:hint="default"/>
      </w:rPr>
    </w:lvl>
    <w:lvl w:ilvl="7" w:tplc="04240003" w:tentative="1">
      <w:start w:val="1"/>
      <w:numFmt w:val="bullet"/>
      <w:lvlText w:val="o"/>
      <w:lvlJc w:val="left"/>
      <w:pPr>
        <w:ind w:left="5721" w:hanging="360"/>
      </w:pPr>
      <w:rPr>
        <w:rFonts w:ascii="Courier New" w:hAnsi="Courier New" w:cs="Courier New" w:hint="default"/>
      </w:rPr>
    </w:lvl>
    <w:lvl w:ilvl="8" w:tplc="04240005" w:tentative="1">
      <w:start w:val="1"/>
      <w:numFmt w:val="bullet"/>
      <w:lvlText w:val=""/>
      <w:lvlJc w:val="left"/>
      <w:pPr>
        <w:ind w:left="6441"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1958AB"/>
    <w:multiLevelType w:val="hybridMultilevel"/>
    <w:tmpl w:val="B3C62C30"/>
    <w:lvl w:ilvl="0" w:tplc="76AC1A70">
      <w:start w:val="49"/>
      <w:numFmt w:val="bullet"/>
      <w:lvlText w:val=""/>
      <w:lvlJc w:val="left"/>
      <w:pPr>
        <w:ind w:left="681" w:hanging="360"/>
      </w:pPr>
      <w:rPr>
        <w:rFonts w:ascii="Symbol" w:eastAsia="Times New Roman" w:hAnsi="Symbol" w:cs="Times New Roman" w:hint="default"/>
      </w:rPr>
    </w:lvl>
    <w:lvl w:ilvl="1" w:tplc="04240003" w:tentative="1">
      <w:start w:val="1"/>
      <w:numFmt w:val="bullet"/>
      <w:lvlText w:val="o"/>
      <w:lvlJc w:val="left"/>
      <w:pPr>
        <w:ind w:left="1401" w:hanging="360"/>
      </w:pPr>
      <w:rPr>
        <w:rFonts w:ascii="Courier New" w:hAnsi="Courier New" w:cs="Courier New" w:hint="default"/>
      </w:rPr>
    </w:lvl>
    <w:lvl w:ilvl="2" w:tplc="04240005" w:tentative="1">
      <w:start w:val="1"/>
      <w:numFmt w:val="bullet"/>
      <w:lvlText w:val=""/>
      <w:lvlJc w:val="left"/>
      <w:pPr>
        <w:ind w:left="2121" w:hanging="360"/>
      </w:pPr>
      <w:rPr>
        <w:rFonts w:ascii="Wingdings" w:hAnsi="Wingdings" w:hint="default"/>
      </w:rPr>
    </w:lvl>
    <w:lvl w:ilvl="3" w:tplc="04240001" w:tentative="1">
      <w:start w:val="1"/>
      <w:numFmt w:val="bullet"/>
      <w:lvlText w:val=""/>
      <w:lvlJc w:val="left"/>
      <w:pPr>
        <w:ind w:left="2841" w:hanging="360"/>
      </w:pPr>
      <w:rPr>
        <w:rFonts w:ascii="Symbol" w:hAnsi="Symbol" w:hint="default"/>
      </w:rPr>
    </w:lvl>
    <w:lvl w:ilvl="4" w:tplc="04240003" w:tentative="1">
      <w:start w:val="1"/>
      <w:numFmt w:val="bullet"/>
      <w:lvlText w:val="o"/>
      <w:lvlJc w:val="left"/>
      <w:pPr>
        <w:ind w:left="3561" w:hanging="360"/>
      </w:pPr>
      <w:rPr>
        <w:rFonts w:ascii="Courier New" w:hAnsi="Courier New" w:cs="Courier New" w:hint="default"/>
      </w:rPr>
    </w:lvl>
    <w:lvl w:ilvl="5" w:tplc="04240005" w:tentative="1">
      <w:start w:val="1"/>
      <w:numFmt w:val="bullet"/>
      <w:lvlText w:val=""/>
      <w:lvlJc w:val="left"/>
      <w:pPr>
        <w:ind w:left="4281" w:hanging="360"/>
      </w:pPr>
      <w:rPr>
        <w:rFonts w:ascii="Wingdings" w:hAnsi="Wingdings" w:hint="default"/>
      </w:rPr>
    </w:lvl>
    <w:lvl w:ilvl="6" w:tplc="04240001" w:tentative="1">
      <w:start w:val="1"/>
      <w:numFmt w:val="bullet"/>
      <w:lvlText w:val=""/>
      <w:lvlJc w:val="left"/>
      <w:pPr>
        <w:ind w:left="5001" w:hanging="360"/>
      </w:pPr>
      <w:rPr>
        <w:rFonts w:ascii="Symbol" w:hAnsi="Symbol" w:hint="default"/>
      </w:rPr>
    </w:lvl>
    <w:lvl w:ilvl="7" w:tplc="04240003" w:tentative="1">
      <w:start w:val="1"/>
      <w:numFmt w:val="bullet"/>
      <w:lvlText w:val="o"/>
      <w:lvlJc w:val="left"/>
      <w:pPr>
        <w:ind w:left="5721" w:hanging="360"/>
      </w:pPr>
      <w:rPr>
        <w:rFonts w:ascii="Courier New" w:hAnsi="Courier New" w:cs="Courier New" w:hint="default"/>
      </w:rPr>
    </w:lvl>
    <w:lvl w:ilvl="8" w:tplc="04240005" w:tentative="1">
      <w:start w:val="1"/>
      <w:numFmt w:val="bullet"/>
      <w:lvlText w:val=""/>
      <w:lvlJc w:val="left"/>
      <w:pPr>
        <w:ind w:left="6441" w:hanging="360"/>
      </w:pPr>
      <w:rPr>
        <w:rFonts w:ascii="Wingdings" w:hAnsi="Wingdings" w:hint="default"/>
      </w:rPr>
    </w:lvl>
  </w:abstractNum>
  <w:abstractNum w:abstractNumId="1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57934">
    <w:abstractNumId w:val="2"/>
  </w:num>
  <w:num w:numId="2" w16cid:durableId="1747799899">
    <w:abstractNumId w:val="8"/>
  </w:num>
  <w:num w:numId="3" w16cid:durableId="795828751">
    <w:abstractNumId w:val="9"/>
  </w:num>
  <w:num w:numId="4" w16cid:durableId="1210190513">
    <w:abstractNumId w:val="11"/>
  </w:num>
  <w:num w:numId="5" w16cid:durableId="682710573">
    <w:abstractNumId w:val="4"/>
  </w:num>
  <w:num w:numId="6" w16cid:durableId="1413118349">
    <w:abstractNumId w:val="3"/>
  </w:num>
  <w:num w:numId="7" w16cid:durableId="1169977545">
    <w:abstractNumId w:val="6"/>
  </w:num>
  <w:num w:numId="8" w16cid:durableId="838350017">
    <w:abstractNumId w:val="5"/>
  </w:num>
  <w:num w:numId="9" w16cid:durableId="329137465">
    <w:abstractNumId w:val="1"/>
  </w:num>
  <w:num w:numId="10" w16cid:durableId="1813711055">
    <w:abstractNumId w:val="0"/>
  </w:num>
  <w:num w:numId="11" w16cid:durableId="1556694270">
    <w:abstractNumId w:val="10"/>
  </w:num>
  <w:num w:numId="12" w16cid:durableId="1338076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82"/>
    <w:rsid w:val="00097974"/>
    <w:rsid w:val="000D7296"/>
    <w:rsid w:val="000F57D5"/>
    <w:rsid w:val="001410F1"/>
    <w:rsid w:val="00167466"/>
    <w:rsid w:val="001A55F3"/>
    <w:rsid w:val="001C3E3C"/>
    <w:rsid w:val="00275D99"/>
    <w:rsid w:val="002B68CC"/>
    <w:rsid w:val="002F1123"/>
    <w:rsid w:val="00356582"/>
    <w:rsid w:val="003B4314"/>
    <w:rsid w:val="005A171E"/>
    <w:rsid w:val="006560E4"/>
    <w:rsid w:val="008965B7"/>
    <w:rsid w:val="00A22895"/>
    <w:rsid w:val="00C83CA4"/>
    <w:rsid w:val="00D106A4"/>
    <w:rsid w:val="00D60629"/>
    <w:rsid w:val="00D71744"/>
    <w:rsid w:val="00D83C9C"/>
    <w:rsid w:val="00E07A05"/>
    <w:rsid w:val="00E6347E"/>
    <w:rsid w:val="00FB2D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B9E74C"/>
  <w15:chartTrackingRefBased/>
  <w15:docId w15:val="{4B1F1D3F-B968-44D5-B4A2-AAFBF4D2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6582"/>
    <w:pPr>
      <w:spacing w:after="0" w:line="260" w:lineRule="atLeast"/>
    </w:pPr>
    <w:rPr>
      <w:rFonts w:ascii="Arial" w:eastAsia="Times New Roman" w:hAnsi="Arial" w:cs="Times New Roman"/>
      <w:sz w:val="20"/>
      <w:szCs w:val="24"/>
    </w:rPr>
  </w:style>
  <w:style w:type="paragraph" w:styleId="Naslov2">
    <w:name w:val="heading 2"/>
    <w:basedOn w:val="Navaden"/>
    <w:link w:val="Naslov2Znak"/>
    <w:uiPriority w:val="9"/>
    <w:qFormat/>
    <w:rsid w:val="00E07A05"/>
    <w:pPr>
      <w:spacing w:before="100" w:beforeAutospacing="1" w:after="100" w:afterAutospacing="1" w:line="240" w:lineRule="auto"/>
      <w:outlineLvl w:val="1"/>
    </w:pPr>
    <w:rPr>
      <w:rFonts w:ascii="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56582"/>
    <w:pPr>
      <w:spacing w:line="240" w:lineRule="auto"/>
      <w:ind w:left="720"/>
    </w:pPr>
    <w:rPr>
      <w:rFonts w:ascii="Times New Roman" w:hAnsi="Times New Roman"/>
      <w:sz w:val="24"/>
      <w:lang w:eastAsia="sl-SI"/>
    </w:rPr>
  </w:style>
  <w:style w:type="paragraph" w:styleId="Glava">
    <w:name w:val="header"/>
    <w:basedOn w:val="Navaden"/>
    <w:link w:val="GlavaZnak"/>
    <w:unhideWhenUsed/>
    <w:rsid w:val="00356582"/>
    <w:pPr>
      <w:tabs>
        <w:tab w:val="center" w:pos="4536"/>
        <w:tab w:val="right" w:pos="9072"/>
      </w:tabs>
      <w:spacing w:line="240" w:lineRule="auto"/>
    </w:pPr>
  </w:style>
  <w:style w:type="character" w:customStyle="1" w:styleId="GlavaZnak">
    <w:name w:val="Glava Znak"/>
    <w:basedOn w:val="Privzetapisavaodstavka"/>
    <w:link w:val="Glava"/>
    <w:rsid w:val="00356582"/>
    <w:rPr>
      <w:rFonts w:ascii="Arial" w:eastAsia="Times New Roman" w:hAnsi="Arial" w:cs="Times New Roman"/>
      <w:sz w:val="20"/>
      <w:szCs w:val="24"/>
    </w:rPr>
  </w:style>
  <w:style w:type="paragraph" w:styleId="Noga">
    <w:name w:val="footer"/>
    <w:basedOn w:val="Navaden"/>
    <w:link w:val="NogaZnak"/>
    <w:uiPriority w:val="99"/>
    <w:unhideWhenUsed/>
    <w:rsid w:val="00356582"/>
    <w:pPr>
      <w:tabs>
        <w:tab w:val="center" w:pos="4536"/>
        <w:tab w:val="right" w:pos="9072"/>
      </w:tabs>
      <w:spacing w:line="240" w:lineRule="auto"/>
    </w:pPr>
  </w:style>
  <w:style w:type="character" w:customStyle="1" w:styleId="NogaZnak">
    <w:name w:val="Noga Znak"/>
    <w:basedOn w:val="Privzetapisavaodstavka"/>
    <w:link w:val="Noga"/>
    <w:uiPriority w:val="99"/>
    <w:rsid w:val="00356582"/>
    <w:rPr>
      <w:rFonts w:ascii="Arial" w:eastAsia="Times New Roman" w:hAnsi="Arial" w:cs="Times New Roman"/>
      <w:sz w:val="20"/>
      <w:szCs w:val="24"/>
    </w:rPr>
  </w:style>
  <w:style w:type="character" w:styleId="Hiperpovezava">
    <w:name w:val="Hyperlink"/>
    <w:rsid w:val="00356582"/>
    <w:rPr>
      <w:color w:val="0000FF"/>
      <w:u w:val="single"/>
    </w:rPr>
  </w:style>
  <w:style w:type="paragraph" w:customStyle="1" w:styleId="datumtevilka">
    <w:name w:val="datum številka"/>
    <w:basedOn w:val="Navaden"/>
    <w:qFormat/>
    <w:rsid w:val="00356582"/>
    <w:pPr>
      <w:tabs>
        <w:tab w:val="left" w:pos="1701"/>
      </w:tabs>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aslovpredpisaZnak">
    <w:name w:val="Naslov_predpisa Znak"/>
    <w:link w:val="Naslovpredpisa"/>
    <w:rsid w:val="00356582"/>
    <w:rPr>
      <w:rFonts w:ascii="Arial" w:hAnsi="Arial" w:cs="Arial"/>
      <w:b/>
    </w:rPr>
  </w:style>
  <w:style w:type="paragraph" w:customStyle="1" w:styleId="Naslovpredpisa">
    <w:name w:val="Naslov_predpisa"/>
    <w:basedOn w:val="Navaden"/>
    <w:link w:val="NaslovpredpisaZnak"/>
    <w:qFormat/>
    <w:rsid w:val="00356582"/>
    <w:pPr>
      <w:suppressAutoHyphens/>
      <w:overflowPunct w:val="0"/>
      <w:autoSpaceDE w:val="0"/>
      <w:autoSpaceDN w:val="0"/>
      <w:adjustRightInd w:val="0"/>
      <w:spacing w:before="120" w:after="160" w:line="200" w:lineRule="exact"/>
      <w:jc w:val="center"/>
    </w:pPr>
    <w:rPr>
      <w:rFonts w:eastAsiaTheme="minorHAnsi" w:cs="Arial"/>
      <w:b/>
      <w:sz w:val="22"/>
      <w:szCs w:val="22"/>
    </w:rPr>
  </w:style>
  <w:style w:type="paragraph" w:customStyle="1" w:styleId="Body">
    <w:name w:val="Body"/>
    <w:rsid w:val="00356582"/>
    <w:pPr>
      <w:suppressAutoHyphens/>
      <w:spacing w:after="180" w:line="312" w:lineRule="auto"/>
    </w:pPr>
    <w:rPr>
      <w:rFonts w:ascii="Helvetica Neue Light" w:eastAsia="ヒラギノ角ゴ Pro W3" w:hAnsi="Helvetica Neue Light" w:cs="Times New Roman"/>
      <w:color w:val="000000"/>
      <w:sz w:val="18"/>
      <w:szCs w:val="20"/>
      <w:lang w:val="en-US" w:eastAsia="fr-BE"/>
    </w:rPr>
  </w:style>
  <w:style w:type="paragraph" w:styleId="Besedilooblaka">
    <w:name w:val="Balloon Text"/>
    <w:basedOn w:val="Navaden"/>
    <w:link w:val="BesedilooblakaZnak"/>
    <w:uiPriority w:val="99"/>
    <w:semiHidden/>
    <w:unhideWhenUsed/>
    <w:rsid w:val="006560E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60E4"/>
    <w:rPr>
      <w:rFonts w:ascii="Segoe UI" w:eastAsia="Times New Roman" w:hAnsi="Segoe UI" w:cs="Segoe UI"/>
      <w:sz w:val="18"/>
      <w:szCs w:val="18"/>
    </w:rPr>
  </w:style>
  <w:style w:type="character" w:styleId="Krepko">
    <w:name w:val="Strong"/>
    <w:basedOn w:val="Privzetapisavaodstavka"/>
    <w:uiPriority w:val="22"/>
    <w:qFormat/>
    <w:rsid w:val="00E07A05"/>
    <w:rPr>
      <w:b/>
      <w:bCs/>
    </w:rPr>
  </w:style>
  <w:style w:type="character" w:customStyle="1" w:styleId="Nerazreenaomemba1">
    <w:name w:val="Nerazrešena omemba1"/>
    <w:basedOn w:val="Privzetapisavaodstavka"/>
    <w:uiPriority w:val="99"/>
    <w:semiHidden/>
    <w:unhideWhenUsed/>
    <w:rsid w:val="00E07A05"/>
    <w:rPr>
      <w:color w:val="605E5C"/>
      <w:shd w:val="clear" w:color="auto" w:fill="E1DFDD"/>
    </w:rPr>
  </w:style>
  <w:style w:type="character" w:customStyle="1" w:styleId="Naslov2Znak">
    <w:name w:val="Naslov 2 Znak"/>
    <w:basedOn w:val="Privzetapisavaodstavka"/>
    <w:link w:val="Naslov2"/>
    <w:uiPriority w:val="9"/>
    <w:rsid w:val="00E07A05"/>
    <w:rPr>
      <w:rFonts w:ascii="Times New Roman" w:eastAsia="Times New Roman" w:hAnsi="Times New Roman" w:cs="Times New Roman"/>
      <w:b/>
      <w:bCs/>
      <w:sz w:val="36"/>
      <w:szCs w:val="36"/>
      <w:lang w:eastAsia="sl-SI"/>
    </w:rPr>
  </w:style>
  <w:style w:type="paragraph" w:styleId="Sprotnaopomba-besedilo">
    <w:name w:val="footnote text"/>
    <w:basedOn w:val="Navaden"/>
    <w:link w:val="Sprotnaopomba-besediloZnak"/>
    <w:uiPriority w:val="99"/>
    <w:semiHidden/>
    <w:unhideWhenUsed/>
    <w:rsid w:val="00E07A05"/>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E07A05"/>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E07A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5118">
      <w:bodyDiv w:val="1"/>
      <w:marLeft w:val="0"/>
      <w:marRight w:val="0"/>
      <w:marTop w:val="0"/>
      <w:marBottom w:val="0"/>
      <w:divBdr>
        <w:top w:val="none" w:sz="0" w:space="0" w:color="auto"/>
        <w:left w:val="none" w:sz="0" w:space="0" w:color="auto"/>
        <w:bottom w:val="none" w:sz="0" w:space="0" w:color="auto"/>
        <w:right w:val="none" w:sz="0" w:space="0" w:color="auto"/>
      </w:divBdr>
    </w:div>
    <w:div w:id="10619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izvrsevanje-sodb-evropskega-sodisca-za-clovekove-pra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74E39F-B8AE-41DB-A0EF-5243D7E4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5812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Velič</dc:creator>
  <cp:keywords/>
  <dc:description/>
  <cp:lastModifiedBy>Simona Vučak</cp:lastModifiedBy>
  <cp:revision>2</cp:revision>
  <dcterms:created xsi:type="dcterms:W3CDTF">2023-06-07T10:43:00Z</dcterms:created>
  <dcterms:modified xsi:type="dcterms:W3CDTF">2023-06-07T10:43:00Z</dcterms:modified>
</cp:coreProperties>
</file>