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8466" w14:textId="0DF07E29"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76" w:lineRule="auto"/>
        <w:rPr>
          <w:rFonts w:ascii="Arial" w:hAnsi="Arial" w:cs="Arial"/>
          <w:spacing w:val="-3"/>
          <w:sz w:val="20"/>
        </w:rPr>
      </w:pPr>
      <w:bookmarkStart w:id="0" w:name="_Hlk109723280"/>
      <w:r w:rsidRPr="006B6E8C">
        <w:rPr>
          <w:rFonts w:ascii="Arial" w:hAnsi="Arial" w:cs="Arial"/>
          <w:spacing w:val="-3"/>
          <w:sz w:val="20"/>
        </w:rPr>
        <w:t xml:space="preserve">Na podlagi prvega odstavka 112. člena Zakona o državnem tožilstvu </w:t>
      </w:r>
      <w:r w:rsidRPr="006B6E8C">
        <w:rPr>
          <w:rFonts w:ascii="Arial" w:hAnsi="Arial" w:cs="Arial"/>
          <w:sz w:val="20"/>
          <w:shd w:val="clear" w:color="auto" w:fill="FFFFFF"/>
        </w:rPr>
        <w:t>(Uradni list RS, št.</w:t>
      </w:r>
      <w:r w:rsidRPr="006B6E8C">
        <w:rPr>
          <w:rFonts w:ascii="Arial" w:hAnsi="Arial" w:cs="Arial"/>
          <w:sz w:val="20"/>
        </w:rPr>
        <w:t> </w:t>
      </w:r>
      <w:hyperlink r:id="rId5" w:tgtFrame="_blank" w:tooltip="Zakon o državnem tožilstvu (ZDT-1)" w:history="1">
        <w:r w:rsidRPr="006B6E8C">
          <w:rPr>
            <w:rStyle w:val="Hiperpovezava"/>
            <w:rFonts w:ascii="Arial" w:hAnsi="Arial" w:cs="Arial"/>
            <w:color w:val="auto"/>
            <w:sz w:val="20"/>
            <w:u w:val="none"/>
          </w:rPr>
          <w:t>58/11</w:t>
        </w:r>
      </w:hyperlink>
      <w:r w:rsidRPr="006B6E8C">
        <w:rPr>
          <w:rFonts w:ascii="Arial" w:hAnsi="Arial" w:cs="Arial"/>
          <w:sz w:val="20"/>
        </w:rPr>
        <w:t>, </w:t>
      </w:r>
      <w:hyperlink r:id="rId6" w:tgtFrame="_blank" w:tooltip="Zakon o spremembah in dopolnitvah Zakona o državni upravi" w:history="1">
        <w:r w:rsidRPr="006B6E8C">
          <w:rPr>
            <w:rStyle w:val="Hiperpovezava"/>
            <w:rFonts w:ascii="Arial" w:hAnsi="Arial" w:cs="Arial"/>
            <w:color w:val="auto"/>
            <w:sz w:val="20"/>
            <w:u w:val="none"/>
          </w:rPr>
          <w:t>21/12</w:t>
        </w:r>
      </w:hyperlink>
      <w:r w:rsidRPr="006B6E8C">
        <w:rPr>
          <w:rFonts w:ascii="Arial" w:hAnsi="Arial" w:cs="Arial"/>
          <w:sz w:val="20"/>
        </w:rPr>
        <w:t> – ZDU-1F, </w:t>
      </w:r>
      <w:r>
        <w:rPr>
          <w:rFonts w:ascii="Arial" w:hAnsi="Arial" w:cs="Arial"/>
          <w:sz w:val="20"/>
        </w:rPr>
        <w:t xml:space="preserve"> </w:t>
      </w:r>
      <w:hyperlink r:id="rId7" w:tgtFrame="_blank" w:tooltip="Zakon o spremembah in dopolnitvah Zakona o državnem tožilstvu" w:history="1">
        <w:r w:rsidRPr="006B6E8C">
          <w:rPr>
            <w:rStyle w:val="Hiperpovezava"/>
            <w:rFonts w:ascii="Arial" w:hAnsi="Arial" w:cs="Arial"/>
            <w:color w:val="auto"/>
            <w:sz w:val="20"/>
            <w:u w:val="none"/>
          </w:rPr>
          <w:t>47/12</w:t>
        </w:r>
      </w:hyperlink>
      <w:r w:rsidRPr="006B6E8C">
        <w:rPr>
          <w:rFonts w:ascii="Arial" w:hAnsi="Arial" w:cs="Arial"/>
          <w:sz w:val="20"/>
        </w:rPr>
        <w:t>, </w:t>
      </w:r>
      <w:r>
        <w:rPr>
          <w:rFonts w:ascii="Arial" w:hAnsi="Arial" w:cs="Arial"/>
          <w:sz w:val="20"/>
        </w:rPr>
        <w:t xml:space="preserve">  </w:t>
      </w:r>
      <w:hyperlink r:id="rId8" w:tgtFrame="_blank" w:tooltip="Zakon o organiziranosti in delu v policiji" w:history="1">
        <w:r w:rsidRPr="006B6E8C">
          <w:rPr>
            <w:rStyle w:val="Hiperpovezava"/>
            <w:rFonts w:ascii="Arial" w:hAnsi="Arial" w:cs="Arial"/>
            <w:color w:val="auto"/>
            <w:sz w:val="20"/>
            <w:u w:val="none"/>
          </w:rPr>
          <w:t>15/13</w:t>
        </w:r>
      </w:hyperlink>
      <w:r>
        <w:rPr>
          <w:rFonts w:ascii="Arial" w:hAnsi="Arial" w:cs="Arial"/>
          <w:sz w:val="20"/>
        </w:rPr>
        <w:t xml:space="preserve"> </w:t>
      </w:r>
      <w:r w:rsidRPr="006B6E8C">
        <w:rPr>
          <w:rFonts w:ascii="Arial" w:hAnsi="Arial" w:cs="Arial"/>
          <w:sz w:val="20"/>
        </w:rPr>
        <w:t> –</w:t>
      </w:r>
      <w:r>
        <w:rPr>
          <w:rFonts w:ascii="Arial" w:hAnsi="Arial" w:cs="Arial"/>
          <w:sz w:val="20"/>
        </w:rPr>
        <w:t xml:space="preserve"> </w:t>
      </w:r>
      <w:proofErr w:type="spellStart"/>
      <w:r w:rsidRPr="006B6E8C">
        <w:rPr>
          <w:rFonts w:ascii="Arial" w:hAnsi="Arial" w:cs="Arial"/>
          <w:sz w:val="20"/>
        </w:rPr>
        <w:t>ZODPol</w:t>
      </w:r>
      <w:proofErr w:type="spellEnd"/>
      <w:r w:rsidRPr="006B6E8C">
        <w:rPr>
          <w:rFonts w:ascii="Arial" w:hAnsi="Arial" w:cs="Arial"/>
          <w:sz w:val="20"/>
        </w:rPr>
        <w:t>, </w:t>
      </w:r>
      <w:hyperlink r:id="rId9" w:tgtFrame="_blank" w:tooltip="Zakon o spremembah in dopolnitvah Zakona o državni upravi" w:history="1">
        <w:r w:rsidRPr="006B6E8C">
          <w:rPr>
            <w:rStyle w:val="Hiperpovezava"/>
            <w:rFonts w:ascii="Arial" w:hAnsi="Arial" w:cs="Arial"/>
            <w:color w:val="auto"/>
            <w:sz w:val="20"/>
            <w:u w:val="none"/>
          </w:rPr>
          <w:t>47/13</w:t>
        </w:r>
      </w:hyperlink>
      <w:r w:rsidRPr="006B6E8C">
        <w:rPr>
          <w:rFonts w:ascii="Arial" w:hAnsi="Arial" w:cs="Arial"/>
          <w:sz w:val="20"/>
        </w:rPr>
        <w:t> – ZDU-1G, </w:t>
      </w:r>
      <w:hyperlink r:id="rId10" w:tgtFrame="_blank" w:tooltip="Zakon o sodelovanju v kazenskih zadevah z državami članicami Evropske unije" w:history="1">
        <w:r w:rsidRPr="006B6E8C">
          <w:rPr>
            <w:rStyle w:val="Hiperpovezava"/>
            <w:rFonts w:ascii="Arial" w:hAnsi="Arial" w:cs="Arial"/>
            <w:color w:val="auto"/>
            <w:sz w:val="20"/>
            <w:u w:val="none"/>
          </w:rPr>
          <w:t>48/13</w:t>
        </w:r>
      </w:hyperlink>
      <w:r w:rsidRPr="006B6E8C">
        <w:rPr>
          <w:rFonts w:ascii="Arial" w:hAnsi="Arial" w:cs="Arial"/>
          <w:sz w:val="20"/>
        </w:rPr>
        <w:t> – ZSKZDČEU-1, </w:t>
      </w:r>
      <w:hyperlink r:id="rId11" w:tgtFrame="_blank" w:tooltip="Zakon o spremembah in dopolnitvah Zakona o državnem tožilstvu" w:history="1">
        <w:r w:rsidRPr="006B6E8C">
          <w:rPr>
            <w:rStyle w:val="Hiperpovezava"/>
            <w:rFonts w:ascii="Arial" w:hAnsi="Arial" w:cs="Arial"/>
            <w:color w:val="auto"/>
            <w:sz w:val="20"/>
            <w:u w:val="none"/>
          </w:rPr>
          <w:t>19/15</w:t>
        </w:r>
      </w:hyperlink>
      <w:r w:rsidRPr="006B6E8C">
        <w:rPr>
          <w:rFonts w:ascii="Arial" w:hAnsi="Arial" w:cs="Arial"/>
          <w:sz w:val="20"/>
        </w:rPr>
        <w:t>, </w:t>
      </w:r>
      <w:hyperlink r:id="rId12" w:tgtFrame="_blank" w:tooltip="Zakon o sodnem svetu" w:history="1">
        <w:r w:rsidRPr="006B6E8C">
          <w:rPr>
            <w:rStyle w:val="Hiperpovezava"/>
            <w:rFonts w:ascii="Arial" w:hAnsi="Arial" w:cs="Arial"/>
            <w:color w:val="auto"/>
            <w:sz w:val="20"/>
            <w:u w:val="none"/>
          </w:rPr>
          <w:t>23/17</w:t>
        </w:r>
      </w:hyperlink>
      <w:r w:rsidRPr="006B6E8C">
        <w:rPr>
          <w:rFonts w:ascii="Arial" w:hAnsi="Arial" w:cs="Arial"/>
          <w:sz w:val="20"/>
        </w:rPr>
        <w:t xml:space="preserve"> – </w:t>
      </w:r>
      <w:proofErr w:type="spellStart"/>
      <w:r w:rsidRPr="006B6E8C">
        <w:rPr>
          <w:rFonts w:ascii="Arial" w:hAnsi="Arial" w:cs="Arial"/>
          <w:sz w:val="20"/>
        </w:rPr>
        <w:t>ZSSve</w:t>
      </w:r>
      <w:proofErr w:type="spellEnd"/>
      <w:r w:rsidRPr="006B6E8C">
        <w:rPr>
          <w:rFonts w:ascii="Arial" w:hAnsi="Arial" w:cs="Arial"/>
          <w:sz w:val="20"/>
        </w:rPr>
        <w:t>, </w:t>
      </w:r>
      <w:hyperlink r:id="rId13" w:tgtFrame="_blank" w:tooltip="Zakon o spremembah in dopolnitvah Zakona o državnem tožilstvu" w:history="1">
        <w:r w:rsidRPr="006B6E8C">
          <w:rPr>
            <w:rStyle w:val="Hiperpovezava"/>
            <w:rFonts w:ascii="Arial" w:hAnsi="Arial" w:cs="Arial"/>
            <w:color w:val="auto"/>
            <w:sz w:val="20"/>
            <w:u w:val="none"/>
          </w:rPr>
          <w:t>36/19</w:t>
        </w:r>
      </w:hyperlink>
      <w:r w:rsidRPr="006B6E8C">
        <w:rPr>
          <w:rFonts w:ascii="Arial" w:hAnsi="Arial" w:cs="Arial"/>
          <w:sz w:val="20"/>
        </w:rPr>
        <w:t>, </w:t>
      </w:r>
      <w:hyperlink r:id="rId14" w:tgtFrame="_blank" w:tooltip="Zakon o spremembah in dopolnitvah Zakona o državnem tožilstvu" w:history="1">
        <w:r w:rsidRPr="006B6E8C">
          <w:rPr>
            <w:rStyle w:val="Hiperpovezava"/>
            <w:rFonts w:ascii="Arial" w:hAnsi="Arial" w:cs="Arial"/>
            <w:color w:val="auto"/>
            <w:sz w:val="20"/>
            <w:u w:val="none"/>
          </w:rPr>
          <w:t>139/20</w:t>
        </w:r>
      </w:hyperlink>
      <w:r w:rsidRPr="006B6E8C">
        <w:rPr>
          <w:rFonts w:ascii="Arial" w:hAnsi="Arial" w:cs="Arial"/>
          <w:sz w:val="20"/>
        </w:rPr>
        <w:t>, </w:t>
      </w:r>
      <w:hyperlink r:id="rId15" w:tgtFrame="_blank" w:tooltip="Zakon o spremembah in dopolnitvah Zakona o državnem tožilstvu" w:history="1">
        <w:r w:rsidRPr="006B6E8C">
          <w:rPr>
            <w:rStyle w:val="Hiperpovezava"/>
            <w:rFonts w:ascii="Arial" w:hAnsi="Arial" w:cs="Arial"/>
            <w:color w:val="auto"/>
            <w:sz w:val="20"/>
            <w:u w:val="none"/>
          </w:rPr>
          <w:t>54/21</w:t>
        </w:r>
      </w:hyperlink>
      <w:r w:rsidRPr="006B6E8C">
        <w:rPr>
          <w:rFonts w:ascii="Arial" w:hAnsi="Arial" w:cs="Arial"/>
          <w:sz w:val="20"/>
        </w:rPr>
        <w:t> in </w:t>
      </w:r>
      <w:hyperlink r:id="rId16" w:tgtFrame="_blank" w:tooltip="Zakon za zmanjšanje neenakosti in škodljivih posegov politike ter zagotavljanje spoštovanja pravne države" w:history="1">
        <w:r w:rsidRPr="006B6E8C">
          <w:rPr>
            <w:rStyle w:val="Hiperpovezava"/>
            <w:rFonts w:ascii="Arial" w:hAnsi="Arial" w:cs="Arial"/>
            <w:color w:val="auto"/>
            <w:sz w:val="20"/>
            <w:u w:val="none"/>
          </w:rPr>
          <w:t>105/22</w:t>
        </w:r>
      </w:hyperlink>
      <w:r w:rsidRPr="006B6E8C">
        <w:rPr>
          <w:rFonts w:ascii="Arial" w:hAnsi="Arial" w:cs="Arial"/>
          <w:sz w:val="20"/>
        </w:rPr>
        <w:t xml:space="preserve"> – ZZNŠPP; v nadaljnjem besedilu: ZDT-1) </w:t>
      </w:r>
      <w:r w:rsidRPr="006B6E8C">
        <w:rPr>
          <w:rFonts w:ascii="Arial" w:hAnsi="Arial" w:cs="Arial"/>
          <w:spacing w:val="-3"/>
          <w:sz w:val="20"/>
        </w:rPr>
        <w:t>Ministrstvo za pravosodje po uradni dolžnosti</w:t>
      </w:r>
    </w:p>
    <w:p w14:paraId="12E62775" w14:textId="77777777" w:rsidR="006B6E8C" w:rsidRPr="006B6E8C" w:rsidRDefault="006B6E8C" w:rsidP="006B6E8C">
      <w:pPr>
        <w:spacing w:line="276" w:lineRule="auto"/>
        <w:rPr>
          <w:rFonts w:ascii="Arial" w:hAnsi="Arial" w:cs="Arial"/>
          <w:spacing w:val="-3"/>
          <w:sz w:val="20"/>
        </w:rPr>
      </w:pPr>
    </w:p>
    <w:p w14:paraId="22846449" w14:textId="77777777" w:rsidR="006B6E8C" w:rsidRPr="006B6E8C" w:rsidRDefault="006B6E8C" w:rsidP="006B6E8C">
      <w:pPr>
        <w:spacing w:line="276" w:lineRule="auto"/>
        <w:rPr>
          <w:rFonts w:ascii="Arial" w:hAnsi="Arial" w:cs="Arial"/>
          <w:spacing w:val="-3"/>
          <w:sz w:val="20"/>
        </w:rPr>
      </w:pPr>
    </w:p>
    <w:p w14:paraId="4C080183" w14:textId="77777777" w:rsidR="006B6E8C" w:rsidRPr="006B6E8C" w:rsidRDefault="006B6E8C" w:rsidP="006B6E8C">
      <w:pPr>
        <w:spacing w:line="276" w:lineRule="auto"/>
        <w:rPr>
          <w:rFonts w:ascii="Arial" w:hAnsi="Arial" w:cs="Arial"/>
          <w:spacing w:val="-3"/>
          <w:sz w:val="20"/>
        </w:rPr>
      </w:pPr>
    </w:p>
    <w:p w14:paraId="6A2ED2E2" w14:textId="77777777" w:rsidR="006B6E8C" w:rsidRPr="006B6E8C" w:rsidRDefault="006B6E8C" w:rsidP="006B6E8C">
      <w:pPr>
        <w:spacing w:line="276" w:lineRule="auto"/>
        <w:jc w:val="center"/>
        <w:rPr>
          <w:rFonts w:ascii="Arial" w:hAnsi="Arial" w:cs="Arial"/>
          <w:spacing w:val="-3"/>
          <w:sz w:val="20"/>
        </w:rPr>
      </w:pPr>
      <w:r w:rsidRPr="006B6E8C">
        <w:rPr>
          <w:rFonts w:ascii="Arial" w:hAnsi="Arial" w:cs="Arial"/>
          <w:spacing w:val="-3"/>
          <w:sz w:val="20"/>
        </w:rPr>
        <w:t>R  A  Z  P  I  S  U  J  E</w:t>
      </w:r>
    </w:p>
    <w:p w14:paraId="215D0F35" w14:textId="77777777" w:rsidR="006B6E8C" w:rsidRPr="006B6E8C" w:rsidRDefault="006B6E8C" w:rsidP="006B6E8C">
      <w:pPr>
        <w:spacing w:line="276" w:lineRule="auto"/>
        <w:jc w:val="center"/>
        <w:rPr>
          <w:rFonts w:ascii="Arial" w:hAnsi="Arial" w:cs="Arial"/>
          <w:spacing w:val="-3"/>
          <w:sz w:val="20"/>
        </w:rPr>
      </w:pPr>
    </w:p>
    <w:p w14:paraId="0A1D1556" w14:textId="77777777" w:rsidR="006B6E8C" w:rsidRPr="006B6E8C" w:rsidRDefault="006B6E8C" w:rsidP="006B6E8C">
      <w:pPr>
        <w:spacing w:line="276" w:lineRule="auto"/>
        <w:rPr>
          <w:rFonts w:ascii="Arial" w:hAnsi="Arial" w:cs="Arial"/>
          <w:spacing w:val="-3"/>
          <w:sz w:val="20"/>
        </w:rPr>
      </w:pPr>
    </w:p>
    <w:p w14:paraId="18C836BF" w14:textId="77777777" w:rsidR="006B6E8C" w:rsidRPr="006B6E8C" w:rsidRDefault="006B6E8C" w:rsidP="006B6E8C">
      <w:pPr>
        <w:spacing w:line="276" w:lineRule="auto"/>
        <w:jc w:val="center"/>
        <w:rPr>
          <w:rFonts w:ascii="Arial" w:hAnsi="Arial" w:cs="Arial"/>
          <w:spacing w:val="-3"/>
          <w:sz w:val="20"/>
        </w:rPr>
      </w:pPr>
      <w:r w:rsidRPr="006B6E8C">
        <w:rPr>
          <w:rFonts w:ascii="Arial" w:hAnsi="Arial" w:cs="Arial"/>
          <w:spacing w:val="-3"/>
          <w:sz w:val="20"/>
        </w:rPr>
        <w:t>prosto mesto generalnega državnega tožilca</w:t>
      </w:r>
    </w:p>
    <w:bookmarkEnd w:id="0"/>
    <w:p w14:paraId="53E90132" w14:textId="77777777" w:rsidR="006B6E8C" w:rsidRPr="006B6E8C" w:rsidRDefault="006B6E8C" w:rsidP="006B6E8C">
      <w:pPr>
        <w:spacing w:line="276" w:lineRule="auto"/>
        <w:rPr>
          <w:rFonts w:ascii="Arial" w:hAnsi="Arial" w:cs="Arial"/>
          <w:spacing w:val="-3"/>
          <w:sz w:val="20"/>
        </w:rPr>
      </w:pPr>
    </w:p>
    <w:p w14:paraId="2CDFC3C4" w14:textId="77777777" w:rsidR="006B6E8C" w:rsidRPr="006B6E8C" w:rsidRDefault="006B6E8C" w:rsidP="006B6E8C">
      <w:pPr>
        <w:spacing w:line="276" w:lineRule="auto"/>
        <w:rPr>
          <w:rFonts w:ascii="Arial" w:hAnsi="Arial" w:cs="Arial"/>
          <w:spacing w:val="-3"/>
          <w:sz w:val="20"/>
        </w:rPr>
      </w:pPr>
    </w:p>
    <w:p w14:paraId="1F65FF8F" w14:textId="77777777" w:rsidR="006B6E8C" w:rsidRPr="006B6E8C" w:rsidRDefault="006B6E8C" w:rsidP="006B6E8C">
      <w:pPr>
        <w:spacing w:line="276" w:lineRule="auto"/>
        <w:rPr>
          <w:rFonts w:ascii="Arial" w:hAnsi="Arial" w:cs="Arial"/>
          <w:spacing w:val="-3"/>
          <w:sz w:val="20"/>
        </w:rPr>
      </w:pPr>
      <w:r w:rsidRPr="006B6E8C">
        <w:rPr>
          <w:rFonts w:ascii="Arial" w:hAnsi="Arial" w:cs="Arial"/>
          <w:spacing w:val="-3"/>
          <w:sz w:val="20"/>
        </w:rPr>
        <w:t>RAZPISNI POGOJI:</w:t>
      </w:r>
    </w:p>
    <w:p w14:paraId="2709E41F"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41814491"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r w:rsidRPr="006B6E8C">
        <w:rPr>
          <w:rFonts w:ascii="Arial" w:hAnsi="Arial" w:cs="Arial"/>
          <w:spacing w:val="-3"/>
          <w:sz w:val="20"/>
        </w:rPr>
        <w:t>V skladu s tretjim odstavkom 111. člena ZDT-1 je za generalnega državnega tožilca lahko imenovan državni tožilec, ki je ob prijavi mlajši od 64 let in izpolnjuje pogoje za imenovanje v naziv vrhovnega državnega tožilca.</w:t>
      </w:r>
    </w:p>
    <w:p w14:paraId="17303736"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2FC2BF80"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5D3963C5" w14:textId="77777777" w:rsidR="006B6E8C" w:rsidRPr="006B6E8C" w:rsidRDefault="006B6E8C" w:rsidP="006B6E8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hAnsi="Arial" w:cs="Arial"/>
          <w:spacing w:val="-3"/>
          <w:sz w:val="20"/>
        </w:rPr>
      </w:pPr>
      <w:r w:rsidRPr="006B6E8C">
        <w:rPr>
          <w:rFonts w:ascii="Arial" w:hAnsi="Arial" w:cs="Arial"/>
          <w:spacing w:val="-3"/>
          <w:sz w:val="20"/>
        </w:rPr>
        <w:t xml:space="preserve">Kandidati morajo prijavi priložiti: </w:t>
      </w:r>
    </w:p>
    <w:p w14:paraId="7DB56756" w14:textId="77777777" w:rsidR="006B6E8C" w:rsidRPr="006B6E8C" w:rsidRDefault="006B6E8C" w:rsidP="006B6E8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hAnsi="Arial" w:cs="Arial"/>
          <w:spacing w:val="-3"/>
          <w:sz w:val="20"/>
        </w:rPr>
      </w:pPr>
    </w:p>
    <w:p w14:paraId="334A483A" w14:textId="77777777" w:rsidR="006B6E8C" w:rsidRPr="006B6E8C" w:rsidRDefault="006B6E8C" w:rsidP="006B6E8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hanging="720"/>
        <w:rPr>
          <w:rFonts w:ascii="Arial" w:hAnsi="Arial" w:cs="Arial"/>
          <w:spacing w:val="-3"/>
          <w:sz w:val="20"/>
        </w:rPr>
      </w:pPr>
      <w:r w:rsidRPr="006B6E8C">
        <w:rPr>
          <w:rFonts w:ascii="Arial" w:hAnsi="Arial" w:cs="Arial"/>
          <w:spacing w:val="-3"/>
          <w:sz w:val="20"/>
        </w:rPr>
        <w:t>življenjepis z opisom svoje strokovne dejavnosti;</w:t>
      </w:r>
    </w:p>
    <w:p w14:paraId="43C1A7D2" w14:textId="77777777" w:rsidR="006B6E8C" w:rsidRPr="006B6E8C" w:rsidRDefault="006B6E8C" w:rsidP="006B6E8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hanging="720"/>
        <w:rPr>
          <w:rFonts w:ascii="Arial" w:hAnsi="Arial" w:cs="Arial"/>
          <w:spacing w:val="-3"/>
          <w:sz w:val="20"/>
        </w:rPr>
      </w:pPr>
    </w:p>
    <w:p w14:paraId="774FF974" w14:textId="77777777" w:rsidR="006B6E8C" w:rsidRPr="006B6E8C" w:rsidRDefault="006B6E8C" w:rsidP="006B6E8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hanging="720"/>
        <w:rPr>
          <w:rFonts w:ascii="Arial" w:hAnsi="Arial" w:cs="Arial"/>
          <w:spacing w:val="-3"/>
          <w:sz w:val="20"/>
        </w:rPr>
      </w:pPr>
      <w:r w:rsidRPr="006B6E8C">
        <w:rPr>
          <w:rFonts w:ascii="Arial" w:hAnsi="Arial" w:cs="Arial"/>
          <w:spacing w:val="-3"/>
          <w:sz w:val="20"/>
        </w:rPr>
        <w:t>šestletni strateški program dela državnega tožilstva, ki mora, skladno s četrtim odstavkom 112. člena ZDT-1, vsebovati zlasti oceno stanja na državnem tožilstvu, oceno tveganj in priložnosti za izboljšanje njegovega delovanja, način oblikovanja in izenačevanja politike pregona, področja prednostnega obravnavanja zadev, način zagotavljanja javnosti in preglednosti dela ter navedbo ukrepov in rokov za dosego ciljev;</w:t>
      </w:r>
    </w:p>
    <w:p w14:paraId="5221D2FF" w14:textId="77777777" w:rsidR="006B6E8C" w:rsidRPr="006B6E8C" w:rsidRDefault="006B6E8C" w:rsidP="006B6E8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hanging="720"/>
        <w:rPr>
          <w:rFonts w:ascii="Arial" w:hAnsi="Arial" w:cs="Arial"/>
          <w:spacing w:val="-3"/>
          <w:sz w:val="20"/>
        </w:rPr>
      </w:pPr>
    </w:p>
    <w:p w14:paraId="76A86437" w14:textId="77777777" w:rsidR="006B6E8C" w:rsidRPr="006B6E8C" w:rsidRDefault="006B6E8C" w:rsidP="006B6E8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hanging="720"/>
        <w:rPr>
          <w:rFonts w:ascii="Arial" w:hAnsi="Arial" w:cs="Arial"/>
          <w:spacing w:val="-3"/>
          <w:sz w:val="20"/>
        </w:rPr>
      </w:pPr>
      <w:r w:rsidRPr="006B6E8C">
        <w:rPr>
          <w:rFonts w:ascii="Arial" w:hAnsi="Arial" w:cs="Arial"/>
          <w:spacing w:val="-3"/>
          <w:sz w:val="20"/>
        </w:rPr>
        <w:t xml:space="preserve">dokazila, ki izkazujejo izpolnjevanje pogojev iz tretjega odstavka 111. člena ZDT-1. </w:t>
      </w:r>
    </w:p>
    <w:p w14:paraId="35197B2E" w14:textId="77777777" w:rsidR="006B6E8C" w:rsidRPr="006B6E8C" w:rsidRDefault="006B6E8C" w:rsidP="006B6E8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rFonts w:ascii="Arial" w:hAnsi="Arial" w:cs="Arial"/>
          <w:spacing w:val="-3"/>
          <w:sz w:val="20"/>
        </w:rPr>
      </w:pPr>
    </w:p>
    <w:p w14:paraId="2D976E73" w14:textId="77777777" w:rsidR="006B6E8C" w:rsidRPr="006B6E8C" w:rsidRDefault="006B6E8C" w:rsidP="006B6E8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rFonts w:ascii="Arial" w:hAnsi="Arial" w:cs="Arial"/>
          <w:spacing w:val="-3"/>
          <w:sz w:val="20"/>
        </w:rPr>
      </w:pPr>
    </w:p>
    <w:p w14:paraId="25750A58"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r w:rsidRPr="006B6E8C">
        <w:rPr>
          <w:rFonts w:ascii="Arial" w:hAnsi="Arial" w:cs="Arial"/>
          <w:spacing w:val="-3"/>
          <w:sz w:val="20"/>
        </w:rPr>
        <w:t xml:space="preserve">Skladno s prvim odstavkom 111. člena ZDT-1 generalnega državnega tožilca imenuje Državni zbor Republike Slovenije na obrazložen predlog </w:t>
      </w:r>
      <w:proofErr w:type="spellStart"/>
      <w:r w:rsidRPr="006B6E8C">
        <w:rPr>
          <w:rFonts w:ascii="Arial" w:hAnsi="Arial" w:cs="Arial"/>
          <w:spacing w:val="-3"/>
          <w:sz w:val="20"/>
        </w:rPr>
        <w:t>Državnotožilskega</w:t>
      </w:r>
      <w:proofErr w:type="spellEnd"/>
      <w:r w:rsidRPr="006B6E8C">
        <w:rPr>
          <w:rFonts w:ascii="Arial" w:hAnsi="Arial" w:cs="Arial"/>
          <w:spacing w:val="-3"/>
          <w:sz w:val="20"/>
        </w:rPr>
        <w:t xml:space="preserve"> sveta po predhodni pridobitvi mnenja Vlade Republike Slovenije za šest let z možnostjo ponovnega imenovanja.</w:t>
      </w:r>
    </w:p>
    <w:p w14:paraId="161AA046"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168349CA"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r w:rsidRPr="006B6E8C">
        <w:rPr>
          <w:rFonts w:ascii="Arial" w:hAnsi="Arial" w:cs="Arial"/>
          <w:spacing w:val="-3"/>
          <w:sz w:val="20"/>
        </w:rPr>
        <w:t>Pisne prijave sprejema Ministrstvo za pravosodje, Župančičeva 3, Ljubljana, 30 dni po objavi razpisa v Uradnem listu Republike Slovenije.</w:t>
      </w:r>
    </w:p>
    <w:p w14:paraId="45B2923D"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6EA10F6A"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33D94CDF"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3266C820"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spacing w:line="276" w:lineRule="auto"/>
        <w:rPr>
          <w:rFonts w:ascii="Arial" w:hAnsi="Arial" w:cs="Arial"/>
          <w:spacing w:val="-3"/>
          <w:sz w:val="20"/>
        </w:rPr>
      </w:pPr>
    </w:p>
    <w:p w14:paraId="2C18478C" w14:textId="77777777" w:rsidR="006B6E8C" w:rsidRPr="006B6E8C" w:rsidRDefault="006B6E8C" w:rsidP="006B6E8C">
      <w:pPr>
        <w:spacing w:line="276" w:lineRule="auto"/>
        <w:rPr>
          <w:rFonts w:ascii="Arial" w:hAnsi="Arial" w:cs="Arial"/>
          <w:spacing w:val="-3"/>
          <w:sz w:val="20"/>
        </w:rPr>
      </w:pPr>
    </w:p>
    <w:p w14:paraId="3A7D8A1F" w14:textId="77777777" w:rsidR="006B6E8C" w:rsidRPr="006B6E8C" w:rsidRDefault="006B6E8C" w:rsidP="006B6E8C">
      <w:pPr>
        <w:spacing w:line="276" w:lineRule="auto"/>
        <w:ind w:left="5040"/>
        <w:rPr>
          <w:rFonts w:ascii="Arial" w:hAnsi="Arial" w:cs="Arial"/>
          <w:spacing w:val="-3"/>
          <w:sz w:val="20"/>
        </w:rPr>
      </w:pPr>
      <w:r w:rsidRPr="006B6E8C">
        <w:rPr>
          <w:rFonts w:ascii="Arial" w:hAnsi="Arial" w:cs="Arial"/>
          <w:spacing w:val="-3"/>
          <w:sz w:val="20"/>
        </w:rPr>
        <w:t>Ministrstvo za pravosodje</w:t>
      </w:r>
    </w:p>
    <w:p w14:paraId="7D288CF1"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rPr>
          <w:rFonts w:ascii="Arial" w:hAnsi="Arial" w:cs="Arial"/>
          <w:spacing w:val="-3"/>
          <w:sz w:val="20"/>
        </w:rPr>
      </w:pPr>
    </w:p>
    <w:p w14:paraId="17B3F6E9" w14:textId="77777777" w:rsidR="006B6E8C" w:rsidRPr="006B6E8C" w:rsidRDefault="006B6E8C" w:rsidP="006B6E8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uppressAutoHyphens/>
        <w:rPr>
          <w:rFonts w:ascii="Arial" w:hAnsi="Arial" w:cs="Arial"/>
          <w:spacing w:val="-3"/>
          <w:sz w:val="20"/>
        </w:rPr>
      </w:pPr>
    </w:p>
    <w:p w14:paraId="469A5B12" w14:textId="77777777" w:rsidR="00393B77" w:rsidRDefault="00393B77"/>
    <w:sectPr w:rsidR="0039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C2BF7"/>
    <w:multiLevelType w:val="hybridMultilevel"/>
    <w:tmpl w:val="6896C60C"/>
    <w:lvl w:ilvl="0" w:tplc="BAC22C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8C"/>
    <w:rsid w:val="00393B77"/>
    <w:rsid w:val="006B6E8C"/>
    <w:rsid w:val="00F71C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0513"/>
  <w15:chartTrackingRefBased/>
  <w15:docId w15:val="{9E8CDB1F-2915-4696-9423-9E2254C7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6E8C"/>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B6E8C"/>
    <w:rPr>
      <w:color w:val="0000FF"/>
      <w:u w:val="single"/>
    </w:rPr>
  </w:style>
  <w:style w:type="paragraph" w:customStyle="1" w:styleId="CharChar1">
    <w:name w:val="Char Char1"/>
    <w:basedOn w:val="Navaden"/>
    <w:rsid w:val="006B6E8C"/>
    <w:pPr>
      <w:spacing w:after="160" w:line="240" w:lineRule="exact"/>
      <w:jc w:val="lef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436" TargetMode="External"/><Relationship Id="rId13" Type="http://schemas.openxmlformats.org/officeDocument/2006/relationships/hyperlink" Target="http://www.uradni-list.si/1/objava.jsp?sop=2019-01-16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2-01-1958" TargetMode="External"/><Relationship Id="rId12" Type="http://schemas.openxmlformats.org/officeDocument/2006/relationships/hyperlink" Target="http://www.uradni-list.si/1/objava.jsp?sop=2017-01-12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1" Type="http://schemas.openxmlformats.org/officeDocument/2006/relationships/numbering" Target="numbering.xml"/><Relationship Id="rId6" Type="http://schemas.openxmlformats.org/officeDocument/2006/relationships/hyperlink" Target="http://www.uradni-list.si/1/objava.jsp?sop=2012-01-0815" TargetMode="External"/><Relationship Id="rId11" Type="http://schemas.openxmlformats.org/officeDocument/2006/relationships/hyperlink" Target="http://www.uradni-list.si/1/objava.jsp?sop=2015-01-0712" TargetMode="External"/><Relationship Id="rId5" Type="http://schemas.openxmlformats.org/officeDocument/2006/relationships/hyperlink" Target="http://www.uradni-list.si/1/objava.jsp?sop=2011-01-2713" TargetMode="External"/><Relationship Id="rId15" Type="http://schemas.openxmlformats.org/officeDocument/2006/relationships/hyperlink" Target="http://www.uradni-list.si/1/objava.jsp?sop=2021-01-1051" TargetMode="External"/><Relationship Id="rId10" Type="http://schemas.openxmlformats.org/officeDocument/2006/relationships/hyperlink" Target="http://www.uradni-list.si/1/objava.jsp?sop=2013-01-1858" TargetMode="External"/><Relationship Id="rId4" Type="http://schemas.openxmlformats.org/officeDocument/2006/relationships/webSettings" Target="webSettings.xml"/><Relationship Id="rId9" Type="http://schemas.openxmlformats.org/officeDocument/2006/relationships/hyperlink" Target="http://www.uradni-list.si/1/objava.jsp?sop=2013-01-1783" TargetMode="External"/><Relationship Id="rId14" Type="http://schemas.openxmlformats.org/officeDocument/2006/relationships/hyperlink" Target="http://www.uradni-list.si/1/objava.jsp?sop=2020-01-245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2923</Characters>
  <Application>Microsoft Office Word</Application>
  <DocSecurity>4</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Balažic</dc:creator>
  <cp:keywords/>
  <dc:description/>
  <cp:lastModifiedBy>Tina Rozman</cp:lastModifiedBy>
  <cp:revision>2</cp:revision>
  <dcterms:created xsi:type="dcterms:W3CDTF">2022-11-04T14:32:00Z</dcterms:created>
  <dcterms:modified xsi:type="dcterms:W3CDTF">2022-11-04T14:32:00Z</dcterms:modified>
</cp:coreProperties>
</file>