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8E397" w14:textId="77777777" w:rsidR="007619BB" w:rsidRPr="00A80F83" w:rsidRDefault="007619BB" w:rsidP="007619BB">
      <w:pPr>
        <w:pStyle w:val="Glava"/>
        <w:pBdr>
          <w:top w:val="single" w:sz="4" w:space="1" w:color="auto"/>
          <w:left w:val="single" w:sz="4" w:space="4" w:color="auto"/>
          <w:bottom w:val="single" w:sz="4" w:space="1" w:color="auto"/>
          <w:right w:val="single" w:sz="4" w:space="4" w:color="auto"/>
        </w:pBdr>
        <w:shd w:val="clear" w:color="auto" w:fill="E2EFD9" w:themeFill="accent6" w:themeFillTint="33"/>
        <w:tabs>
          <w:tab w:val="clear" w:pos="4536"/>
          <w:tab w:val="clear" w:pos="9072"/>
        </w:tabs>
        <w:spacing w:line="360" w:lineRule="auto"/>
        <w:jc w:val="center"/>
        <w:rPr>
          <w:rFonts w:cstheme="minorHAnsi"/>
          <w:b/>
          <w:color w:val="000000"/>
          <w:szCs w:val="20"/>
          <w:lang w:eastAsia="sl-SI"/>
        </w:rPr>
      </w:pPr>
      <w:r w:rsidRPr="00A80F83">
        <w:rPr>
          <w:rFonts w:cstheme="minorHAnsi"/>
          <w:b/>
          <w:color w:val="000000"/>
          <w:szCs w:val="20"/>
          <w:lang w:eastAsia="sl-SI"/>
        </w:rPr>
        <w:t>OCENA SKLADNOSTI Z »NAČELOM, DA SE NE ŠKODUJE BISTVENO«</w:t>
      </w:r>
    </w:p>
    <w:p w14:paraId="74DF1073" w14:textId="18E37E79" w:rsidR="007619BB" w:rsidRPr="001F608A" w:rsidRDefault="007619BB" w:rsidP="007619BB">
      <w:pPr>
        <w:pStyle w:val="Glava"/>
        <w:pBdr>
          <w:top w:val="single" w:sz="4" w:space="1" w:color="auto"/>
          <w:left w:val="single" w:sz="4" w:space="4" w:color="auto"/>
          <w:bottom w:val="single" w:sz="4" w:space="1" w:color="auto"/>
          <w:right w:val="single" w:sz="4" w:space="4" w:color="auto"/>
        </w:pBdr>
        <w:shd w:val="clear" w:color="auto" w:fill="E2EFD9" w:themeFill="accent6" w:themeFillTint="33"/>
        <w:tabs>
          <w:tab w:val="clear" w:pos="4536"/>
          <w:tab w:val="clear" w:pos="9072"/>
        </w:tabs>
        <w:spacing w:line="360" w:lineRule="auto"/>
        <w:jc w:val="center"/>
        <w:rPr>
          <w:rFonts w:cstheme="minorHAnsi"/>
          <w:b/>
          <w:color w:val="000000"/>
          <w:szCs w:val="20"/>
          <w:lang w:eastAsia="sl-SI"/>
        </w:rPr>
      </w:pPr>
      <w:r w:rsidRPr="00A80F83">
        <w:rPr>
          <w:rFonts w:cstheme="minorHAnsi"/>
          <w:b/>
          <w:color w:val="000000"/>
          <w:szCs w:val="20"/>
          <w:lang w:eastAsia="sl-SI"/>
        </w:rPr>
        <w:t>(angl. Do-No-</w:t>
      </w:r>
      <w:proofErr w:type="spellStart"/>
      <w:r w:rsidRPr="00A80F83">
        <w:rPr>
          <w:rFonts w:cstheme="minorHAnsi"/>
          <w:b/>
          <w:color w:val="000000"/>
          <w:szCs w:val="20"/>
          <w:lang w:eastAsia="sl-SI"/>
        </w:rPr>
        <w:t>Significant</w:t>
      </w:r>
      <w:proofErr w:type="spellEnd"/>
      <w:r w:rsidRPr="00A80F83">
        <w:rPr>
          <w:rFonts w:cstheme="minorHAnsi"/>
          <w:b/>
          <w:color w:val="000000"/>
          <w:szCs w:val="20"/>
          <w:lang w:eastAsia="sl-SI"/>
        </w:rPr>
        <w:t>-</w:t>
      </w:r>
      <w:proofErr w:type="spellStart"/>
      <w:r w:rsidRPr="00A80F83">
        <w:rPr>
          <w:rFonts w:cstheme="minorHAnsi"/>
          <w:b/>
          <w:color w:val="000000"/>
          <w:szCs w:val="20"/>
          <w:lang w:eastAsia="sl-SI"/>
        </w:rPr>
        <w:t>Harm</w:t>
      </w:r>
      <w:proofErr w:type="spellEnd"/>
      <w:r w:rsidRPr="00A80F83">
        <w:rPr>
          <w:rFonts w:cstheme="minorHAnsi"/>
          <w:b/>
          <w:color w:val="000000"/>
          <w:szCs w:val="20"/>
          <w:lang w:eastAsia="sl-SI"/>
        </w:rPr>
        <w:t>, DNSH)</w:t>
      </w:r>
    </w:p>
    <w:p w14:paraId="2C870503" w14:textId="77777777" w:rsidR="007619BB" w:rsidRDefault="007619BB" w:rsidP="007619BB">
      <w:pPr>
        <w:spacing w:line="276" w:lineRule="auto"/>
        <w:rPr>
          <w:rFonts w:cstheme="minorHAnsi"/>
          <w:sz w:val="20"/>
          <w:szCs w:val="20"/>
        </w:rPr>
      </w:pPr>
    </w:p>
    <w:p w14:paraId="52D81A08" w14:textId="77777777" w:rsidR="007619BB" w:rsidRPr="005F57FC" w:rsidRDefault="007619BB" w:rsidP="007619BB">
      <w:pPr>
        <w:spacing w:line="276" w:lineRule="auto"/>
        <w:rPr>
          <w:rFonts w:cstheme="minorHAnsi"/>
          <w:sz w:val="20"/>
          <w:szCs w:val="20"/>
        </w:rPr>
      </w:pPr>
      <w:r w:rsidRPr="005F57FC">
        <w:rPr>
          <w:rFonts w:cstheme="minorHAnsi"/>
          <w:sz w:val="20"/>
          <w:szCs w:val="20"/>
        </w:rPr>
        <w:t>Skladno z določbami člena 17 Uredbe o taksonomiji</w:t>
      </w:r>
      <w:r w:rsidRPr="005F57FC">
        <w:rPr>
          <w:rStyle w:val="Sprotnaopomba-sklic"/>
          <w:rFonts w:cstheme="minorHAnsi"/>
        </w:rPr>
        <w:footnoteReference w:id="1"/>
      </w:r>
      <w:r w:rsidRPr="005F57FC">
        <w:rPr>
          <w:rFonts w:cstheme="minorHAnsi"/>
          <w:sz w:val="20"/>
          <w:szCs w:val="20"/>
        </w:rPr>
        <w:t xml:space="preserve"> se ob upoštevanju življenjskega cikla proizvodov in storitev, ki se zagotavljajo z gospodarsko dejavnostjo, »načelo, da se ne škoduje bistveno« lahko razlaga v smislu bistvenega škodovanja šestim </w:t>
      </w:r>
      <w:proofErr w:type="spellStart"/>
      <w:r w:rsidRPr="005F57FC">
        <w:rPr>
          <w:rFonts w:cstheme="minorHAnsi"/>
          <w:sz w:val="20"/>
          <w:szCs w:val="20"/>
        </w:rPr>
        <w:t>okoljskim</w:t>
      </w:r>
      <w:proofErr w:type="spellEnd"/>
      <w:r w:rsidRPr="005F57FC">
        <w:rPr>
          <w:rFonts w:cstheme="minorHAnsi"/>
          <w:sz w:val="20"/>
          <w:szCs w:val="20"/>
        </w:rPr>
        <w:t xml:space="preserve"> ciljem, in sicer:</w:t>
      </w:r>
    </w:p>
    <w:p w14:paraId="476B8BDC" w14:textId="77777777" w:rsidR="007619BB" w:rsidRPr="005F57FC" w:rsidRDefault="007619BB" w:rsidP="009537AD">
      <w:pPr>
        <w:pStyle w:val="Odstavekseznama"/>
        <w:numPr>
          <w:ilvl w:val="0"/>
          <w:numId w:val="1"/>
        </w:numPr>
        <w:suppressAutoHyphens/>
        <w:spacing w:after="0" w:line="276" w:lineRule="auto"/>
        <w:rPr>
          <w:rFonts w:cstheme="minorHAnsi"/>
          <w:sz w:val="20"/>
          <w:szCs w:val="20"/>
        </w:rPr>
      </w:pPr>
      <w:r w:rsidRPr="005F57FC">
        <w:rPr>
          <w:rFonts w:cstheme="minorHAnsi"/>
          <w:b/>
          <w:sz w:val="20"/>
          <w:szCs w:val="20"/>
        </w:rPr>
        <w:t>blažitvi podnebnih sprememb</w:t>
      </w:r>
      <w:r w:rsidRPr="005F57FC">
        <w:rPr>
          <w:rFonts w:cstheme="minorHAnsi"/>
          <w:sz w:val="20"/>
          <w:szCs w:val="20"/>
        </w:rPr>
        <w:t>, kadar ta dejavnost privede do znatnih emisij toplogrednih plinov</w:t>
      </w:r>
      <w:r>
        <w:rPr>
          <w:rFonts w:cstheme="minorHAnsi"/>
          <w:sz w:val="20"/>
          <w:szCs w:val="20"/>
        </w:rPr>
        <w:t>,</w:t>
      </w:r>
    </w:p>
    <w:p w14:paraId="03E1406E" w14:textId="77777777" w:rsidR="007619BB" w:rsidRPr="005F57FC" w:rsidRDefault="007619BB" w:rsidP="009537AD">
      <w:pPr>
        <w:pStyle w:val="Odstavekseznama"/>
        <w:numPr>
          <w:ilvl w:val="0"/>
          <w:numId w:val="1"/>
        </w:numPr>
        <w:suppressAutoHyphens/>
        <w:spacing w:after="0" w:line="276" w:lineRule="auto"/>
        <w:rPr>
          <w:rFonts w:cstheme="minorHAnsi"/>
          <w:sz w:val="20"/>
          <w:szCs w:val="20"/>
        </w:rPr>
      </w:pPr>
      <w:r w:rsidRPr="005F57FC">
        <w:rPr>
          <w:rFonts w:cstheme="minorHAnsi"/>
          <w:b/>
          <w:sz w:val="20"/>
          <w:szCs w:val="20"/>
        </w:rPr>
        <w:t>prilagajanju podnebnim spremembam</w:t>
      </w:r>
      <w:r w:rsidRPr="005F57FC">
        <w:rPr>
          <w:rFonts w:cstheme="minorHAnsi"/>
          <w:sz w:val="20"/>
          <w:szCs w:val="20"/>
        </w:rPr>
        <w:t>, kadar ta dejavnost privede do povečanega škodljivega vpliva na sedanje podnebje in pričakovano prihodnje podnebje, na dejavnost samo ali na ljudi, naravo ali sredstva</w:t>
      </w:r>
      <w:r>
        <w:rPr>
          <w:rFonts w:cstheme="minorHAnsi"/>
          <w:sz w:val="20"/>
          <w:szCs w:val="20"/>
        </w:rPr>
        <w:t>,</w:t>
      </w:r>
    </w:p>
    <w:p w14:paraId="737176B4" w14:textId="77777777" w:rsidR="007619BB" w:rsidRPr="005F57FC" w:rsidRDefault="007619BB" w:rsidP="009537AD">
      <w:pPr>
        <w:pStyle w:val="Odstavekseznama"/>
        <w:numPr>
          <w:ilvl w:val="0"/>
          <w:numId w:val="1"/>
        </w:numPr>
        <w:suppressAutoHyphens/>
        <w:spacing w:after="0" w:line="276" w:lineRule="auto"/>
        <w:rPr>
          <w:rFonts w:cstheme="minorHAnsi"/>
          <w:sz w:val="20"/>
          <w:szCs w:val="20"/>
        </w:rPr>
      </w:pPr>
      <w:r w:rsidRPr="005F57FC">
        <w:rPr>
          <w:rFonts w:cstheme="minorHAnsi"/>
          <w:b/>
          <w:sz w:val="20"/>
          <w:szCs w:val="20"/>
        </w:rPr>
        <w:t>trajnostni uporabi in varstvu vodnih in morskih virov</w:t>
      </w:r>
      <w:r w:rsidRPr="005F57FC">
        <w:rPr>
          <w:rFonts w:cstheme="minorHAnsi"/>
          <w:sz w:val="20"/>
          <w:szCs w:val="20"/>
        </w:rPr>
        <w:t xml:space="preserve">, kadar ta dejavnost škoduje dobremu stanju ali dobremu ekološkemu potencialu vodnih teles, vključno s površinskimi in podzemnimi vodami, ali dobremu </w:t>
      </w:r>
      <w:proofErr w:type="spellStart"/>
      <w:r w:rsidRPr="005F57FC">
        <w:rPr>
          <w:rFonts w:cstheme="minorHAnsi"/>
          <w:sz w:val="20"/>
          <w:szCs w:val="20"/>
        </w:rPr>
        <w:t>okoljskemu</w:t>
      </w:r>
      <w:proofErr w:type="spellEnd"/>
      <w:r w:rsidRPr="005F57FC">
        <w:rPr>
          <w:rFonts w:cstheme="minorHAnsi"/>
          <w:sz w:val="20"/>
          <w:szCs w:val="20"/>
        </w:rPr>
        <w:t xml:space="preserve"> stanju morskih voda</w:t>
      </w:r>
      <w:r>
        <w:rPr>
          <w:rFonts w:cstheme="minorHAnsi"/>
          <w:sz w:val="20"/>
          <w:szCs w:val="20"/>
        </w:rPr>
        <w:t>,</w:t>
      </w:r>
    </w:p>
    <w:p w14:paraId="62E3C0D0" w14:textId="77777777" w:rsidR="007619BB" w:rsidRPr="005F57FC" w:rsidRDefault="007619BB" w:rsidP="009537AD">
      <w:pPr>
        <w:pStyle w:val="Odstavekseznama"/>
        <w:numPr>
          <w:ilvl w:val="0"/>
          <w:numId w:val="1"/>
        </w:numPr>
        <w:suppressAutoHyphens/>
        <w:spacing w:after="0" w:line="276" w:lineRule="auto"/>
        <w:rPr>
          <w:rFonts w:cstheme="minorHAnsi"/>
          <w:sz w:val="20"/>
          <w:szCs w:val="20"/>
        </w:rPr>
      </w:pPr>
      <w:r w:rsidRPr="005F57FC">
        <w:rPr>
          <w:rFonts w:cstheme="minorHAnsi"/>
          <w:b/>
          <w:sz w:val="20"/>
          <w:szCs w:val="20"/>
        </w:rPr>
        <w:t>krožnemu gospodarstvu, vključno s preprečevanjem odpadkov in recikliranjem</w:t>
      </w:r>
      <w:r w:rsidRPr="005F57FC">
        <w:rPr>
          <w:rFonts w:cstheme="minorHAnsi"/>
          <w:sz w:val="20"/>
          <w:szCs w:val="20"/>
        </w:rPr>
        <w:t>, kadar ta dejavnost privede do znatne neučinkovitosti pri uporabi materialov ali neposredne ali posredne rabe naravnih virov ali do znatnega povečanja nastajanja, sežiganja ali odlaganja odpadkov ali kadar lahko dolgoročno odlaganje odpadkov bistveno in dolgoročno škoduje okolju</w:t>
      </w:r>
      <w:r>
        <w:rPr>
          <w:rFonts w:cstheme="minorHAnsi"/>
          <w:sz w:val="20"/>
          <w:szCs w:val="20"/>
        </w:rPr>
        <w:t>,</w:t>
      </w:r>
    </w:p>
    <w:p w14:paraId="5668DB48" w14:textId="77777777" w:rsidR="007619BB" w:rsidRPr="005F57FC" w:rsidRDefault="007619BB" w:rsidP="009537AD">
      <w:pPr>
        <w:pStyle w:val="Odstavekseznama"/>
        <w:numPr>
          <w:ilvl w:val="0"/>
          <w:numId w:val="1"/>
        </w:numPr>
        <w:suppressAutoHyphens/>
        <w:spacing w:after="0" w:line="276" w:lineRule="auto"/>
        <w:rPr>
          <w:rFonts w:cstheme="minorHAnsi"/>
          <w:sz w:val="20"/>
          <w:szCs w:val="20"/>
        </w:rPr>
      </w:pPr>
      <w:r w:rsidRPr="005F57FC">
        <w:rPr>
          <w:rFonts w:cstheme="minorHAnsi"/>
          <w:b/>
          <w:sz w:val="20"/>
          <w:szCs w:val="20"/>
        </w:rPr>
        <w:t>preprečevanju in nadzorovanju onesnaževanja</w:t>
      </w:r>
      <w:r w:rsidRPr="005F57FC">
        <w:rPr>
          <w:rFonts w:cstheme="minorHAnsi"/>
          <w:sz w:val="20"/>
          <w:szCs w:val="20"/>
        </w:rPr>
        <w:t>, kadar ta dejavnost privede do znatnega povečanja emisij onesnaževal v zrak, vodo ali zemljo v primerjavi s stanjem pred začetkom izvajanja te dejavnosti, ali</w:t>
      </w:r>
    </w:p>
    <w:p w14:paraId="0FB12C54" w14:textId="77777777" w:rsidR="007619BB" w:rsidRPr="005F57FC" w:rsidRDefault="007619BB" w:rsidP="009537AD">
      <w:pPr>
        <w:pStyle w:val="Odstavekseznama"/>
        <w:numPr>
          <w:ilvl w:val="0"/>
          <w:numId w:val="1"/>
        </w:numPr>
        <w:suppressAutoHyphens/>
        <w:spacing w:after="0" w:line="276" w:lineRule="auto"/>
        <w:rPr>
          <w:rFonts w:cstheme="minorHAnsi"/>
          <w:sz w:val="20"/>
          <w:szCs w:val="20"/>
        </w:rPr>
      </w:pPr>
      <w:r w:rsidRPr="005F57FC">
        <w:rPr>
          <w:rFonts w:cstheme="minorHAnsi"/>
          <w:b/>
          <w:sz w:val="20"/>
          <w:szCs w:val="20"/>
        </w:rPr>
        <w:t>varstvu in obnovi biotske raznovrstnosti in ekosistemov</w:t>
      </w:r>
      <w:r w:rsidRPr="005F57FC">
        <w:rPr>
          <w:rFonts w:cstheme="minorHAnsi"/>
          <w:sz w:val="20"/>
          <w:szCs w:val="20"/>
        </w:rPr>
        <w:t>, kadar je ta dejavnost bistveno škodljiva za dobro stanje in odpornost ekosistemov ali škodljiva za stanje ohranjenosti habitatov in vrst, vključno s tistimi, ki so v interesu Unije.</w:t>
      </w:r>
    </w:p>
    <w:p w14:paraId="1AFE5DD2" w14:textId="6B8A101E" w:rsidR="007619BB" w:rsidRPr="005F57FC" w:rsidRDefault="007619BB" w:rsidP="007619BB">
      <w:pPr>
        <w:spacing w:line="276" w:lineRule="auto"/>
        <w:rPr>
          <w:rFonts w:cstheme="minorHAnsi"/>
          <w:sz w:val="20"/>
          <w:szCs w:val="20"/>
        </w:rPr>
      </w:pPr>
      <w:r w:rsidRPr="005F57FC">
        <w:rPr>
          <w:rFonts w:cstheme="minorHAnsi"/>
          <w:sz w:val="20"/>
          <w:szCs w:val="20"/>
        </w:rPr>
        <w:t>Pri pripravi ocene skladnosti z DNSH je treba izhajati iz vodilnih načel, ki so opredeljena v Tehničnih smernicah EK</w:t>
      </w:r>
      <w:r w:rsidRPr="005F57FC">
        <w:rPr>
          <w:rStyle w:val="Sprotnaopomba-sklic"/>
          <w:rFonts w:cstheme="minorHAnsi"/>
        </w:rPr>
        <w:footnoteReference w:id="2"/>
      </w:r>
      <w:r w:rsidRPr="005F57FC">
        <w:rPr>
          <w:rFonts w:cstheme="minorHAnsi"/>
          <w:sz w:val="20"/>
          <w:szCs w:val="20"/>
        </w:rPr>
        <w:t xml:space="preserve">. V skladu s Tehničnimi smernicami EK se za ukrepe, ki nimajo predvidljivega vpliva na vse ali nekatere od šestih </w:t>
      </w:r>
      <w:proofErr w:type="spellStart"/>
      <w:r w:rsidRPr="005F57FC">
        <w:rPr>
          <w:rFonts w:cstheme="minorHAnsi"/>
          <w:sz w:val="20"/>
          <w:szCs w:val="20"/>
        </w:rPr>
        <w:t>okoljskih</w:t>
      </w:r>
      <w:proofErr w:type="spellEnd"/>
      <w:r w:rsidRPr="005F57FC">
        <w:rPr>
          <w:rFonts w:cstheme="minorHAnsi"/>
          <w:sz w:val="20"/>
          <w:szCs w:val="20"/>
        </w:rPr>
        <w:t xml:space="preserve"> ciljev oziroma je ta vpliv nepomemben, lahko uporabi poenostavljeni pristop.</w:t>
      </w:r>
    </w:p>
    <w:p w14:paraId="6B1F9088" w14:textId="77777777" w:rsidR="007619BB" w:rsidRPr="00EC597C" w:rsidRDefault="007619BB" w:rsidP="007619BB">
      <w:pPr>
        <w:spacing w:line="276" w:lineRule="auto"/>
        <w:rPr>
          <w:rFonts w:cstheme="minorHAnsi"/>
          <w:i/>
          <w:sz w:val="18"/>
          <w:szCs w:val="20"/>
          <w:u w:val="single"/>
        </w:rPr>
      </w:pPr>
      <w:r w:rsidRPr="00EC597C">
        <w:rPr>
          <w:rFonts w:cstheme="minorHAnsi"/>
          <w:i/>
          <w:sz w:val="18"/>
          <w:szCs w:val="20"/>
          <w:u w:val="single"/>
        </w:rPr>
        <w:t>Poenostavljen pristop se lahko uporablja, če je izpolnjen vsaj eden od naslednjih kriterijev:</w:t>
      </w:r>
    </w:p>
    <w:p w14:paraId="34F8AA0B" w14:textId="77777777" w:rsidR="007619BB" w:rsidRPr="00EC597C" w:rsidRDefault="007619BB" w:rsidP="009537AD">
      <w:pPr>
        <w:pStyle w:val="Odstavekseznama"/>
        <w:numPr>
          <w:ilvl w:val="0"/>
          <w:numId w:val="7"/>
        </w:numPr>
        <w:suppressAutoHyphens/>
        <w:spacing w:after="0" w:line="276" w:lineRule="auto"/>
        <w:rPr>
          <w:rFonts w:cstheme="minorHAnsi"/>
          <w:i/>
          <w:sz w:val="18"/>
          <w:szCs w:val="20"/>
        </w:rPr>
      </w:pPr>
      <w:r w:rsidRPr="00EC597C">
        <w:rPr>
          <w:rFonts w:cstheme="minorHAnsi"/>
          <w:i/>
          <w:sz w:val="18"/>
          <w:szCs w:val="20"/>
        </w:rPr>
        <w:t xml:space="preserve">ukrep zaradi svoje narave nima predvidljivega vpliva na vse od šestih </w:t>
      </w:r>
      <w:proofErr w:type="spellStart"/>
      <w:r w:rsidRPr="00EC597C">
        <w:rPr>
          <w:rFonts w:cstheme="minorHAnsi"/>
          <w:i/>
          <w:sz w:val="18"/>
          <w:szCs w:val="20"/>
        </w:rPr>
        <w:t>okoljskih</w:t>
      </w:r>
      <w:proofErr w:type="spellEnd"/>
      <w:r w:rsidRPr="00EC597C">
        <w:rPr>
          <w:rFonts w:cstheme="minorHAnsi"/>
          <w:i/>
          <w:sz w:val="18"/>
          <w:szCs w:val="20"/>
        </w:rPr>
        <w:t xml:space="preserve"> ciljev oziroma je ta vpliv nepomemben,</w:t>
      </w:r>
    </w:p>
    <w:p w14:paraId="42A02C8E" w14:textId="77777777" w:rsidR="007619BB" w:rsidRPr="00EC597C" w:rsidRDefault="007619BB" w:rsidP="009537AD">
      <w:pPr>
        <w:pStyle w:val="Odstavekseznama"/>
        <w:numPr>
          <w:ilvl w:val="0"/>
          <w:numId w:val="7"/>
        </w:numPr>
        <w:suppressAutoHyphens/>
        <w:spacing w:after="0" w:line="276" w:lineRule="auto"/>
        <w:rPr>
          <w:rFonts w:cstheme="minorHAnsi"/>
          <w:i/>
          <w:sz w:val="18"/>
          <w:szCs w:val="20"/>
        </w:rPr>
      </w:pPr>
      <w:r w:rsidRPr="00EC597C">
        <w:rPr>
          <w:rFonts w:cstheme="minorHAnsi"/>
          <w:i/>
          <w:sz w:val="18"/>
          <w:szCs w:val="20"/>
        </w:rPr>
        <w:t xml:space="preserve">ukrep se spremlja kot ukrep, ki 100-odstotno podpira cilje na področju podnebnih sprememb ali </w:t>
      </w:r>
      <w:proofErr w:type="spellStart"/>
      <w:r w:rsidRPr="00EC597C">
        <w:rPr>
          <w:rFonts w:cstheme="minorHAnsi"/>
          <w:i/>
          <w:sz w:val="18"/>
          <w:szCs w:val="20"/>
        </w:rPr>
        <w:t>okoljske</w:t>
      </w:r>
      <w:proofErr w:type="spellEnd"/>
      <w:r w:rsidRPr="00EC597C">
        <w:rPr>
          <w:rFonts w:cstheme="minorHAnsi"/>
          <w:i/>
          <w:sz w:val="18"/>
          <w:szCs w:val="20"/>
        </w:rPr>
        <w:t xml:space="preserve"> cilje v skladu s Prilogo I Uredbe (EU) 2021/1060 o skupnih določbah,</w:t>
      </w:r>
    </w:p>
    <w:p w14:paraId="15DA2525" w14:textId="77777777" w:rsidR="007619BB" w:rsidRPr="00EC597C" w:rsidRDefault="007619BB" w:rsidP="009537AD">
      <w:pPr>
        <w:pStyle w:val="Odstavekseznama"/>
        <w:numPr>
          <w:ilvl w:val="0"/>
          <w:numId w:val="7"/>
        </w:numPr>
        <w:suppressAutoHyphens/>
        <w:spacing w:after="0" w:line="276" w:lineRule="auto"/>
        <w:rPr>
          <w:rFonts w:cstheme="minorHAnsi"/>
          <w:i/>
          <w:sz w:val="18"/>
          <w:szCs w:val="20"/>
        </w:rPr>
      </w:pPr>
      <w:r w:rsidRPr="00EC597C">
        <w:rPr>
          <w:rFonts w:cstheme="minorHAnsi"/>
          <w:i/>
          <w:sz w:val="18"/>
          <w:szCs w:val="20"/>
        </w:rPr>
        <w:t xml:space="preserve">ukrep bodisi 100-odstotno podpira enega od šestih </w:t>
      </w:r>
      <w:proofErr w:type="spellStart"/>
      <w:r w:rsidRPr="00EC597C">
        <w:rPr>
          <w:rFonts w:cstheme="minorHAnsi"/>
          <w:i/>
          <w:sz w:val="18"/>
          <w:szCs w:val="20"/>
        </w:rPr>
        <w:t>okoljskih</w:t>
      </w:r>
      <w:proofErr w:type="spellEnd"/>
      <w:r w:rsidRPr="00EC597C">
        <w:rPr>
          <w:rFonts w:cstheme="minorHAnsi"/>
          <w:i/>
          <w:sz w:val="18"/>
          <w:szCs w:val="20"/>
        </w:rPr>
        <w:t xml:space="preserve"> ciljev ali bistveno prispeva k enemu od šestih </w:t>
      </w:r>
      <w:proofErr w:type="spellStart"/>
      <w:r w:rsidRPr="00EC597C">
        <w:rPr>
          <w:rFonts w:cstheme="minorHAnsi"/>
          <w:i/>
          <w:sz w:val="18"/>
          <w:szCs w:val="20"/>
        </w:rPr>
        <w:t>okoljskih</w:t>
      </w:r>
      <w:proofErr w:type="spellEnd"/>
      <w:r w:rsidRPr="00EC597C">
        <w:rPr>
          <w:rFonts w:cstheme="minorHAnsi"/>
          <w:i/>
          <w:sz w:val="18"/>
          <w:szCs w:val="20"/>
        </w:rPr>
        <w:t xml:space="preserve"> ciljev v skladu z določbami Uredbe o taksonomiji in Delegirane uredbe Komisije,</w:t>
      </w:r>
    </w:p>
    <w:p w14:paraId="6CCFC2F2" w14:textId="13FFDCD1" w:rsidR="007619BB" w:rsidRPr="00EC597C" w:rsidRDefault="007619BB" w:rsidP="009537AD">
      <w:pPr>
        <w:pStyle w:val="Odstavekseznama"/>
        <w:numPr>
          <w:ilvl w:val="0"/>
          <w:numId w:val="7"/>
        </w:numPr>
        <w:suppressAutoHyphens/>
        <w:spacing w:after="0" w:line="276" w:lineRule="auto"/>
        <w:rPr>
          <w:rFonts w:cstheme="minorHAnsi"/>
          <w:i/>
          <w:sz w:val="18"/>
          <w:szCs w:val="20"/>
        </w:rPr>
      </w:pPr>
      <w:r w:rsidRPr="00EC597C">
        <w:rPr>
          <w:rFonts w:cstheme="minorHAnsi"/>
          <w:i/>
          <w:sz w:val="18"/>
          <w:szCs w:val="20"/>
        </w:rPr>
        <w:t>ukrep je po vsebini enak ukrepu, ki je bil ocenjen v okviru predhodne ocene</w:t>
      </w:r>
      <w:r w:rsidRPr="007619BB">
        <w:t xml:space="preserve"> </w:t>
      </w:r>
      <w:r w:rsidRPr="007619BB">
        <w:rPr>
          <w:rFonts w:cstheme="minorHAnsi"/>
          <w:i/>
          <w:sz w:val="18"/>
          <w:szCs w:val="20"/>
        </w:rPr>
        <w:t xml:space="preserve">Programa evropske kohezijske politike v obdobju 2021-2027 v Sloveniji </w:t>
      </w:r>
      <w:r w:rsidRPr="00EC597C">
        <w:rPr>
          <w:rFonts w:cstheme="minorHAnsi"/>
          <w:i/>
          <w:sz w:val="18"/>
          <w:szCs w:val="20"/>
        </w:rPr>
        <w:t>in je opredeljen z morebitnimi omilitvenimi ukrepi v Tehničnih merilih za izbor projektov za ocenjevanje DNSH,</w:t>
      </w:r>
    </w:p>
    <w:p w14:paraId="7976BB31" w14:textId="77777777" w:rsidR="007619BB" w:rsidRPr="00EC597C" w:rsidRDefault="007619BB" w:rsidP="009537AD">
      <w:pPr>
        <w:pStyle w:val="Odstavekseznama"/>
        <w:numPr>
          <w:ilvl w:val="0"/>
          <w:numId w:val="7"/>
        </w:numPr>
        <w:suppressAutoHyphens/>
        <w:spacing w:after="0" w:line="276" w:lineRule="auto"/>
        <w:rPr>
          <w:rFonts w:cstheme="minorHAnsi"/>
          <w:i/>
          <w:sz w:val="18"/>
          <w:szCs w:val="20"/>
        </w:rPr>
      </w:pPr>
      <w:r w:rsidRPr="00EC597C">
        <w:rPr>
          <w:rFonts w:cstheme="minorHAnsi"/>
          <w:i/>
          <w:sz w:val="18"/>
          <w:szCs w:val="20"/>
        </w:rPr>
        <w:t>ukrep je po vsebini enak ukrepu, ki je že bil v</w:t>
      </w:r>
      <w:bookmarkStart w:id="0" w:name="_GoBack"/>
      <w:bookmarkEnd w:id="0"/>
      <w:r w:rsidRPr="00EC597C">
        <w:rPr>
          <w:rFonts w:cstheme="minorHAnsi"/>
          <w:i/>
          <w:sz w:val="18"/>
          <w:szCs w:val="20"/>
        </w:rPr>
        <w:t>sebinsko ocenjen v okviru Načrta za okrevanje in odpornost (v nadaljevanju NOO), zanj pa so določeni morebitni omilitveni ukrepi, ki se upoštevajo pri njegovi implementaciji.</w:t>
      </w:r>
    </w:p>
    <w:p w14:paraId="19E021E5" w14:textId="77777777" w:rsidR="007619BB" w:rsidRPr="005F57FC" w:rsidRDefault="007619BB" w:rsidP="007619BB">
      <w:pPr>
        <w:rPr>
          <w:rFonts w:cstheme="minorHAnsi"/>
          <w:sz w:val="20"/>
          <w:szCs w:val="20"/>
        </w:rPr>
      </w:pPr>
    </w:p>
    <w:tbl>
      <w:tblPr>
        <w:tblStyle w:val="Tabelamre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987"/>
        <w:gridCol w:w="4817"/>
      </w:tblGrid>
      <w:tr w:rsidR="007619BB" w:rsidRPr="00420370" w14:paraId="77034D27" w14:textId="77777777" w:rsidTr="00E14EFB">
        <w:tc>
          <w:tcPr>
            <w:tcW w:w="1250" w:type="pct"/>
            <w:vAlign w:val="bottom"/>
          </w:tcPr>
          <w:p w14:paraId="46810723" w14:textId="6FD2BEF1" w:rsidR="007619BB" w:rsidRPr="00CB302B" w:rsidRDefault="007619BB" w:rsidP="007619BB">
            <w:pPr>
              <w:spacing w:before="240" w:line="276" w:lineRule="auto"/>
              <w:jc w:val="left"/>
              <w:rPr>
                <w:rFonts w:cstheme="minorHAnsi"/>
                <w:b/>
                <w:sz w:val="20"/>
              </w:rPr>
            </w:pPr>
            <w:r w:rsidRPr="00CB302B">
              <w:rPr>
                <w:rFonts w:cstheme="minorHAnsi"/>
                <w:b/>
                <w:sz w:val="20"/>
              </w:rPr>
              <w:t xml:space="preserve">Naziv </w:t>
            </w:r>
            <w:r>
              <w:rPr>
                <w:rFonts w:cstheme="minorHAnsi"/>
                <w:b/>
                <w:sz w:val="20"/>
              </w:rPr>
              <w:t>projekta</w:t>
            </w:r>
            <w:r w:rsidRPr="00CB302B">
              <w:rPr>
                <w:rFonts w:cstheme="minorHAnsi"/>
                <w:b/>
                <w:sz w:val="20"/>
              </w:rPr>
              <w:t>:</w:t>
            </w:r>
          </w:p>
        </w:tc>
        <w:tc>
          <w:tcPr>
            <w:tcW w:w="3750" w:type="pct"/>
            <w:gridSpan w:val="2"/>
            <w:vAlign w:val="bottom"/>
          </w:tcPr>
          <w:p w14:paraId="5EFBA55A" w14:textId="77777777" w:rsidR="007619BB" w:rsidRPr="00CB302B" w:rsidRDefault="007619BB" w:rsidP="00E14EFB">
            <w:pPr>
              <w:spacing w:before="240" w:after="10" w:line="276" w:lineRule="auto"/>
              <w:rPr>
                <w:rFonts w:cstheme="minorHAnsi"/>
                <w:sz w:val="20"/>
              </w:rPr>
            </w:pPr>
            <w:r w:rsidRPr="00CB302B">
              <w:rPr>
                <w:rFonts w:cstheme="minorHAnsi"/>
                <w:b/>
                <w:sz w:val="20"/>
              </w:rPr>
              <w:fldChar w:fldCharType="begin">
                <w:ffData>
                  <w:name w:val="Besedilo8"/>
                  <w:enabled/>
                  <w:calcOnExit w:val="0"/>
                  <w:textInput/>
                </w:ffData>
              </w:fldChar>
            </w:r>
            <w:r w:rsidRPr="00CB302B">
              <w:rPr>
                <w:rFonts w:cstheme="minorHAnsi"/>
                <w:b/>
                <w:sz w:val="20"/>
              </w:rPr>
              <w:instrText xml:space="preserve"> FORMTEXT </w:instrText>
            </w:r>
            <w:r w:rsidRPr="00CB302B">
              <w:rPr>
                <w:rFonts w:cstheme="minorHAnsi"/>
                <w:b/>
                <w:sz w:val="20"/>
              </w:rPr>
            </w:r>
            <w:r w:rsidRPr="00CB302B">
              <w:rPr>
                <w:rFonts w:cstheme="minorHAnsi"/>
                <w:b/>
                <w:sz w:val="20"/>
              </w:rPr>
              <w:fldChar w:fldCharType="separate"/>
            </w:r>
            <w:r w:rsidRPr="00CB302B">
              <w:rPr>
                <w:rFonts w:cstheme="minorHAnsi"/>
                <w:b/>
                <w:sz w:val="20"/>
              </w:rPr>
              <w:t> </w:t>
            </w:r>
            <w:r w:rsidRPr="00CB302B">
              <w:rPr>
                <w:rFonts w:cstheme="minorHAnsi"/>
                <w:b/>
                <w:sz w:val="20"/>
              </w:rPr>
              <w:t> </w:t>
            </w:r>
            <w:r w:rsidRPr="00CB302B">
              <w:rPr>
                <w:rFonts w:cstheme="minorHAnsi"/>
                <w:b/>
                <w:sz w:val="20"/>
              </w:rPr>
              <w:t> </w:t>
            </w:r>
            <w:r w:rsidRPr="00CB302B">
              <w:rPr>
                <w:rFonts w:cstheme="minorHAnsi"/>
                <w:b/>
                <w:sz w:val="20"/>
              </w:rPr>
              <w:t> </w:t>
            </w:r>
            <w:r w:rsidRPr="00CB302B">
              <w:rPr>
                <w:rFonts w:cstheme="minorHAnsi"/>
                <w:b/>
                <w:sz w:val="20"/>
              </w:rPr>
              <w:t> </w:t>
            </w:r>
            <w:r w:rsidRPr="00CB302B">
              <w:rPr>
                <w:rFonts w:cstheme="minorHAnsi"/>
                <w:b/>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p>
        </w:tc>
      </w:tr>
      <w:tr w:rsidR="007619BB" w:rsidRPr="00420370" w14:paraId="126A085B" w14:textId="77777777" w:rsidTr="00E14EFB">
        <w:tc>
          <w:tcPr>
            <w:tcW w:w="1250" w:type="pct"/>
            <w:vAlign w:val="bottom"/>
          </w:tcPr>
          <w:p w14:paraId="54B3BABE" w14:textId="7CCA3226" w:rsidR="007619BB" w:rsidRPr="00CB302B" w:rsidRDefault="007619BB" w:rsidP="007619BB">
            <w:pPr>
              <w:spacing w:line="276" w:lineRule="auto"/>
              <w:jc w:val="left"/>
              <w:rPr>
                <w:rFonts w:cstheme="minorHAnsi"/>
                <w:b/>
                <w:sz w:val="20"/>
              </w:rPr>
            </w:pPr>
            <w:r w:rsidRPr="00CB302B">
              <w:rPr>
                <w:rFonts w:cstheme="minorHAnsi"/>
                <w:b/>
                <w:snapToGrid w:val="0"/>
                <w:sz w:val="20"/>
              </w:rPr>
              <w:t>Naziv vlagatelja</w:t>
            </w:r>
            <w:r>
              <w:rPr>
                <w:rFonts w:cstheme="minorHAnsi"/>
                <w:b/>
                <w:snapToGrid w:val="0"/>
                <w:sz w:val="20"/>
              </w:rPr>
              <w:t>/ upravičenca</w:t>
            </w:r>
            <w:r w:rsidRPr="00CB302B">
              <w:rPr>
                <w:rFonts w:cstheme="minorHAnsi"/>
                <w:b/>
                <w:snapToGrid w:val="0"/>
                <w:sz w:val="20"/>
              </w:rPr>
              <w:t>:</w:t>
            </w:r>
          </w:p>
        </w:tc>
        <w:tc>
          <w:tcPr>
            <w:tcW w:w="3750" w:type="pct"/>
            <w:gridSpan w:val="2"/>
            <w:vAlign w:val="bottom"/>
          </w:tcPr>
          <w:p w14:paraId="0E0FE251" w14:textId="77777777" w:rsidR="007619BB" w:rsidRPr="00CB302B" w:rsidRDefault="007619BB" w:rsidP="00E14EFB">
            <w:pPr>
              <w:spacing w:after="20" w:line="276" w:lineRule="auto"/>
              <w:rPr>
                <w:rFonts w:cstheme="minorHAnsi"/>
                <w:sz w:val="20"/>
              </w:rPr>
            </w:pPr>
            <w:r w:rsidRPr="00CB302B">
              <w:rPr>
                <w:rFonts w:cstheme="minorHAnsi"/>
                <w:b/>
                <w:sz w:val="20"/>
              </w:rPr>
              <w:fldChar w:fldCharType="begin">
                <w:ffData>
                  <w:name w:val="Besedilo8"/>
                  <w:enabled/>
                  <w:calcOnExit w:val="0"/>
                  <w:textInput/>
                </w:ffData>
              </w:fldChar>
            </w:r>
            <w:r w:rsidRPr="00CB302B">
              <w:rPr>
                <w:rFonts w:cstheme="minorHAnsi"/>
                <w:b/>
                <w:sz w:val="20"/>
              </w:rPr>
              <w:instrText xml:space="preserve"> FORMTEXT </w:instrText>
            </w:r>
            <w:r w:rsidRPr="00CB302B">
              <w:rPr>
                <w:rFonts w:cstheme="minorHAnsi"/>
                <w:b/>
                <w:sz w:val="20"/>
              </w:rPr>
            </w:r>
            <w:r w:rsidRPr="00CB302B">
              <w:rPr>
                <w:rFonts w:cstheme="minorHAnsi"/>
                <w:b/>
                <w:sz w:val="20"/>
              </w:rPr>
              <w:fldChar w:fldCharType="separate"/>
            </w:r>
            <w:r w:rsidRPr="00CB302B">
              <w:rPr>
                <w:rFonts w:cstheme="minorHAnsi"/>
                <w:b/>
                <w:sz w:val="20"/>
              </w:rPr>
              <w:t> </w:t>
            </w:r>
            <w:r w:rsidRPr="00CB302B">
              <w:rPr>
                <w:rFonts w:cstheme="minorHAnsi"/>
                <w:b/>
                <w:sz w:val="20"/>
              </w:rPr>
              <w:t> </w:t>
            </w:r>
            <w:r w:rsidRPr="00CB302B">
              <w:rPr>
                <w:rFonts w:cstheme="minorHAnsi"/>
                <w:b/>
                <w:sz w:val="20"/>
              </w:rPr>
              <w:t> </w:t>
            </w:r>
            <w:r w:rsidRPr="00CB302B">
              <w:rPr>
                <w:rFonts w:cstheme="minorHAnsi"/>
                <w:b/>
                <w:sz w:val="20"/>
              </w:rPr>
              <w:t> </w:t>
            </w:r>
            <w:r w:rsidRPr="00CB302B">
              <w:rPr>
                <w:rFonts w:cstheme="minorHAnsi"/>
                <w:b/>
                <w:sz w:val="20"/>
              </w:rPr>
              <w:t> </w:t>
            </w:r>
            <w:r w:rsidRPr="00CB302B">
              <w:rPr>
                <w:rFonts w:cstheme="minorHAnsi"/>
                <w:b/>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p>
        </w:tc>
      </w:tr>
      <w:tr w:rsidR="007619BB" w:rsidRPr="00420370" w14:paraId="61267793" w14:textId="77777777" w:rsidTr="00E14EFB">
        <w:trPr>
          <w:trHeight w:val="510"/>
        </w:trPr>
        <w:tc>
          <w:tcPr>
            <w:tcW w:w="2345" w:type="pct"/>
            <w:gridSpan w:val="2"/>
            <w:vAlign w:val="bottom"/>
          </w:tcPr>
          <w:p w14:paraId="08CF571D" w14:textId="22D3EF6B" w:rsidR="007619BB" w:rsidRPr="00CB302B" w:rsidRDefault="007619BB" w:rsidP="007619BB">
            <w:pPr>
              <w:spacing w:after="200" w:line="276" w:lineRule="auto"/>
              <w:jc w:val="left"/>
              <w:rPr>
                <w:rFonts w:cstheme="minorHAnsi"/>
                <w:b/>
                <w:snapToGrid w:val="0"/>
                <w:sz w:val="20"/>
              </w:rPr>
            </w:pPr>
            <w:r w:rsidRPr="00CB302B">
              <w:rPr>
                <w:rFonts w:cstheme="minorHAnsi"/>
                <w:b/>
                <w:snapToGrid w:val="0"/>
                <w:sz w:val="20"/>
              </w:rPr>
              <w:t xml:space="preserve">Ime in priimek </w:t>
            </w:r>
            <w:r>
              <w:rPr>
                <w:rFonts w:cstheme="minorHAnsi"/>
                <w:b/>
                <w:snapToGrid w:val="0"/>
                <w:sz w:val="20"/>
              </w:rPr>
              <w:t>zakonitega zastopnika</w:t>
            </w:r>
            <w:r w:rsidRPr="00CB302B">
              <w:rPr>
                <w:rFonts w:cstheme="minorHAnsi"/>
                <w:b/>
                <w:snapToGrid w:val="0"/>
                <w:sz w:val="20"/>
              </w:rPr>
              <w:t xml:space="preserve"> vlagatelja</w:t>
            </w:r>
            <w:r>
              <w:rPr>
                <w:rFonts w:cstheme="minorHAnsi"/>
                <w:b/>
                <w:snapToGrid w:val="0"/>
                <w:sz w:val="20"/>
              </w:rPr>
              <w:t>/ upravičenca</w:t>
            </w:r>
            <w:r w:rsidRPr="00CB302B">
              <w:rPr>
                <w:rFonts w:cstheme="minorHAnsi"/>
                <w:b/>
                <w:snapToGrid w:val="0"/>
                <w:sz w:val="20"/>
              </w:rPr>
              <w:t>:</w:t>
            </w:r>
          </w:p>
        </w:tc>
        <w:tc>
          <w:tcPr>
            <w:tcW w:w="2655" w:type="pct"/>
            <w:vAlign w:val="bottom"/>
          </w:tcPr>
          <w:p w14:paraId="154DB507" w14:textId="77777777" w:rsidR="007619BB" w:rsidRPr="00CB302B" w:rsidRDefault="007619BB" w:rsidP="00E14EFB">
            <w:pPr>
              <w:spacing w:after="200" w:line="276" w:lineRule="auto"/>
              <w:rPr>
                <w:rFonts w:cstheme="minorHAnsi"/>
                <w:sz w:val="20"/>
              </w:rPr>
            </w:pP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p>
        </w:tc>
      </w:tr>
    </w:tbl>
    <w:p w14:paraId="1BC63EC9" w14:textId="77777777" w:rsidR="007619BB" w:rsidRDefault="007619BB" w:rsidP="007619BB">
      <w:pPr>
        <w:rPr>
          <w:rFonts w:cstheme="minorHAnsi"/>
        </w:rPr>
      </w:pPr>
    </w:p>
    <w:p w14:paraId="5B956A29" w14:textId="77777777" w:rsidR="00F65178" w:rsidRDefault="00F65178" w:rsidP="007619BB">
      <w:pPr>
        <w:pBdr>
          <w:top w:val="single" w:sz="4" w:space="1" w:color="auto"/>
          <w:left w:val="single" w:sz="4" w:space="4" w:color="auto"/>
          <w:bottom w:val="single" w:sz="4" w:space="1" w:color="auto"/>
          <w:right w:val="single" w:sz="4" w:space="0" w:color="auto"/>
        </w:pBdr>
        <w:shd w:val="clear" w:color="auto" w:fill="E2EFD9" w:themeFill="accent6" w:themeFillTint="33"/>
        <w:rPr>
          <w:rFonts w:cstheme="minorHAnsi"/>
          <w:b/>
          <w:bCs/>
        </w:rPr>
      </w:pPr>
      <w:r w:rsidRPr="00F65178">
        <w:rPr>
          <w:rFonts w:cstheme="minorHAnsi"/>
          <w:b/>
          <w:bCs/>
        </w:rPr>
        <w:t>Sklad za modernizacijo (MS)</w:t>
      </w:r>
    </w:p>
    <w:p w14:paraId="1072D3D3" w14:textId="77777777" w:rsidR="00DB1A9C" w:rsidRDefault="00DB1A9C" w:rsidP="007619BB">
      <w:pPr>
        <w:pBdr>
          <w:top w:val="single" w:sz="4" w:space="1" w:color="auto"/>
          <w:left w:val="single" w:sz="4" w:space="4" w:color="auto"/>
          <w:bottom w:val="single" w:sz="4" w:space="1" w:color="auto"/>
          <w:right w:val="single" w:sz="4" w:space="0" w:color="auto"/>
        </w:pBdr>
        <w:shd w:val="clear" w:color="auto" w:fill="E2EFD9" w:themeFill="accent6" w:themeFillTint="33"/>
        <w:rPr>
          <w:rFonts w:cstheme="minorHAnsi"/>
          <w:b/>
          <w:bCs/>
        </w:rPr>
      </w:pPr>
      <w:bookmarkStart w:id="1" w:name="_Hlk197690877"/>
      <w:r>
        <w:rPr>
          <w:rFonts w:cstheme="minorHAnsi"/>
          <w:b/>
          <w:bCs/>
        </w:rPr>
        <w:t>Shema</w:t>
      </w:r>
      <w:r w:rsidRPr="00DB1A9C">
        <w:rPr>
          <w:rFonts w:cstheme="minorHAnsi"/>
          <w:b/>
          <w:bCs/>
        </w:rPr>
        <w:t xml:space="preserve"> EE (del A): Posodobitev in razvoj prenosnega in distri</w:t>
      </w:r>
      <w:r>
        <w:rPr>
          <w:rFonts w:cstheme="minorHAnsi"/>
          <w:b/>
          <w:bCs/>
        </w:rPr>
        <w:t>bucijskega električnega omrežja</w:t>
      </w:r>
    </w:p>
    <w:p w14:paraId="46A2A649" w14:textId="23C32518" w:rsidR="007619BB" w:rsidRPr="00A80F83" w:rsidRDefault="00543FAA" w:rsidP="007619BB">
      <w:pPr>
        <w:pBdr>
          <w:top w:val="single" w:sz="4" w:space="1" w:color="auto"/>
          <w:left w:val="single" w:sz="4" w:space="4" w:color="auto"/>
          <w:bottom w:val="single" w:sz="4" w:space="1" w:color="auto"/>
          <w:right w:val="single" w:sz="4" w:space="0" w:color="auto"/>
        </w:pBdr>
        <w:shd w:val="clear" w:color="auto" w:fill="E2EFD9" w:themeFill="accent6" w:themeFillTint="33"/>
        <w:rPr>
          <w:rFonts w:cstheme="minorHAnsi"/>
        </w:rPr>
      </w:pPr>
      <w:r>
        <w:rPr>
          <w:rFonts w:cstheme="minorHAnsi"/>
        </w:rPr>
        <w:t>Ukrep, v katerega spada projekt</w:t>
      </w:r>
      <w:r w:rsidR="007619BB" w:rsidRPr="00A80F83">
        <w:rPr>
          <w:rFonts w:cstheme="minorHAnsi"/>
        </w:rPr>
        <w:t>, ki je predmet vloge:</w:t>
      </w:r>
    </w:p>
    <w:p w14:paraId="11B23182" w14:textId="7287A9B3" w:rsidR="007619BB" w:rsidRPr="00E14EFB" w:rsidRDefault="00E14EFB" w:rsidP="00E14EFB">
      <w:pPr>
        <w:pBdr>
          <w:top w:val="single" w:sz="4" w:space="1" w:color="auto"/>
          <w:left w:val="single" w:sz="4" w:space="4" w:color="auto"/>
          <w:bottom w:val="single" w:sz="4" w:space="1" w:color="auto"/>
          <w:right w:val="single" w:sz="4" w:space="0" w:color="auto"/>
        </w:pBdr>
        <w:shd w:val="clear" w:color="auto" w:fill="E2EFD9" w:themeFill="accent6" w:themeFillTint="33"/>
        <w:suppressAutoHyphens/>
        <w:spacing w:after="0" w:line="240" w:lineRule="auto"/>
        <w:ind w:left="426" w:hanging="426"/>
        <w:rPr>
          <w:rFonts w:cstheme="minorHAnsi"/>
        </w:rPr>
      </w:pPr>
      <w:sdt>
        <w:sdtPr>
          <w:rPr>
            <w:rFonts w:ascii="MS Gothic" w:eastAsia="MS Gothic" w:hAnsi="MS Gothic" w:cstheme="minorHAnsi"/>
          </w:rPr>
          <w:id w:val="1857696432"/>
          <w14:checkbox>
            <w14:checked w14:val="0"/>
            <w14:checkedState w14:val="2612" w14:font="MS Gothic"/>
            <w14:uncheckedState w14:val="2610" w14:font="MS Gothic"/>
          </w14:checkbox>
        </w:sdtPr>
        <w:sdtContent>
          <w:r w:rsidRPr="00E14EFB">
            <w:rPr>
              <w:rFonts w:ascii="MS Gothic" w:eastAsia="MS Gothic" w:hAnsi="MS Gothic" w:cstheme="minorHAnsi" w:hint="eastAsia"/>
            </w:rPr>
            <w:t>☐</w:t>
          </w:r>
        </w:sdtContent>
      </w:sdt>
      <w:r w:rsidR="00F65178" w:rsidRPr="00E14EFB">
        <w:rPr>
          <w:rFonts w:cstheme="minorHAnsi"/>
        </w:rPr>
        <w:t xml:space="preserve"> </w:t>
      </w:r>
      <w:r w:rsidR="00F65178" w:rsidRPr="00E14EFB">
        <w:rPr>
          <w:rFonts w:cstheme="minorHAnsi"/>
        </w:rPr>
        <w:tab/>
      </w:r>
      <w:r w:rsidR="00A6535B" w:rsidRPr="00E14EFB">
        <w:rPr>
          <w:rFonts w:cstheme="minorHAnsi"/>
        </w:rPr>
        <w:t>Prenos in distribucija električne energije</w:t>
      </w:r>
      <w:r w:rsidR="007619BB" w:rsidRPr="00E14EFB">
        <w:rPr>
          <w:rFonts w:cstheme="minorHAnsi"/>
        </w:rPr>
        <w:t xml:space="preserve"> (4.</w:t>
      </w:r>
      <w:r w:rsidR="00A6535B" w:rsidRPr="00E14EFB">
        <w:rPr>
          <w:rFonts w:cstheme="minorHAnsi"/>
        </w:rPr>
        <w:t>9</w:t>
      </w:r>
      <w:r w:rsidR="007619BB" w:rsidRPr="00E14EFB">
        <w:rPr>
          <w:rFonts w:cstheme="minorHAnsi"/>
        </w:rPr>
        <w:t>)</w:t>
      </w:r>
    </w:p>
    <w:p w14:paraId="6E7099BC" w14:textId="6B31FDAF" w:rsidR="00E14EFB" w:rsidRDefault="00E14EFB" w:rsidP="00E14EFB">
      <w:pPr>
        <w:pBdr>
          <w:top w:val="single" w:sz="4" w:space="1" w:color="auto"/>
          <w:left w:val="single" w:sz="4" w:space="4" w:color="auto"/>
          <w:bottom w:val="single" w:sz="4" w:space="1" w:color="auto"/>
          <w:right w:val="single" w:sz="4" w:space="0" w:color="auto"/>
        </w:pBdr>
        <w:shd w:val="clear" w:color="auto" w:fill="E2EFD9" w:themeFill="accent6" w:themeFillTint="33"/>
        <w:suppressAutoHyphens/>
        <w:spacing w:after="0" w:line="240" w:lineRule="auto"/>
        <w:rPr>
          <w:rFonts w:cstheme="minorHAnsi"/>
        </w:rPr>
      </w:pPr>
    </w:p>
    <w:bookmarkEnd w:id="1"/>
    <w:p w14:paraId="7C22060A" w14:textId="19BBF14F" w:rsidR="007619BB" w:rsidRDefault="007619BB" w:rsidP="007619BB">
      <w:pPr>
        <w:rPr>
          <w:rFonts w:cstheme="minorHAnsi"/>
        </w:rPr>
      </w:pPr>
    </w:p>
    <w:p w14:paraId="38A4C2E2" w14:textId="6E41161F" w:rsidR="00E14EFB" w:rsidRPr="00E14EFB" w:rsidRDefault="00E14EFB" w:rsidP="00E14EFB">
      <w:pPr>
        <w:rPr>
          <w:rFonts w:cstheme="minorHAnsi"/>
        </w:rPr>
      </w:pPr>
      <w:r w:rsidRPr="00E14EFB">
        <w:rPr>
          <w:rFonts w:cstheme="minorHAnsi"/>
        </w:rPr>
        <w:t>Dejavnost, ki bo v okviru projekta podprta, je (</w:t>
      </w:r>
      <w:r w:rsidRPr="00E14EFB">
        <w:rPr>
          <w:rFonts w:cstheme="minorHAnsi"/>
          <w:i/>
        </w:rPr>
        <w:t>označite vse relevantne</w:t>
      </w:r>
      <w:r w:rsidRPr="00E14EFB">
        <w:rPr>
          <w:rFonts w:cstheme="minorHAnsi"/>
        </w:rPr>
        <w:t>):</w:t>
      </w:r>
    </w:p>
    <w:p w14:paraId="27D21A72" w14:textId="77777777" w:rsidR="00E14EFB" w:rsidRPr="00E14EFB" w:rsidRDefault="00E14EFB" w:rsidP="00E14EFB">
      <w:pPr>
        <w:ind w:left="426" w:hanging="426"/>
        <w:rPr>
          <w:rFonts w:cstheme="minorHAnsi"/>
        </w:rPr>
      </w:pPr>
      <w:sdt>
        <w:sdtPr>
          <w:rPr>
            <w:rFonts w:eastAsia="MS Gothic" w:cstheme="minorHAnsi"/>
          </w:rPr>
          <w:id w:val="2140908691"/>
          <w14:checkbox>
            <w14:checked w14:val="0"/>
            <w14:checkedState w14:val="2612" w14:font="MS Gothic"/>
            <w14:uncheckedState w14:val="2610" w14:font="MS Gothic"/>
          </w14:checkbox>
        </w:sdtPr>
        <w:sdtContent>
          <w:r w:rsidRPr="00E14EFB">
            <w:rPr>
              <w:rFonts w:ascii="Segoe UI Symbol" w:eastAsia="MS Gothic" w:hAnsi="Segoe UI Symbol" w:cs="Segoe UI Symbol"/>
            </w:rPr>
            <w:t>☐</w:t>
          </w:r>
        </w:sdtContent>
      </w:sdt>
      <w:r w:rsidRPr="00E14EFB">
        <w:rPr>
          <w:rFonts w:cstheme="minorHAnsi"/>
        </w:rPr>
        <w:t xml:space="preserve"> </w:t>
      </w:r>
      <w:r w:rsidRPr="00E14EFB">
        <w:rPr>
          <w:rFonts w:cstheme="minorHAnsi"/>
        </w:rPr>
        <w:tab/>
        <w:t>gradnja in upravljanje neposredne povezave ali razširitev obstoječe neposredne povezave za proizvodnjo električne energije z majhnimi emisijami ogljika pod mejno vrednostjo 100 g CO2e/kWh, izmerjenimi na podlagi življenjskega cikla, za razdelilno transformatorsko postajo ali omrežje;</w:t>
      </w:r>
    </w:p>
    <w:p w14:paraId="35151696" w14:textId="69406D02" w:rsidR="00E14EFB" w:rsidRPr="00E14EFB" w:rsidRDefault="00E14EFB" w:rsidP="00E14EFB">
      <w:pPr>
        <w:ind w:left="426" w:hanging="426"/>
        <w:rPr>
          <w:rFonts w:cstheme="minorHAnsi"/>
        </w:rPr>
      </w:pPr>
      <w:sdt>
        <w:sdtPr>
          <w:rPr>
            <w:rFonts w:eastAsia="MS Gothic" w:cstheme="minorHAnsi"/>
          </w:rPr>
          <w:id w:val="-1227135582"/>
          <w14:checkbox>
            <w14:checked w14:val="0"/>
            <w14:checkedState w14:val="2612" w14:font="MS Gothic"/>
            <w14:uncheckedState w14:val="2610" w14:font="MS Gothic"/>
          </w14:checkbox>
        </w:sdtPr>
        <w:sdtContent>
          <w:r w:rsidRPr="00E14EFB">
            <w:rPr>
              <w:rFonts w:ascii="Segoe UI Symbol" w:eastAsia="MS Gothic" w:hAnsi="Segoe UI Symbol" w:cs="Segoe UI Symbol"/>
            </w:rPr>
            <w:t>☐</w:t>
          </w:r>
        </w:sdtContent>
      </w:sdt>
      <w:r w:rsidRPr="00E14EFB">
        <w:rPr>
          <w:rFonts w:cstheme="minorHAnsi"/>
        </w:rPr>
        <w:t xml:space="preserve"> </w:t>
      </w:r>
      <w:r w:rsidRPr="00E14EFB">
        <w:rPr>
          <w:rFonts w:cstheme="minorHAnsi"/>
        </w:rPr>
        <w:tab/>
        <w:t>gradnja in upravljanje polnilnih postaj za električna vozila in podporne električne infrastrukture za elektrifikacijo prometa, če so izpolnjena tehnična merila za pregled iz oddelka te priloge, ki se nanaša na promet;</w:t>
      </w:r>
    </w:p>
    <w:p w14:paraId="051035F0" w14:textId="0569A007" w:rsidR="00E14EFB" w:rsidRPr="00E14EFB" w:rsidRDefault="00E14EFB" w:rsidP="00E14EFB">
      <w:pPr>
        <w:ind w:left="426" w:hanging="426"/>
        <w:rPr>
          <w:rFonts w:cstheme="minorHAnsi"/>
        </w:rPr>
      </w:pPr>
      <w:sdt>
        <w:sdtPr>
          <w:rPr>
            <w:rFonts w:eastAsia="MS Gothic" w:cstheme="minorHAnsi"/>
          </w:rPr>
          <w:id w:val="1291939590"/>
          <w14:checkbox>
            <w14:checked w14:val="0"/>
            <w14:checkedState w14:val="2612" w14:font="MS Gothic"/>
            <w14:uncheckedState w14:val="2610" w14:font="MS Gothic"/>
          </w14:checkbox>
        </w:sdtPr>
        <w:sdtContent>
          <w:r w:rsidRPr="00E14EFB">
            <w:rPr>
              <w:rFonts w:ascii="Segoe UI Symbol" w:eastAsia="MS Gothic" w:hAnsi="Segoe UI Symbol" w:cs="Segoe UI Symbol"/>
            </w:rPr>
            <w:t>☐</w:t>
          </w:r>
        </w:sdtContent>
      </w:sdt>
      <w:r w:rsidRPr="00E14EFB">
        <w:rPr>
          <w:rFonts w:cstheme="minorHAnsi"/>
        </w:rPr>
        <w:t xml:space="preserve"> </w:t>
      </w:r>
      <w:r w:rsidRPr="00E14EFB">
        <w:rPr>
          <w:rFonts w:cstheme="minorHAnsi"/>
        </w:rPr>
        <w:tab/>
        <w:t>namestitev prenosnih in distribucijskih transformatorjev, ki izpolnjujejo zahteve stopnje 2 (od 1. julija 2021) iz Priloge I k Uredbi Komisije (EU) št. 548/2014 in, za srednje transformatorje, pri katerih najvišja napetost za opremo ne presega 36 kV, zahteve glede doseganja ravni AA0, kar zadeva izgube prostega teka, določene v standardu EN 50588-1;</w:t>
      </w:r>
    </w:p>
    <w:p w14:paraId="59F1E990" w14:textId="0E383E29" w:rsidR="00E14EFB" w:rsidRPr="00E14EFB" w:rsidRDefault="00E14EFB" w:rsidP="00E14EFB">
      <w:pPr>
        <w:ind w:left="426" w:hanging="426"/>
        <w:rPr>
          <w:rFonts w:cstheme="minorHAnsi"/>
        </w:rPr>
      </w:pPr>
      <w:sdt>
        <w:sdtPr>
          <w:rPr>
            <w:rFonts w:eastAsia="MS Gothic" w:cstheme="minorHAnsi"/>
          </w:rPr>
          <w:id w:val="1121271311"/>
          <w14:checkbox>
            <w14:checked w14:val="0"/>
            <w14:checkedState w14:val="2612" w14:font="MS Gothic"/>
            <w14:uncheckedState w14:val="2610" w14:font="MS Gothic"/>
          </w14:checkbox>
        </w:sdtPr>
        <w:sdtContent>
          <w:r w:rsidRPr="00E14EFB">
            <w:rPr>
              <w:rFonts w:ascii="Segoe UI Symbol" w:eastAsia="MS Gothic" w:hAnsi="Segoe UI Symbol" w:cs="Segoe UI Symbol"/>
            </w:rPr>
            <w:t>☐</w:t>
          </w:r>
        </w:sdtContent>
      </w:sdt>
      <w:r w:rsidRPr="00E14EFB">
        <w:rPr>
          <w:rFonts w:cstheme="minorHAnsi"/>
        </w:rPr>
        <w:t xml:space="preserve"> </w:t>
      </w:r>
      <w:r w:rsidRPr="00E14EFB">
        <w:rPr>
          <w:rFonts w:cstheme="minorHAnsi"/>
        </w:rPr>
        <w:tab/>
        <w:t>gradnja/namestitev in upravljanje opreme in infrastrukture, pri čemer je glavni cilj povečati proizvodnjo ali uporabo električne energije iz obnovljivih virov;</w:t>
      </w:r>
    </w:p>
    <w:p w14:paraId="309A2E0D" w14:textId="6A9C609F" w:rsidR="00E14EFB" w:rsidRPr="00E14EFB" w:rsidRDefault="00E14EFB" w:rsidP="00E14EFB">
      <w:pPr>
        <w:ind w:left="426" w:hanging="426"/>
        <w:rPr>
          <w:rFonts w:cstheme="minorHAnsi"/>
        </w:rPr>
      </w:pPr>
      <w:sdt>
        <w:sdtPr>
          <w:rPr>
            <w:rFonts w:eastAsia="MS Gothic" w:cstheme="minorHAnsi"/>
          </w:rPr>
          <w:id w:val="-367604847"/>
          <w14:checkbox>
            <w14:checked w14:val="0"/>
            <w14:checkedState w14:val="2612" w14:font="MS Gothic"/>
            <w14:uncheckedState w14:val="2610" w14:font="MS Gothic"/>
          </w14:checkbox>
        </w:sdtPr>
        <w:sdtContent>
          <w:r w:rsidRPr="00E14EFB">
            <w:rPr>
              <w:rFonts w:ascii="Segoe UI Symbol" w:eastAsia="MS Gothic" w:hAnsi="Segoe UI Symbol" w:cs="Segoe UI Symbol"/>
            </w:rPr>
            <w:t>☐</w:t>
          </w:r>
        </w:sdtContent>
      </w:sdt>
      <w:r w:rsidRPr="00E14EFB">
        <w:rPr>
          <w:rFonts w:cstheme="minorHAnsi"/>
        </w:rPr>
        <w:t xml:space="preserve"> </w:t>
      </w:r>
      <w:r w:rsidRPr="00E14EFB">
        <w:rPr>
          <w:rFonts w:cstheme="minorHAnsi"/>
        </w:rPr>
        <w:tab/>
        <w:t>namestitev opreme za povečanje možnosti nadzora in opazovanja elektroenergetskega sistema ter omogočanje razvoja in vključevanja obnovljivih virov energije, vključno s:</w:t>
      </w:r>
    </w:p>
    <w:p w14:paraId="25E5826A" w14:textId="2B17CC6B" w:rsidR="00E14EFB" w:rsidRPr="00E14EFB" w:rsidRDefault="00E14EFB" w:rsidP="00E14EFB">
      <w:pPr>
        <w:ind w:left="426" w:hanging="426"/>
        <w:rPr>
          <w:rFonts w:cstheme="minorHAnsi"/>
        </w:rPr>
      </w:pPr>
      <w:sdt>
        <w:sdtPr>
          <w:rPr>
            <w:rFonts w:eastAsia="MS Gothic" w:cstheme="minorHAnsi"/>
          </w:rPr>
          <w:id w:val="1335889134"/>
          <w14:checkbox>
            <w14:checked w14:val="0"/>
            <w14:checkedState w14:val="2612" w14:font="MS Gothic"/>
            <w14:uncheckedState w14:val="2610" w14:font="MS Gothic"/>
          </w14:checkbox>
        </w:sdtPr>
        <w:sdtContent>
          <w:r w:rsidRPr="00E14EFB">
            <w:rPr>
              <w:rFonts w:ascii="Segoe UI Symbol" w:eastAsia="MS Gothic" w:hAnsi="Segoe UI Symbol" w:cs="Segoe UI Symbol"/>
            </w:rPr>
            <w:t>☐</w:t>
          </w:r>
        </w:sdtContent>
      </w:sdt>
      <w:r w:rsidRPr="00E14EFB">
        <w:rPr>
          <w:rFonts w:cstheme="minorHAnsi"/>
        </w:rPr>
        <w:t xml:space="preserve"> </w:t>
      </w:r>
      <w:r w:rsidRPr="00E14EFB">
        <w:rPr>
          <w:rFonts w:cstheme="minorHAnsi"/>
        </w:rPr>
        <w:tab/>
        <w:t>senzorji in merilnimi orodji (vključno z meteorološkimi senzorji za napovedovanje proizvodnje iz obnovljivih virov);</w:t>
      </w:r>
    </w:p>
    <w:p w14:paraId="70C8E03E" w14:textId="5D791946" w:rsidR="00E14EFB" w:rsidRPr="00E14EFB" w:rsidRDefault="00E14EFB" w:rsidP="00E14EFB">
      <w:pPr>
        <w:ind w:left="426" w:hanging="426"/>
        <w:rPr>
          <w:rFonts w:cstheme="minorHAnsi"/>
        </w:rPr>
      </w:pPr>
      <w:sdt>
        <w:sdtPr>
          <w:rPr>
            <w:rFonts w:eastAsia="MS Gothic" w:cstheme="minorHAnsi"/>
          </w:rPr>
          <w:id w:val="-501276480"/>
          <w14:checkbox>
            <w14:checked w14:val="0"/>
            <w14:checkedState w14:val="2612" w14:font="MS Gothic"/>
            <w14:uncheckedState w14:val="2610" w14:font="MS Gothic"/>
          </w14:checkbox>
        </w:sdtPr>
        <w:sdtContent>
          <w:r w:rsidRPr="00E14EFB">
            <w:rPr>
              <w:rFonts w:ascii="Segoe UI Symbol" w:eastAsia="MS Gothic" w:hAnsi="Segoe UI Symbol" w:cs="Segoe UI Symbol"/>
            </w:rPr>
            <w:t>☐</w:t>
          </w:r>
        </w:sdtContent>
      </w:sdt>
      <w:r w:rsidRPr="00E14EFB">
        <w:rPr>
          <w:rFonts w:cstheme="minorHAnsi"/>
        </w:rPr>
        <w:t xml:space="preserve"> </w:t>
      </w:r>
      <w:r w:rsidRPr="00E14EFB">
        <w:rPr>
          <w:rFonts w:cstheme="minorHAnsi"/>
        </w:rPr>
        <w:tab/>
        <w:t>komunikacijo in nadzorom (vključno z napredno programsko opremo in kontrolnimi sobami, avtomatizacijo razdelilnih transformatorskih postaj ali napajalnikov in zmogljivostmi za regulacijo napetosti za prilagoditev bolj decentraliziranemu dovajanju energije iz obnovljivih virov);</w:t>
      </w:r>
    </w:p>
    <w:p w14:paraId="654F8C27" w14:textId="292AF914" w:rsidR="00E14EFB" w:rsidRPr="00E14EFB" w:rsidRDefault="00E14EFB" w:rsidP="00E14EFB">
      <w:pPr>
        <w:ind w:left="426" w:hanging="426"/>
        <w:rPr>
          <w:rFonts w:cstheme="minorHAnsi"/>
        </w:rPr>
      </w:pPr>
      <w:sdt>
        <w:sdtPr>
          <w:rPr>
            <w:rFonts w:eastAsia="MS Gothic" w:cstheme="minorHAnsi"/>
          </w:rPr>
          <w:id w:val="1595672189"/>
          <w14:checkbox>
            <w14:checked w14:val="0"/>
            <w14:checkedState w14:val="2612" w14:font="MS Gothic"/>
            <w14:uncheckedState w14:val="2610" w14:font="MS Gothic"/>
          </w14:checkbox>
        </w:sdtPr>
        <w:sdtContent>
          <w:r w:rsidRPr="00E14EFB">
            <w:rPr>
              <w:rFonts w:ascii="Segoe UI Symbol" w:eastAsia="MS Gothic" w:hAnsi="Segoe UI Symbol" w:cs="Segoe UI Symbol"/>
            </w:rPr>
            <w:t>☐</w:t>
          </w:r>
        </w:sdtContent>
      </w:sdt>
      <w:r w:rsidRPr="00E14EFB">
        <w:rPr>
          <w:rFonts w:cstheme="minorHAnsi"/>
        </w:rPr>
        <w:t xml:space="preserve"> </w:t>
      </w:r>
      <w:r w:rsidRPr="00E14EFB">
        <w:rPr>
          <w:rFonts w:cstheme="minorHAnsi"/>
        </w:rPr>
        <w:tab/>
        <w:t xml:space="preserve">namestitev opreme, med drugim bodočih sistemov naprednega merjenja ali sistemov, ki nadomeščajo sisteme naprednega merjenja, v skladu s členom 19(6) Direktive (EU) 2019/944 </w:t>
      </w:r>
      <w:r w:rsidRPr="00E14EFB">
        <w:rPr>
          <w:rFonts w:cstheme="minorHAnsi"/>
        </w:rPr>
        <w:lastRenderedPageBreak/>
        <w:t>Evropskega parlamenta in Sveta, ki izpolnjujejo zahteve iz člena 20 Direktive (EU) 2019/944, ki lahko prenaša informacije uporabnikom, da bi ti lahko na daljavo uravnavali porabo, vključno z vozlišči s podatki o strankah;</w:t>
      </w:r>
    </w:p>
    <w:p w14:paraId="37C0A815" w14:textId="088BEB47" w:rsidR="00E14EFB" w:rsidRPr="00E14EFB" w:rsidRDefault="00E14EFB" w:rsidP="00E14EFB">
      <w:pPr>
        <w:ind w:left="426" w:hanging="426"/>
        <w:rPr>
          <w:rFonts w:cstheme="minorHAnsi"/>
        </w:rPr>
      </w:pPr>
      <w:sdt>
        <w:sdtPr>
          <w:rPr>
            <w:rFonts w:eastAsia="MS Gothic" w:cstheme="minorHAnsi"/>
          </w:rPr>
          <w:id w:val="1336425345"/>
          <w14:checkbox>
            <w14:checked w14:val="0"/>
            <w14:checkedState w14:val="2612" w14:font="MS Gothic"/>
            <w14:uncheckedState w14:val="2610" w14:font="MS Gothic"/>
          </w14:checkbox>
        </w:sdtPr>
        <w:sdtContent>
          <w:r w:rsidRPr="00E14EFB">
            <w:rPr>
              <w:rFonts w:ascii="Segoe UI Symbol" w:eastAsia="MS Gothic" w:hAnsi="Segoe UI Symbol" w:cs="Segoe UI Symbol"/>
            </w:rPr>
            <w:t>☐</w:t>
          </w:r>
        </w:sdtContent>
      </w:sdt>
      <w:r w:rsidRPr="00E14EFB">
        <w:rPr>
          <w:rFonts w:cstheme="minorHAnsi"/>
        </w:rPr>
        <w:t xml:space="preserve"> </w:t>
      </w:r>
      <w:r w:rsidRPr="00E14EFB">
        <w:rPr>
          <w:rFonts w:cstheme="minorHAnsi"/>
        </w:rPr>
        <w:tab/>
        <w:t>izdelava/namestitev opreme za omogočanje izmenjave izrecno električne energije iz obnovljivih virov med uporabniki;</w:t>
      </w:r>
    </w:p>
    <w:p w14:paraId="5A2528AB" w14:textId="410E839F" w:rsidR="00E14EFB" w:rsidRPr="00E14EFB" w:rsidRDefault="00E14EFB" w:rsidP="00E14EFB">
      <w:pPr>
        <w:ind w:left="426" w:hanging="426"/>
        <w:rPr>
          <w:rFonts w:cstheme="minorHAnsi"/>
        </w:rPr>
      </w:pPr>
      <w:sdt>
        <w:sdtPr>
          <w:rPr>
            <w:rFonts w:eastAsia="MS Gothic" w:cstheme="minorHAnsi"/>
          </w:rPr>
          <w:id w:val="538170862"/>
          <w14:checkbox>
            <w14:checked w14:val="0"/>
            <w14:checkedState w14:val="2612" w14:font="MS Gothic"/>
            <w14:uncheckedState w14:val="2610" w14:font="MS Gothic"/>
          </w14:checkbox>
        </w:sdtPr>
        <w:sdtContent>
          <w:r w:rsidRPr="00E14EFB">
            <w:rPr>
              <w:rFonts w:ascii="Segoe UI Symbol" w:eastAsia="MS Gothic" w:hAnsi="Segoe UI Symbol" w:cs="Segoe UI Symbol"/>
            </w:rPr>
            <w:t>☐</w:t>
          </w:r>
        </w:sdtContent>
      </w:sdt>
      <w:r w:rsidRPr="00E14EFB">
        <w:rPr>
          <w:rFonts w:cstheme="minorHAnsi"/>
        </w:rPr>
        <w:t xml:space="preserve"> </w:t>
      </w:r>
      <w:r w:rsidRPr="00E14EFB">
        <w:rPr>
          <w:rFonts w:cstheme="minorHAnsi"/>
        </w:rPr>
        <w:tab/>
        <w:t xml:space="preserve">gradnja in upravljanje </w:t>
      </w:r>
      <w:proofErr w:type="spellStart"/>
      <w:r w:rsidRPr="00E14EFB">
        <w:rPr>
          <w:rFonts w:cstheme="minorHAnsi"/>
        </w:rPr>
        <w:t>interkonektorjev</w:t>
      </w:r>
      <w:proofErr w:type="spellEnd"/>
      <w:r w:rsidRPr="00E14EFB">
        <w:rPr>
          <w:rFonts w:cstheme="minorHAnsi"/>
        </w:rPr>
        <w:t xml:space="preserve"> med prenosnimi sistemi, če eden od sistemov izpolnjuje merila.</w:t>
      </w:r>
    </w:p>
    <w:p w14:paraId="76024626" w14:textId="77777777" w:rsidR="00E14EFB" w:rsidRDefault="00E14EFB" w:rsidP="00E14EFB">
      <w:pPr>
        <w:pBdr>
          <w:bottom w:val="single" w:sz="4" w:space="1" w:color="auto"/>
        </w:pBdr>
        <w:spacing w:line="276" w:lineRule="auto"/>
        <w:rPr>
          <w:rFonts w:cstheme="minorHAnsi"/>
          <w:sz w:val="20"/>
          <w:szCs w:val="20"/>
        </w:rPr>
      </w:pPr>
    </w:p>
    <w:p w14:paraId="2C0B1E23" w14:textId="72EFD66F" w:rsidR="007619BB" w:rsidRDefault="007619BB" w:rsidP="007619BB">
      <w:pPr>
        <w:spacing w:line="276" w:lineRule="auto"/>
        <w:rPr>
          <w:rFonts w:cstheme="minorHAnsi"/>
          <w:b/>
          <w:sz w:val="20"/>
          <w:szCs w:val="20"/>
        </w:rPr>
      </w:pPr>
      <w:r w:rsidRPr="005F57FC">
        <w:rPr>
          <w:rFonts w:cstheme="minorHAnsi"/>
          <w:sz w:val="20"/>
          <w:szCs w:val="20"/>
        </w:rPr>
        <w:t xml:space="preserve">V skladu s Prilogo I Uredbe (EU) 2021/1060 o skupnih določbah </w:t>
      </w:r>
      <w:r>
        <w:rPr>
          <w:rFonts w:cstheme="minorHAnsi"/>
          <w:sz w:val="20"/>
          <w:szCs w:val="20"/>
        </w:rPr>
        <w:t>ukrep ustreza področju</w:t>
      </w:r>
      <w:r w:rsidRPr="005F57FC">
        <w:rPr>
          <w:rFonts w:cstheme="minorHAnsi"/>
          <w:sz w:val="20"/>
          <w:szCs w:val="20"/>
        </w:rPr>
        <w:t xml:space="preserve"> ukrepanja</w:t>
      </w:r>
      <w:r w:rsidR="00A6535B">
        <w:rPr>
          <w:rFonts w:cstheme="minorHAnsi"/>
          <w:sz w:val="20"/>
          <w:szCs w:val="20"/>
        </w:rPr>
        <w:t xml:space="preserve"> 053 - </w:t>
      </w:r>
      <w:r w:rsidR="00A6535B" w:rsidRPr="00A6535B">
        <w:rPr>
          <w:rFonts w:cstheme="minorHAnsi"/>
          <w:sz w:val="20"/>
          <w:szCs w:val="20"/>
        </w:rPr>
        <w:t>Pametni energetski sistemi (vključno z inteligentnimi energetskimi omrežji in sistemi IKT) ter povezano shranjevanje</w:t>
      </w:r>
      <w:r w:rsidRPr="005F57FC">
        <w:rPr>
          <w:rFonts w:cstheme="minorHAnsi"/>
          <w:sz w:val="20"/>
          <w:szCs w:val="20"/>
        </w:rPr>
        <w:t>, za katere</w:t>
      </w:r>
      <w:r w:rsidR="00A6535B">
        <w:rPr>
          <w:rFonts w:cstheme="minorHAnsi"/>
          <w:sz w:val="20"/>
          <w:szCs w:val="20"/>
        </w:rPr>
        <w:t>ga</w:t>
      </w:r>
      <w:r w:rsidRPr="005F57FC">
        <w:rPr>
          <w:rFonts w:cstheme="minorHAnsi"/>
          <w:sz w:val="20"/>
          <w:szCs w:val="20"/>
        </w:rPr>
        <w:t xml:space="preserve"> se upošteva 100-odstotni prispevek k ciljem na področju podnebnih sprememb, </w:t>
      </w:r>
      <w:r w:rsidRPr="005F57FC">
        <w:rPr>
          <w:rFonts w:cstheme="minorHAnsi"/>
          <w:b/>
          <w:sz w:val="20"/>
          <w:szCs w:val="20"/>
        </w:rPr>
        <w:t>s čimer je izpolnjen kriterij b) za uporabo poenostavljenega pristopa.</w:t>
      </w:r>
    </w:p>
    <w:p w14:paraId="7BFB0218" w14:textId="3509DB79" w:rsidR="007619BB" w:rsidRDefault="007619BB" w:rsidP="007619BB">
      <w:pPr>
        <w:spacing w:line="276" w:lineRule="auto"/>
        <w:rPr>
          <w:rFonts w:cstheme="minorHAnsi"/>
          <w:b/>
          <w:sz w:val="20"/>
          <w:szCs w:val="20"/>
        </w:rPr>
      </w:pPr>
      <w:r>
        <w:rPr>
          <w:rFonts w:cstheme="minorHAnsi"/>
          <w:sz w:val="20"/>
          <w:szCs w:val="20"/>
        </w:rPr>
        <w:t>V</w:t>
      </w:r>
      <w:r w:rsidRPr="008F5061">
        <w:rPr>
          <w:rFonts w:cstheme="minorHAnsi"/>
          <w:sz w:val="20"/>
          <w:szCs w:val="20"/>
        </w:rPr>
        <w:t xml:space="preserve"> skladu z Delegirano uredbo Komisije (EU) 2021/2139</w:t>
      </w:r>
      <w:r>
        <w:rPr>
          <w:rStyle w:val="Sprotnaopomba-sklic"/>
          <w:rFonts w:cstheme="minorHAnsi"/>
          <w:sz w:val="20"/>
          <w:szCs w:val="20"/>
        </w:rPr>
        <w:footnoteReference w:id="3"/>
      </w:r>
      <w:r>
        <w:rPr>
          <w:rFonts w:cstheme="minorHAnsi"/>
          <w:sz w:val="20"/>
          <w:szCs w:val="20"/>
        </w:rPr>
        <w:t xml:space="preserve"> ukrep</w:t>
      </w:r>
      <w:r w:rsidRPr="008F5061">
        <w:rPr>
          <w:rFonts w:cstheme="minorHAnsi"/>
          <w:sz w:val="20"/>
          <w:szCs w:val="20"/>
        </w:rPr>
        <w:t xml:space="preserve"> bistveno prispeva k blaž</w:t>
      </w:r>
      <w:r>
        <w:rPr>
          <w:rFonts w:cstheme="minorHAnsi"/>
          <w:sz w:val="20"/>
          <w:szCs w:val="20"/>
        </w:rPr>
        <w:t xml:space="preserve">itvi podnebnih sprememb, </w:t>
      </w:r>
      <w:r w:rsidR="00A6535B">
        <w:rPr>
          <w:rFonts w:cstheme="minorHAnsi"/>
          <w:sz w:val="20"/>
          <w:szCs w:val="20"/>
        </w:rPr>
        <w:t xml:space="preserve">saj gre za infrastrukturo ali opremo za prenos in distribucijo, ki je del elektroenergetskega sistema, ki je medsebojno povezan z evropskim elektroenergetskim sistemom preko drugih držav članic, </w:t>
      </w:r>
      <w:r w:rsidRPr="00AB12C7">
        <w:rPr>
          <w:rFonts w:cstheme="minorHAnsi"/>
          <w:b/>
          <w:sz w:val="20"/>
          <w:szCs w:val="20"/>
        </w:rPr>
        <w:t>s čimer je izpolnjen kriterij c) za uporabo poenostavljenega pristopa.</w:t>
      </w:r>
    </w:p>
    <w:p w14:paraId="41ED730F" w14:textId="23DD3E5B" w:rsidR="007619BB" w:rsidRPr="005F57FC" w:rsidRDefault="007619BB" w:rsidP="007619BB">
      <w:pPr>
        <w:spacing w:line="276" w:lineRule="auto"/>
        <w:rPr>
          <w:rFonts w:cstheme="minorHAnsi"/>
          <w:sz w:val="20"/>
          <w:szCs w:val="20"/>
        </w:rPr>
      </w:pPr>
      <w:r w:rsidRPr="005F57FC">
        <w:rPr>
          <w:rFonts w:cstheme="minorHAnsi"/>
          <w:sz w:val="20"/>
          <w:szCs w:val="20"/>
        </w:rPr>
        <w:t>Za specifičn</w:t>
      </w:r>
      <w:r>
        <w:rPr>
          <w:rFonts w:cstheme="minorHAnsi"/>
          <w:sz w:val="20"/>
          <w:szCs w:val="20"/>
        </w:rPr>
        <w:t>i</w:t>
      </w:r>
      <w:r w:rsidRPr="005F57FC">
        <w:rPr>
          <w:rFonts w:cstheme="minorHAnsi"/>
          <w:sz w:val="20"/>
          <w:szCs w:val="20"/>
        </w:rPr>
        <w:t xml:space="preserve"> cilj RSO2.</w:t>
      </w:r>
      <w:r w:rsidR="00A6535B">
        <w:rPr>
          <w:rFonts w:cstheme="minorHAnsi"/>
          <w:sz w:val="20"/>
          <w:szCs w:val="20"/>
        </w:rPr>
        <w:t>3</w:t>
      </w:r>
      <w:r w:rsidRPr="005F57FC">
        <w:rPr>
          <w:rFonts w:cstheme="minorHAnsi"/>
          <w:sz w:val="20"/>
          <w:szCs w:val="20"/>
        </w:rPr>
        <w:t xml:space="preserve"> je izvedena predhodna ocena skladnosti </w:t>
      </w:r>
      <w:r w:rsidR="00543FAA" w:rsidRPr="00543FAA">
        <w:rPr>
          <w:rFonts w:cstheme="minorHAnsi"/>
          <w:sz w:val="20"/>
          <w:szCs w:val="20"/>
        </w:rPr>
        <w:t>Programa evropske kohezijske politike v obdobju 2021–2027</w:t>
      </w:r>
      <w:r w:rsidR="00543FAA">
        <w:rPr>
          <w:rFonts w:cstheme="minorHAnsi"/>
          <w:sz w:val="20"/>
          <w:szCs w:val="20"/>
        </w:rPr>
        <w:t xml:space="preserve"> (PEKP)</w:t>
      </w:r>
      <w:r w:rsidR="00543FAA" w:rsidRPr="00543FAA">
        <w:rPr>
          <w:rFonts w:cstheme="minorHAnsi"/>
          <w:sz w:val="20"/>
          <w:szCs w:val="20"/>
        </w:rPr>
        <w:t xml:space="preserve"> v Sloveniji</w:t>
      </w:r>
      <w:r w:rsidRPr="005F57FC">
        <w:rPr>
          <w:rFonts w:cstheme="minorHAnsi"/>
          <w:sz w:val="20"/>
          <w:szCs w:val="20"/>
        </w:rPr>
        <w:t xml:space="preserve"> z načelom DNSH, kot je podana v dokumentu </w:t>
      </w:r>
      <w:r w:rsidRPr="005F57FC">
        <w:rPr>
          <w:rFonts w:cstheme="minorHAnsi"/>
          <w:i/>
          <w:sz w:val="20"/>
          <w:szCs w:val="20"/>
        </w:rPr>
        <w:t xml:space="preserve">Strokovna in tehnična podpora pri izvedbi celovite presoje vplivov na okolje za Program evropske kohezijske politike 2021–2027 – Dodatek za presojo načela, da se ne škoduje bistveno </w:t>
      </w:r>
      <w:r w:rsidRPr="005F57FC">
        <w:rPr>
          <w:rFonts w:cstheme="minorHAnsi"/>
          <w:sz w:val="20"/>
          <w:szCs w:val="20"/>
        </w:rPr>
        <w:t>(v nadaljevanju CPVO-DNSH). Ukrep</w:t>
      </w:r>
      <w:r>
        <w:rPr>
          <w:rFonts w:cstheme="minorHAnsi"/>
          <w:sz w:val="20"/>
          <w:szCs w:val="20"/>
        </w:rPr>
        <w:t xml:space="preserve"> je</w:t>
      </w:r>
      <w:r w:rsidRPr="005F57FC">
        <w:rPr>
          <w:rFonts w:cstheme="minorHAnsi"/>
          <w:sz w:val="20"/>
          <w:szCs w:val="20"/>
        </w:rPr>
        <w:t xml:space="preserve"> po vsebini enak ukrepom, ki so bili ocenjeni v okviru predhodne ocene skladnosti PEKP z načelom DNSH in so opredeljeni z morebitnimi omilitvenimi ukrepi na podlagi Tehničnih meril za izbor projektov za izpolnjevanje »načela, da se ne škoduje bistveno«</w:t>
      </w:r>
      <w:r w:rsidRPr="005F57FC">
        <w:rPr>
          <w:rStyle w:val="Sprotnaopomba-sklic"/>
          <w:rFonts w:cstheme="minorHAnsi"/>
        </w:rPr>
        <w:footnoteReference w:id="4"/>
      </w:r>
      <w:r w:rsidRPr="005F57FC">
        <w:rPr>
          <w:rFonts w:cstheme="minorHAnsi"/>
          <w:sz w:val="20"/>
          <w:szCs w:val="20"/>
        </w:rPr>
        <w:t xml:space="preserve"> (v nadaljevanju tehnična merila), </w:t>
      </w:r>
      <w:r w:rsidRPr="005F57FC">
        <w:rPr>
          <w:rFonts w:cstheme="minorHAnsi"/>
          <w:b/>
          <w:sz w:val="20"/>
          <w:szCs w:val="20"/>
        </w:rPr>
        <w:t>s čimer je izpolnjen kriterij d) za uporabo poenostavljenega pristopa.</w:t>
      </w:r>
      <w:r w:rsidRPr="005F57FC">
        <w:rPr>
          <w:rFonts w:cstheme="minorHAnsi"/>
          <w:sz w:val="20"/>
          <w:szCs w:val="20"/>
        </w:rPr>
        <w:t xml:space="preserve"> </w:t>
      </w:r>
    </w:p>
    <w:p w14:paraId="18200074" w14:textId="2E18095D" w:rsidR="007619BB" w:rsidRPr="005F57FC" w:rsidRDefault="007619BB" w:rsidP="007619BB">
      <w:pPr>
        <w:spacing w:line="276" w:lineRule="auto"/>
        <w:rPr>
          <w:rFonts w:cstheme="minorHAnsi"/>
          <w:b/>
          <w:i/>
          <w:sz w:val="20"/>
          <w:szCs w:val="20"/>
          <w:u w:val="single"/>
        </w:rPr>
      </w:pPr>
      <w:bookmarkStart w:id="2" w:name="_Hlk197691258"/>
      <w:r w:rsidRPr="005F57FC">
        <w:rPr>
          <w:rFonts w:cstheme="minorHAnsi"/>
          <w:b/>
          <w:i/>
          <w:sz w:val="20"/>
          <w:szCs w:val="20"/>
          <w:u w:val="single"/>
        </w:rPr>
        <w:t>Navodilo za vlagatelje:</w:t>
      </w:r>
    </w:p>
    <w:p w14:paraId="1EBE2102" w14:textId="77777777" w:rsidR="007619BB" w:rsidRPr="005F57FC" w:rsidRDefault="007619BB" w:rsidP="007619BB">
      <w:pPr>
        <w:spacing w:line="276" w:lineRule="auto"/>
        <w:rPr>
          <w:rFonts w:cstheme="minorHAnsi"/>
          <w:i/>
          <w:sz w:val="20"/>
          <w:szCs w:val="20"/>
        </w:rPr>
      </w:pPr>
      <w:r w:rsidRPr="005F57FC">
        <w:rPr>
          <w:rFonts w:cstheme="minorHAnsi"/>
          <w:i/>
          <w:sz w:val="20"/>
          <w:szCs w:val="20"/>
        </w:rPr>
        <w:t>Ocena skladnosti ukrepa z načelom DNSH se izvaja dvostopenjsko, pri čemer se glede na vrsto ukrepa upoštevajo Smernice organa upravljanja za uporabo načela, da se ne škoduje bistveno pri izvajanju Programa evropske kohezijske politike v obdobju 2021–2027 v Sloveniji</w:t>
      </w:r>
      <w:r w:rsidRPr="005F57FC">
        <w:rPr>
          <w:rStyle w:val="Sprotnaopomba-sklic"/>
          <w:rFonts w:cstheme="minorHAnsi"/>
          <w:i/>
        </w:rPr>
        <w:footnoteReference w:id="5"/>
      </w:r>
      <w:r w:rsidRPr="005F57FC">
        <w:rPr>
          <w:rFonts w:cstheme="minorHAnsi"/>
          <w:i/>
          <w:sz w:val="20"/>
          <w:szCs w:val="20"/>
        </w:rPr>
        <w:t xml:space="preserve"> (v nadaljevanju Smernice OU DNSH):</w:t>
      </w:r>
    </w:p>
    <w:p w14:paraId="7FBA0B4E" w14:textId="77777777" w:rsidR="007619BB" w:rsidRPr="005F57FC" w:rsidRDefault="007619BB" w:rsidP="009537AD">
      <w:pPr>
        <w:pStyle w:val="Odstavekseznama"/>
        <w:numPr>
          <w:ilvl w:val="0"/>
          <w:numId w:val="4"/>
        </w:numPr>
        <w:suppressAutoHyphens/>
        <w:spacing w:after="0" w:line="276" w:lineRule="auto"/>
        <w:rPr>
          <w:rFonts w:cstheme="minorHAnsi"/>
          <w:i/>
          <w:sz w:val="20"/>
          <w:szCs w:val="20"/>
        </w:rPr>
      </w:pPr>
      <w:r w:rsidRPr="005F57FC">
        <w:rPr>
          <w:rFonts w:cstheme="minorHAnsi"/>
          <w:b/>
          <w:i/>
          <w:sz w:val="20"/>
          <w:szCs w:val="20"/>
        </w:rPr>
        <w:t>prva stopnja (poenostavljena ocena)</w:t>
      </w:r>
      <w:r w:rsidRPr="005F57FC">
        <w:rPr>
          <w:rFonts w:cstheme="minorHAnsi"/>
          <w:i/>
          <w:sz w:val="20"/>
          <w:szCs w:val="20"/>
        </w:rPr>
        <w:t xml:space="preserve"> se izvede za vse ukrepe na podlagi kontrolnega seznama iz Priloge 7.1 Smernic OU DNSH:</w:t>
      </w:r>
    </w:p>
    <w:p w14:paraId="1F50B695" w14:textId="77777777" w:rsidR="007619BB" w:rsidRPr="005F57FC" w:rsidRDefault="007619BB" w:rsidP="009537AD">
      <w:pPr>
        <w:pStyle w:val="Odstavekseznama"/>
        <w:numPr>
          <w:ilvl w:val="0"/>
          <w:numId w:val="5"/>
        </w:numPr>
        <w:suppressAutoHyphens/>
        <w:spacing w:after="0" w:line="276" w:lineRule="auto"/>
        <w:rPr>
          <w:rFonts w:cstheme="minorHAnsi"/>
          <w:i/>
          <w:sz w:val="20"/>
          <w:szCs w:val="20"/>
        </w:rPr>
      </w:pPr>
      <w:r w:rsidRPr="005F57FC">
        <w:rPr>
          <w:rFonts w:cstheme="minorHAnsi"/>
          <w:i/>
          <w:sz w:val="20"/>
          <w:szCs w:val="20"/>
        </w:rPr>
        <w:t xml:space="preserve">vlagatelj na kratko opiše morebitne škodljive vplive ukrepa na posamezen </w:t>
      </w:r>
      <w:proofErr w:type="spellStart"/>
      <w:r w:rsidRPr="005F57FC">
        <w:rPr>
          <w:rFonts w:cstheme="minorHAnsi"/>
          <w:i/>
          <w:sz w:val="20"/>
          <w:szCs w:val="20"/>
        </w:rPr>
        <w:t>okoljski</w:t>
      </w:r>
      <w:proofErr w:type="spellEnd"/>
      <w:r w:rsidRPr="005F57FC">
        <w:rPr>
          <w:rFonts w:cstheme="minorHAnsi"/>
          <w:i/>
          <w:sz w:val="20"/>
          <w:szCs w:val="20"/>
        </w:rPr>
        <w:t xml:space="preserve"> cilj (ocena DA) ali pojasni, zakaj določen </w:t>
      </w:r>
      <w:proofErr w:type="spellStart"/>
      <w:r w:rsidRPr="005F57FC">
        <w:rPr>
          <w:rFonts w:cstheme="minorHAnsi"/>
          <w:i/>
          <w:sz w:val="20"/>
          <w:szCs w:val="20"/>
        </w:rPr>
        <w:t>okoljski</w:t>
      </w:r>
      <w:proofErr w:type="spellEnd"/>
      <w:r w:rsidRPr="005F57FC">
        <w:rPr>
          <w:rFonts w:cstheme="minorHAnsi"/>
          <w:i/>
          <w:sz w:val="20"/>
          <w:szCs w:val="20"/>
        </w:rPr>
        <w:t xml:space="preserve"> cilj ne zahteva vsebinske ocene (ocena NE)</w:t>
      </w:r>
      <w:r>
        <w:rPr>
          <w:rFonts w:cstheme="minorHAnsi"/>
          <w:i/>
          <w:sz w:val="20"/>
          <w:szCs w:val="20"/>
        </w:rPr>
        <w:t>,</w:t>
      </w:r>
    </w:p>
    <w:p w14:paraId="767946B8" w14:textId="77777777" w:rsidR="007619BB" w:rsidRPr="005F57FC" w:rsidRDefault="007619BB" w:rsidP="009537AD">
      <w:pPr>
        <w:pStyle w:val="Odstavekseznama"/>
        <w:numPr>
          <w:ilvl w:val="0"/>
          <w:numId w:val="5"/>
        </w:numPr>
        <w:suppressAutoHyphens/>
        <w:spacing w:after="0" w:line="276" w:lineRule="auto"/>
        <w:rPr>
          <w:rFonts w:cstheme="minorHAnsi"/>
          <w:i/>
          <w:sz w:val="20"/>
          <w:szCs w:val="20"/>
        </w:rPr>
      </w:pPr>
      <w:r w:rsidRPr="005F57FC">
        <w:rPr>
          <w:rFonts w:cstheme="minorHAnsi"/>
          <w:i/>
          <w:sz w:val="20"/>
          <w:szCs w:val="20"/>
        </w:rPr>
        <w:t xml:space="preserve">če je pri vseh </w:t>
      </w:r>
      <w:proofErr w:type="spellStart"/>
      <w:r w:rsidRPr="005F57FC">
        <w:rPr>
          <w:rFonts w:cstheme="minorHAnsi"/>
          <w:i/>
          <w:sz w:val="20"/>
          <w:szCs w:val="20"/>
        </w:rPr>
        <w:t>okoljskih</w:t>
      </w:r>
      <w:proofErr w:type="spellEnd"/>
      <w:r w:rsidRPr="005F57FC">
        <w:rPr>
          <w:rFonts w:cstheme="minorHAnsi"/>
          <w:i/>
          <w:sz w:val="20"/>
          <w:szCs w:val="20"/>
        </w:rPr>
        <w:t xml:space="preserve"> ciljih ocenjeno, da ukrep ne zahteva vsebinske ocene (ocena NE), se s tem ocena skladnosti ukrepa z načelom DNSH zaključi</w:t>
      </w:r>
      <w:r>
        <w:rPr>
          <w:rFonts w:cstheme="minorHAnsi"/>
          <w:i/>
          <w:sz w:val="20"/>
          <w:szCs w:val="20"/>
        </w:rPr>
        <w:t>.</w:t>
      </w:r>
    </w:p>
    <w:p w14:paraId="259B03D2" w14:textId="77777777" w:rsidR="007619BB" w:rsidRPr="005F57FC" w:rsidRDefault="007619BB" w:rsidP="009537AD">
      <w:pPr>
        <w:pStyle w:val="Odstavekseznama"/>
        <w:numPr>
          <w:ilvl w:val="0"/>
          <w:numId w:val="4"/>
        </w:numPr>
        <w:suppressAutoHyphens/>
        <w:spacing w:after="0" w:line="276" w:lineRule="auto"/>
        <w:rPr>
          <w:rFonts w:cstheme="minorHAnsi"/>
          <w:i/>
          <w:sz w:val="20"/>
          <w:szCs w:val="20"/>
        </w:rPr>
      </w:pPr>
      <w:r w:rsidRPr="005F57FC">
        <w:rPr>
          <w:rFonts w:cstheme="minorHAnsi"/>
          <w:b/>
          <w:i/>
          <w:sz w:val="20"/>
          <w:szCs w:val="20"/>
        </w:rPr>
        <w:lastRenderedPageBreak/>
        <w:t xml:space="preserve">druga stopnja (vsebinska ocena) </w:t>
      </w:r>
      <w:r w:rsidRPr="005F57FC">
        <w:rPr>
          <w:rFonts w:cstheme="minorHAnsi"/>
          <w:i/>
          <w:sz w:val="20"/>
          <w:szCs w:val="20"/>
        </w:rPr>
        <w:t xml:space="preserve">se izvede za tiste </w:t>
      </w:r>
      <w:proofErr w:type="spellStart"/>
      <w:r w:rsidRPr="005F57FC">
        <w:rPr>
          <w:rFonts w:cstheme="minorHAnsi"/>
          <w:i/>
          <w:sz w:val="20"/>
          <w:szCs w:val="20"/>
        </w:rPr>
        <w:t>okoljske</w:t>
      </w:r>
      <w:proofErr w:type="spellEnd"/>
      <w:r w:rsidRPr="005F57FC">
        <w:rPr>
          <w:rFonts w:cstheme="minorHAnsi"/>
          <w:i/>
          <w:sz w:val="20"/>
          <w:szCs w:val="20"/>
        </w:rPr>
        <w:t xml:space="preserve"> cilje, na katere ima lahko ukrep v skladu s poenostavljeno oceno morebitne škodljive vplive (ocena DA), in sicer se vsebinska ocena izvede na podlagi kontrolnega seznama iz priloge 7.3 Smernic OU DNSH:</w:t>
      </w:r>
    </w:p>
    <w:p w14:paraId="46EE563F" w14:textId="77777777" w:rsidR="007619BB" w:rsidRPr="005F57FC" w:rsidRDefault="007619BB" w:rsidP="009537AD">
      <w:pPr>
        <w:pStyle w:val="Odstavekseznama"/>
        <w:numPr>
          <w:ilvl w:val="0"/>
          <w:numId w:val="5"/>
        </w:numPr>
        <w:spacing w:after="0" w:line="276" w:lineRule="auto"/>
        <w:rPr>
          <w:rFonts w:cstheme="minorHAnsi"/>
          <w:sz w:val="20"/>
          <w:szCs w:val="20"/>
        </w:rPr>
      </w:pPr>
      <w:r w:rsidRPr="005F57FC">
        <w:rPr>
          <w:rFonts w:cstheme="minorHAnsi"/>
          <w:i/>
          <w:sz w:val="20"/>
          <w:szCs w:val="20"/>
        </w:rPr>
        <w:t xml:space="preserve">vlagatelj dokaže, da vplivi ukrepa skozi celoten življenjski cikel ukrepa ne bodo bistveno škodovali </w:t>
      </w:r>
      <w:proofErr w:type="spellStart"/>
      <w:r w:rsidRPr="005F57FC">
        <w:rPr>
          <w:rFonts w:cstheme="minorHAnsi"/>
          <w:i/>
          <w:sz w:val="20"/>
          <w:szCs w:val="20"/>
        </w:rPr>
        <w:t>okoljskim</w:t>
      </w:r>
      <w:proofErr w:type="spellEnd"/>
      <w:r w:rsidRPr="005F57FC">
        <w:rPr>
          <w:rFonts w:cstheme="minorHAnsi"/>
          <w:i/>
          <w:sz w:val="20"/>
          <w:szCs w:val="20"/>
        </w:rPr>
        <w:t xml:space="preserve"> ciljem, ter predvidi morebitne omilitvene ukrepe</w:t>
      </w:r>
      <w:r>
        <w:rPr>
          <w:rFonts w:cstheme="minorHAnsi"/>
          <w:i/>
          <w:sz w:val="20"/>
          <w:szCs w:val="20"/>
        </w:rPr>
        <w:t>,</w:t>
      </w:r>
    </w:p>
    <w:p w14:paraId="406F8940" w14:textId="77777777" w:rsidR="007619BB" w:rsidRPr="005F57FC" w:rsidRDefault="007619BB" w:rsidP="009537AD">
      <w:pPr>
        <w:pStyle w:val="Odstavekseznama"/>
        <w:numPr>
          <w:ilvl w:val="0"/>
          <w:numId w:val="5"/>
        </w:numPr>
        <w:spacing w:after="0" w:line="276" w:lineRule="auto"/>
        <w:rPr>
          <w:rFonts w:cstheme="minorHAnsi"/>
          <w:sz w:val="20"/>
          <w:szCs w:val="20"/>
        </w:rPr>
      </w:pPr>
      <w:r w:rsidRPr="005F57FC">
        <w:rPr>
          <w:rFonts w:cstheme="minorHAnsi"/>
          <w:i/>
          <w:sz w:val="20"/>
          <w:szCs w:val="20"/>
        </w:rPr>
        <w:t xml:space="preserve">ukrep je skladen z načelom DNSH, če nobeden izmed ocenjenih vplivov ne škoduje </w:t>
      </w:r>
      <w:proofErr w:type="spellStart"/>
      <w:r w:rsidRPr="005F57FC">
        <w:rPr>
          <w:rFonts w:cstheme="minorHAnsi"/>
          <w:i/>
          <w:sz w:val="20"/>
          <w:szCs w:val="20"/>
        </w:rPr>
        <w:t>okoljskim</w:t>
      </w:r>
      <w:proofErr w:type="spellEnd"/>
      <w:r w:rsidRPr="005F57FC">
        <w:rPr>
          <w:rFonts w:cstheme="minorHAnsi"/>
          <w:i/>
          <w:sz w:val="20"/>
          <w:szCs w:val="20"/>
        </w:rPr>
        <w:t xml:space="preserve"> ciljem.</w:t>
      </w:r>
    </w:p>
    <w:bookmarkEnd w:id="2"/>
    <w:p w14:paraId="11F13857" w14:textId="77777777" w:rsidR="007619BB" w:rsidRPr="005F57FC" w:rsidRDefault="007619BB" w:rsidP="007619BB">
      <w:pPr>
        <w:spacing w:line="276" w:lineRule="auto"/>
        <w:rPr>
          <w:rFonts w:cstheme="minorHAnsi"/>
          <w:b/>
          <w:bCs/>
          <w:iCs/>
          <w:sz w:val="20"/>
          <w:szCs w:val="20"/>
        </w:rPr>
      </w:pPr>
    </w:p>
    <w:p w14:paraId="3B9068A7" w14:textId="41EE70E0" w:rsidR="007619BB" w:rsidRPr="005F57FC" w:rsidRDefault="007619BB" w:rsidP="007619BB">
      <w:pPr>
        <w:spacing w:line="276" w:lineRule="auto"/>
        <w:rPr>
          <w:rFonts w:cstheme="minorHAnsi"/>
          <w:i/>
          <w:color w:val="808080" w:themeColor="background1" w:themeShade="80"/>
          <w:sz w:val="20"/>
          <w:szCs w:val="20"/>
        </w:rPr>
      </w:pPr>
      <w:r w:rsidRPr="005F57FC">
        <w:rPr>
          <w:rFonts w:cstheme="minorHAnsi"/>
          <w:i/>
          <w:color w:val="808080" w:themeColor="background1" w:themeShade="80"/>
          <w:sz w:val="20"/>
          <w:szCs w:val="20"/>
        </w:rPr>
        <w:t xml:space="preserve">Za ukrep/sklop, v katerega spada </w:t>
      </w:r>
      <w:r>
        <w:rPr>
          <w:rFonts w:cstheme="minorHAnsi"/>
          <w:i/>
          <w:color w:val="808080" w:themeColor="background1" w:themeShade="80"/>
          <w:sz w:val="20"/>
          <w:szCs w:val="20"/>
        </w:rPr>
        <w:t>projekt</w:t>
      </w:r>
      <w:r w:rsidRPr="005F57FC">
        <w:rPr>
          <w:rFonts w:cstheme="minorHAnsi"/>
          <w:i/>
          <w:color w:val="808080" w:themeColor="background1" w:themeShade="80"/>
          <w:sz w:val="20"/>
          <w:szCs w:val="20"/>
        </w:rPr>
        <w:t xml:space="preserve">, ki je predmet vloge, ustrezno izpolnite/dopolnite oceno skladnosti z načelom DNSH. </w:t>
      </w:r>
    </w:p>
    <w:p w14:paraId="1040D56B" w14:textId="01189FD8" w:rsidR="007619BB" w:rsidRPr="002061F6" w:rsidRDefault="007619BB" w:rsidP="007619BB">
      <w:pPr>
        <w:spacing w:line="276" w:lineRule="auto"/>
        <w:rPr>
          <w:rFonts w:cstheme="minorHAnsi"/>
          <w:i/>
          <w:color w:val="808080" w:themeColor="background1" w:themeShade="80"/>
          <w:sz w:val="20"/>
          <w:szCs w:val="20"/>
        </w:rPr>
      </w:pPr>
      <w:r w:rsidRPr="005F57FC">
        <w:rPr>
          <w:rFonts w:cstheme="minorHAnsi"/>
          <w:i/>
          <w:color w:val="808080" w:themeColor="background1" w:themeShade="80"/>
          <w:sz w:val="20"/>
          <w:szCs w:val="20"/>
        </w:rPr>
        <w:t xml:space="preserve">Oceno skladnosti ukrepa z načelom DNSH z navedbo omilitvenih ukrepov v tabelah X.1 in X.2 ustrezno prilagodite glede na ukrepe, ki se bodo izvedli v okviru </w:t>
      </w:r>
      <w:r>
        <w:rPr>
          <w:rFonts w:cstheme="minorHAnsi"/>
          <w:i/>
          <w:color w:val="808080" w:themeColor="background1" w:themeShade="80"/>
          <w:sz w:val="20"/>
          <w:szCs w:val="20"/>
        </w:rPr>
        <w:t>projekta</w:t>
      </w:r>
      <w:r w:rsidRPr="005F57FC">
        <w:rPr>
          <w:rFonts w:cstheme="minorHAnsi"/>
          <w:i/>
          <w:color w:val="808080" w:themeColor="background1" w:themeShade="80"/>
          <w:sz w:val="20"/>
          <w:szCs w:val="20"/>
        </w:rPr>
        <w:t xml:space="preserve">. Besedilo v </w:t>
      </w:r>
      <w:r w:rsidRPr="005F57FC">
        <w:rPr>
          <w:rFonts w:cstheme="minorHAnsi"/>
          <w:i/>
          <w:color w:val="FF0000"/>
          <w:sz w:val="20"/>
          <w:szCs w:val="20"/>
        </w:rPr>
        <w:t>rdečem</w:t>
      </w:r>
      <w:r w:rsidRPr="005F57FC">
        <w:rPr>
          <w:rFonts w:cstheme="minorHAnsi"/>
          <w:i/>
          <w:color w:val="808080" w:themeColor="background1" w:themeShade="80"/>
          <w:sz w:val="20"/>
          <w:szCs w:val="20"/>
        </w:rPr>
        <w:t xml:space="preserve"> prilagodite tako, da ga bodisi vključite kot del vaše ocene (če je relevantno z vidika vaših ukrepov) bodisi ga izvzamete in predstavite morebitne druge ustrezne omilitvene ukrepe za zagotavljanje skladnosti </w:t>
      </w:r>
      <w:r>
        <w:rPr>
          <w:rFonts w:cstheme="minorHAnsi"/>
          <w:i/>
          <w:color w:val="808080" w:themeColor="background1" w:themeShade="80"/>
          <w:sz w:val="20"/>
          <w:szCs w:val="20"/>
        </w:rPr>
        <w:t>projekta</w:t>
      </w:r>
      <w:r w:rsidRPr="005F57FC">
        <w:rPr>
          <w:rFonts w:cstheme="minorHAnsi"/>
          <w:i/>
          <w:color w:val="808080" w:themeColor="background1" w:themeShade="80"/>
          <w:sz w:val="20"/>
          <w:szCs w:val="20"/>
        </w:rPr>
        <w:t xml:space="preserve"> z načelom DNSH. Navedite tudi razpoložljivo dokumentacijo, ki podpira navedbe v vsebinski oceni skladnosti (seznam možnih dokazil je predstavljen v poglavju 5.1 ter zlasti v poglavju 5.2.5 Smernic OU DNSH). Navedeno dokumentacijo je potrebno predložiti</w:t>
      </w:r>
      <w:r>
        <w:rPr>
          <w:rFonts w:cstheme="minorHAnsi"/>
          <w:i/>
          <w:color w:val="808080" w:themeColor="background1" w:themeShade="80"/>
          <w:sz w:val="20"/>
          <w:szCs w:val="20"/>
        </w:rPr>
        <w:t xml:space="preserve"> najkasneje</w:t>
      </w:r>
      <w:r w:rsidRPr="005F57FC">
        <w:rPr>
          <w:rFonts w:cstheme="minorHAnsi"/>
          <w:i/>
          <w:color w:val="808080" w:themeColor="background1" w:themeShade="80"/>
          <w:sz w:val="20"/>
          <w:szCs w:val="20"/>
        </w:rPr>
        <w:t xml:space="preserve"> ob izstavitvi zahtevka za izplačilo oz. ob zaključku </w:t>
      </w:r>
      <w:r>
        <w:rPr>
          <w:rFonts w:cstheme="minorHAnsi"/>
          <w:i/>
          <w:color w:val="808080" w:themeColor="background1" w:themeShade="80"/>
          <w:sz w:val="20"/>
          <w:szCs w:val="20"/>
        </w:rPr>
        <w:t>projekta</w:t>
      </w:r>
      <w:r w:rsidRPr="005F57FC">
        <w:rPr>
          <w:rFonts w:cstheme="minorHAnsi"/>
          <w:i/>
          <w:color w:val="808080" w:themeColor="background1" w:themeShade="80"/>
          <w:sz w:val="20"/>
          <w:szCs w:val="20"/>
        </w:rPr>
        <w:t>.</w:t>
      </w:r>
    </w:p>
    <w:p w14:paraId="22482D62" w14:textId="77777777" w:rsidR="007619BB" w:rsidRPr="0010337E" w:rsidRDefault="007619BB" w:rsidP="007619BB">
      <w:pPr>
        <w:spacing w:line="276" w:lineRule="auto"/>
        <w:rPr>
          <w:rFonts w:cstheme="minorHAnsi"/>
          <w:sz w:val="20"/>
          <w:szCs w:val="20"/>
        </w:rPr>
      </w:pPr>
    </w:p>
    <w:p w14:paraId="4601D554" w14:textId="77777777" w:rsidR="007619BB" w:rsidRDefault="007619BB" w:rsidP="007619BB">
      <w:pPr>
        <w:pStyle w:val="Odstavekseznama"/>
        <w:rPr>
          <w:rFonts w:cstheme="minorHAnsi"/>
          <w:sz w:val="20"/>
          <w:szCs w:val="20"/>
        </w:rPr>
      </w:pPr>
      <w:r>
        <w:rPr>
          <w:rFonts w:cstheme="minorHAnsi"/>
          <w:sz w:val="20"/>
          <w:szCs w:val="20"/>
        </w:rPr>
        <w:br w:type="page"/>
      </w:r>
    </w:p>
    <w:p w14:paraId="4F61D15B" w14:textId="6267FEDD" w:rsidR="007619BB" w:rsidRPr="00A80F83" w:rsidRDefault="007619BB" w:rsidP="007619BB">
      <w:pPr>
        <w:shd w:val="clear" w:color="auto" w:fill="E2EFD9" w:themeFill="accent6" w:themeFillTint="33"/>
        <w:rPr>
          <w:rFonts w:cstheme="minorHAnsi"/>
          <w:b/>
          <w:bCs/>
          <w:iCs/>
        </w:rPr>
      </w:pPr>
      <w:r w:rsidRPr="00A80F83">
        <w:rPr>
          <w:rFonts w:cstheme="minorHAnsi"/>
          <w:b/>
          <w:bCs/>
          <w:iCs/>
        </w:rPr>
        <w:lastRenderedPageBreak/>
        <w:t xml:space="preserve">1. </w:t>
      </w:r>
      <w:r w:rsidR="00E14EFB" w:rsidRPr="00E14EFB">
        <w:rPr>
          <w:rFonts w:cstheme="minorHAnsi"/>
          <w:b/>
          <w:bCs/>
          <w:iCs/>
        </w:rPr>
        <w:t>Prenos in distribucija električne energije (4.9)</w:t>
      </w:r>
    </w:p>
    <w:p w14:paraId="5B171C52" w14:textId="77777777" w:rsidR="007619BB" w:rsidRPr="005F57FC" w:rsidRDefault="007619BB" w:rsidP="007619BB">
      <w:pPr>
        <w:rPr>
          <w:rFonts w:cstheme="minorHAnsi"/>
          <w:sz w:val="20"/>
          <w:szCs w:val="20"/>
        </w:rPr>
      </w:pPr>
      <w:r w:rsidRPr="005F57FC">
        <w:rPr>
          <w:rFonts w:cstheme="minorHAnsi"/>
          <w:sz w:val="20"/>
          <w:szCs w:val="20"/>
        </w:rPr>
        <w:t>Kratek opis ukrepa:</w:t>
      </w:r>
    </w:p>
    <w:tbl>
      <w:tblPr>
        <w:tblStyle w:val="Tabelamrea"/>
        <w:tblW w:w="0" w:type="auto"/>
        <w:tblLook w:val="04A0" w:firstRow="1" w:lastRow="0" w:firstColumn="1" w:lastColumn="0" w:noHBand="0" w:noVBand="1"/>
      </w:tblPr>
      <w:tblGrid>
        <w:gridCol w:w="9060"/>
      </w:tblGrid>
      <w:tr w:rsidR="007619BB" w:rsidRPr="005F57FC" w14:paraId="2B4EB6DD" w14:textId="77777777" w:rsidTr="00E14EFB">
        <w:trPr>
          <w:trHeight w:val="2273"/>
        </w:trPr>
        <w:tc>
          <w:tcPr>
            <w:tcW w:w="9060" w:type="dxa"/>
          </w:tcPr>
          <w:p w14:paraId="20A66A74" w14:textId="77777777" w:rsidR="007619BB" w:rsidRPr="005F57FC" w:rsidRDefault="007619BB" w:rsidP="00E14EFB">
            <w:pPr>
              <w:rPr>
                <w:rFonts w:cstheme="minorHAnsi"/>
                <w:sz w:val="20"/>
                <w:szCs w:val="20"/>
              </w:rPr>
            </w:pPr>
          </w:p>
        </w:tc>
      </w:tr>
    </w:tbl>
    <w:p w14:paraId="320DBA56" w14:textId="77777777" w:rsidR="007619BB" w:rsidRPr="005F57FC" w:rsidRDefault="007619BB" w:rsidP="007619BB">
      <w:pPr>
        <w:rPr>
          <w:rFonts w:cstheme="minorHAnsi"/>
          <w:sz w:val="20"/>
          <w:szCs w:val="20"/>
        </w:rPr>
      </w:pPr>
    </w:p>
    <w:p w14:paraId="53B2463D" w14:textId="77777777" w:rsidR="007619BB" w:rsidRPr="005F57FC" w:rsidRDefault="007619BB" w:rsidP="007619BB">
      <w:pPr>
        <w:rPr>
          <w:rFonts w:cstheme="minorHAnsi"/>
          <w:b/>
          <w:sz w:val="20"/>
          <w:szCs w:val="20"/>
        </w:rPr>
      </w:pPr>
      <w:r w:rsidRPr="005F57FC">
        <w:rPr>
          <w:rFonts w:cstheme="minorHAnsi"/>
          <w:b/>
          <w:sz w:val="20"/>
          <w:szCs w:val="20"/>
        </w:rPr>
        <w:t xml:space="preserve">Tabela </w:t>
      </w:r>
      <w:r>
        <w:rPr>
          <w:rFonts w:cstheme="minorHAnsi"/>
          <w:b/>
          <w:sz w:val="20"/>
          <w:szCs w:val="20"/>
        </w:rPr>
        <w:t>1</w:t>
      </w:r>
      <w:r w:rsidRPr="005F57FC">
        <w:rPr>
          <w:rFonts w:cstheme="minorHAnsi"/>
          <w:b/>
          <w:sz w:val="20"/>
          <w:szCs w:val="20"/>
        </w:rPr>
        <w:t>.1: Poenostavljena ocena</w:t>
      </w:r>
    </w:p>
    <w:tbl>
      <w:tblPr>
        <w:tblStyle w:val="Tabelamrea"/>
        <w:tblW w:w="0" w:type="auto"/>
        <w:tblLook w:val="04A0" w:firstRow="1" w:lastRow="0" w:firstColumn="1" w:lastColumn="0" w:noHBand="0" w:noVBand="1"/>
      </w:tblPr>
      <w:tblGrid>
        <w:gridCol w:w="2689"/>
        <w:gridCol w:w="648"/>
        <w:gridCol w:w="636"/>
        <w:gridCol w:w="5089"/>
      </w:tblGrid>
      <w:tr w:rsidR="007619BB" w:rsidRPr="005F57FC" w14:paraId="6FEC2A86" w14:textId="77777777" w:rsidTr="00E14EFB">
        <w:trPr>
          <w:tblHeader/>
        </w:trPr>
        <w:tc>
          <w:tcPr>
            <w:tcW w:w="2689" w:type="dxa"/>
            <w:shd w:val="clear" w:color="auto" w:fill="E2EFD9" w:themeFill="accent6" w:themeFillTint="33"/>
            <w:vAlign w:val="center"/>
            <w:hideMark/>
          </w:tcPr>
          <w:p w14:paraId="793D798F" w14:textId="77777777" w:rsidR="007619BB" w:rsidRPr="005F57FC" w:rsidRDefault="007619BB" w:rsidP="00E14EFB">
            <w:pPr>
              <w:spacing w:line="240" w:lineRule="atLeast"/>
              <w:ind w:right="193"/>
              <w:jc w:val="center"/>
              <w:rPr>
                <w:rFonts w:cstheme="minorHAnsi"/>
                <w:bCs/>
                <w:i/>
                <w:sz w:val="20"/>
                <w:szCs w:val="20"/>
                <w:lang w:eastAsia="sl-SI"/>
              </w:rPr>
            </w:pPr>
            <w:r w:rsidRPr="005F57FC">
              <w:rPr>
                <w:rFonts w:cstheme="minorHAnsi"/>
                <w:bCs/>
                <w:i/>
                <w:sz w:val="20"/>
                <w:szCs w:val="20"/>
                <w:lang w:eastAsia="sl-SI"/>
              </w:rPr>
              <w:t xml:space="preserve">Ali je za </w:t>
            </w:r>
            <w:proofErr w:type="spellStart"/>
            <w:r w:rsidRPr="005F57FC">
              <w:rPr>
                <w:rFonts w:cstheme="minorHAnsi"/>
                <w:bCs/>
                <w:i/>
                <w:sz w:val="20"/>
                <w:szCs w:val="20"/>
                <w:lang w:eastAsia="sl-SI"/>
              </w:rPr>
              <w:t>okoljske</w:t>
            </w:r>
            <w:proofErr w:type="spellEnd"/>
            <w:r w:rsidRPr="005F57FC">
              <w:rPr>
                <w:rFonts w:cstheme="minorHAnsi"/>
                <w:bCs/>
                <w:i/>
                <w:sz w:val="20"/>
                <w:szCs w:val="20"/>
                <w:lang w:eastAsia="sl-SI"/>
              </w:rPr>
              <w:t xml:space="preserve"> cilje v nadaljevanju potrebna vsebinska ocena skladnosti ukrepa z načelom, da se ne škoduje bistveno?</w:t>
            </w:r>
          </w:p>
        </w:tc>
        <w:tc>
          <w:tcPr>
            <w:tcW w:w="648" w:type="dxa"/>
            <w:shd w:val="clear" w:color="auto" w:fill="E2EFD9" w:themeFill="accent6" w:themeFillTint="33"/>
            <w:vAlign w:val="center"/>
            <w:hideMark/>
          </w:tcPr>
          <w:p w14:paraId="466D5644" w14:textId="77777777" w:rsidR="007619BB" w:rsidRPr="005F57FC" w:rsidRDefault="007619BB" w:rsidP="00E14EFB">
            <w:pPr>
              <w:spacing w:line="240" w:lineRule="atLeast"/>
              <w:ind w:right="193"/>
              <w:jc w:val="center"/>
              <w:rPr>
                <w:rFonts w:cstheme="minorHAnsi"/>
                <w:bCs/>
                <w:i/>
                <w:sz w:val="20"/>
                <w:szCs w:val="20"/>
                <w:lang w:eastAsia="sl-SI"/>
              </w:rPr>
            </w:pPr>
            <w:r w:rsidRPr="005F57FC">
              <w:rPr>
                <w:rFonts w:cstheme="minorHAnsi"/>
                <w:bCs/>
                <w:i/>
                <w:sz w:val="20"/>
                <w:szCs w:val="20"/>
                <w:lang w:eastAsia="sl-SI"/>
              </w:rPr>
              <w:t>DA</w:t>
            </w:r>
          </w:p>
        </w:tc>
        <w:tc>
          <w:tcPr>
            <w:tcW w:w="0" w:type="auto"/>
            <w:shd w:val="clear" w:color="auto" w:fill="E2EFD9" w:themeFill="accent6" w:themeFillTint="33"/>
            <w:vAlign w:val="center"/>
            <w:hideMark/>
          </w:tcPr>
          <w:p w14:paraId="6B933728" w14:textId="77777777" w:rsidR="007619BB" w:rsidRPr="005F57FC" w:rsidRDefault="007619BB" w:rsidP="00E14EFB">
            <w:pPr>
              <w:spacing w:line="240" w:lineRule="atLeast"/>
              <w:ind w:right="193"/>
              <w:jc w:val="center"/>
              <w:rPr>
                <w:rFonts w:cstheme="minorHAnsi"/>
                <w:bCs/>
                <w:i/>
                <w:sz w:val="20"/>
                <w:szCs w:val="20"/>
                <w:lang w:eastAsia="sl-SI"/>
              </w:rPr>
            </w:pPr>
            <w:r w:rsidRPr="005F57FC">
              <w:rPr>
                <w:rFonts w:cstheme="minorHAnsi"/>
                <w:bCs/>
                <w:i/>
                <w:sz w:val="20"/>
                <w:szCs w:val="20"/>
                <w:lang w:eastAsia="sl-SI"/>
              </w:rPr>
              <w:t>NE</w:t>
            </w:r>
          </w:p>
        </w:tc>
        <w:tc>
          <w:tcPr>
            <w:tcW w:w="0" w:type="auto"/>
            <w:shd w:val="clear" w:color="auto" w:fill="E2EFD9" w:themeFill="accent6" w:themeFillTint="33"/>
            <w:vAlign w:val="center"/>
            <w:hideMark/>
          </w:tcPr>
          <w:p w14:paraId="09B7EC2D" w14:textId="77777777" w:rsidR="007619BB" w:rsidRPr="005F57FC" w:rsidRDefault="007619BB" w:rsidP="00E14EFB">
            <w:pPr>
              <w:spacing w:line="240" w:lineRule="atLeast"/>
              <w:ind w:right="193"/>
              <w:jc w:val="center"/>
              <w:rPr>
                <w:rFonts w:cstheme="minorHAnsi"/>
                <w:bCs/>
                <w:i/>
                <w:sz w:val="20"/>
                <w:szCs w:val="20"/>
                <w:lang w:eastAsia="sl-SI"/>
              </w:rPr>
            </w:pPr>
            <w:r w:rsidRPr="005F57FC">
              <w:rPr>
                <w:rFonts w:cstheme="minorHAnsi"/>
                <w:bCs/>
                <w:i/>
                <w:sz w:val="20"/>
                <w:szCs w:val="20"/>
                <w:lang w:eastAsia="sl-SI"/>
              </w:rPr>
              <w:t>Utemeljitev, če ste izbrali odgovor »NE«</w:t>
            </w:r>
          </w:p>
        </w:tc>
      </w:tr>
      <w:tr w:rsidR="007619BB" w:rsidRPr="005F57FC" w14:paraId="479EE4AF" w14:textId="77777777" w:rsidTr="007619BB">
        <w:tc>
          <w:tcPr>
            <w:tcW w:w="2689" w:type="dxa"/>
            <w:vAlign w:val="center"/>
            <w:hideMark/>
          </w:tcPr>
          <w:p w14:paraId="52284F04" w14:textId="77777777" w:rsidR="007619BB" w:rsidRPr="005F57FC" w:rsidRDefault="007619BB" w:rsidP="007619BB">
            <w:pPr>
              <w:spacing w:line="312" w:lineRule="atLeast"/>
              <w:jc w:val="left"/>
              <w:rPr>
                <w:rFonts w:cstheme="minorHAnsi"/>
                <w:sz w:val="20"/>
                <w:szCs w:val="20"/>
                <w:lang w:eastAsia="sl-SI"/>
              </w:rPr>
            </w:pPr>
            <w:r w:rsidRPr="005F57FC">
              <w:rPr>
                <w:rFonts w:cstheme="minorHAnsi"/>
                <w:sz w:val="20"/>
                <w:szCs w:val="20"/>
                <w:lang w:eastAsia="sl-SI"/>
              </w:rPr>
              <w:t>Blažitev podnebnih sprememb</w:t>
            </w:r>
          </w:p>
        </w:tc>
        <w:tc>
          <w:tcPr>
            <w:tcW w:w="648" w:type="dxa"/>
            <w:vAlign w:val="center"/>
          </w:tcPr>
          <w:p w14:paraId="6F6C1B80" w14:textId="77777777" w:rsidR="007619BB" w:rsidRPr="005F57FC" w:rsidRDefault="007619BB" w:rsidP="00E14EFB">
            <w:pPr>
              <w:spacing w:line="312" w:lineRule="atLeast"/>
              <w:jc w:val="center"/>
              <w:rPr>
                <w:rFonts w:cstheme="minorHAnsi"/>
                <w:sz w:val="20"/>
                <w:szCs w:val="20"/>
                <w:lang w:eastAsia="sl-SI"/>
              </w:rPr>
            </w:pPr>
          </w:p>
        </w:tc>
        <w:tc>
          <w:tcPr>
            <w:tcW w:w="0" w:type="auto"/>
            <w:vAlign w:val="center"/>
          </w:tcPr>
          <w:p w14:paraId="2167EF8B" w14:textId="77777777" w:rsidR="007619BB" w:rsidRPr="005F57FC" w:rsidRDefault="007619BB" w:rsidP="00E14EFB">
            <w:pPr>
              <w:spacing w:line="312" w:lineRule="atLeast"/>
              <w:jc w:val="center"/>
              <w:rPr>
                <w:rFonts w:cstheme="minorHAnsi"/>
                <w:sz w:val="20"/>
                <w:szCs w:val="20"/>
                <w:lang w:eastAsia="sl-SI"/>
              </w:rPr>
            </w:pPr>
            <w:r w:rsidRPr="005F57FC">
              <w:rPr>
                <w:rFonts w:cstheme="minorHAnsi"/>
                <w:sz w:val="20"/>
                <w:szCs w:val="20"/>
                <w:lang w:eastAsia="sl-SI"/>
              </w:rPr>
              <w:t>X</w:t>
            </w:r>
          </w:p>
        </w:tc>
        <w:tc>
          <w:tcPr>
            <w:tcW w:w="0" w:type="auto"/>
            <w:vAlign w:val="center"/>
            <w:hideMark/>
          </w:tcPr>
          <w:p w14:paraId="2B5D6CA8" w14:textId="061CA809" w:rsidR="007619BB" w:rsidRPr="005F57FC" w:rsidRDefault="007619BB" w:rsidP="00E14EFB">
            <w:pPr>
              <w:spacing w:line="312" w:lineRule="atLeast"/>
              <w:rPr>
                <w:rFonts w:cstheme="minorHAnsi"/>
                <w:sz w:val="20"/>
                <w:szCs w:val="20"/>
                <w:lang w:eastAsia="sl-SI"/>
              </w:rPr>
            </w:pPr>
            <w:r w:rsidRPr="005F57FC">
              <w:rPr>
                <w:rFonts w:cstheme="minorHAnsi"/>
                <w:sz w:val="20"/>
                <w:szCs w:val="20"/>
                <w:lang w:eastAsia="sl-SI"/>
              </w:rPr>
              <w:t xml:space="preserve">Ukrep v skladu z Delegirano uredbo Komisije (EU) 2021/2139 bistveno prispeva k blaženju podnebnih sprememb, saj </w:t>
            </w:r>
            <w:r w:rsidR="00E14EFB" w:rsidRPr="00E14EFB">
              <w:rPr>
                <w:rFonts w:cstheme="minorHAnsi"/>
                <w:sz w:val="20"/>
                <w:szCs w:val="20"/>
                <w:lang w:eastAsia="sl-SI"/>
              </w:rPr>
              <w:t>gre za infrastrukturo ali opremo za prenos in distribucijo, ki je del elektroenergetskega sistema, ki je medsebojno povezan z evropskim elektroenergetskim sistemom</w:t>
            </w:r>
            <w:r w:rsidRPr="005F57FC">
              <w:rPr>
                <w:rFonts w:cstheme="minorHAnsi"/>
                <w:sz w:val="20"/>
                <w:szCs w:val="20"/>
                <w:lang w:eastAsia="sl-SI"/>
              </w:rPr>
              <w:t>.</w:t>
            </w:r>
          </w:p>
          <w:p w14:paraId="3A1E359C" w14:textId="37C39C60" w:rsidR="007619BB" w:rsidRDefault="007619BB" w:rsidP="00E14EFB">
            <w:pPr>
              <w:spacing w:line="312" w:lineRule="atLeast"/>
              <w:rPr>
                <w:rFonts w:cstheme="minorHAnsi"/>
                <w:sz w:val="20"/>
                <w:szCs w:val="20"/>
                <w:lang w:eastAsia="sl-SI"/>
              </w:rPr>
            </w:pPr>
            <w:r w:rsidRPr="0011508C">
              <w:rPr>
                <w:rFonts w:cstheme="minorHAnsi"/>
                <w:sz w:val="20"/>
                <w:szCs w:val="20"/>
                <w:lang w:eastAsia="sl-SI"/>
              </w:rPr>
              <w:t>Ukrep v skladu s Prilogo I k Uredbi (EU) 2021/</w:t>
            </w:r>
            <w:r>
              <w:rPr>
                <w:rFonts w:cstheme="minorHAnsi"/>
                <w:sz w:val="20"/>
                <w:szCs w:val="20"/>
                <w:lang w:eastAsia="sl-SI"/>
              </w:rPr>
              <w:t>1060</w:t>
            </w:r>
            <w:r w:rsidRPr="0011508C">
              <w:rPr>
                <w:rFonts w:cstheme="minorHAnsi"/>
                <w:sz w:val="20"/>
                <w:szCs w:val="20"/>
                <w:lang w:eastAsia="sl-SI"/>
              </w:rPr>
              <w:t xml:space="preserve"> 100-odstotno prispeva k ciljem na področju podnebnih sprememb</w:t>
            </w:r>
            <w:r w:rsidRPr="005F57FC">
              <w:rPr>
                <w:rFonts w:cstheme="minorHAnsi"/>
                <w:sz w:val="20"/>
                <w:szCs w:val="20"/>
                <w:lang w:eastAsia="sl-SI"/>
              </w:rPr>
              <w:t xml:space="preserve"> – področje ukrepanja </w:t>
            </w:r>
            <w:r w:rsidR="00E14EFB" w:rsidRPr="00E14EFB">
              <w:rPr>
                <w:rFonts w:cstheme="minorHAnsi"/>
                <w:sz w:val="20"/>
                <w:szCs w:val="20"/>
                <w:lang w:eastAsia="sl-SI"/>
              </w:rPr>
              <w:t>053 - Pametni energetski sistemi (vključno z inteligentnimi energetskimi omrežji in sistemi IKT) ter povezano shranjevanje</w:t>
            </w:r>
            <w:r w:rsidRPr="005F57FC">
              <w:rPr>
                <w:rFonts w:cstheme="minorHAnsi"/>
                <w:sz w:val="20"/>
                <w:szCs w:val="20"/>
                <w:lang w:eastAsia="sl-SI"/>
              </w:rPr>
              <w:t>.</w:t>
            </w:r>
          </w:p>
          <w:p w14:paraId="33FB6D93" w14:textId="77777777" w:rsidR="007619BB" w:rsidRPr="005F57FC" w:rsidRDefault="007619BB" w:rsidP="00E14EFB">
            <w:pPr>
              <w:spacing w:line="312" w:lineRule="atLeast"/>
              <w:rPr>
                <w:rFonts w:cstheme="minorHAnsi"/>
                <w:sz w:val="20"/>
                <w:szCs w:val="20"/>
                <w:lang w:eastAsia="sl-SI"/>
              </w:rPr>
            </w:pPr>
            <w:r w:rsidRPr="005F57FC">
              <w:rPr>
                <w:rFonts w:cstheme="minorHAnsi"/>
                <w:sz w:val="20"/>
                <w:szCs w:val="20"/>
                <w:lang w:eastAsia="sl-SI"/>
              </w:rPr>
              <w:t>Skladno z omilitvenimi ukrepi iz CPVO-DNSH za Program EKP bodo v okviru ukrepa izpolnjene naslednje zahteve:</w:t>
            </w:r>
          </w:p>
          <w:p w14:paraId="4FA77A51" w14:textId="77777777" w:rsidR="007619BB" w:rsidRPr="005F57FC" w:rsidRDefault="007619BB" w:rsidP="009537AD">
            <w:pPr>
              <w:pStyle w:val="Odstavekseznama"/>
              <w:numPr>
                <w:ilvl w:val="0"/>
                <w:numId w:val="2"/>
              </w:numPr>
              <w:suppressAutoHyphens/>
              <w:spacing w:line="312" w:lineRule="atLeast"/>
              <w:rPr>
                <w:rFonts w:cstheme="minorHAnsi"/>
                <w:color w:val="FF0000"/>
                <w:sz w:val="20"/>
                <w:szCs w:val="20"/>
                <w:lang w:eastAsia="sl-SI"/>
              </w:rPr>
            </w:pPr>
            <w:r w:rsidRPr="005F57FC">
              <w:rPr>
                <w:rFonts w:cstheme="minorHAnsi"/>
                <w:color w:val="FF0000"/>
                <w:sz w:val="20"/>
                <w:szCs w:val="20"/>
                <w:lang w:eastAsia="sl-SI"/>
              </w:rPr>
              <w:t>pri načrtovanju naložb/projektov/investicij z energetsko/emisijsko intenzivnimi procesi/izdelki bomo podprli rešitve z nizkimi emisijami toplogrednih plinov v življenjskem ciklu, kar bo zagotovljeno z razpisnimi pogoji za ponudnike storitev in produktov (ob upoštevanju Uredbe o zelenem javnem naročanju</w:t>
            </w:r>
            <w:r>
              <w:rPr>
                <w:rFonts w:cstheme="minorHAnsi"/>
                <w:color w:val="FF0000"/>
                <w:sz w:val="20"/>
                <w:szCs w:val="20"/>
                <w:lang w:eastAsia="sl-SI"/>
              </w:rPr>
              <w:t>)</w:t>
            </w:r>
            <w:r w:rsidRPr="005F57FC">
              <w:rPr>
                <w:rFonts w:cstheme="minorHAnsi"/>
                <w:color w:val="FF0000"/>
                <w:sz w:val="20"/>
                <w:szCs w:val="20"/>
                <w:lang w:eastAsia="sl-SI"/>
              </w:rPr>
              <w:t>,</w:t>
            </w:r>
          </w:p>
          <w:p w14:paraId="670C4E10" w14:textId="77777777" w:rsidR="007619BB" w:rsidRDefault="007619BB" w:rsidP="009537AD">
            <w:pPr>
              <w:pStyle w:val="Odstavekseznama"/>
              <w:numPr>
                <w:ilvl w:val="0"/>
                <w:numId w:val="2"/>
              </w:numPr>
              <w:suppressAutoHyphens/>
              <w:spacing w:line="312" w:lineRule="atLeast"/>
              <w:rPr>
                <w:rFonts w:cstheme="minorHAnsi"/>
                <w:color w:val="FF0000"/>
                <w:sz w:val="20"/>
                <w:szCs w:val="20"/>
                <w:lang w:eastAsia="sl-SI"/>
              </w:rPr>
            </w:pPr>
            <w:r w:rsidRPr="005F57FC">
              <w:rPr>
                <w:rFonts w:cstheme="minorHAnsi"/>
                <w:color w:val="FF0000"/>
                <w:sz w:val="20"/>
                <w:szCs w:val="20"/>
                <w:lang w:eastAsia="sl-SI"/>
              </w:rPr>
              <w:t>pri načrtovanju objektov velike infrastrukture bo upoštevano tudi Obvestilo Komisije – Tehnične smernice za krepitev podnebne odpornosti infrastrukture v obdobju 2021–2027 (2021/C 373/01)</w:t>
            </w:r>
            <w:r>
              <w:rPr>
                <w:rFonts w:cstheme="minorHAnsi"/>
                <w:color w:val="FF0000"/>
                <w:sz w:val="20"/>
                <w:szCs w:val="20"/>
                <w:lang w:eastAsia="sl-SI"/>
              </w:rPr>
              <w:t>.</w:t>
            </w:r>
          </w:p>
          <w:p w14:paraId="5E1BB771" w14:textId="77777777" w:rsidR="007619BB" w:rsidRPr="005F57FC" w:rsidRDefault="007619BB" w:rsidP="00E14EFB">
            <w:pPr>
              <w:spacing w:line="312" w:lineRule="atLeast"/>
              <w:rPr>
                <w:rFonts w:cstheme="minorHAnsi"/>
                <w:sz w:val="20"/>
                <w:szCs w:val="20"/>
                <w:lang w:eastAsia="sl-SI"/>
              </w:rPr>
            </w:pPr>
            <w:r w:rsidRPr="005F57FC">
              <w:rPr>
                <w:rFonts w:cstheme="minorHAnsi"/>
                <w:sz w:val="20"/>
                <w:szCs w:val="20"/>
                <w:lang w:eastAsia="sl-SI"/>
              </w:rPr>
              <w:t>Ob upoštevanju navedenih meril za izbor projektov in omilitvenih ukrepov, ukrep ne bo povzročil precejšnjih emisij toplogrednih plinov.</w:t>
            </w:r>
          </w:p>
          <w:p w14:paraId="68595F03" w14:textId="77777777" w:rsidR="007619BB" w:rsidRPr="005F57FC" w:rsidRDefault="007619BB" w:rsidP="00E14EFB">
            <w:pPr>
              <w:spacing w:line="240" w:lineRule="atLeast"/>
              <w:rPr>
                <w:rFonts w:cstheme="minorHAnsi"/>
                <w:color w:val="333333"/>
                <w:sz w:val="20"/>
                <w:szCs w:val="20"/>
                <w:lang w:eastAsia="sl-SI"/>
              </w:rPr>
            </w:pPr>
          </w:p>
        </w:tc>
      </w:tr>
      <w:tr w:rsidR="007619BB" w:rsidRPr="005F57FC" w14:paraId="25362FD2" w14:textId="77777777" w:rsidTr="007619BB">
        <w:trPr>
          <w:trHeight w:val="3061"/>
        </w:trPr>
        <w:tc>
          <w:tcPr>
            <w:tcW w:w="2689" w:type="dxa"/>
            <w:vAlign w:val="center"/>
            <w:hideMark/>
          </w:tcPr>
          <w:p w14:paraId="6F6DDB49" w14:textId="7DC3ED78" w:rsidR="007619BB" w:rsidRPr="009C4E58" w:rsidRDefault="007619BB" w:rsidP="007619BB">
            <w:pPr>
              <w:spacing w:line="312" w:lineRule="atLeast"/>
              <w:jc w:val="left"/>
              <w:rPr>
                <w:rFonts w:cstheme="minorHAnsi"/>
                <w:sz w:val="20"/>
                <w:szCs w:val="20"/>
                <w:lang w:eastAsia="sl-SI"/>
              </w:rPr>
            </w:pPr>
            <w:r w:rsidRPr="005F57FC">
              <w:rPr>
                <w:rFonts w:cstheme="minorHAnsi"/>
                <w:sz w:val="20"/>
                <w:szCs w:val="20"/>
                <w:lang w:eastAsia="sl-SI"/>
              </w:rPr>
              <w:lastRenderedPageBreak/>
              <w:t>Prilagajanje podnebnim spremembam</w:t>
            </w:r>
          </w:p>
        </w:tc>
        <w:tc>
          <w:tcPr>
            <w:tcW w:w="648" w:type="dxa"/>
            <w:vAlign w:val="center"/>
          </w:tcPr>
          <w:p w14:paraId="6482814B" w14:textId="77777777" w:rsidR="007619BB" w:rsidRPr="005F57FC" w:rsidRDefault="007619BB" w:rsidP="00E14EFB">
            <w:pPr>
              <w:spacing w:line="312" w:lineRule="atLeast"/>
              <w:jc w:val="center"/>
              <w:rPr>
                <w:rFonts w:cstheme="minorHAnsi"/>
                <w:sz w:val="20"/>
                <w:szCs w:val="20"/>
                <w:lang w:eastAsia="sl-SI"/>
              </w:rPr>
            </w:pPr>
          </w:p>
        </w:tc>
        <w:tc>
          <w:tcPr>
            <w:tcW w:w="0" w:type="auto"/>
            <w:vAlign w:val="center"/>
          </w:tcPr>
          <w:p w14:paraId="7DA70B29" w14:textId="77777777" w:rsidR="007619BB" w:rsidRPr="005F57FC" w:rsidRDefault="007619BB" w:rsidP="00E14EFB">
            <w:pPr>
              <w:spacing w:line="312" w:lineRule="atLeast"/>
              <w:jc w:val="center"/>
              <w:rPr>
                <w:rFonts w:cstheme="minorHAnsi"/>
                <w:sz w:val="20"/>
                <w:szCs w:val="20"/>
                <w:lang w:eastAsia="sl-SI"/>
              </w:rPr>
            </w:pPr>
            <w:r w:rsidRPr="005F57FC">
              <w:rPr>
                <w:rFonts w:cstheme="minorHAnsi"/>
                <w:sz w:val="20"/>
                <w:szCs w:val="20"/>
                <w:lang w:eastAsia="sl-SI"/>
              </w:rPr>
              <w:t>X</w:t>
            </w:r>
          </w:p>
        </w:tc>
        <w:tc>
          <w:tcPr>
            <w:tcW w:w="0" w:type="auto"/>
            <w:vAlign w:val="center"/>
          </w:tcPr>
          <w:p w14:paraId="0C6419D6" w14:textId="77777777" w:rsidR="007619BB" w:rsidRPr="005F57FC" w:rsidRDefault="007619BB" w:rsidP="00E14EFB">
            <w:pPr>
              <w:spacing w:line="312" w:lineRule="atLeast"/>
              <w:rPr>
                <w:rFonts w:cstheme="minorHAnsi"/>
                <w:sz w:val="20"/>
                <w:szCs w:val="20"/>
                <w:lang w:eastAsia="sl-SI"/>
              </w:rPr>
            </w:pPr>
            <w:r w:rsidRPr="005F57FC">
              <w:rPr>
                <w:rFonts w:cstheme="minorHAnsi"/>
                <w:sz w:val="20"/>
                <w:szCs w:val="20"/>
                <w:lang w:eastAsia="sl-SI"/>
              </w:rPr>
              <w:t>Ukrep v skladu z Delegirano uredbo Komisije (EU) 2021/2139 bistveno prispeva k prilagajanju podnebnim spremembam ob upoštevanju določenih tehničnih meril.</w:t>
            </w:r>
          </w:p>
          <w:p w14:paraId="773FD69E" w14:textId="072114D1" w:rsidR="007619BB" w:rsidRDefault="007619BB" w:rsidP="00E14EFB">
            <w:pPr>
              <w:spacing w:line="312" w:lineRule="atLeast"/>
              <w:rPr>
                <w:rFonts w:cstheme="minorHAnsi"/>
                <w:sz w:val="20"/>
                <w:szCs w:val="20"/>
                <w:lang w:eastAsia="sl-SI"/>
              </w:rPr>
            </w:pPr>
            <w:r w:rsidRPr="0011508C">
              <w:rPr>
                <w:rFonts w:cstheme="minorHAnsi"/>
                <w:sz w:val="20"/>
                <w:szCs w:val="20"/>
                <w:lang w:eastAsia="sl-SI"/>
              </w:rPr>
              <w:t>Ukrep v skladu s Prilogo I k Uredbi (EU) 2021/</w:t>
            </w:r>
            <w:r>
              <w:rPr>
                <w:rFonts w:cstheme="minorHAnsi"/>
                <w:sz w:val="20"/>
                <w:szCs w:val="20"/>
                <w:lang w:eastAsia="sl-SI"/>
              </w:rPr>
              <w:t>1060</w:t>
            </w:r>
            <w:r w:rsidRPr="0011508C">
              <w:rPr>
                <w:rFonts w:cstheme="minorHAnsi"/>
                <w:sz w:val="20"/>
                <w:szCs w:val="20"/>
                <w:lang w:eastAsia="sl-SI"/>
              </w:rPr>
              <w:t xml:space="preserve"> 100-odstotno prispeva k ciljem na področju podnebnih sprememb</w:t>
            </w:r>
            <w:r w:rsidRPr="005F57FC">
              <w:rPr>
                <w:rFonts w:cstheme="minorHAnsi"/>
                <w:sz w:val="20"/>
                <w:szCs w:val="20"/>
                <w:lang w:eastAsia="sl-SI"/>
              </w:rPr>
              <w:t xml:space="preserve"> – področje ukrepanja </w:t>
            </w:r>
            <w:r w:rsidR="00E5624C" w:rsidRPr="00E14EFB">
              <w:rPr>
                <w:rFonts w:cstheme="minorHAnsi"/>
                <w:sz w:val="20"/>
                <w:szCs w:val="20"/>
                <w:lang w:eastAsia="sl-SI"/>
              </w:rPr>
              <w:t>053 - Pametni energetski sistemi (vključno z inteligentnimi energetskimi omrežji in sistemi IKT) ter povezano shranjevanje</w:t>
            </w:r>
            <w:r w:rsidRPr="005F57FC">
              <w:rPr>
                <w:rFonts w:cstheme="minorHAnsi"/>
                <w:sz w:val="20"/>
                <w:szCs w:val="20"/>
                <w:lang w:eastAsia="sl-SI"/>
              </w:rPr>
              <w:t>.</w:t>
            </w:r>
          </w:p>
          <w:p w14:paraId="67196E39" w14:textId="77777777" w:rsidR="007619BB" w:rsidRPr="005F57FC" w:rsidRDefault="007619BB" w:rsidP="00E14EFB">
            <w:pPr>
              <w:spacing w:line="312" w:lineRule="atLeast"/>
              <w:rPr>
                <w:rFonts w:cstheme="minorHAnsi"/>
                <w:sz w:val="20"/>
                <w:szCs w:val="20"/>
                <w:lang w:eastAsia="sl-SI"/>
              </w:rPr>
            </w:pPr>
            <w:r w:rsidRPr="005F57FC">
              <w:rPr>
                <w:rFonts w:cstheme="minorHAnsi"/>
                <w:sz w:val="20"/>
                <w:szCs w:val="20"/>
                <w:lang w:eastAsia="sl-SI"/>
              </w:rPr>
              <w:t>Skladno z omilitvenimi ukrepi iz CPVO-DNSH za Program EKP bodo v okviru ukrepa izpolnjene naslednje zahteve:</w:t>
            </w:r>
          </w:p>
          <w:p w14:paraId="55A6603D" w14:textId="77777777" w:rsidR="007619BB" w:rsidRPr="00A80F83" w:rsidRDefault="007619BB" w:rsidP="009537AD">
            <w:pPr>
              <w:pStyle w:val="Odstavekseznama"/>
              <w:numPr>
                <w:ilvl w:val="0"/>
                <w:numId w:val="2"/>
              </w:numPr>
              <w:suppressAutoHyphens/>
              <w:spacing w:line="312" w:lineRule="atLeast"/>
              <w:rPr>
                <w:rFonts w:cstheme="minorHAnsi"/>
                <w:color w:val="FF0000"/>
                <w:sz w:val="20"/>
                <w:szCs w:val="20"/>
                <w:lang w:eastAsia="sl-SI"/>
              </w:rPr>
            </w:pPr>
            <w:r w:rsidRPr="005F57FC">
              <w:rPr>
                <w:rFonts w:cstheme="minorHAnsi"/>
                <w:color w:val="FF0000"/>
                <w:sz w:val="20"/>
                <w:szCs w:val="20"/>
                <w:lang w:eastAsia="sl-SI"/>
              </w:rPr>
              <w:t>pri načrtovanju objektov velike infrastrukture bo upoštevano tudi Obvestilo Komisije – Tehnične smernice za krepitev podnebne odpornosti infrastrukture v ob</w:t>
            </w:r>
            <w:r>
              <w:rPr>
                <w:rFonts w:cstheme="minorHAnsi"/>
                <w:color w:val="FF0000"/>
                <w:sz w:val="20"/>
                <w:szCs w:val="20"/>
                <w:lang w:eastAsia="sl-SI"/>
              </w:rPr>
              <w:t>dobju 2021–2027 (2021/C 373/01),</w:t>
            </w:r>
          </w:p>
          <w:p w14:paraId="6AC6F4B3" w14:textId="77777777" w:rsidR="007619BB" w:rsidRPr="005F57FC" w:rsidRDefault="007619BB" w:rsidP="00E14EFB">
            <w:pPr>
              <w:spacing w:line="312" w:lineRule="atLeast"/>
              <w:rPr>
                <w:rFonts w:cstheme="minorHAnsi"/>
                <w:sz w:val="20"/>
                <w:szCs w:val="20"/>
                <w:lang w:eastAsia="sl-SI"/>
              </w:rPr>
            </w:pPr>
            <w:r w:rsidRPr="005F57FC">
              <w:rPr>
                <w:rFonts w:cstheme="minorHAnsi"/>
                <w:sz w:val="20"/>
                <w:szCs w:val="20"/>
                <w:lang w:eastAsia="sl-SI"/>
              </w:rPr>
              <w:t>Ob upoštevanju navedenih meril za izbor projektov in omilitvenih ukrepov, ukrep ne bo povečal negativnega vpliva trenutnega podnebja in pričakovanega prihodnjega podnebja na ukrep sam ali na ljudi, naravo ali sredstva.</w:t>
            </w:r>
          </w:p>
          <w:p w14:paraId="6DA6707C" w14:textId="77777777" w:rsidR="007619BB" w:rsidRPr="005F57FC" w:rsidRDefault="007619BB" w:rsidP="00E14EFB">
            <w:pPr>
              <w:spacing w:line="240" w:lineRule="atLeast"/>
              <w:rPr>
                <w:rFonts w:cstheme="minorHAnsi"/>
                <w:color w:val="333333"/>
                <w:sz w:val="20"/>
                <w:szCs w:val="20"/>
                <w:lang w:eastAsia="sl-SI"/>
              </w:rPr>
            </w:pPr>
          </w:p>
        </w:tc>
      </w:tr>
      <w:tr w:rsidR="00E5624C" w:rsidRPr="005F57FC" w14:paraId="5A1FCECE" w14:textId="77777777" w:rsidTr="007619BB">
        <w:trPr>
          <w:trHeight w:val="20"/>
        </w:trPr>
        <w:tc>
          <w:tcPr>
            <w:tcW w:w="2689" w:type="dxa"/>
            <w:vAlign w:val="center"/>
            <w:hideMark/>
          </w:tcPr>
          <w:p w14:paraId="2AD55EFC" w14:textId="77777777" w:rsidR="00E5624C" w:rsidRPr="005F57FC" w:rsidRDefault="00E5624C" w:rsidP="00E5624C">
            <w:pPr>
              <w:spacing w:line="312" w:lineRule="atLeast"/>
              <w:jc w:val="left"/>
              <w:rPr>
                <w:rFonts w:cstheme="minorHAnsi"/>
                <w:sz w:val="20"/>
                <w:szCs w:val="20"/>
                <w:lang w:eastAsia="sl-SI"/>
              </w:rPr>
            </w:pPr>
          </w:p>
          <w:p w14:paraId="27DB623B" w14:textId="1D00BF83" w:rsidR="00E5624C" w:rsidRPr="005F57FC" w:rsidRDefault="00E5624C" w:rsidP="00E5624C">
            <w:pPr>
              <w:spacing w:line="312" w:lineRule="atLeast"/>
              <w:jc w:val="left"/>
              <w:rPr>
                <w:rFonts w:cstheme="minorHAnsi"/>
                <w:sz w:val="20"/>
                <w:szCs w:val="20"/>
                <w:lang w:eastAsia="sl-SI"/>
              </w:rPr>
            </w:pPr>
            <w:r w:rsidRPr="005F57FC">
              <w:rPr>
                <w:rFonts w:cstheme="minorHAnsi"/>
                <w:sz w:val="20"/>
                <w:szCs w:val="20"/>
                <w:lang w:eastAsia="sl-SI"/>
              </w:rPr>
              <w:t xml:space="preserve">Trajnostna raba ter varstvo vodnih in morskih virov </w:t>
            </w:r>
          </w:p>
        </w:tc>
        <w:tc>
          <w:tcPr>
            <w:tcW w:w="648" w:type="dxa"/>
            <w:vAlign w:val="center"/>
            <w:hideMark/>
          </w:tcPr>
          <w:p w14:paraId="26542BCE" w14:textId="516E75F3" w:rsidR="00E5624C" w:rsidRPr="005F57FC" w:rsidRDefault="00E5624C" w:rsidP="00E5624C">
            <w:pPr>
              <w:spacing w:line="312" w:lineRule="atLeast"/>
              <w:rPr>
                <w:rFonts w:cstheme="minorHAnsi"/>
                <w:sz w:val="20"/>
                <w:szCs w:val="20"/>
                <w:lang w:eastAsia="sl-SI"/>
              </w:rPr>
            </w:pPr>
          </w:p>
        </w:tc>
        <w:tc>
          <w:tcPr>
            <w:tcW w:w="0" w:type="auto"/>
            <w:vAlign w:val="center"/>
          </w:tcPr>
          <w:p w14:paraId="0621446C" w14:textId="5273DC89" w:rsidR="00E5624C" w:rsidRPr="005F57FC" w:rsidRDefault="00E5624C" w:rsidP="00E5624C">
            <w:pPr>
              <w:spacing w:line="312" w:lineRule="atLeast"/>
              <w:jc w:val="center"/>
              <w:rPr>
                <w:rFonts w:cstheme="minorHAnsi"/>
                <w:sz w:val="20"/>
                <w:szCs w:val="20"/>
                <w:lang w:eastAsia="sl-SI"/>
              </w:rPr>
            </w:pPr>
            <w:r w:rsidRPr="005F57FC">
              <w:rPr>
                <w:rFonts w:cstheme="minorHAnsi"/>
                <w:sz w:val="20"/>
                <w:szCs w:val="20"/>
                <w:lang w:eastAsia="sl-SI"/>
              </w:rPr>
              <w:t>X</w:t>
            </w:r>
          </w:p>
        </w:tc>
        <w:tc>
          <w:tcPr>
            <w:tcW w:w="0" w:type="auto"/>
          </w:tcPr>
          <w:p w14:paraId="2CAD3FD3" w14:textId="77777777" w:rsidR="00E5624C" w:rsidRPr="005F57FC" w:rsidRDefault="00E5624C" w:rsidP="00E5624C">
            <w:pPr>
              <w:spacing w:line="312" w:lineRule="atLeast"/>
              <w:rPr>
                <w:rFonts w:cstheme="minorHAnsi"/>
                <w:sz w:val="20"/>
                <w:szCs w:val="20"/>
                <w:lang w:eastAsia="sl-SI"/>
              </w:rPr>
            </w:pPr>
            <w:r w:rsidRPr="005F57FC">
              <w:rPr>
                <w:rFonts w:cstheme="minorHAnsi"/>
                <w:sz w:val="20"/>
                <w:szCs w:val="20"/>
                <w:lang w:eastAsia="sl-SI"/>
              </w:rPr>
              <w:t xml:space="preserve">Ukrep, skladno z Delegirano uredbo Komisije (EU) 2021/2139, ne škoduje bistveno </w:t>
            </w:r>
            <w:proofErr w:type="spellStart"/>
            <w:r w:rsidRPr="005F57FC">
              <w:rPr>
                <w:rFonts w:cstheme="minorHAnsi"/>
                <w:sz w:val="20"/>
                <w:szCs w:val="20"/>
                <w:lang w:eastAsia="sl-SI"/>
              </w:rPr>
              <w:t>okoljskemu</w:t>
            </w:r>
            <w:proofErr w:type="spellEnd"/>
            <w:r w:rsidRPr="005F57FC">
              <w:rPr>
                <w:rFonts w:cstheme="minorHAnsi"/>
                <w:sz w:val="20"/>
                <w:szCs w:val="20"/>
                <w:lang w:eastAsia="sl-SI"/>
              </w:rPr>
              <w:t xml:space="preserve"> cilju.</w:t>
            </w:r>
          </w:p>
          <w:p w14:paraId="0D764D55" w14:textId="54614425" w:rsidR="00E5624C" w:rsidRPr="005F57FC" w:rsidRDefault="00E5624C" w:rsidP="00E5624C">
            <w:pPr>
              <w:spacing w:line="312" w:lineRule="atLeast"/>
              <w:rPr>
                <w:rFonts w:cstheme="minorHAnsi"/>
                <w:sz w:val="20"/>
                <w:szCs w:val="20"/>
                <w:lang w:eastAsia="sl-SI"/>
              </w:rPr>
            </w:pPr>
            <w:r w:rsidRPr="005F57FC">
              <w:rPr>
                <w:rFonts w:cstheme="minorHAnsi"/>
                <w:sz w:val="20"/>
                <w:szCs w:val="20"/>
                <w:lang w:eastAsia="sl-SI"/>
              </w:rPr>
              <w:t xml:space="preserve">Ukrep v skladu s Prilogo I k Uredbi (EU) 2021/1060 40-odstotno prispeva k drugim </w:t>
            </w:r>
            <w:proofErr w:type="spellStart"/>
            <w:r w:rsidRPr="005F57FC">
              <w:rPr>
                <w:rFonts w:cstheme="minorHAnsi"/>
                <w:sz w:val="20"/>
                <w:szCs w:val="20"/>
                <w:lang w:eastAsia="sl-SI"/>
              </w:rPr>
              <w:t>okoljskim</w:t>
            </w:r>
            <w:proofErr w:type="spellEnd"/>
            <w:r w:rsidRPr="005F57FC">
              <w:rPr>
                <w:rFonts w:cstheme="minorHAnsi"/>
                <w:sz w:val="20"/>
                <w:szCs w:val="20"/>
                <w:lang w:eastAsia="sl-SI"/>
              </w:rPr>
              <w:t xml:space="preserve"> ciljem – področje ukrepanja </w:t>
            </w:r>
            <w:r w:rsidRPr="00E14EFB">
              <w:rPr>
                <w:rFonts w:cstheme="minorHAnsi"/>
                <w:sz w:val="20"/>
                <w:szCs w:val="20"/>
                <w:lang w:eastAsia="sl-SI"/>
              </w:rPr>
              <w:t>053 - Pametni energetski sistemi (vključno z inteligentnimi energetskimi omrežji in sistemi IKT) ter povezano shranjevanje</w:t>
            </w:r>
            <w:r w:rsidRPr="005F57FC">
              <w:rPr>
                <w:rFonts w:cstheme="minorHAnsi"/>
                <w:sz w:val="20"/>
                <w:szCs w:val="20"/>
                <w:lang w:eastAsia="sl-SI"/>
              </w:rPr>
              <w:t>.</w:t>
            </w:r>
          </w:p>
          <w:p w14:paraId="0E817AE4" w14:textId="77777777" w:rsidR="00E5624C" w:rsidRPr="005F57FC" w:rsidRDefault="00E5624C" w:rsidP="00E5624C">
            <w:pPr>
              <w:spacing w:line="312" w:lineRule="atLeast"/>
              <w:rPr>
                <w:rFonts w:cstheme="minorHAnsi"/>
                <w:sz w:val="20"/>
                <w:szCs w:val="20"/>
                <w:lang w:eastAsia="sl-SI"/>
              </w:rPr>
            </w:pPr>
            <w:r w:rsidRPr="005F57FC">
              <w:rPr>
                <w:rFonts w:cstheme="minorHAnsi"/>
                <w:sz w:val="20"/>
                <w:szCs w:val="20"/>
                <w:lang w:eastAsia="sl-SI"/>
              </w:rPr>
              <w:t>Skladno z omilitvenimi ukrepi iz CPVO-DNSH za Program EKP bodo v okviru ukrepa izpolnjene naslednje zahteve:</w:t>
            </w:r>
          </w:p>
          <w:p w14:paraId="18543B79" w14:textId="77777777" w:rsidR="00E5624C" w:rsidRPr="005F57FC" w:rsidRDefault="00E5624C" w:rsidP="00E5624C">
            <w:pPr>
              <w:pStyle w:val="Odstavekseznama"/>
              <w:numPr>
                <w:ilvl w:val="0"/>
                <w:numId w:val="2"/>
              </w:numPr>
              <w:suppressAutoHyphens/>
              <w:spacing w:line="312" w:lineRule="atLeast"/>
              <w:rPr>
                <w:rFonts w:cstheme="minorHAnsi"/>
                <w:color w:val="FF0000"/>
                <w:sz w:val="20"/>
                <w:szCs w:val="20"/>
                <w:lang w:eastAsia="sl-SI"/>
              </w:rPr>
            </w:pPr>
            <w:r w:rsidRPr="005F57FC">
              <w:rPr>
                <w:rFonts w:cstheme="minorHAnsi"/>
                <w:color w:val="FF0000"/>
                <w:sz w:val="20"/>
                <w:szCs w:val="20"/>
                <w:lang w:eastAsia="sl-SI"/>
              </w:rPr>
              <w:t>pri umeščanju novih objektov bo preverjen njihov potencialen vpliv tudi na črpališča pitne vode s podeljenimi vodnimi dovoljenji in na predlagana vodovarstvena območja, ki niso zaščitena z vodovarstvenimi območji, in izvedeni ukrepi za zaščito teh virov. Poseganje v bližino vodnih virov ali na predlagana vodovarstvena območja in načrtovanje ustreznih ukrepov za zaščito teh vodnih virov se preverja v okviru izdaje projektnih pogojev in izdaje gradbenega dovoljenja</w:t>
            </w:r>
            <w:r>
              <w:rPr>
                <w:rFonts w:cstheme="minorHAnsi"/>
                <w:color w:val="FF0000"/>
                <w:sz w:val="20"/>
                <w:szCs w:val="20"/>
                <w:lang w:eastAsia="sl-SI"/>
              </w:rPr>
              <w:t>,</w:t>
            </w:r>
          </w:p>
          <w:p w14:paraId="56C5B1D3" w14:textId="77777777" w:rsidR="00E5624C" w:rsidRPr="005F57FC" w:rsidRDefault="00E5624C" w:rsidP="00E5624C">
            <w:pPr>
              <w:pStyle w:val="Odstavekseznama"/>
              <w:numPr>
                <w:ilvl w:val="0"/>
                <w:numId w:val="2"/>
              </w:numPr>
              <w:suppressAutoHyphens/>
              <w:spacing w:line="312" w:lineRule="atLeast"/>
              <w:rPr>
                <w:rFonts w:cstheme="minorHAnsi"/>
                <w:color w:val="FF0000"/>
                <w:sz w:val="20"/>
                <w:szCs w:val="20"/>
                <w:lang w:eastAsia="sl-SI"/>
              </w:rPr>
            </w:pPr>
            <w:r w:rsidRPr="005F57FC">
              <w:rPr>
                <w:rFonts w:cstheme="minorHAnsi"/>
                <w:color w:val="FF0000"/>
                <w:sz w:val="20"/>
                <w:szCs w:val="20"/>
                <w:lang w:eastAsia="sl-SI"/>
              </w:rPr>
              <w:lastRenderedPageBreak/>
              <w:t>pri izvedbi projekta/investicije bodo upoštevani omilitveni ukrepi in usmeritve za</w:t>
            </w:r>
            <w:r w:rsidRPr="005F57FC">
              <w:rPr>
                <w:rFonts w:cstheme="minorHAnsi"/>
                <w:color w:val="FF0000"/>
                <w:sz w:val="20"/>
                <w:szCs w:val="20"/>
              </w:rPr>
              <w:t xml:space="preserve"> </w:t>
            </w:r>
            <w:r w:rsidRPr="005F57FC">
              <w:rPr>
                <w:rFonts w:cstheme="minorHAnsi"/>
                <w:color w:val="FF0000"/>
                <w:sz w:val="20"/>
                <w:szCs w:val="20"/>
                <w:lang w:eastAsia="sl-SI"/>
              </w:rPr>
              <w:t xml:space="preserve">varstvo okolja iz Celovitega nacionalnega energetskega in podnebnega načrta Republike Slovenije (NEPN), </w:t>
            </w:r>
          </w:p>
          <w:p w14:paraId="7943CB7C" w14:textId="77777777" w:rsidR="00E5624C" w:rsidRPr="005F57FC" w:rsidRDefault="00E5624C" w:rsidP="00E5624C">
            <w:pPr>
              <w:pStyle w:val="Odstavekseznama"/>
              <w:numPr>
                <w:ilvl w:val="0"/>
                <w:numId w:val="2"/>
              </w:numPr>
              <w:suppressAutoHyphens/>
              <w:spacing w:line="312" w:lineRule="atLeast"/>
              <w:rPr>
                <w:rFonts w:cstheme="minorHAnsi"/>
                <w:color w:val="FF0000"/>
                <w:sz w:val="20"/>
                <w:szCs w:val="20"/>
                <w:lang w:eastAsia="sl-SI"/>
              </w:rPr>
            </w:pPr>
            <w:r w:rsidRPr="005F57FC">
              <w:rPr>
                <w:rFonts w:cstheme="minorHAnsi"/>
                <w:color w:val="FF0000"/>
                <w:sz w:val="20"/>
                <w:szCs w:val="20"/>
                <w:lang w:eastAsia="sl-SI"/>
              </w:rPr>
              <w:t>projekt/Investicija se bo izvedla na lokacijah, ki so sprejemljive z vidika varstva okolja in tehničnih zmožnosti energetskega omrežja za energetsko učinkovit prevzem in distribucijo energije končnim porabnikom.</w:t>
            </w:r>
          </w:p>
          <w:p w14:paraId="454A9AC2" w14:textId="0A2F1281" w:rsidR="00E5624C" w:rsidRPr="005F57FC" w:rsidRDefault="00E5624C" w:rsidP="00E5624C">
            <w:pPr>
              <w:spacing w:line="312" w:lineRule="atLeast"/>
              <w:rPr>
                <w:rFonts w:cstheme="minorHAnsi"/>
                <w:color w:val="333333"/>
                <w:sz w:val="20"/>
                <w:szCs w:val="20"/>
                <w:lang w:eastAsia="sl-SI"/>
              </w:rPr>
            </w:pPr>
            <w:r w:rsidRPr="005F57FC">
              <w:rPr>
                <w:rFonts w:cstheme="minorHAnsi"/>
                <w:sz w:val="20"/>
                <w:szCs w:val="20"/>
                <w:lang w:eastAsia="sl-SI"/>
              </w:rPr>
              <w:t xml:space="preserve">Ob upoštevanju navedenih meril za izbor projektov in omilitvenih ukrepov, ukrep ne bo škodil dobremu stanju ali dobremu ekološkemu potencialu vodnih teles, vključno s površinsko vodo in podtalnico; ali dobremu </w:t>
            </w:r>
            <w:proofErr w:type="spellStart"/>
            <w:r w:rsidRPr="005F57FC">
              <w:rPr>
                <w:rFonts w:cstheme="minorHAnsi"/>
                <w:sz w:val="20"/>
                <w:szCs w:val="20"/>
                <w:lang w:eastAsia="sl-SI"/>
              </w:rPr>
              <w:t>okoljskemu</w:t>
            </w:r>
            <w:proofErr w:type="spellEnd"/>
            <w:r w:rsidRPr="005F57FC">
              <w:rPr>
                <w:rFonts w:cstheme="minorHAnsi"/>
                <w:sz w:val="20"/>
                <w:szCs w:val="20"/>
                <w:lang w:eastAsia="sl-SI"/>
              </w:rPr>
              <w:t xml:space="preserve"> stanju morskih voda.</w:t>
            </w:r>
          </w:p>
        </w:tc>
      </w:tr>
      <w:tr w:rsidR="00E5624C" w:rsidRPr="005F57FC" w14:paraId="65B51D37" w14:textId="77777777" w:rsidTr="007619BB">
        <w:trPr>
          <w:trHeight w:val="20"/>
        </w:trPr>
        <w:tc>
          <w:tcPr>
            <w:tcW w:w="2689" w:type="dxa"/>
            <w:vAlign w:val="center"/>
            <w:hideMark/>
          </w:tcPr>
          <w:p w14:paraId="114D95DF" w14:textId="77777777" w:rsidR="00E5624C" w:rsidRPr="005F57FC" w:rsidRDefault="00E5624C" w:rsidP="00E5624C">
            <w:pPr>
              <w:spacing w:line="312" w:lineRule="atLeast"/>
              <w:jc w:val="left"/>
              <w:rPr>
                <w:rFonts w:cstheme="minorHAnsi"/>
                <w:sz w:val="20"/>
                <w:szCs w:val="20"/>
                <w:lang w:eastAsia="sl-SI"/>
              </w:rPr>
            </w:pPr>
          </w:p>
          <w:p w14:paraId="355D4072" w14:textId="66A1D550" w:rsidR="00E5624C" w:rsidRPr="005F57FC" w:rsidRDefault="00E5624C" w:rsidP="00E5624C">
            <w:pPr>
              <w:spacing w:line="312" w:lineRule="atLeast"/>
              <w:jc w:val="left"/>
              <w:rPr>
                <w:rFonts w:cstheme="minorHAnsi"/>
                <w:sz w:val="20"/>
                <w:szCs w:val="20"/>
                <w:lang w:eastAsia="sl-SI"/>
              </w:rPr>
            </w:pPr>
            <w:r w:rsidRPr="005F57FC">
              <w:rPr>
                <w:rFonts w:cstheme="minorHAnsi"/>
                <w:sz w:val="20"/>
                <w:szCs w:val="20"/>
                <w:lang w:eastAsia="sl-SI"/>
              </w:rPr>
              <w:t>Krožno gospodarstvo, vključno s preprečev</w:t>
            </w:r>
            <w:r>
              <w:rPr>
                <w:rFonts w:cstheme="minorHAnsi"/>
                <w:sz w:val="20"/>
                <w:szCs w:val="20"/>
                <w:lang w:eastAsia="sl-SI"/>
              </w:rPr>
              <w:t>anjem odpadkov in recikliranjem</w:t>
            </w:r>
          </w:p>
        </w:tc>
        <w:tc>
          <w:tcPr>
            <w:tcW w:w="648" w:type="dxa"/>
            <w:vAlign w:val="center"/>
            <w:hideMark/>
          </w:tcPr>
          <w:p w14:paraId="557E285C" w14:textId="77777777" w:rsidR="00E5624C" w:rsidRPr="005F57FC" w:rsidRDefault="00E5624C" w:rsidP="00E5624C">
            <w:pPr>
              <w:spacing w:line="312" w:lineRule="atLeast"/>
              <w:jc w:val="center"/>
              <w:rPr>
                <w:rFonts w:cstheme="minorHAnsi"/>
                <w:sz w:val="20"/>
                <w:szCs w:val="20"/>
                <w:lang w:eastAsia="sl-SI"/>
              </w:rPr>
            </w:pPr>
            <w:r w:rsidRPr="005F57FC">
              <w:rPr>
                <w:rFonts w:cstheme="minorHAnsi"/>
                <w:sz w:val="20"/>
                <w:szCs w:val="20"/>
                <w:lang w:eastAsia="sl-SI"/>
              </w:rPr>
              <w:t>X</w:t>
            </w:r>
          </w:p>
        </w:tc>
        <w:tc>
          <w:tcPr>
            <w:tcW w:w="0" w:type="auto"/>
            <w:vAlign w:val="center"/>
          </w:tcPr>
          <w:p w14:paraId="63DF2E2E" w14:textId="77777777" w:rsidR="00E5624C" w:rsidRPr="005F57FC" w:rsidRDefault="00E5624C" w:rsidP="00E5624C">
            <w:pPr>
              <w:spacing w:line="312" w:lineRule="atLeast"/>
              <w:jc w:val="center"/>
              <w:rPr>
                <w:rFonts w:cstheme="minorHAnsi"/>
                <w:sz w:val="20"/>
                <w:szCs w:val="20"/>
                <w:lang w:eastAsia="sl-SI"/>
              </w:rPr>
            </w:pPr>
          </w:p>
        </w:tc>
        <w:tc>
          <w:tcPr>
            <w:tcW w:w="0" w:type="auto"/>
            <w:vAlign w:val="center"/>
          </w:tcPr>
          <w:p w14:paraId="03FB95F9" w14:textId="77777777" w:rsidR="00E5624C" w:rsidRPr="005F57FC" w:rsidRDefault="00E5624C" w:rsidP="00E5624C">
            <w:pPr>
              <w:spacing w:line="240" w:lineRule="atLeast"/>
              <w:rPr>
                <w:rFonts w:cstheme="minorHAnsi"/>
                <w:color w:val="333333"/>
                <w:sz w:val="20"/>
                <w:szCs w:val="20"/>
                <w:lang w:eastAsia="sl-SI"/>
              </w:rPr>
            </w:pPr>
          </w:p>
        </w:tc>
      </w:tr>
      <w:tr w:rsidR="00E5624C" w:rsidRPr="005F57FC" w14:paraId="47A3B772" w14:textId="77777777" w:rsidTr="007619BB">
        <w:trPr>
          <w:trHeight w:val="20"/>
        </w:trPr>
        <w:tc>
          <w:tcPr>
            <w:tcW w:w="2689" w:type="dxa"/>
            <w:vAlign w:val="center"/>
            <w:hideMark/>
          </w:tcPr>
          <w:p w14:paraId="702EA3D0" w14:textId="77777777" w:rsidR="00E5624C" w:rsidRPr="005F57FC" w:rsidRDefault="00E5624C" w:rsidP="00E5624C">
            <w:pPr>
              <w:spacing w:line="312" w:lineRule="atLeast"/>
              <w:jc w:val="left"/>
              <w:rPr>
                <w:rFonts w:cstheme="minorHAnsi"/>
                <w:sz w:val="20"/>
                <w:szCs w:val="20"/>
                <w:lang w:eastAsia="sl-SI"/>
              </w:rPr>
            </w:pPr>
          </w:p>
          <w:p w14:paraId="5DC2B78D" w14:textId="2BFC0EA0" w:rsidR="00E5624C" w:rsidRPr="005F57FC" w:rsidRDefault="00E5624C" w:rsidP="00E5624C">
            <w:pPr>
              <w:spacing w:line="312" w:lineRule="atLeast"/>
              <w:jc w:val="left"/>
              <w:rPr>
                <w:rFonts w:cstheme="minorHAnsi"/>
                <w:sz w:val="20"/>
                <w:szCs w:val="20"/>
                <w:lang w:eastAsia="sl-SI"/>
              </w:rPr>
            </w:pPr>
            <w:r w:rsidRPr="005F57FC">
              <w:rPr>
                <w:rFonts w:cstheme="minorHAnsi"/>
                <w:sz w:val="20"/>
                <w:szCs w:val="20"/>
                <w:lang w:eastAsia="sl-SI"/>
              </w:rPr>
              <w:t xml:space="preserve">Preprečevanje in nadzorovanje onesnaževanja zraka, vode ali tal </w:t>
            </w:r>
          </w:p>
        </w:tc>
        <w:tc>
          <w:tcPr>
            <w:tcW w:w="648" w:type="dxa"/>
            <w:vAlign w:val="center"/>
            <w:hideMark/>
          </w:tcPr>
          <w:p w14:paraId="120892B0" w14:textId="77777777" w:rsidR="00E5624C" w:rsidRPr="005F57FC" w:rsidRDefault="00E5624C" w:rsidP="00E5624C">
            <w:pPr>
              <w:spacing w:line="312" w:lineRule="atLeast"/>
              <w:jc w:val="center"/>
              <w:rPr>
                <w:rFonts w:cstheme="minorHAnsi"/>
                <w:sz w:val="20"/>
                <w:szCs w:val="20"/>
                <w:lang w:eastAsia="sl-SI"/>
              </w:rPr>
            </w:pPr>
            <w:r w:rsidRPr="005F57FC">
              <w:rPr>
                <w:rFonts w:cstheme="minorHAnsi"/>
                <w:sz w:val="20"/>
                <w:szCs w:val="20"/>
                <w:lang w:eastAsia="sl-SI"/>
              </w:rPr>
              <w:t>X</w:t>
            </w:r>
          </w:p>
        </w:tc>
        <w:tc>
          <w:tcPr>
            <w:tcW w:w="0" w:type="auto"/>
            <w:vAlign w:val="center"/>
          </w:tcPr>
          <w:p w14:paraId="6DF02414" w14:textId="77777777" w:rsidR="00E5624C" w:rsidRPr="005F57FC" w:rsidRDefault="00E5624C" w:rsidP="00E5624C">
            <w:pPr>
              <w:spacing w:line="312" w:lineRule="atLeast"/>
              <w:jc w:val="center"/>
              <w:rPr>
                <w:rFonts w:cstheme="minorHAnsi"/>
                <w:sz w:val="20"/>
                <w:szCs w:val="20"/>
                <w:lang w:eastAsia="sl-SI"/>
              </w:rPr>
            </w:pPr>
          </w:p>
        </w:tc>
        <w:tc>
          <w:tcPr>
            <w:tcW w:w="0" w:type="auto"/>
            <w:vAlign w:val="center"/>
          </w:tcPr>
          <w:p w14:paraId="30A511AC" w14:textId="77777777" w:rsidR="00E5624C" w:rsidRPr="005F57FC" w:rsidRDefault="00E5624C" w:rsidP="00E5624C">
            <w:pPr>
              <w:spacing w:line="240" w:lineRule="atLeast"/>
              <w:rPr>
                <w:rFonts w:cstheme="minorHAnsi"/>
                <w:color w:val="333333"/>
                <w:sz w:val="20"/>
                <w:szCs w:val="20"/>
                <w:lang w:eastAsia="sl-SI"/>
              </w:rPr>
            </w:pPr>
          </w:p>
        </w:tc>
      </w:tr>
      <w:tr w:rsidR="00E5624C" w:rsidRPr="005F57FC" w14:paraId="3165A874" w14:textId="77777777" w:rsidTr="007619BB">
        <w:trPr>
          <w:trHeight w:val="20"/>
        </w:trPr>
        <w:tc>
          <w:tcPr>
            <w:tcW w:w="2689" w:type="dxa"/>
            <w:vAlign w:val="center"/>
            <w:hideMark/>
          </w:tcPr>
          <w:p w14:paraId="0BA341F9" w14:textId="7602A49B" w:rsidR="00E5624C" w:rsidRPr="005F57FC" w:rsidRDefault="00E5624C" w:rsidP="00E5624C">
            <w:pPr>
              <w:spacing w:line="312" w:lineRule="atLeast"/>
              <w:jc w:val="left"/>
              <w:rPr>
                <w:rFonts w:cstheme="minorHAnsi"/>
                <w:sz w:val="20"/>
                <w:szCs w:val="20"/>
                <w:lang w:eastAsia="sl-SI"/>
              </w:rPr>
            </w:pPr>
            <w:r w:rsidRPr="005F57FC">
              <w:rPr>
                <w:rFonts w:cstheme="minorHAnsi"/>
                <w:sz w:val="20"/>
                <w:szCs w:val="20"/>
                <w:lang w:eastAsia="sl-SI"/>
              </w:rPr>
              <w:t>Varstvo in ohranjanje biotske raznovrstnosti in ekosistemov</w:t>
            </w:r>
          </w:p>
        </w:tc>
        <w:tc>
          <w:tcPr>
            <w:tcW w:w="648" w:type="dxa"/>
            <w:vAlign w:val="center"/>
            <w:hideMark/>
          </w:tcPr>
          <w:p w14:paraId="11269B17" w14:textId="53B1E57D" w:rsidR="00E5624C" w:rsidRPr="005F57FC" w:rsidRDefault="00E5624C" w:rsidP="00E5624C">
            <w:pPr>
              <w:spacing w:line="312" w:lineRule="atLeast"/>
              <w:rPr>
                <w:rFonts w:cstheme="minorHAnsi"/>
                <w:sz w:val="20"/>
                <w:szCs w:val="20"/>
                <w:lang w:eastAsia="sl-SI"/>
              </w:rPr>
            </w:pPr>
          </w:p>
        </w:tc>
        <w:tc>
          <w:tcPr>
            <w:tcW w:w="0" w:type="auto"/>
            <w:vAlign w:val="center"/>
            <w:hideMark/>
          </w:tcPr>
          <w:p w14:paraId="11188C96" w14:textId="3F80F3F2" w:rsidR="00E5624C" w:rsidRPr="005F57FC" w:rsidRDefault="00E5624C" w:rsidP="00E5624C">
            <w:pPr>
              <w:jc w:val="center"/>
              <w:rPr>
                <w:rFonts w:cstheme="minorHAnsi"/>
                <w:sz w:val="20"/>
                <w:szCs w:val="20"/>
                <w:lang w:eastAsia="sl-SI"/>
              </w:rPr>
            </w:pPr>
            <w:r w:rsidRPr="005F57FC">
              <w:rPr>
                <w:rFonts w:cstheme="minorHAnsi"/>
                <w:sz w:val="20"/>
                <w:szCs w:val="20"/>
                <w:lang w:eastAsia="sl-SI"/>
              </w:rPr>
              <w:t>X</w:t>
            </w:r>
          </w:p>
        </w:tc>
        <w:tc>
          <w:tcPr>
            <w:tcW w:w="0" w:type="auto"/>
            <w:vAlign w:val="center"/>
          </w:tcPr>
          <w:p w14:paraId="07F3657F" w14:textId="600FFE07" w:rsidR="000A401C" w:rsidRPr="000E748C" w:rsidRDefault="000A401C" w:rsidP="000A401C">
            <w:pPr>
              <w:spacing w:line="312" w:lineRule="atLeast"/>
              <w:rPr>
                <w:rFonts w:cstheme="minorHAnsi"/>
                <w:color w:val="FF0000"/>
                <w:sz w:val="20"/>
                <w:szCs w:val="20"/>
                <w:lang w:eastAsia="sl-SI"/>
              </w:rPr>
            </w:pPr>
            <w:r w:rsidRPr="005F57FC">
              <w:rPr>
                <w:rFonts w:cstheme="minorHAnsi"/>
                <w:sz w:val="20"/>
                <w:szCs w:val="20"/>
                <w:lang w:eastAsia="sl-SI"/>
              </w:rPr>
              <w:t xml:space="preserve">Ukrep, skladno z Delegirano uredbo Komisije (EU) 2021/2139, ne škoduje bistveno </w:t>
            </w:r>
            <w:proofErr w:type="spellStart"/>
            <w:r w:rsidRPr="005F57FC">
              <w:rPr>
                <w:rFonts w:cstheme="minorHAnsi"/>
                <w:sz w:val="20"/>
                <w:szCs w:val="20"/>
                <w:lang w:eastAsia="sl-SI"/>
              </w:rPr>
              <w:t>okoljskemu</w:t>
            </w:r>
            <w:proofErr w:type="spellEnd"/>
            <w:r w:rsidRPr="005F57FC">
              <w:rPr>
                <w:rFonts w:cstheme="minorHAnsi"/>
                <w:sz w:val="20"/>
                <w:szCs w:val="20"/>
                <w:lang w:eastAsia="sl-SI"/>
              </w:rPr>
              <w:t xml:space="preserve"> cilju ob upoštevanju določenih tehničnih meril</w:t>
            </w:r>
            <w:r>
              <w:rPr>
                <w:rFonts w:cstheme="minorHAnsi"/>
                <w:sz w:val="20"/>
                <w:szCs w:val="20"/>
                <w:lang w:eastAsia="sl-SI"/>
              </w:rPr>
              <w:t>.</w:t>
            </w:r>
          </w:p>
          <w:p w14:paraId="1F8972C2" w14:textId="2F89579E" w:rsidR="000A401C" w:rsidRPr="005F57FC" w:rsidRDefault="000A401C" w:rsidP="000A401C">
            <w:pPr>
              <w:spacing w:line="312" w:lineRule="atLeast"/>
              <w:rPr>
                <w:rFonts w:cstheme="minorHAnsi"/>
                <w:sz w:val="20"/>
                <w:szCs w:val="20"/>
                <w:lang w:eastAsia="sl-SI"/>
              </w:rPr>
            </w:pPr>
            <w:r w:rsidRPr="005F57FC">
              <w:rPr>
                <w:rFonts w:cstheme="minorHAnsi"/>
                <w:sz w:val="20"/>
                <w:szCs w:val="20"/>
                <w:lang w:eastAsia="sl-SI"/>
              </w:rPr>
              <w:t xml:space="preserve">Ukrep v skladu s Prilogo I k Uredbi (EU) 2021/1060 40-odstotno prispeva k drugim </w:t>
            </w:r>
            <w:proofErr w:type="spellStart"/>
            <w:r w:rsidRPr="005F57FC">
              <w:rPr>
                <w:rFonts w:cstheme="minorHAnsi"/>
                <w:sz w:val="20"/>
                <w:szCs w:val="20"/>
                <w:lang w:eastAsia="sl-SI"/>
              </w:rPr>
              <w:t>okoljskim</w:t>
            </w:r>
            <w:proofErr w:type="spellEnd"/>
            <w:r w:rsidRPr="005F57FC">
              <w:rPr>
                <w:rFonts w:cstheme="minorHAnsi"/>
                <w:sz w:val="20"/>
                <w:szCs w:val="20"/>
                <w:lang w:eastAsia="sl-SI"/>
              </w:rPr>
              <w:t xml:space="preserve"> ciljem – področje ukrepanja </w:t>
            </w:r>
            <w:r w:rsidRPr="000A401C">
              <w:rPr>
                <w:rFonts w:cstheme="minorHAnsi"/>
                <w:sz w:val="20"/>
                <w:szCs w:val="20"/>
                <w:lang w:eastAsia="sl-SI"/>
              </w:rPr>
              <w:t>053 - Pametni energetski sistemi (vključno z inteligentnimi energetskimi omrežji in sistemi IKT) ter povezano shranjevanje</w:t>
            </w:r>
            <w:r w:rsidRPr="005F57FC">
              <w:rPr>
                <w:rFonts w:cstheme="minorHAnsi"/>
                <w:sz w:val="20"/>
                <w:szCs w:val="20"/>
                <w:lang w:eastAsia="sl-SI"/>
              </w:rPr>
              <w:t>.</w:t>
            </w:r>
          </w:p>
          <w:p w14:paraId="77044A19" w14:textId="77777777" w:rsidR="000A401C" w:rsidRPr="005F57FC" w:rsidRDefault="000A401C" w:rsidP="000A401C">
            <w:pPr>
              <w:spacing w:line="312" w:lineRule="atLeast"/>
              <w:rPr>
                <w:rFonts w:cstheme="minorHAnsi"/>
                <w:sz w:val="20"/>
                <w:szCs w:val="20"/>
                <w:lang w:eastAsia="sl-SI"/>
              </w:rPr>
            </w:pPr>
            <w:r w:rsidRPr="005F57FC">
              <w:rPr>
                <w:rFonts w:cstheme="minorHAnsi"/>
                <w:sz w:val="20"/>
                <w:szCs w:val="20"/>
                <w:lang w:eastAsia="sl-SI"/>
              </w:rPr>
              <w:t>Skladno z omilitvenimi ukrepi iz CPVO-DNSH za Program EKP bodo v okviru ukrepa izpolnjene naslednje zahteve:</w:t>
            </w:r>
          </w:p>
          <w:p w14:paraId="7A9BA82D" w14:textId="77777777" w:rsidR="000A401C" w:rsidRPr="005F57FC" w:rsidRDefault="000A401C" w:rsidP="000A401C">
            <w:pPr>
              <w:pStyle w:val="Odstavekseznama"/>
              <w:numPr>
                <w:ilvl w:val="0"/>
                <w:numId w:val="2"/>
              </w:numPr>
              <w:suppressAutoHyphens/>
              <w:spacing w:line="312" w:lineRule="atLeast"/>
              <w:rPr>
                <w:rFonts w:cstheme="minorHAnsi"/>
                <w:color w:val="FF0000"/>
                <w:sz w:val="20"/>
                <w:szCs w:val="20"/>
                <w:lang w:eastAsia="sl-SI"/>
              </w:rPr>
            </w:pPr>
            <w:r w:rsidRPr="005F57FC">
              <w:rPr>
                <w:rFonts w:cstheme="minorHAnsi"/>
                <w:color w:val="FF0000"/>
                <w:sz w:val="20"/>
                <w:szCs w:val="20"/>
                <w:lang w:eastAsia="sl-SI"/>
              </w:rPr>
              <w:t>pri izvedbi projekta/investicije bodo upoštevani omilitveni ukrepi in usmeritve za</w:t>
            </w:r>
            <w:r w:rsidRPr="005F57FC">
              <w:rPr>
                <w:rFonts w:cstheme="minorHAnsi"/>
                <w:color w:val="FF0000"/>
                <w:sz w:val="20"/>
                <w:szCs w:val="20"/>
              </w:rPr>
              <w:t xml:space="preserve"> </w:t>
            </w:r>
            <w:r w:rsidRPr="005F57FC">
              <w:rPr>
                <w:rFonts w:cstheme="minorHAnsi"/>
                <w:color w:val="FF0000"/>
                <w:sz w:val="20"/>
                <w:szCs w:val="20"/>
                <w:lang w:eastAsia="sl-SI"/>
              </w:rPr>
              <w:t>varstvo okolja iz Celovitega nacionalnega energetskega in podnebnega načrta Republike Slovenije (NEPN),</w:t>
            </w:r>
          </w:p>
          <w:p w14:paraId="408FB35E" w14:textId="0D2F660E" w:rsidR="000A401C" w:rsidRPr="005F57FC" w:rsidRDefault="000A401C" w:rsidP="000A401C">
            <w:pPr>
              <w:pStyle w:val="Odstavekseznama"/>
              <w:numPr>
                <w:ilvl w:val="0"/>
                <w:numId w:val="2"/>
              </w:numPr>
              <w:suppressAutoHyphens/>
              <w:spacing w:line="312" w:lineRule="atLeast"/>
              <w:rPr>
                <w:rFonts w:cstheme="minorHAnsi"/>
                <w:color w:val="FF0000"/>
                <w:sz w:val="20"/>
                <w:szCs w:val="20"/>
                <w:lang w:eastAsia="sl-SI"/>
              </w:rPr>
            </w:pPr>
            <w:r w:rsidRPr="005F57FC">
              <w:rPr>
                <w:rFonts w:cstheme="minorHAnsi"/>
                <w:color w:val="FF0000"/>
                <w:sz w:val="20"/>
                <w:szCs w:val="20"/>
                <w:lang w:eastAsia="sl-SI"/>
              </w:rPr>
              <w:t>projekt/</w:t>
            </w:r>
            <w:r>
              <w:rPr>
                <w:rFonts w:cstheme="minorHAnsi"/>
                <w:color w:val="FF0000"/>
                <w:sz w:val="20"/>
                <w:szCs w:val="20"/>
                <w:lang w:eastAsia="sl-SI"/>
              </w:rPr>
              <w:t>i</w:t>
            </w:r>
            <w:r w:rsidRPr="005F57FC">
              <w:rPr>
                <w:rFonts w:cstheme="minorHAnsi"/>
                <w:color w:val="FF0000"/>
                <w:sz w:val="20"/>
                <w:szCs w:val="20"/>
                <w:lang w:eastAsia="sl-SI"/>
              </w:rPr>
              <w:t>nvesticija se bo izvedla na lokacijah, ki so sprejemljive z vidika varstva okolja in tehničnih zmožnosti energetskega omrežja</w:t>
            </w:r>
            <w:r>
              <w:rPr>
                <w:rFonts w:cstheme="minorHAnsi"/>
                <w:color w:val="FF0000"/>
                <w:sz w:val="20"/>
                <w:szCs w:val="20"/>
                <w:lang w:eastAsia="sl-SI"/>
              </w:rPr>
              <w:t xml:space="preserve"> </w:t>
            </w:r>
            <w:r w:rsidRPr="005F57FC">
              <w:rPr>
                <w:rFonts w:cstheme="minorHAnsi"/>
                <w:color w:val="FF0000"/>
                <w:sz w:val="20"/>
                <w:szCs w:val="20"/>
                <w:lang w:eastAsia="sl-SI"/>
              </w:rPr>
              <w:t xml:space="preserve">za energetsko </w:t>
            </w:r>
            <w:r w:rsidRPr="005F57FC">
              <w:rPr>
                <w:rFonts w:cstheme="minorHAnsi"/>
                <w:color w:val="FF0000"/>
                <w:sz w:val="20"/>
                <w:szCs w:val="20"/>
                <w:lang w:eastAsia="sl-SI"/>
              </w:rPr>
              <w:lastRenderedPageBreak/>
              <w:t>učinkovit prevzem in distribucijo energije končnim porabnikom.</w:t>
            </w:r>
          </w:p>
          <w:p w14:paraId="75D6180D" w14:textId="63E10213" w:rsidR="00E5624C" w:rsidRPr="005F57FC" w:rsidRDefault="000A401C" w:rsidP="000A401C">
            <w:pPr>
              <w:spacing w:line="312" w:lineRule="atLeast"/>
              <w:rPr>
                <w:rFonts w:cstheme="minorHAnsi"/>
                <w:sz w:val="20"/>
                <w:szCs w:val="20"/>
                <w:lang w:eastAsia="sl-SI"/>
              </w:rPr>
            </w:pPr>
            <w:r w:rsidRPr="005F57FC">
              <w:rPr>
                <w:rFonts w:cstheme="minorHAnsi"/>
                <w:sz w:val="20"/>
                <w:szCs w:val="20"/>
                <w:lang w:eastAsia="sl-SI"/>
              </w:rPr>
              <w:t>Ob upoštevanju navedenih meril za izbor projektov in omilitvenih ukrepov, ukrep ne bo bistveno škodil dobremu stanju in odpornosti ekosistemov ali na ohranitveni status habitatov in vrst, vključno s tistimi, ki so v interesu Unije.</w:t>
            </w:r>
          </w:p>
        </w:tc>
      </w:tr>
    </w:tbl>
    <w:p w14:paraId="23FC3C30" w14:textId="77777777" w:rsidR="007619BB" w:rsidRPr="005F57FC" w:rsidRDefault="007619BB" w:rsidP="007619BB">
      <w:pPr>
        <w:rPr>
          <w:rFonts w:cstheme="minorHAnsi"/>
          <w:i/>
          <w:color w:val="808080" w:themeColor="background1" w:themeShade="80"/>
          <w:sz w:val="20"/>
          <w:szCs w:val="20"/>
        </w:rPr>
      </w:pPr>
    </w:p>
    <w:p w14:paraId="1E9DD34F" w14:textId="77777777" w:rsidR="007619BB" w:rsidRPr="005F57FC" w:rsidRDefault="007619BB" w:rsidP="007619BB">
      <w:pPr>
        <w:rPr>
          <w:rFonts w:cstheme="minorHAnsi"/>
          <w:i/>
          <w:color w:val="808080" w:themeColor="background1" w:themeShade="80"/>
          <w:sz w:val="20"/>
          <w:szCs w:val="20"/>
        </w:rPr>
      </w:pPr>
      <w:r w:rsidRPr="005F57FC">
        <w:rPr>
          <w:rFonts w:cstheme="minorHAnsi"/>
          <w:i/>
          <w:color w:val="808080" w:themeColor="background1" w:themeShade="80"/>
          <w:sz w:val="20"/>
          <w:szCs w:val="20"/>
        </w:rPr>
        <w:t xml:space="preserve">V kolikor je v zgornji tabeli za katerega izmed </w:t>
      </w:r>
      <w:proofErr w:type="spellStart"/>
      <w:r w:rsidRPr="005F57FC">
        <w:rPr>
          <w:rFonts w:cstheme="minorHAnsi"/>
          <w:i/>
          <w:color w:val="808080" w:themeColor="background1" w:themeShade="80"/>
          <w:sz w:val="20"/>
          <w:szCs w:val="20"/>
        </w:rPr>
        <w:t>okoljskih</w:t>
      </w:r>
      <w:proofErr w:type="spellEnd"/>
      <w:r w:rsidRPr="005F57FC">
        <w:rPr>
          <w:rFonts w:cstheme="minorHAnsi"/>
          <w:i/>
          <w:color w:val="808080" w:themeColor="background1" w:themeShade="80"/>
          <w:sz w:val="20"/>
          <w:szCs w:val="20"/>
        </w:rPr>
        <w:t xml:space="preserve"> ciljev ocenjeno, da je potrebna vsebinska ocena skladnosti ukrep za načelom DNSH, nadaljujte z vsebinsko oceno skladnosti z načelom DSNH v naslednji tabeli.</w:t>
      </w:r>
    </w:p>
    <w:p w14:paraId="27FBF712" w14:textId="793EE5E9" w:rsidR="007619BB" w:rsidRDefault="007619BB" w:rsidP="007619BB">
      <w:pPr>
        <w:pStyle w:val="Glava"/>
        <w:tabs>
          <w:tab w:val="clear" w:pos="4536"/>
          <w:tab w:val="clear" w:pos="9072"/>
        </w:tabs>
        <w:spacing w:line="360" w:lineRule="auto"/>
        <w:rPr>
          <w:rFonts w:cstheme="minorHAnsi"/>
          <w:color w:val="000000"/>
        </w:rPr>
      </w:pPr>
    </w:p>
    <w:p w14:paraId="1417126B" w14:textId="77777777" w:rsidR="007619BB" w:rsidRPr="005F57FC" w:rsidRDefault="007619BB" w:rsidP="007619BB">
      <w:pPr>
        <w:pStyle w:val="Glava"/>
        <w:tabs>
          <w:tab w:val="clear" w:pos="4536"/>
          <w:tab w:val="clear" w:pos="9072"/>
        </w:tabs>
        <w:spacing w:line="360" w:lineRule="auto"/>
        <w:rPr>
          <w:rFonts w:cstheme="minorHAnsi"/>
          <w:b/>
          <w:color w:val="000000"/>
          <w:sz w:val="20"/>
          <w:szCs w:val="20"/>
        </w:rPr>
      </w:pPr>
      <w:r w:rsidRPr="005F57FC">
        <w:rPr>
          <w:rFonts w:cstheme="minorHAnsi"/>
          <w:b/>
          <w:color w:val="000000"/>
          <w:sz w:val="20"/>
          <w:szCs w:val="20"/>
        </w:rPr>
        <w:t xml:space="preserve">Tabela </w:t>
      </w:r>
      <w:r>
        <w:rPr>
          <w:rFonts w:cstheme="minorHAnsi"/>
          <w:b/>
          <w:color w:val="000000"/>
          <w:sz w:val="20"/>
          <w:szCs w:val="20"/>
        </w:rPr>
        <w:t>1</w:t>
      </w:r>
      <w:r w:rsidRPr="005F57FC">
        <w:rPr>
          <w:rFonts w:cstheme="minorHAnsi"/>
          <w:b/>
          <w:color w:val="000000"/>
          <w:sz w:val="20"/>
          <w:szCs w:val="20"/>
        </w:rPr>
        <w:t>.2: Vsebinska ocena</w:t>
      </w:r>
    </w:p>
    <w:tbl>
      <w:tblPr>
        <w:tblStyle w:val="Tabelamrea"/>
        <w:tblW w:w="5000" w:type="pct"/>
        <w:tblLook w:val="04A0" w:firstRow="1" w:lastRow="0" w:firstColumn="1" w:lastColumn="0" w:noHBand="0" w:noVBand="1"/>
      </w:tblPr>
      <w:tblGrid>
        <w:gridCol w:w="2973"/>
        <w:gridCol w:w="710"/>
        <w:gridCol w:w="5379"/>
      </w:tblGrid>
      <w:tr w:rsidR="007619BB" w:rsidRPr="005F57FC" w14:paraId="58BDF611" w14:textId="77777777" w:rsidTr="00E14EFB">
        <w:trPr>
          <w:tblHeader/>
        </w:trPr>
        <w:tc>
          <w:tcPr>
            <w:tcW w:w="1640" w:type="pct"/>
            <w:shd w:val="clear" w:color="auto" w:fill="E2EFD9" w:themeFill="accent6" w:themeFillTint="33"/>
            <w:vAlign w:val="center"/>
            <w:hideMark/>
          </w:tcPr>
          <w:p w14:paraId="542A4D3D" w14:textId="77777777" w:rsidR="007619BB" w:rsidRPr="005F57FC" w:rsidRDefault="007619BB" w:rsidP="00E14EFB">
            <w:pPr>
              <w:spacing w:before="60" w:after="60" w:line="240" w:lineRule="atLeast"/>
              <w:ind w:right="193"/>
              <w:jc w:val="center"/>
              <w:rPr>
                <w:rFonts w:cstheme="minorHAnsi"/>
                <w:bCs/>
                <w:i/>
                <w:sz w:val="20"/>
                <w:szCs w:val="20"/>
                <w:lang w:eastAsia="sl-SI"/>
              </w:rPr>
            </w:pPr>
            <w:r w:rsidRPr="005F57FC">
              <w:rPr>
                <w:rFonts w:cstheme="minorHAnsi"/>
                <w:bCs/>
                <w:i/>
                <w:sz w:val="20"/>
                <w:szCs w:val="20"/>
                <w:lang w:eastAsia="sl-SI"/>
              </w:rPr>
              <w:t>Vprašanja</w:t>
            </w:r>
          </w:p>
        </w:tc>
        <w:tc>
          <w:tcPr>
            <w:tcW w:w="392" w:type="pct"/>
            <w:shd w:val="clear" w:color="auto" w:fill="E2EFD9" w:themeFill="accent6" w:themeFillTint="33"/>
            <w:vAlign w:val="center"/>
            <w:hideMark/>
          </w:tcPr>
          <w:p w14:paraId="75E20A1A" w14:textId="77777777" w:rsidR="007619BB" w:rsidRPr="005F57FC" w:rsidRDefault="007619BB" w:rsidP="00E14EFB">
            <w:pPr>
              <w:spacing w:before="60" w:after="60" w:line="240" w:lineRule="atLeast"/>
              <w:ind w:right="193"/>
              <w:jc w:val="center"/>
              <w:rPr>
                <w:rFonts w:cstheme="minorHAnsi"/>
                <w:bCs/>
                <w:i/>
                <w:sz w:val="20"/>
                <w:szCs w:val="20"/>
                <w:lang w:eastAsia="sl-SI"/>
              </w:rPr>
            </w:pPr>
            <w:r w:rsidRPr="005F57FC">
              <w:rPr>
                <w:rFonts w:cstheme="minorHAnsi"/>
                <w:bCs/>
                <w:i/>
                <w:sz w:val="20"/>
                <w:szCs w:val="20"/>
                <w:lang w:eastAsia="sl-SI"/>
              </w:rPr>
              <w:t>NE</w:t>
            </w:r>
          </w:p>
        </w:tc>
        <w:tc>
          <w:tcPr>
            <w:tcW w:w="2968" w:type="pct"/>
            <w:shd w:val="clear" w:color="auto" w:fill="E2EFD9" w:themeFill="accent6" w:themeFillTint="33"/>
            <w:vAlign w:val="center"/>
            <w:hideMark/>
          </w:tcPr>
          <w:p w14:paraId="7BAA8BB1" w14:textId="77777777" w:rsidR="007619BB" w:rsidRPr="005F57FC" w:rsidRDefault="007619BB" w:rsidP="00E14EFB">
            <w:pPr>
              <w:spacing w:before="60" w:after="60" w:line="240" w:lineRule="atLeast"/>
              <w:ind w:right="193"/>
              <w:jc w:val="center"/>
              <w:rPr>
                <w:rFonts w:cstheme="minorHAnsi"/>
                <w:bCs/>
                <w:i/>
                <w:sz w:val="20"/>
                <w:szCs w:val="20"/>
                <w:lang w:eastAsia="sl-SI"/>
              </w:rPr>
            </w:pPr>
            <w:r w:rsidRPr="005F57FC">
              <w:rPr>
                <w:rFonts w:cstheme="minorHAnsi"/>
                <w:bCs/>
                <w:i/>
                <w:sz w:val="20"/>
                <w:szCs w:val="20"/>
                <w:lang w:eastAsia="sl-SI"/>
              </w:rPr>
              <w:t>Vsebinska utemeljitev - kjer je relevantno, predložite informacije o razpoložljivi podporni dokumentaciji</w:t>
            </w:r>
          </w:p>
        </w:tc>
      </w:tr>
      <w:tr w:rsidR="007619BB" w:rsidRPr="005F57FC" w14:paraId="4B58D520" w14:textId="77777777" w:rsidTr="000A401C">
        <w:tc>
          <w:tcPr>
            <w:tcW w:w="1640" w:type="pct"/>
            <w:vAlign w:val="center"/>
            <w:hideMark/>
          </w:tcPr>
          <w:p w14:paraId="0A95D241" w14:textId="77777777" w:rsidR="007619BB" w:rsidRPr="005F57FC" w:rsidRDefault="007619BB" w:rsidP="00E14EFB">
            <w:pPr>
              <w:spacing w:before="60" w:after="60" w:line="240" w:lineRule="atLeast"/>
              <w:rPr>
                <w:rFonts w:cstheme="minorHAnsi"/>
                <w:sz w:val="20"/>
                <w:szCs w:val="20"/>
                <w:lang w:eastAsia="sl-SI"/>
              </w:rPr>
            </w:pPr>
            <w:r w:rsidRPr="005F57FC">
              <w:rPr>
                <w:rFonts w:cstheme="minorHAnsi"/>
                <w:sz w:val="20"/>
                <w:szCs w:val="20"/>
                <w:lang w:eastAsia="sl-SI"/>
              </w:rPr>
              <w:t>Blažitev podnebnih sprememb:</w:t>
            </w:r>
          </w:p>
          <w:p w14:paraId="30AFC68E" w14:textId="77777777" w:rsidR="007619BB" w:rsidRPr="005F57FC" w:rsidRDefault="007619BB" w:rsidP="00E14EFB">
            <w:pPr>
              <w:spacing w:before="60" w:after="60" w:line="240" w:lineRule="atLeast"/>
              <w:rPr>
                <w:rFonts w:cstheme="minorHAnsi"/>
                <w:i/>
                <w:iCs/>
                <w:sz w:val="20"/>
                <w:szCs w:val="20"/>
                <w:lang w:eastAsia="sl-SI"/>
              </w:rPr>
            </w:pPr>
            <w:r w:rsidRPr="005F57FC">
              <w:rPr>
                <w:rFonts w:cstheme="minorHAnsi"/>
                <w:i/>
                <w:iCs/>
                <w:sz w:val="20"/>
                <w:szCs w:val="20"/>
                <w:lang w:eastAsia="sl-SI"/>
              </w:rPr>
              <w:t>Ali se pričakuje, da bo ukrep</w:t>
            </w:r>
          </w:p>
          <w:p w14:paraId="6260FF3D" w14:textId="77777777" w:rsidR="007619BB" w:rsidRPr="005F57FC" w:rsidRDefault="007619BB" w:rsidP="00E14EFB">
            <w:pPr>
              <w:spacing w:before="60" w:after="60" w:line="240" w:lineRule="atLeast"/>
              <w:rPr>
                <w:rFonts w:cstheme="minorHAnsi"/>
                <w:i/>
                <w:iCs/>
                <w:sz w:val="20"/>
                <w:szCs w:val="20"/>
                <w:lang w:eastAsia="sl-SI"/>
              </w:rPr>
            </w:pPr>
            <w:r w:rsidRPr="005F57FC">
              <w:rPr>
                <w:rFonts w:cstheme="minorHAnsi"/>
                <w:i/>
                <w:iCs/>
                <w:sz w:val="20"/>
                <w:szCs w:val="20"/>
                <w:lang w:eastAsia="sl-SI"/>
              </w:rPr>
              <w:t>povzročil precejšnje emisije</w:t>
            </w:r>
          </w:p>
          <w:p w14:paraId="3E2CB634" w14:textId="77777777" w:rsidR="007619BB" w:rsidRPr="005F57FC" w:rsidRDefault="007619BB" w:rsidP="00E14EFB">
            <w:pPr>
              <w:spacing w:before="60" w:after="60" w:line="240" w:lineRule="atLeast"/>
              <w:rPr>
                <w:rFonts w:cstheme="minorHAnsi"/>
                <w:sz w:val="20"/>
                <w:szCs w:val="20"/>
                <w:lang w:eastAsia="sl-SI"/>
              </w:rPr>
            </w:pPr>
            <w:r w:rsidRPr="005F57FC">
              <w:rPr>
                <w:rFonts w:cstheme="minorHAnsi"/>
                <w:i/>
                <w:iCs/>
                <w:sz w:val="20"/>
                <w:szCs w:val="20"/>
                <w:lang w:eastAsia="sl-SI"/>
              </w:rPr>
              <w:t>toplogrednih plinov?</w:t>
            </w:r>
          </w:p>
        </w:tc>
        <w:tc>
          <w:tcPr>
            <w:tcW w:w="392" w:type="pct"/>
            <w:vAlign w:val="center"/>
          </w:tcPr>
          <w:p w14:paraId="5456CA12" w14:textId="77777777" w:rsidR="007619BB" w:rsidRPr="005F57FC" w:rsidRDefault="007619BB" w:rsidP="00E14EFB">
            <w:pPr>
              <w:spacing w:before="120" w:line="312" w:lineRule="atLeast"/>
              <w:jc w:val="center"/>
              <w:rPr>
                <w:rFonts w:cstheme="minorHAnsi"/>
                <w:sz w:val="20"/>
                <w:szCs w:val="20"/>
                <w:lang w:eastAsia="sl-SI"/>
              </w:rPr>
            </w:pPr>
            <w:r w:rsidRPr="005F57FC">
              <w:rPr>
                <w:rFonts w:cstheme="minorHAnsi"/>
                <w:sz w:val="20"/>
                <w:szCs w:val="20"/>
                <w:lang w:eastAsia="sl-SI"/>
              </w:rPr>
              <w:t>/</w:t>
            </w:r>
          </w:p>
        </w:tc>
        <w:tc>
          <w:tcPr>
            <w:tcW w:w="2968" w:type="pct"/>
            <w:vAlign w:val="center"/>
            <w:hideMark/>
          </w:tcPr>
          <w:p w14:paraId="209304EF" w14:textId="77777777" w:rsidR="007619BB" w:rsidRPr="005F57FC" w:rsidRDefault="007619BB" w:rsidP="000A401C">
            <w:pPr>
              <w:spacing w:line="240" w:lineRule="atLeast"/>
              <w:jc w:val="left"/>
              <w:rPr>
                <w:rFonts w:cstheme="minorHAnsi"/>
                <w:sz w:val="20"/>
                <w:szCs w:val="20"/>
                <w:lang w:eastAsia="sl-SI"/>
              </w:rPr>
            </w:pPr>
          </w:p>
          <w:p w14:paraId="433109FC" w14:textId="77777777" w:rsidR="007619BB" w:rsidRPr="005F57FC" w:rsidRDefault="007619BB" w:rsidP="000A401C">
            <w:pPr>
              <w:spacing w:line="240" w:lineRule="atLeast"/>
              <w:jc w:val="left"/>
              <w:rPr>
                <w:rFonts w:cstheme="minorHAnsi"/>
                <w:sz w:val="20"/>
                <w:szCs w:val="20"/>
                <w:lang w:eastAsia="sl-SI"/>
              </w:rPr>
            </w:pPr>
            <w:r w:rsidRPr="005F57FC">
              <w:rPr>
                <w:rFonts w:cstheme="minorHAnsi"/>
                <w:sz w:val="20"/>
                <w:szCs w:val="20"/>
                <w:lang w:eastAsia="sl-SI"/>
              </w:rPr>
              <w:t xml:space="preserve">Podrobnejša vsebinska ocena skladnosti ukrepa s tem </w:t>
            </w:r>
            <w:proofErr w:type="spellStart"/>
            <w:r w:rsidRPr="005F57FC">
              <w:rPr>
                <w:rFonts w:cstheme="minorHAnsi"/>
                <w:sz w:val="20"/>
                <w:szCs w:val="20"/>
                <w:lang w:eastAsia="sl-SI"/>
              </w:rPr>
              <w:t>okoljskim</w:t>
            </w:r>
            <w:proofErr w:type="spellEnd"/>
            <w:r w:rsidRPr="005F57FC">
              <w:rPr>
                <w:rFonts w:cstheme="minorHAnsi"/>
                <w:sz w:val="20"/>
                <w:szCs w:val="20"/>
                <w:lang w:eastAsia="sl-SI"/>
              </w:rPr>
              <w:t xml:space="preserve"> ciljem ni potrebna.</w:t>
            </w:r>
          </w:p>
        </w:tc>
      </w:tr>
      <w:tr w:rsidR="007619BB" w:rsidRPr="005F57FC" w14:paraId="3843945B" w14:textId="77777777" w:rsidTr="000A401C">
        <w:tc>
          <w:tcPr>
            <w:tcW w:w="1640" w:type="pct"/>
            <w:vAlign w:val="center"/>
            <w:hideMark/>
          </w:tcPr>
          <w:p w14:paraId="29F4F887" w14:textId="77777777" w:rsidR="007619BB" w:rsidRPr="005F57FC" w:rsidRDefault="007619BB" w:rsidP="00E14EFB">
            <w:pPr>
              <w:spacing w:before="60" w:after="60" w:line="240" w:lineRule="atLeast"/>
              <w:rPr>
                <w:rFonts w:cstheme="minorHAnsi"/>
                <w:sz w:val="20"/>
                <w:szCs w:val="20"/>
                <w:lang w:eastAsia="sl-SI"/>
              </w:rPr>
            </w:pPr>
            <w:r w:rsidRPr="005F57FC">
              <w:rPr>
                <w:rFonts w:cstheme="minorHAnsi"/>
                <w:sz w:val="20"/>
                <w:szCs w:val="20"/>
                <w:lang w:eastAsia="sl-SI"/>
              </w:rPr>
              <w:t>Prilagajanje podnebnim spremembam:</w:t>
            </w:r>
          </w:p>
          <w:p w14:paraId="35EF2CF5" w14:textId="77777777" w:rsidR="007619BB" w:rsidRPr="005F57FC" w:rsidRDefault="007619BB" w:rsidP="00E14EFB">
            <w:pPr>
              <w:spacing w:before="60" w:after="60" w:line="240" w:lineRule="atLeast"/>
              <w:rPr>
                <w:rFonts w:cstheme="minorHAnsi"/>
                <w:i/>
                <w:iCs/>
                <w:sz w:val="20"/>
                <w:szCs w:val="20"/>
                <w:lang w:eastAsia="sl-SI"/>
              </w:rPr>
            </w:pPr>
            <w:r w:rsidRPr="005F57FC">
              <w:rPr>
                <w:rFonts w:cstheme="minorHAnsi"/>
                <w:i/>
                <w:iCs/>
                <w:sz w:val="20"/>
                <w:szCs w:val="20"/>
                <w:lang w:eastAsia="sl-SI"/>
              </w:rPr>
              <w:t>Ali se pričakuje, da bo ukrep</w:t>
            </w:r>
          </w:p>
          <w:p w14:paraId="339C8BA5" w14:textId="77777777" w:rsidR="007619BB" w:rsidRPr="005F57FC" w:rsidRDefault="007619BB" w:rsidP="00E14EFB">
            <w:pPr>
              <w:spacing w:before="60" w:after="60" w:line="240" w:lineRule="atLeast"/>
              <w:rPr>
                <w:rFonts w:cstheme="minorHAnsi"/>
                <w:i/>
                <w:iCs/>
                <w:sz w:val="20"/>
                <w:szCs w:val="20"/>
                <w:lang w:eastAsia="sl-SI"/>
              </w:rPr>
            </w:pPr>
            <w:r w:rsidRPr="005F57FC">
              <w:rPr>
                <w:rFonts w:cstheme="minorHAnsi"/>
                <w:i/>
                <w:iCs/>
                <w:sz w:val="20"/>
                <w:szCs w:val="20"/>
                <w:lang w:eastAsia="sl-SI"/>
              </w:rPr>
              <w:t>povečal negativen vpliv trenutnega podnebja in</w:t>
            </w:r>
          </w:p>
          <w:p w14:paraId="17A60E36" w14:textId="77777777" w:rsidR="007619BB" w:rsidRPr="005F57FC" w:rsidRDefault="007619BB" w:rsidP="00E14EFB">
            <w:pPr>
              <w:spacing w:before="60" w:after="60" w:line="240" w:lineRule="atLeast"/>
              <w:rPr>
                <w:rFonts w:cstheme="minorHAnsi"/>
                <w:i/>
                <w:iCs/>
                <w:sz w:val="20"/>
                <w:szCs w:val="20"/>
                <w:lang w:eastAsia="sl-SI"/>
              </w:rPr>
            </w:pPr>
            <w:r w:rsidRPr="005F57FC">
              <w:rPr>
                <w:rFonts w:cstheme="minorHAnsi"/>
                <w:i/>
                <w:iCs/>
                <w:sz w:val="20"/>
                <w:szCs w:val="20"/>
                <w:lang w:eastAsia="sl-SI"/>
              </w:rPr>
              <w:t>pričakovanega prihodnjega</w:t>
            </w:r>
          </w:p>
          <w:p w14:paraId="587BFC37" w14:textId="77777777" w:rsidR="007619BB" w:rsidRPr="005F57FC" w:rsidRDefault="007619BB" w:rsidP="00E14EFB">
            <w:pPr>
              <w:spacing w:before="60" w:after="60" w:line="240" w:lineRule="atLeast"/>
              <w:rPr>
                <w:rFonts w:cstheme="minorHAnsi"/>
                <w:i/>
                <w:iCs/>
                <w:sz w:val="20"/>
                <w:szCs w:val="20"/>
                <w:lang w:eastAsia="sl-SI"/>
              </w:rPr>
            </w:pPr>
            <w:r w:rsidRPr="005F57FC">
              <w:rPr>
                <w:rFonts w:cstheme="minorHAnsi"/>
                <w:i/>
                <w:iCs/>
                <w:sz w:val="20"/>
                <w:szCs w:val="20"/>
                <w:lang w:eastAsia="sl-SI"/>
              </w:rPr>
              <w:t>podnebja na ukrep sam ali na</w:t>
            </w:r>
          </w:p>
          <w:p w14:paraId="2787B894" w14:textId="77777777" w:rsidR="007619BB" w:rsidRPr="005F57FC" w:rsidRDefault="007619BB" w:rsidP="00E14EFB">
            <w:pPr>
              <w:spacing w:before="60" w:after="60" w:line="240" w:lineRule="atLeast"/>
              <w:rPr>
                <w:rFonts w:cstheme="minorHAnsi"/>
                <w:sz w:val="20"/>
                <w:szCs w:val="20"/>
                <w:lang w:eastAsia="sl-SI"/>
              </w:rPr>
            </w:pPr>
            <w:r w:rsidRPr="005F57FC">
              <w:rPr>
                <w:rFonts w:cstheme="minorHAnsi"/>
                <w:i/>
                <w:iCs/>
                <w:sz w:val="20"/>
                <w:szCs w:val="20"/>
                <w:lang w:eastAsia="sl-SI"/>
              </w:rPr>
              <w:t>ljudi, naravo ali sredstva?</w:t>
            </w:r>
          </w:p>
        </w:tc>
        <w:tc>
          <w:tcPr>
            <w:tcW w:w="392" w:type="pct"/>
            <w:vAlign w:val="center"/>
          </w:tcPr>
          <w:p w14:paraId="1CC0BD24" w14:textId="77777777" w:rsidR="007619BB" w:rsidRPr="005F57FC" w:rsidRDefault="007619BB" w:rsidP="00E14EFB">
            <w:pPr>
              <w:spacing w:before="120" w:line="312" w:lineRule="atLeast"/>
              <w:jc w:val="center"/>
              <w:rPr>
                <w:rFonts w:cstheme="minorHAnsi"/>
                <w:sz w:val="20"/>
                <w:szCs w:val="20"/>
                <w:lang w:eastAsia="sl-SI"/>
              </w:rPr>
            </w:pPr>
            <w:r w:rsidRPr="005F57FC">
              <w:rPr>
                <w:rFonts w:cstheme="minorHAnsi"/>
                <w:sz w:val="20"/>
                <w:szCs w:val="20"/>
                <w:lang w:eastAsia="sl-SI"/>
              </w:rPr>
              <w:t>/</w:t>
            </w:r>
          </w:p>
        </w:tc>
        <w:tc>
          <w:tcPr>
            <w:tcW w:w="2968" w:type="pct"/>
            <w:vAlign w:val="center"/>
          </w:tcPr>
          <w:p w14:paraId="2924CA79" w14:textId="77777777" w:rsidR="007619BB" w:rsidRPr="005F57FC" w:rsidRDefault="007619BB" w:rsidP="000A401C">
            <w:pPr>
              <w:spacing w:line="240" w:lineRule="atLeast"/>
              <w:jc w:val="left"/>
              <w:rPr>
                <w:rFonts w:cstheme="minorHAnsi"/>
                <w:sz w:val="20"/>
                <w:szCs w:val="20"/>
                <w:lang w:eastAsia="sl-SI"/>
              </w:rPr>
            </w:pPr>
          </w:p>
          <w:p w14:paraId="037846DF" w14:textId="77777777" w:rsidR="007619BB" w:rsidRPr="005F57FC" w:rsidRDefault="007619BB" w:rsidP="000A401C">
            <w:pPr>
              <w:spacing w:line="240" w:lineRule="atLeast"/>
              <w:jc w:val="left"/>
              <w:rPr>
                <w:rFonts w:cstheme="minorHAnsi"/>
                <w:sz w:val="20"/>
                <w:szCs w:val="20"/>
                <w:lang w:eastAsia="sl-SI"/>
              </w:rPr>
            </w:pPr>
            <w:r w:rsidRPr="005F57FC">
              <w:rPr>
                <w:rFonts w:cstheme="minorHAnsi"/>
                <w:sz w:val="20"/>
                <w:szCs w:val="20"/>
                <w:lang w:eastAsia="sl-SI"/>
              </w:rPr>
              <w:t xml:space="preserve">Podrobnejša vsebinska ocena skladnosti ukrepa s tem </w:t>
            </w:r>
            <w:proofErr w:type="spellStart"/>
            <w:r w:rsidRPr="005F57FC">
              <w:rPr>
                <w:rFonts w:cstheme="minorHAnsi"/>
                <w:sz w:val="20"/>
                <w:szCs w:val="20"/>
                <w:lang w:eastAsia="sl-SI"/>
              </w:rPr>
              <w:t>okoljskim</w:t>
            </w:r>
            <w:proofErr w:type="spellEnd"/>
            <w:r w:rsidRPr="005F57FC">
              <w:rPr>
                <w:rFonts w:cstheme="minorHAnsi"/>
                <w:sz w:val="20"/>
                <w:szCs w:val="20"/>
                <w:lang w:eastAsia="sl-SI"/>
              </w:rPr>
              <w:t xml:space="preserve"> ciljem ni potrebna.</w:t>
            </w:r>
          </w:p>
        </w:tc>
      </w:tr>
      <w:tr w:rsidR="007619BB" w:rsidRPr="005F57FC" w14:paraId="28C63911" w14:textId="77777777" w:rsidTr="000A401C">
        <w:tc>
          <w:tcPr>
            <w:tcW w:w="1640" w:type="pct"/>
            <w:vAlign w:val="center"/>
            <w:hideMark/>
          </w:tcPr>
          <w:p w14:paraId="139F3B81" w14:textId="77777777" w:rsidR="007619BB" w:rsidRPr="005F57FC" w:rsidRDefault="007619BB" w:rsidP="00E14EFB">
            <w:pPr>
              <w:spacing w:before="60" w:after="60" w:line="240" w:lineRule="atLeast"/>
              <w:rPr>
                <w:rFonts w:cstheme="minorHAnsi"/>
                <w:sz w:val="20"/>
                <w:szCs w:val="20"/>
                <w:lang w:eastAsia="sl-SI"/>
              </w:rPr>
            </w:pPr>
            <w:r w:rsidRPr="005F57FC">
              <w:rPr>
                <w:rFonts w:cstheme="minorHAnsi"/>
                <w:sz w:val="20"/>
                <w:szCs w:val="20"/>
                <w:lang w:eastAsia="sl-SI"/>
              </w:rPr>
              <w:t>Trajnostna raba ter varstvo vodnih in morskih virov:</w:t>
            </w:r>
          </w:p>
          <w:p w14:paraId="5EBA9289" w14:textId="77777777" w:rsidR="007619BB" w:rsidRPr="005F57FC" w:rsidRDefault="007619BB" w:rsidP="00E14EFB">
            <w:pPr>
              <w:spacing w:before="60" w:after="60" w:line="240" w:lineRule="atLeast"/>
              <w:rPr>
                <w:rFonts w:cstheme="minorHAnsi"/>
                <w:i/>
                <w:iCs/>
                <w:sz w:val="20"/>
                <w:szCs w:val="20"/>
                <w:lang w:eastAsia="sl-SI"/>
              </w:rPr>
            </w:pPr>
            <w:r w:rsidRPr="005F57FC">
              <w:rPr>
                <w:rFonts w:cstheme="minorHAnsi"/>
                <w:i/>
                <w:iCs/>
                <w:sz w:val="20"/>
                <w:szCs w:val="20"/>
                <w:lang w:eastAsia="sl-SI"/>
              </w:rPr>
              <w:t>Ali se pričakuje, da bo ukrep</w:t>
            </w:r>
          </w:p>
          <w:p w14:paraId="36948755" w14:textId="77777777" w:rsidR="007619BB" w:rsidRPr="005F57FC" w:rsidRDefault="007619BB" w:rsidP="00E14EFB">
            <w:pPr>
              <w:spacing w:before="60" w:after="60" w:line="240" w:lineRule="atLeast"/>
              <w:rPr>
                <w:rFonts w:cstheme="minorHAnsi"/>
                <w:i/>
                <w:iCs/>
                <w:sz w:val="20"/>
                <w:szCs w:val="20"/>
                <w:lang w:eastAsia="sl-SI"/>
              </w:rPr>
            </w:pPr>
            <w:r w:rsidRPr="005F57FC">
              <w:rPr>
                <w:rFonts w:cstheme="minorHAnsi"/>
                <w:i/>
                <w:iCs/>
                <w:sz w:val="20"/>
                <w:szCs w:val="20"/>
                <w:lang w:eastAsia="sl-SI"/>
              </w:rPr>
              <w:t>škodil:</w:t>
            </w:r>
          </w:p>
          <w:p w14:paraId="7B18A17D" w14:textId="77777777" w:rsidR="007619BB" w:rsidRPr="005F57FC" w:rsidRDefault="007619BB" w:rsidP="00E14EFB">
            <w:pPr>
              <w:spacing w:before="60" w:after="60" w:line="240" w:lineRule="atLeast"/>
              <w:rPr>
                <w:rFonts w:cstheme="minorHAnsi"/>
                <w:i/>
                <w:iCs/>
                <w:sz w:val="20"/>
                <w:szCs w:val="20"/>
                <w:lang w:eastAsia="sl-SI"/>
              </w:rPr>
            </w:pPr>
            <w:r w:rsidRPr="005F57FC">
              <w:rPr>
                <w:rFonts w:cstheme="minorHAnsi"/>
                <w:i/>
                <w:iCs/>
                <w:sz w:val="20"/>
                <w:szCs w:val="20"/>
                <w:lang w:eastAsia="sl-SI"/>
              </w:rPr>
              <w:t>(i) dobremu stanju ali dobremu</w:t>
            </w:r>
          </w:p>
          <w:p w14:paraId="7AF841E6" w14:textId="77777777" w:rsidR="007619BB" w:rsidRPr="005F57FC" w:rsidRDefault="007619BB" w:rsidP="00E14EFB">
            <w:pPr>
              <w:spacing w:before="60" w:after="60" w:line="240" w:lineRule="atLeast"/>
              <w:rPr>
                <w:rFonts w:cstheme="minorHAnsi"/>
                <w:i/>
                <w:iCs/>
                <w:sz w:val="20"/>
                <w:szCs w:val="20"/>
                <w:lang w:eastAsia="sl-SI"/>
              </w:rPr>
            </w:pPr>
            <w:r w:rsidRPr="005F57FC">
              <w:rPr>
                <w:rFonts w:cstheme="minorHAnsi"/>
                <w:i/>
                <w:iCs/>
                <w:sz w:val="20"/>
                <w:szCs w:val="20"/>
                <w:lang w:eastAsia="sl-SI"/>
              </w:rPr>
              <w:t>ekološkemu potencialu vodnih</w:t>
            </w:r>
          </w:p>
          <w:p w14:paraId="210520BF" w14:textId="77777777" w:rsidR="007619BB" w:rsidRPr="005F57FC" w:rsidRDefault="007619BB" w:rsidP="00E14EFB">
            <w:pPr>
              <w:spacing w:before="60" w:after="60" w:line="240" w:lineRule="atLeast"/>
              <w:rPr>
                <w:rFonts w:cstheme="minorHAnsi"/>
                <w:i/>
                <w:iCs/>
                <w:sz w:val="20"/>
                <w:szCs w:val="20"/>
                <w:lang w:eastAsia="sl-SI"/>
              </w:rPr>
            </w:pPr>
            <w:r w:rsidRPr="005F57FC">
              <w:rPr>
                <w:rFonts w:cstheme="minorHAnsi"/>
                <w:i/>
                <w:iCs/>
                <w:sz w:val="20"/>
                <w:szCs w:val="20"/>
                <w:lang w:eastAsia="sl-SI"/>
              </w:rPr>
              <w:t>teles, vključno s površinsko</w:t>
            </w:r>
          </w:p>
          <w:p w14:paraId="5CC61388" w14:textId="77777777" w:rsidR="007619BB" w:rsidRPr="005F57FC" w:rsidRDefault="007619BB" w:rsidP="00E14EFB">
            <w:pPr>
              <w:spacing w:before="60" w:after="60" w:line="240" w:lineRule="atLeast"/>
              <w:rPr>
                <w:rFonts w:cstheme="minorHAnsi"/>
                <w:i/>
                <w:iCs/>
                <w:sz w:val="20"/>
                <w:szCs w:val="20"/>
                <w:lang w:eastAsia="sl-SI"/>
              </w:rPr>
            </w:pPr>
            <w:r w:rsidRPr="005F57FC">
              <w:rPr>
                <w:rFonts w:cstheme="minorHAnsi"/>
                <w:i/>
                <w:iCs/>
                <w:sz w:val="20"/>
                <w:szCs w:val="20"/>
                <w:lang w:eastAsia="sl-SI"/>
              </w:rPr>
              <w:t>vodo in podtalnico; ali</w:t>
            </w:r>
          </w:p>
          <w:p w14:paraId="35E82192" w14:textId="77777777" w:rsidR="007619BB" w:rsidRPr="005F57FC" w:rsidRDefault="007619BB" w:rsidP="00E14EFB">
            <w:pPr>
              <w:spacing w:before="60" w:after="60" w:line="240" w:lineRule="atLeast"/>
              <w:rPr>
                <w:rFonts w:cstheme="minorHAnsi"/>
                <w:i/>
                <w:iCs/>
                <w:sz w:val="20"/>
                <w:szCs w:val="20"/>
                <w:lang w:eastAsia="sl-SI"/>
              </w:rPr>
            </w:pPr>
            <w:r w:rsidRPr="005F57FC">
              <w:rPr>
                <w:rFonts w:cstheme="minorHAnsi"/>
                <w:i/>
                <w:iCs/>
                <w:sz w:val="20"/>
                <w:szCs w:val="20"/>
                <w:lang w:eastAsia="sl-SI"/>
              </w:rPr>
              <w:t xml:space="preserve">(ii) dobremu </w:t>
            </w:r>
            <w:proofErr w:type="spellStart"/>
            <w:r w:rsidRPr="005F57FC">
              <w:rPr>
                <w:rFonts w:cstheme="minorHAnsi"/>
                <w:i/>
                <w:iCs/>
                <w:sz w:val="20"/>
                <w:szCs w:val="20"/>
                <w:lang w:eastAsia="sl-SI"/>
              </w:rPr>
              <w:t>okoljskemu</w:t>
            </w:r>
            <w:proofErr w:type="spellEnd"/>
            <w:r w:rsidRPr="005F57FC">
              <w:rPr>
                <w:rFonts w:cstheme="minorHAnsi"/>
                <w:i/>
                <w:iCs/>
                <w:sz w:val="20"/>
                <w:szCs w:val="20"/>
                <w:lang w:eastAsia="sl-SI"/>
              </w:rPr>
              <w:t xml:space="preserve"> stanju</w:t>
            </w:r>
          </w:p>
          <w:p w14:paraId="255CBDB9" w14:textId="77777777" w:rsidR="007619BB" w:rsidRPr="005F57FC" w:rsidRDefault="007619BB" w:rsidP="00E14EFB">
            <w:pPr>
              <w:spacing w:before="60" w:after="60" w:line="240" w:lineRule="atLeast"/>
              <w:rPr>
                <w:rFonts w:cstheme="minorHAnsi"/>
                <w:sz w:val="20"/>
                <w:szCs w:val="20"/>
                <w:lang w:eastAsia="sl-SI"/>
              </w:rPr>
            </w:pPr>
            <w:r w:rsidRPr="005F57FC">
              <w:rPr>
                <w:rFonts w:cstheme="minorHAnsi"/>
                <w:i/>
                <w:iCs/>
                <w:sz w:val="20"/>
                <w:szCs w:val="20"/>
                <w:lang w:eastAsia="sl-SI"/>
              </w:rPr>
              <w:t>morskih voda?</w:t>
            </w:r>
          </w:p>
        </w:tc>
        <w:tc>
          <w:tcPr>
            <w:tcW w:w="392" w:type="pct"/>
            <w:vAlign w:val="center"/>
          </w:tcPr>
          <w:p w14:paraId="71E73A52" w14:textId="14DFFB1D" w:rsidR="007619BB" w:rsidRPr="005F57FC" w:rsidRDefault="00E5624C" w:rsidP="00E14EFB">
            <w:pPr>
              <w:spacing w:before="120" w:line="312" w:lineRule="atLeast"/>
              <w:jc w:val="center"/>
              <w:rPr>
                <w:rFonts w:cstheme="minorHAnsi"/>
                <w:sz w:val="20"/>
                <w:szCs w:val="20"/>
                <w:lang w:eastAsia="sl-SI"/>
              </w:rPr>
            </w:pPr>
            <w:r w:rsidRPr="005F57FC">
              <w:rPr>
                <w:rFonts w:cstheme="minorHAnsi"/>
                <w:sz w:val="20"/>
                <w:szCs w:val="20"/>
                <w:lang w:eastAsia="sl-SI"/>
              </w:rPr>
              <w:t>/</w:t>
            </w:r>
          </w:p>
        </w:tc>
        <w:tc>
          <w:tcPr>
            <w:tcW w:w="2968" w:type="pct"/>
            <w:vAlign w:val="center"/>
          </w:tcPr>
          <w:p w14:paraId="7A22EC0A" w14:textId="1AB32F62" w:rsidR="007619BB" w:rsidRPr="005F57FC" w:rsidRDefault="00E5624C" w:rsidP="000A401C">
            <w:pPr>
              <w:spacing w:line="240" w:lineRule="atLeast"/>
              <w:jc w:val="left"/>
              <w:rPr>
                <w:rFonts w:cstheme="minorHAnsi"/>
                <w:color w:val="333333"/>
                <w:sz w:val="20"/>
                <w:szCs w:val="20"/>
                <w:lang w:eastAsia="sl-SI"/>
              </w:rPr>
            </w:pPr>
            <w:r w:rsidRPr="00E5624C">
              <w:rPr>
                <w:rFonts w:cstheme="minorHAnsi"/>
                <w:sz w:val="20"/>
                <w:szCs w:val="20"/>
                <w:lang w:eastAsia="sl-SI"/>
              </w:rPr>
              <w:t xml:space="preserve">Podrobnejša vsebinska ocena skladnosti ukrepa s tem </w:t>
            </w:r>
            <w:proofErr w:type="spellStart"/>
            <w:r w:rsidRPr="00E5624C">
              <w:rPr>
                <w:rFonts w:cstheme="minorHAnsi"/>
                <w:sz w:val="20"/>
                <w:szCs w:val="20"/>
                <w:lang w:eastAsia="sl-SI"/>
              </w:rPr>
              <w:t>okoljskim</w:t>
            </w:r>
            <w:proofErr w:type="spellEnd"/>
            <w:r w:rsidRPr="00E5624C">
              <w:rPr>
                <w:rFonts w:cstheme="minorHAnsi"/>
                <w:sz w:val="20"/>
                <w:szCs w:val="20"/>
                <w:lang w:eastAsia="sl-SI"/>
              </w:rPr>
              <w:t xml:space="preserve"> ciljem ni potrebna.</w:t>
            </w:r>
          </w:p>
        </w:tc>
      </w:tr>
      <w:tr w:rsidR="007619BB" w:rsidRPr="005F57FC" w14:paraId="485840F3" w14:textId="77777777" w:rsidTr="00E14EFB">
        <w:tc>
          <w:tcPr>
            <w:tcW w:w="1640" w:type="pct"/>
            <w:vAlign w:val="center"/>
            <w:hideMark/>
          </w:tcPr>
          <w:p w14:paraId="5787F759" w14:textId="77777777" w:rsidR="007619BB" w:rsidRPr="005F57FC" w:rsidRDefault="007619BB" w:rsidP="00E14EFB">
            <w:pPr>
              <w:spacing w:before="60" w:after="60" w:line="240" w:lineRule="atLeast"/>
              <w:rPr>
                <w:rFonts w:cstheme="minorHAnsi"/>
                <w:sz w:val="20"/>
                <w:szCs w:val="20"/>
                <w:lang w:eastAsia="sl-SI"/>
              </w:rPr>
            </w:pPr>
            <w:r w:rsidRPr="005F57FC">
              <w:rPr>
                <w:rFonts w:cstheme="minorHAnsi"/>
                <w:sz w:val="20"/>
                <w:szCs w:val="20"/>
                <w:lang w:eastAsia="sl-SI"/>
              </w:rPr>
              <w:t>Krožno gospodarstvo, vključno s preprečevanjem odpadkov in recikliranjem:</w:t>
            </w:r>
          </w:p>
          <w:p w14:paraId="1628F7B0" w14:textId="77777777" w:rsidR="007619BB" w:rsidRPr="005F57FC" w:rsidRDefault="007619BB" w:rsidP="00E14EFB">
            <w:pPr>
              <w:spacing w:before="60" w:after="60" w:line="240" w:lineRule="atLeast"/>
              <w:rPr>
                <w:rFonts w:cstheme="minorHAnsi"/>
                <w:i/>
                <w:iCs/>
                <w:sz w:val="20"/>
                <w:szCs w:val="20"/>
                <w:lang w:eastAsia="sl-SI"/>
              </w:rPr>
            </w:pPr>
            <w:r w:rsidRPr="005F57FC">
              <w:rPr>
                <w:rFonts w:cstheme="minorHAnsi"/>
                <w:i/>
                <w:iCs/>
                <w:sz w:val="20"/>
                <w:szCs w:val="20"/>
                <w:lang w:eastAsia="sl-SI"/>
              </w:rPr>
              <w:t>Ali se pričakuje, da bo ukrep:</w:t>
            </w:r>
          </w:p>
          <w:p w14:paraId="3CB2D30F" w14:textId="77777777" w:rsidR="007619BB" w:rsidRPr="005F57FC" w:rsidRDefault="007619BB" w:rsidP="00E14EFB">
            <w:pPr>
              <w:spacing w:before="60" w:after="60" w:line="240" w:lineRule="atLeast"/>
              <w:rPr>
                <w:rFonts w:cstheme="minorHAnsi"/>
                <w:i/>
                <w:iCs/>
                <w:sz w:val="20"/>
                <w:szCs w:val="20"/>
                <w:lang w:eastAsia="sl-SI"/>
              </w:rPr>
            </w:pPr>
            <w:r w:rsidRPr="005F57FC">
              <w:rPr>
                <w:rFonts w:cstheme="minorHAnsi"/>
                <w:i/>
                <w:iCs/>
                <w:sz w:val="20"/>
                <w:szCs w:val="20"/>
                <w:lang w:eastAsia="sl-SI"/>
              </w:rPr>
              <w:lastRenderedPageBreak/>
              <w:t>(i) povzročil znatno povečanje</w:t>
            </w:r>
          </w:p>
          <w:p w14:paraId="3357C22A" w14:textId="77777777" w:rsidR="007619BB" w:rsidRPr="005F57FC" w:rsidRDefault="007619BB" w:rsidP="00E14EFB">
            <w:pPr>
              <w:spacing w:before="60" w:after="60" w:line="240" w:lineRule="atLeast"/>
              <w:rPr>
                <w:rFonts w:cstheme="minorHAnsi"/>
                <w:i/>
                <w:iCs/>
                <w:sz w:val="20"/>
                <w:szCs w:val="20"/>
                <w:lang w:eastAsia="sl-SI"/>
              </w:rPr>
            </w:pPr>
            <w:r w:rsidRPr="005F57FC">
              <w:rPr>
                <w:rFonts w:cstheme="minorHAnsi"/>
                <w:i/>
                <w:iCs/>
                <w:sz w:val="20"/>
                <w:szCs w:val="20"/>
                <w:lang w:eastAsia="sl-SI"/>
              </w:rPr>
              <w:t>nastajanja, sežiganja ali</w:t>
            </w:r>
          </w:p>
          <w:p w14:paraId="48C08552" w14:textId="77777777" w:rsidR="007619BB" w:rsidRPr="005F57FC" w:rsidRDefault="007619BB" w:rsidP="00E14EFB">
            <w:pPr>
              <w:spacing w:before="60" w:after="60" w:line="240" w:lineRule="atLeast"/>
              <w:rPr>
                <w:rFonts w:cstheme="minorHAnsi"/>
                <w:i/>
                <w:iCs/>
                <w:sz w:val="20"/>
                <w:szCs w:val="20"/>
                <w:lang w:eastAsia="sl-SI"/>
              </w:rPr>
            </w:pPr>
            <w:r w:rsidRPr="005F57FC">
              <w:rPr>
                <w:rFonts w:cstheme="minorHAnsi"/>
                <w:i/>
                <w:iCs/>
                <w:sz w:val="20"/>
                <w:szCs w:val="20"/>
                <w:lang w:eastAsia="sl-SI"/>
              </w:rPr>
              <w:t>odlaganja odpadkov, razen</w:t>
            </w:r>
          </w:p>
          <w:p w14:paraId="1CC7803F" w14:textId="77777777" w:rsidR="007619BB" w:rsidRPr="005F57FC" w:rsidRDefault="007619BB" w:rsidP="00E14EFB">
            <w:pPr>
              <w:spacing w:before="60" w:after="60" w:line="240" w:lineRule="atLeast"/>
              <w:rPr>
                <w:rFonts w:cstheme="minorHAnsi"/>
                <w:i/>
                <w:iCs/>
                <w:sz w:val="20"/>
                <w:szCs w:val="20"/>
                <w:lang w:eastAsia="sl-SI"/>
              </w:rPr>
            </w:pPr>
            <w:r w:rsidRPr="005F57FC">
              <w:rPr>
                <w:rFonts w:cstheme="minorHAnsi"/>
                <w:i/>
                <w:iCs/>
                <w:sz w:val="20"/>
                <w:szCs w:val="20"/>
                <w:lang w:eastAsia="sl-SI"/>
              </w:rPr>
              <w:t>sežiganja nevarnih odpadkov, ki</w:t>
            </w:r>
          </w:p>
          <w:p w14:paraId="2C8FA21E" w14:textId="77777777" w:rsidR="007619BB" w:rsidRPr="005F57FC" w:rsidRDefault="007619BB" w:rsidP="00E14EFB">
            <w:pPr>
              <w:spacing w:before="60" w:after="60" w:line="240" w:lineRule="atLeast"/>
              <w:rPr>
                <w:rFonts w:cstheme="minorHAnsi"/>
                <w:i/>
                <w:iCs/>
                <w:sz w:val="20"/>
                <w:szCs w:val="20"/>
                <w:lang w:eastAsia="sl-SI"/>
              </w:rPr>
            </w:pPr>
            <w:r w:rsidRPr="005F57FC">
              <w:rPr>
                <w:rFonts w:cstheme="minorHAnsi"/>
                <w:i/>
                <w:iCs/>
                <w:sz w:val="20"/>
                <w:szCs w:val="20"/>
                <w:lang w:eastAsia="sl-SI"/>
              </w:rPr>
              <w:t>jih ni mogoče reciklirati, ali</w:t>
            </w:r>
          </w:p>
          <w:p w14:paraId="1D4B1957" w14:textId="77777777" w:rsidR="007619BB" w:rsidRPr="005F57FC" w:rsidRDefault="007619BB" w:rsidP="00E14EFB">
            <w:pPr>
              <w:spacing w:before="60" w:after="60" w:line="240" w:lineRule="atLeast"/>
              <w:rPr>
                <w:rFonts w:cstheme="minorHAnsi"/>
                <w:i/>
                <w:iCs/>
                <w:sz w:val="20"/>
                <w:szCs w:val="20"/>
                <w:lang w:eastAsia="sl-SI"/>
              </w:rPr>
            </w:pPr>
            <w:r w:rsidRPr="005F57FC">
              <w:rPr>
                <w:rFonts w:cstheme="minorHAnsi"/>
                <w:i/>
                <w:iCs/>
                <w:sz w:val="20"/>
                <w:szCs w:val="20"/>
                <w:lang w:eastAsia="sl-SI"/>
              </w:rPr>
              <w:t>(ii) povzročil bistvene</w:t>
            </w:r>
          </w:p>
          <w:p w14:paraId="6517DA2C" w14:textId="77777777" w:rsidR="007619BB" w:rsidRPr="005F57FC" w:rsidRDefault="007619BB" w:rsidP="00E14EFB">
            <w:pPr>
              <w:spacing w:before="60" w:after="60" w:line="240" w:lineRule="atLeast"/>
              <w:rPr>
                <w:rFonts w:cstheme="minorHAnsi"/>
                <w:i/>
                <w:iCs/>
                <w:sz w:val="20"/>
                <w:szCs w:val="20"/>
                <w:lang w:eastAsia="sl-SI"/>
              </w:rPr>
            </w:pPr>
            <w:r w:rsidRPr="005F57FC">
              <w:rPr>
                <w:rFonts w:cstheme="minorHAnsi"/>
                <w:i/>
                <w:iCs/>
                <w:sz w:val="20"/>
                <w:szCs w:val="20"/>
                <w:lang w:eastAsia="sl-SI"/>
              </w:rPr>
              <w:t>neučinkovitosti pri neposredni</w:t>
            </w:r>
          </w:p>
          <w:p w14:paraId="5F19B355" w14:textId="77777777" w:rsidR="007619BB" w:rsidRPr="005F57FC" w:rsidRDefault="007619BB" w:rsidP="00E14EFB">
            <w:pPr>
              <w:spacing w:before="60" w:after="60" w:line="240" w:lineRule="atLeast"/>
              <w:rPr>
                <w:rFonts w:cstheme="minorHAnsi"/>
                <w:i/>
                <w:iCs/>
                <w:sz w:val="20"/>
                <w:szCs w:val="20"/>
                <w:lang w:eastAsia="sl-SI"/>
              </w:rPr>
            </w:pPr>
            <w:r w:rsidRPr="005F57FC">
              <w:rPr>
                <w:rFonts w:cstheme="minorHAnsi"/>
                <w:i/>
                <w:iCs/>
                <w:sz w:val="20"/>
                <w:szCs w:val="20"/>
                <w:lang w:eastAsia="sl-SI"/>
              </w:rPr>
              <w:t>ali posredni rabi naravnih virov v</w:t>
            </w:r>
          </w:p>
          <w:p w14:paraId="7801AC8D" w14:textId="77777777" w:rsidR="007619BB" w:rsidRPr="005F57FC" w:rsidRDefault="007619BB" w:rsidP="00E14EFB">
            <w:pPr>
              <w:spacing w:before="60" w:after="60" w:line="240" w:lineRule="atLeast"/>
              <w:rPr>
                <w:rFonts w:cstheme="minorHAnsi"/>
                <w:i/>
                <w:iCs/>
                <w:sz w:val="20"/>
                <w:szCs w:val="20"/>
                <w:lang w:eastAsia="sl-SI"/>
              </w:rPr>
            </w:pPr>
            <w:r w:rsidRPr="005F57FC">
              <w:rPr>
                <w:rFonts w:cstheme="minorHAnsi"/>
                <w:i/>
                <w:iCs/>
                <w:sz w:val="20"/>
                <w:szCs w:val="20"/>
                <w:lang w:eastAsia="sl-SI"/>
              </w:rPr>
              <w:t>kateri koli fazi njihovega</w:t>
            </w:r>
          </w:p>
          <w:p w14:paraId="734593E8" w14:textId="77777777" w:rsidR="007619BB" w:rsidRPr="005F57FC" w:rsidRDefault="007619BB" w:rsidP="00E14EFB">
            <w:pPr>
              <w:spacing w:before="60" w:after="60" w:line="240" w:lineRule="atLeast"/>
              <w:rPr>
                <w:rFonts w:cstheme="minorHAnsi"/>
                <w:i/>
                <w:iCs/>
                <w:sz w:val="20"/>
                <w:szCs w:val="20"/>
                <w:lang w:eastAsia="sl-SI"/>
              </w:rPr>
            </w:pPr>
            <w:r w:rsidRPr="005F57FC">
              <w:rPr>
                <w:rFonts w:cstheme="minorHAnsi"/>
                <w:i/>
                <w:iCs/>
                <w:sz w:val="20"/>
                <w:szCs w:val="20"/>
                <w:lang w:eastAsia="sl-SI"/>
              </w:rPr>
              <w:t>življenjskega cikla, ki jih ne</w:t>
            </w:r>
          </w:p>
          <w:p w14:paraId="4F4820B1" w14:textId="77777777" w:rsidR="007619BB" w:rsidRPr="005F57FC" w:rsidRDefault="007619BB" w:rsidP="00E14EFB">
            <w:pPr>
              <w:spacing w:before="60" w:after="60" w:line="240" w:lineRule="atLeast"/>
              <w:rPr>
                <w:rFonts w:cstheme="minorHAnsi"/>
                <w:i/>
                <w:iCs/>
                <w:sz w:val="20"/>
                <w:szCs w:val="20"/>
                <w:lang w:eastAsia="sl-SI"/>
              </w:rPr>
            </w:pPr>
            <w:r w:rsidRPr="005F57FC">
              <w:rPr>
                <w:rFonts w:cstheme="minorHAnsi"/>
                <w:i/>
                <w:iCs/>
                <w:sz w:val="20"/>
                <w:szCs w:val="20"/>
                <w:lang w:eastAsia="sl-SI"/>
              </w:rPr>
              <w:t>zmanjšujejo ustrezni ukrepi, ali</w:t>
            </w:r>
          </w:p>
          <w:p w14:paraId="1D1B186B" w14:textId="77777777" w:rsidR="007619BB" w:rsidRPr="005F57FC" w:rsidRDefault="007619BB" w:rsidP="00E14EFB">
            <w:pPr>
              <w:spacing w:before="60" w:after="60" w:line="240" w:lineRule="atLeast"/>
              <w:rPr>
                <w:rFonts w:cstheme="minorHAnsi"/>
                <w:i/>
                <w:iCs/>
                <w:sz w:val="20"/>
                <w:szCs w:val="20"/>
                <w:lang w:eastAsia="sl-SI"/>
              </w:rPr>
            </w:pPr>
            <w:r w:rsidRPr="005F57FC">
              <w:rPr>
                <w:rFonts w:cstheme="minorHAnsi"/>
                <w:i/>
                <w:iCs/>
                <w:sz w:val="20"/>
                <w:szCs w:val="20"/>
                <w:lang w:eastAsia="sl-SI"/>
              </w:rPr>
              <w:t>(iii) bistveno in dolgoročno</w:t>
            </w:r>
          </w:p>
          <w:p w14:paraId="33848CD9" w14:textId="77777777" w:rsidR="007619BB" w:rsidRPr="005F57FC" w:rsidRDefault="007619BB" w:rsidP="00E14EFB">
            <w:pPr>
              <w:spacing w:before="60" w:after="60" w:line="240" w:lineRule="atLeast"/>
              <w:rPr>
                <w:rFonts w:cstheme="minorHAnsi"/>
                <w:i/>
                <w:iCs/>
                <w:sz w:val="20"/>
                <w:szCs w:val="20"/>
                <w:lang w:eastAsia="sl-SI"/>
              </w:rPr>
            </w:pPr>
            <w:r w:rsidRPr="005F57FC">
              <w:rPr>
                <w:rFonts w:cstheme="minorHAnsi"/>
                <w:i/>
                <w:iCs/>
                <w:sz w:val="20"/>
                <w:szCs w:val="20"/>
                <w:lang w:eastAsia="sl-SI"/>
              </w:rPr>
              <w:t>škodoval okolju z vidika</w:t>
            </w:r>
          </w:p>
          <w:p w14:paraId="7F1C41B6" w14:textId="77777777" w:rsidR="007619BB" w:rsidRPr="005F57FC" w:rsidRDefault="007619BB" w:rsidP="00E14EFB">
            <w:pPr>
              <w:spacing w:before="60" w:after="60" w:line="240" w:lineRule="atLeast"/>
              <w:rPr>
                <w:rFonts w:cstheme="minorHAnsi"/>
                <w:sz w:val="20"/>
                <w:szCs w:val="20"/>
                <w:lang w:eastAsia="sl-SI"/>
              </w:rPr>
            </w:pPr>
            <w:r w:rsidRPr="005F57FC">
              <w:rPr>
                <w:rFonts w:cstheme="minorHAnsi"/>
                <w:i/>
                <w:iCs/>
                <w:sz w:val="20"/>
                <w:szCs w:val="20"/>
                <w:lang w:eastAsia="sl-SI"/>
              </w:rPr>
              <w:t>krožnega gospodarstva?</w:t>
            </w:r>
          </w:p>
        </w:tc>
        <w:tc>
          <w:tcPr>
            <w:tcW w:w="392" w:type="pct"/>
            <w:vAlign w:val="center"/>
          </w:tcPr>
          <w:p w14:paraId="7A11DDFF" w14:textId="77777777" w:rsidR="007619BB" w:rsidRPr="005F57FC" w:rsidRDefault="007619BB" w:rsidP="00E14EFB">
            <w:pPr>
              <w:spacing w:before="120" w:line="312" w:lineRule="atLeast"/>
              <w:jc w:val="center"/>
              <w:rPr>
                <w:rFonts w:cstheme="minorHAnsi"/>
                <w:sz w:val="20"/>
                <w:szCs w:val="20"/>
                <w:lang w:eastAsia="sl-SI"/>
              </w:rPr>
            </w:pPr>
            <w:r w:rsidRPr="005F57FC">
              <w:rPr>
                <w:rFonts w:cstheme="minorHAnsi"/>
                <w:sz w:val="20"/>
                <w:szCs w:val="20"/>
                <w:lang w:eastAsia="sl-SI"/>
              </w:rPr>
              <w:lastRenderedPageBreak/>
              <w:t>X</w:t>
            </w:r>
          </w:p>
        </w:tc>
        <w:tc>
          <w:tcPr>
            <w:tcW w:w="2968" w:type="pct"/>
            <w:vAlign w:val="center"/>
          </w:tcPr>
          <w:p w14:paraId="1A7E7BA5" w14:textId="77777777" w:rsidR="007619BB" w:rsidRPr="005F57FC" w:rsidRDefault="007619BB" w:rsidP="00E14EFB">
            <w:pPr>
              <w:spacing w:line="312" w:lineRule="atLeast"/>
              <w:rPr>
                <w:rFonts w:cstheme="minorHAnsi"/>
                <w:sz w:val="20"/>
                <w:szCs w:val="20"/>
                <w:lang w:eastAsia="sl-SI"/>
              </w:rPr>
            </w:pPr>
            <w:r w:rsidRPr="005F57FC">
              <w:rPr>
                <w:rFonts w:cstheme="minorHAnsi"/>
                <w:sz w:val="20"/>
                <w:szCs w:val="20"/>
                <w:lang w:eastAsia="sl-SI"/>
              </w:rPr>
              <w:t xml:space="preserve">Ukrep, skladno z Delegirano uredbo Komisije (EU) 2021/2139, ne škoduje bistveno </w:t>
            </w:r>
            <w:proofErr w:type="spellStart"/>
            <w:r w:rsidRPr="005F57FC">
              <w:rPr>
                <w:rFonts w:cstheme="minorHAnsi"/>
                <w:sz w:val="20"/>
                <w:szCs w:val="20"/>
                <w:lang w:eastAsia="sl-SI"/>
              </w:rPr>
              <w:t>okoljskemu</w:t>
            </w:r>
            <w:proofErr w:type="spellEnd"/>
            <w:r w:rsidRPr="005F57FC">
              <w:rPr>
                <w:rFonts w:cstheme="minorHAnsi"/>
                <w:sz w:val="20"/>
                <w:szCs w:val="20"/>
                <w:lang w:eastAsia="sl-SI"/>
              </w:rPr>
              <w:t xml:space="preserve"> cilju ob upoštevanju določenih tehničnih meril</w:t>
            </w:r>
            <w:r>
              <w:rPr>
                <w:rFonts w:cstheme="minorHAnsi"/>
                <w:sz w:val="20"/>
                <w:szCs w:val="20"/>
                <w:lang w:eastAsia="sl-SI"/>
              </w:rPr>
              <w:t>:</w:t>
            </w:r>
          </w:p>
          <w:p w14:paraId="163F215C" w14:textId="77777777" w:rsidR="00E5624C" w:rsidRPr="00E5624C" w:rsidRDefault="00E5624C" w:rsidP="00E5624C">
            <w:pPr>
              <w:pStyle w:val="Odstavekseznama"/>
              <w:numPr>
                <w:ilvl w:val="0"/>
                <w:numId w:val="2"/>
              </w:numPr>
              <w:spacing w:line="312" w:lineRule="atLeast"/>
              <w:rPr>
                <w:rFonts w:cstheme="minorHAnsi"/>
                <w:sz w:val="20"/>
                <w:szCs w:val="20"/>
                <w:lang w:eastAsia="sl-SI"/>
              </w:rPr>
            </w:pPr>
            <w:r w:rsidRPr="00E5624C">
              <w:rPr>
                <w:rFonts w:cstheme="minorHAnsi"/>
                <w:color w:val="FF0000"/>
                <w:sz w:val="20"/>
                <w:szCs w:val="20"/>
                <w:lang w:eastAsia="sl-SI"/>
              </w:rPr>
              <w:lastRenderedPageBreak/>
              <w:t>Vzpostavljen je načrt ravnanja z odpadki, ki zagotavlja čim večjo ponovno uporabo ali recikliranje po koncu življenjske dobe v skladu s hierarhijo ravnanja z odpadki, tudi na podlagi pogodbenih dogovorov s partnerji na področju ravnanja z odpadki, razmisleka o finančnih projekcijah ali uradne projektne dokumentacije.</w:t>
            </w:r>
          </w:p>
          <w:p w14:paraId="7C8D5DAC" w14:textId="67D90118" w:rsidR="007619BB" w:rsidRPr="00E5624C" w:rsidRDefault="007619BB" w:rsidP="00E5624C">
            <w:pPr>
              <w:spacing w:line="312" w:lineRule="atLeast"/>
              <w:rPr>
                <w:rFonts w:cstheme="minorHAnsi"/>
                <w:sz w:val="20"/>
                <w:szCs w:val="20"/>
                <w:lang w:eastAsia="sl-SI"/>
              </w:rPr>
            </w:pPr>
            <w:r w:rsidRPr="00E5624C">
              <w:rPr>
                <w:rFonts w:cstheme="minorHAnsi"/>
                <w:sz w:val="20"/>
                <w:szCs w:val="20"/>
                <w:lang w:eastAsia="sl-SI"/>
              </w:rPr>
              <w:t xml:space="preserve">Ukrep v skladu s Prilogo I k Uredbi (EU) 2021/1060 40-odstotno prispeva k drugim </w:t>
            </w:r>
            <w:proofErr w:type="spellStart"/>
            <w:r w:rsidRPr="00E5624C">
              <w:rPr>
                <w:rFonts w:cstheme="minorHAnsi"/>
                <w:sz w:val="20"/>
                <w:szCs w:val="20"/>
                <w:lang w:eastAsia="sl-SI"/>
              </w:rPr>
              <w:t>okoljskim</w:t>
            </w:r>
            <w:proofErr w:type="spellEnd"/>
            <w:r w:rsidRPr="00E5624C">
              <w:rPr>
                <w:rFonts w:cstheme="minorHAnsi"/>
                <w:sz w:val="20"/>
                <w:szCs w:val="20"/>
                <w:lang w:eastAsia="sl-SI"/>
              </w:rPr>
              <w:t xml:space="preserve"> ciljem – področje ukrepanja </w:t>
            </w:r>
            <w:r w:rsidR="00E5624C" w:rsidRPr="00E5624C">
              <w:rPr>
                <w:rFonts w:cstheme="minorHAnsi"/>
                <w:sz w:val="20"/>
                <w:szCs w:val="20"/>
                <w:lang w:eastAsia="sl-SI"/>
              </w:rPr>
              <w:t>053 - Pametni energetski sistemi (vključno z inteligentnimi energetskimi omrežji in sistemi IKT) ter povezano shranjevanje</w:t>
            </w:r>
            <w:r w:rsidRPr="00E5624C">
              <w:rPr>
                <w:rFonts w:cstheme="minorHAnsi"/>
                <w:sz w:val="20"/>
                <w:szCs w:val="20"/>
                <w:lang w:eastAsia="sl-SI"/>
              </w:rPr>
              <w:t>.</w:t>
            </w:r>
          </w:p>
          <w:p w14:paraId="564F9156" w14:textId="77777777" w:rsidR="007619BB" w:rsidRPr="005F57FC" w:rsidRDefault="007619BB" w:rsidP="00E14EFB">
            <w:pPr>
              <w:spacing w:line="312" w:lineRule="atLeast"/>
              <w:rPr>
                <w:rFonts w:cstheme="minorHAnsi"/>
                <w:sz w:val="20"/>
                <w:szCs w:val="20"/>
                <w:lang w:eastAsia="sl-SI"/>
              </w:rPr>
            </w:pPr>
            <w:r w:rsidRPr="005F57FC">
              <w:rPr>
                <w:rFonts w:cstheme="minorHAnsi"/>
                <w:sz w:val="20"/>
                <w:szCs w:val="20"/>
                <w:lang w:eastAsia="sl-SI"/>
              </w:rPr>
              <w:t>Skladno z omilitvenimi ukrepi iz CPVO-DNSH za Program EKP bodo v okviru ukrepa izpolnjene naslednje zahteve:</w:t>
            </w:r>
          </w:p>
          <w:p w14:paraId="45876D61" w14:textId="77777777" w:rsidR="007619BB" w:rsidRPr="005F57FC" w:rsidRDefault="007619BB" w:rsidP="009537AD">
            <w:pPr>
              <w:pStyle w:val="Odstavekseznama"/>
              <w:numPr>
                <w:ilvl w:val="0"/>
                <w:numId w:val="2"/>
              </w:numPr>
              <w:suppressAutoHyphens/>
              <w:spacing w:line="312" w:lineRule="atLeast"/>
              <w:rPr>
                <w:rFonts w:cstheme="minorHAnsi"/>
                <w:color w:val="FF0000"/>
                <w:sz w:val="20"/>
                <w:szCs w:val="20"/>
                <w:lang w:eastAsia="sl-SI"/>
              </w:rPr>
            </w:pPr>
            <w:r w:rsidRPr="005F57FC">
              <w:rPr>
                <w:rFonts w:cstheme="minorHAnsi"/>
                <w:color w:val="FF0000"/>
                <w:sz w:val="20"/>
                <w:szCs w:val="20"/>
                <w:lang w:eastAsia="sl-SI"/>
              </w:rPr>
              <w:t>pri načrtovanju in izvedbi gradbenih del bodo izvedeni ukrepi za izboljšanje snovne učinkovitosti (ovrednotenje porabe snovi napram potrebam in funkcionalnosti vključno z upoštevanjem končne razgradnje, uporaba recikliranih materialov in ponovna uporaba materialov ter proizvodov; uporaba lokalnih materialov z ustreznimi tehničnimi lastnostmi, ki niso škodljive za okolje in zdravje ljudi ter materialov z nizkimi emisijami v življenjski dobi, uporaba sistemov kroženja snovi, ponovna uporaba vode ipd.),</w:t>
            </w:r>
          </w:p>
          <w:p w14:paraId="777BF39B" w14:textId="77777777" w:rsidR="007619BB" w:rsidRPr="005F57FC" w:rsidRDefault="007619BB" w:rsidP="009537AD">
            <w:pPr>
              <w:pStyle w:val="Odstavekseznama"/>
              <w:numPr>
                <w:ilvl w:val="0"/>
                <w:numId w:val="2"/>
              </w:numPr>
              <w:suppressAutoHyphens/>
              <w:spacing w:line="312" w:lineRule="atLeast"/>
              <w:rPr>
                <w:rFonts w:cstheme="minorHAnsi"/>
                <w:color w:val="FF0000"/>
                <w:sz w:val="20"/>
                <w:szCs w:val="20"/>
                <w:lang w:eastAsia="sl-SI"/>
              </w:rPr>
            </w:pPr>
            <w:r w:rsidRPr="005F57FC">
              <w:rPr>
                <w:rFonts w:cstheme="minorHAnsi"/>
                <w:color w:val="FF0000"/>
                <w:sz w:val="20"/>
                <w:szCs w:val="20"/>
                <w:lang w:eastAsia="sl-SI"/>
              </w:rPr>
              <w:t>skladno z nacionalnimi cilji na področju odpadkov se najmanj 70 % skupne mase gradbenih odpadkov pripravi za ponovno uporabo, reciklira in materialno predela (vključno z zasipanjem z uporabo odpadkov za nadomestitev drugih materialov, nenevarnih gradbenih odpadkov in odpadkov pri rušenju objektov, razen naravno prisotnega materiala, navedenega pod številko odpadka 17 05 04 s seznama odpadkov),</w:t>
            </w:r>
          </w:p>
          <w:p w14:paraId="693D8B8D" w14:textId="77777777" w:rsidR="007619BB" w:rsidRPr="005F57FC" w:rsidRDefault="007619BB" w:rsidP="009537AD">
            <w:pPr>
              <w:pStyle w:val="Odstavekseznama"/>
              <w:numPr>
                <w:ilvl w:val="0"/>
                <w:numId w:val="2"/>
              </w:numPr>
              <w:suppressAutoHyphens/>
              <w:spacing w:line="312" w:lineRule="atLeast"/>
              <w:rPr>
                <w:rFonts w:cstheme="minorHAnsi"/>
                <w:color w:val="333333"/>
                <w:sz w:val="20"/>
                <w:szCs w:val="20"/>
                <w:lang w:eastAsia="sl-SI"/>
              </w:rPr>
            </w:pPr>
            <w:r w:rsidRPr="005F57FC">
              <w:rPr>
                <w:rFonts w:cstheme="minorHAnsi"/>
                <w:color w:val="FF0000"/>
                <w:sz w:val="20"/>
                <w:szCs w:val="20"/>
                <w:lang w:eastAsia="sl-SI"/>
              </w:rPr>
              <w:t>pri izvedbi projekta/investicije bodo upoštevani omilitveni ukrepi in usmeritve za</w:t>
            </w:r>
            <w:r w:rsidRPr="005F57FC">
              <w:rPr>
                <w:rFonts w:cstheme="minorHAnsi"/>
                <w:color w:val="FF0000"/>
                <w:sz w:val="20"/>
                <w:szCs w:val="20"/>
              </w:rPr>
              <w:t xml:space="preserve"> </w:t>
            </w:r>
            <w:r w:rsidRPr="005F57FC">
              <w:rPr>
                <w:rFonts w:cstheme="minorHAnsi"/>
                <w:color w:val="FF0000"/>
                <w:sz w:val="20"/>
                <w:szCs w:val="20"/>
                <w:lang w:eastAsia="sl-SI"/>
              </w:rPr>
              <w:t xml:space="preserve">varstvo okolja iz Celovitega nacionalnega energetskega in podnebnega načrta Republike Slovenije (NEPN). </w:t>
            </w:r>
          </w:p>
          <w:p w14:paraId="791F7F01" w14:textId="77777777" w:rsidR="007619BB" w:rsidRPr="005F57FC" w:rsidRDefault="007619BB" w:rsidP="00E14EFB">
            <w:pPr>
              <w:spacing w:line="312" w:lineRule="atLeast"/>
              <w:rPr>
                <w:rFonts w:cstheme="minorHAnsi"/>
                <w:color w:val="333333"/>
                <w:sz w:val="20"/>
                <w:szCs w:val="20"/>
                <w:lang w:eastAsia="sl-SI"/>
              </w:rPr>
            </w:pPr>
            <w:r w:rsidRPr="005F57FC">
              <w:rPr>
                <w:rFonts w:cstheme="minorHAnsi"/>
                <w:sz w:val="20"/>
                <w:szCs w:val="20"/>
                <w:lang w:eastAsia="sl-SI"/>
              </w:rPr>
              <w:t>Ob upoštevanju navedenih meril za izbor projektov in omilitvenih ukrepov, ukrep ne bo povzročil znatnega povečanja nastajanja in odlaganja odpadkov ali povzročil bistvene neučinkovitosti pri neposredni ali posredni rabi naravnih virov v kateri koli fazi njihovega življenjskega cikla, ali bistveno in dolgoročno škodoval okolju z vidika krožnega gospodarstva.</w:t>
            </w:r>
          </w:p>
        </w:tc>
      </w:tr>
      <w:tr w:rsidR="007619BB" w:rsidRPr="005F57FC" w14:paraId="2BE359DD" w14:textId="77777777" w:rsidTr="00E14EFB">
        <w:tc>
          <w:tcPr>
            <w:tcW w:w="1640" w:type="pct"/>
            <w:vAlign w:val="center"/>
            <w:hideMark/>
          </w:tcPr>
          <w:p w14:paraId="7CC08037" w14:textId="77777777" w:rsidR="007619BB" w:rsidRPr="005F57FC" w:rsidRDefault="007619BB" w:rsidP="00E14EFB">
            <w:pPr>
              <w:spacing w:before="60" w:after="60" w:line="240" w:lineRule="atLeast"/>
              <w:rPr>
                <w:rFonts w:cstheme="minorHAnsi"/>
                <w:sz w:val="20"/>
                <w:szCs w:val="20"/>
                <w:lang w:eastAsia="sl-SI"/>
              </w:rPr>
            </w:pPr>
            <w:r w:rsidRPr="005F57FC">
              <w:rPr>
                <w:rFonts w:cstheme="minorHAnsi"/>
                <w:sz w:val="20"/>
                <w:szCs w:val="20"/>
                <w:lang w:eastAsia="sl-SI"/>
              </w:rPr>
              <w:lastRenderedPageBreak/>
              <w:t>Preprečevanje in nadzorovanje onesnaževanja zraka, vode ali tal:</w:t>
            </w:r>
          </w:p>
          <w:p w14:paraId="0003CB4D" w14:textId="77777777" w:rsidR="007619BB" w:rsidRPr="005F57FC" w:rsidRDefault="007619BB" w:rsidP="00E14EFB">
            <w:pPr>
              <w:spacing w:before="60" w:after="60" w:line="240" w:lineRule="atLeast"/>
              <w:rPr>
                <w:rFonts w:cstheme="minorHAnsi"/>
                <w:i/>
                <w:iCs/>
                <w:sz w:val="20"/>
                <w:szCs w:val="20"/>
                <w:lang w:eastAsia="sl-SI"/>
              </w:rPr>
            </w:pPr>
            <w:r w:rsidRPr="005F57FC">
              <w:rPr>
                <w:rFonts w:cstheme="minorHAnsi"/>
                <w:i/>
                <w:iCs/>
                <w:sz w:val="20"/>
                <w:szCs w:val="20"/>
                <w:lang w:eastAsia="sl-SI"/>
              </w:rPr>
              <w:t>Ali se pričakuje, da bo ukrep</w:t>
            </w:r>
          </w:p>
          <w:p w14:paraId="2C9AEC44" w14:textId="77777777" w:rsidR="007619BB" w:rsidRPr="005F57FC" w:rsidRDefault="007619BB" w:rsidP="00E14EFB">
            <w:pPr>
              <w:spacing w:before="60" w:after="60" w:line="240" w:lineRule="atLeast"/>
              <w:rPr>
                <w:rFonts w:cstheme="minorHAnsi"/>
                <w:i/>
                <w:iCs/>
                <w:sz w:val="20"/>
                <w:szCs w:val="20"/>
                <w:lang w:eastAsia="sl-SI"/>
              </w:rPr>
            </w:pPr>
            <w:r w:rsidRPr="005F57FC">
              <w:rPr>
                <w:rFonts w:cstheme="minorHAnsi"/>
                <w:i/>
                <w:iCs/>
                <w:sz w:val="20"/>
                <w:szCs w:val="20"/>
                <w:lang w:eastAsia="sl-SI"/>
              </w:rPr>
              <w:t>znatno povečal emisije,</w:t>
            </w:r>
          </w:p>
          <w:p w14:paraId="4E66B562" w14:textId="77777777" w:rsidR="007619BB" w:rsidRPr="005F57FC" w:rsidRDefault="007619BB" w:rsidP="00E14EFB">
            <w:pPr>
              <w:spacing w:before="60" w:after="60" w:line="240" w:lineRule="atLeast"/>
              <w:rPr>
                <w:rFonts w:cstheme="minorHAnsi"/>
                <w:i/>
                <w:iCs/>
                <w:sz w:val="20"/>
                <w:szCs w:val="20"/>
                <w:lang w:eastAsia="sl-SI"/>
              </w:rPr>
            </w:pPr>
            <w:r w:rsidRPr="005F57FC">
              <w:rPr>
                <w:rFonts w:cstheme="minorHAnsi"/>
                <w:i/>
                <w:iCs/>
                <w:sz w:val="20"/>
                <w:szCs w:val="20"/>
                <w:lang w:eastAsia="sl-SI"/>
              </w:rPr>
              <w:t>onesnaževal v zrak, vodo ali</w:t>
            </w:r>
          </w:p>
          <w:p w14:paraId="55495F9B" w14:textId="77777777" w:rsidR="007619BB" w:rsidRPr="005F57FC" w:rsidRDefault="007619BB" w:rsidP="00E14EFB">
            <w:pPr>
              <w:spacing w:before="60" w:after="60" w:line="240" w:lineRule="atLeast"/>
              <w:rPr>
                <w:rFonts w:cstheme="minorHAnsi"/>
                <w:sz w:val="20"/>
                <w:szCs w:val="20"/>
                <w:lang w:eastAsia="sl-SI"/>
              </w:rPr>
            </w:pPr>
            <w:r w:rsidRPr="005F57FC">
              <w:rPr>
                <w:rFonts w:cstheme="minorHAnsi"/>
                <w:i/>
                <w:iCs/>
                <w:sz w:val="20"/>
                <w:szCs w:val="20"/>
                <w:lang w:eastAsia="sl-SI"/>
              </w:rPr>
              <w:t>tla?</w:t>
            </w:r>
          </w:p>
        </w:tc>
        <w:tc>
          <w:tcPr>
            <w:tcW w:w="392" w:type="pct"/>
            <w:vAlign w:val="center"/>
          </w:tcPr>
          <w:p w14:paraId="7AE5AE26" w14:textId="77777777" w:rsidR="007619BB" w:rsidRPr="005F57FC" w:rsidRDefault="007619BB" w:rsidP="00E14EFB">
            <w:pPr>
              <w:spacing w:before="120" w:line="312" w:lineRule="atLeast"/>
              <w:jc w:val="center"/>
              <w:rPr>
                <w:rFonts w:cstheme="minorHAnsi"/>
                <w:sz w:val="20"/>
                <w:szCs w:val="20"/>
                <w:lang w:eastAsia="sl-SI"/>
              </w:rPr>
            </w:pPr>
            <w:r w:rsidRPr="005F57FC">
              <w:rPr>
                <w:rFonts w:cstheme="minorHAnsi"/>
                <w:sz w:val="20"/>
                <w:szCs w:val="20"/>
                <w:lang w:eastAsia="sl-SI"/>
              </w:rPr>
              <w:t>X</w:t>
            </w:r>
          </w:p>
        </w:tc>
        <w:tc>
          <w:tcPr>
            <w:tcW w:w="2968" w:type="pct"/>
          </w:tcPr>
          <w:p w14:paraId="21FBAA84" w14:textId="77777777" w:rsidR="00E5624C" w:rsidRPr="005F57FC" w:rsidRDefault="007619BB" w:rsidP="00E5624C">
            <w:pPr>
              <w:spacing w:line="312" w:lineRule="atLeast"/>
              <w:rPr>
                <w:rFonts w:cstheme="minorHAnsi"/>
                <w:sz w:val="20"/>
                <w:szCs w:val="20"/>
                <w:lang w:eastAsia="sl-SI"/>
              </w:rPr>
            </w:pPr>
            <w:r w:rsidRPr="005F57FC">
              <w:rPr>
                <w:rFonts w:cstheme="minorHAnsi"/>
                <w:sz w:val="20"/>
                <w:szCs w:val="20"/>
                <w:lang w:eastAsia="sl-SI"/>
              </w:rPr>
              <w:t>Ukrep, skladno z Delegirano uredbo Komisije (EU) 2021/2139, ne šk</w:t>
            </w:r>
            <w:r w:rsidR="00E5624C">
              <w:rPr>
                <w:rFonts w:cstheme="minorHAnsi"/>
                <w:sz w:val="20"/>
                <w:szCs w:val="20"/>
                <w:lang w:eastAsia="sl-SI"/>
              </w:rPr>
              <w:t xml:space="preserve">oduje bistveno </w:t>
            </w:r>
            <w:proofErr w:type="spellStart"/>
            <w:r w:rsidR="00E5624C">
              <w:rPr>
                <w:rFonts w:cstheme="minorHAnsi"/>
                <w:sz w:val="20"/>
                <w:szCs w:val="20"/>
                <w:lang w:eastAsia="sl-SI"/>
              </w:rPr>
              <w:t>okoljskemu</w:t>
            </w:r>
            <w:proofErr w:type="spellEnd"/>
            <w:r w:rsidR="00E5624C">
              <w:rPr>
                <w:rFonts w:cstheme="minorHAnsi"/>
                <w:sz w:val="20"/>
                <w:szCs w:val="20"/>
                <w:lang w:eastAsia="sl-SI"/>
              </w:rPr>
              <w:t xml:space="preserve"> cilju </w:t>
            </w:r>
            <w:r w:rsidR="00E5624C" w:rsidRPr="005F57FC">
              <w:rPr>
                <w:rFonts w:cstheme="minorHAnsi"/>
                <w:sz w:val="20"/>
                <w:szCs w:val="20"/>
                <w:lang w:eastAsia="sl-SI"/>
              </w:rPr>
              <w:t>ob upoštevanju določenih tehničnih meril</w:t>
            </w:r>
            <w:r w:rsidR="00E5624C">
              <w:rPr>
                <w:rFonts w:cstheme="minorHAnsi"/>
                <w:sz w:val="20"/>
                <w:szCs w:val="20"/>
                <w:lang w:eastAsia="sl-SI"/>
              </w:rPr>
              <w:t>:</w:t>
            </w:r>
          </w:p>
          <w:p w14:paraId="128AF7BD" w14:textId="77777777" w:rsidR="00E5624C" w:rsidRPr="000A401C" w:rsidRDefault="00E5624C" w:rsidP="000A401C">
            <w:pPr>
              <w:pStyle w:val="Odstavekseznama"/>
              <w:numPr>
                <w:ilvl w:val="0"/>
                <w:numId w:val="8"/>
              </w:numPr>
              <w:spacing w:line="312" w:lineRule="atLeast"/>
              <w:rPr>
                <w:rFonts w:cstheme="minorHAnsi"/>
                <w:color w:val="FF0000"/>
                <w:sz w:val="20"/>
                <w:szCs w:val="20"/>
                <w:lang w:eastAsia="sl-SI"/>
              </w:rPr>
            </w:pPr>
            <w:r w:rsidRPr="000A401C">
              <w:rPr>
                <w:rFonts w:cstheme="minorHAnsi"/>
                <w:color w:val="FF0000"/>
                <w:sz w:val="20"/>
                <w:szCs w:val="20"/>
                <w:lang w:eastAsia="sl-SI"/>
              </w:rPr>
              <w:t>Nadzemni visokonapetostni vodi:</w:t>
            </w:r>
          </w:p>
          <w:p w14:paraId="7F90B62D" w14:textId="72FE7008" w:rsidR="00E5624C" w:rsidRPr="000A401C" w:rsidRDefault="000A401C" w:rsidP="000A401C">
            <w:pPr>
              <w:spacing w:line="312" w:lineRule="atLeast"/>
              <w:ind w:left="360"/>
              <w:rPr>
                <w:rFonts w:cstheme="minorHAnsi"/>
                <w:color w:val="FF0000"/>
                <w:sz w:val="20"/>
                <w:szCs w:val="20"/>
                <w:lang w:eastAsia="sl-SI"/>
              </w:rPr>
            </w:pPr>
            <w:r>
              <w:rPr>
                <w:rFonts w:cstheme="minorHAnsi"/>
                <w:color w:val="FF0000"/>
                <w:sz w:val="20"/>
                <w:szCs w:val="20"/>
                <w:lang w:eastAsia="sl-SI"/>
              </w:rPr>
              <w:t xml:space="preserve">a) </w:t>
            </w:r>
            <w:r w:rsidR="00E5624C" w:rsidRPr="000A401C">
              <w:rPr>
                <w:rFonts w:cstheme="minorHAnsi"/>
                <w:color w:val="FF0000"/>
                <w:sz w:val="20"/>
                <w:szCs w:val="20"/>
                <w:lang w:eastAsia="sl-SI"/>
              </w:rPr>
              <w:t xml:space="preserve">za dejavnosti na gradbišču se upoštevajo načela iz Splošnih </w:t>
            </w:r>
            <w:proofErr w:type="spellStart"/>
            <w:r w:rsidR="00E5624C" w:rsidRPr="000A401C">
              <w:rPr>
                <w:rFonts w:cstheme="minorHAnsi"/>
                <w:color w:val="FF0000"/>
                <w:sz w:val="20"/>
                <w:szCs w:val="20"/>
                <w:lang w:eastAsia="sl-SI"/>
              </w:rPr>
              <w:t>okoljskih</w:t>
            </w:r>
            <w:proofErr w:type="spellEnd"/>
            <w:r w:rsidR="00E5624C" w:rsidRPr="000A401C">
              <w:rPr>
                <w:rFonts w:cstheme="minorHAnsi"/>
                <w:color w:val="FF0000"/>
                <w:sz w:val="20"/>
                <w:szCs w:val="20"/>
                <w:lang w:eastAsia="sl-SI"/>
              </w:rPr>
              <w:t>, zdravstvenih in varnostnih smernic M</w:t>
            </w:r>
            <w:r w:rsidRPr="000A401C">
              <w:rPr>
                <w:rFonts w:cstheme="minorHAnsi"/>
                <w:color w:val="FF0000"/>
                <w:sz w:val="20"/>
                <w:szCs w:val="20"/>
                <w:lang w:eastAsia="sl-SI"/>
              </w:rPr>
              <w:t>ednarodne finančne korporacije</w:t>
            </w:r>
            <w:r w:rsidRPr="000A401C">
              <w:rPr>
                <w:rStyle w:val="Sprotnaopomba-sklic"/>
                <w:rFonts w:cstheme="minorHAnsi"/>
                <w:color w:val="FF0000"/>
                <w:sz w:val="20"/>
                <w:szCs w:val="20"/>
                <w:lang w:eastAsia="sl-SI"/>
              </w:rPr>
              <w:footnoteReference w:id="6"/>
            </w:r>
            <w:r w:rsidR="00E5624C" w:rsidRPr="000A401C">
              <w:rPr>
                <w:rFonts w:cstheme="minorHAnsi"/>
                <w:color w:val="FF0000"/>
                <w:sz w:val="20"/>
                <w:szCs w:val="20"/>
                <w:lang w:eastAsia="sl-SI"/>
              </w:rPr>
              <w:t>.</w:t>
            </w:r>
          </w:p>
          <w:p w14:paraId="2A33CB50" w14:textId="45490153" w:rsidR="00E5624C" w:rsidRPr="000A401C" w:rsidRDefault="000A401C" w:rsidP="000A401C">
            <w:pPr>
              <w:spacing w:line="312" w:lineRule="atLeast"/>
              <w:ind w:left="360"/>
              <w:rPr>
                <w:rFonts w:cstheme="minorHAnsi"/>
                <w:sz w:val="20"/>
                <w:szCs w:val="20"/>
                <w:lang w:eastAsia="sl-SI"/>
              </w:rPr>
            </w:pPr>
            <w:r>
              <w:rPr>
                <w:rFonts w:cstheme="minorHAnsi"/>
                <w:color w:val="FF0000"/>
                <w:sz w:val="20"/>
                <w:szCs w:val="20"/>
                <w:lang w:eastAsia="sl-SI"/>
              </w:rPr>
              <w:t xml:space="preserve">b) </w:t>
            </w:r>
            <w:r w:rsidR="00E5624C" w:rsidRPr="000A401C">
              <w:rPr>
                <w:rFonts w:cstheme="minorHAnsi"/>
                <w:color w:val="FF0000"/>
                <w:sz w:val="20"/>
                <w:szCs w:val="20"/>
                <w:lang w:eastAsia="sl-SI"/>
              </w:rPr>
              <w:t>pri dejavnostih se upoštevajo veljavni standardi in predpisi za omejitev vpliva elektromagnetnega sevanja na zdravje ljudi, kar vključuje dejavnosti, ki se izvajajo v Uniji, pri katerih se upošteva priporočilo Sveta o omejevanju izpostavljanja javnosti elektromagnet</w:t>
            </w:r>
            <w:r w:rsidRPr="000A401C">
              <w:rPr>
                <w:rFonts w:cstheme="minorHAnsi"/>
                <w:color w:val="FF0000"/>
                <w:sz w:val="20"/>
                <w:szCs w:val="20"/>
                <w:lang w:eastAsia="sl-SI"/>
              </w:rPr>
              <w:t>nim poljem (od 0 Hz do 300 GHz)</w:t>
            </w:r>
            <w:r w:rsidRPr="000A401C">
              <w:rPr>
                <w:rStyle w:val="Sprotnaopomba-sklic"/>
                <w:rFonts w:cstheme="minorHAnsi"/>
                <w:color w:val="FF0000"/>
                <w:sz w:val="20"/>
                <w:szCs w:val="20"/>
                <w:lang w:eastAsia="sl-SI"/>
              </w:rPr>
              <w:footnoteReference w:id="7"/>
            </w:r>
            <w:r w:rsidR="00E5624C" w:rsidRPr="000A401C">
              <w:rPr>
                <w:rFonts w:cstheme="minorHAnsi"/>
                <w:color w:val="FF0000"/>
                <w:sz w:val="20"/>
                <w:szCs w:val="20"/>
                <w:lang w:eastAsia="sl-SI"/>
              </w:rPr>
              <w:t>, in dejavnosti, ki se izvajajo v tretjih državah, pri katerih se upoštevajo smernice Mednarodne komisije za varstvo pred neionizirajočimi</w:t>
            </w:r>
            <w:r w:rsidRPr="000A401C">
              <w:rPr>
                <w:rFonts w:cstheme="minorHAnsi"/>
                <w:color w:val="FF0000"/>
                <w:sz w:val="20"/>
                <w:szCs w:val="20"/>
                <w:lang w:eastAsia="sl-SI"/>
              </w:rPr>
              <w:t xml:space="preserve"> sevanji (ICNIRP) iz leta 1998</w:t>
            </w:r>
            <w:r w:rsidRPr="000A401C">
              <w:rPr>
                <w:rStyle w:val="Sprotnaopomba-sklic"/>
                <w:rFonts w:cstheme="minorHAnsi"/>
                <w:color w:val="FF0000"/>
                <w:sz w:val="20"/>
                <w:szCs w:val="20"/>
                <w:lang w:eastAsia="sl-SI"/>
              </w:rPr>
              <w:footnoteReference w:id="8"/>
            </w:r>
            <w:r w:rsidR="00E5624C" w:rsidRPr="000A401C">
              <w:rPr>
                <w:rFonts w:cstheme="minorHAnsi"/>
                <w:color w:val="FF0000"/>
                <w:sz w:val="20"/>
                <w:szCs w:val="20"/>
                <w:lang w:eastAsia="sl-SI"/>
              </w:rPr>
              <w:t>.</w:t>
            </w:r>
          </w:p>
          <w:p w14:paraId="5856D6C6" w14:textId="4B439618" w:rsidR="007619BB" w:rsidRPr="000A401C" w:rsidRDefault="00E5624C" w:rsidP="000A401C">
            <w:pPr>
              <w:pStyle w:val="Odstavekseznama"/>
              <w:numPr>
                <w:ilvl w:val="0"/>
                <w:numId w:val="10"/>
              </w:numPr>
              <w:spacing w:line="312" w:lineRule="atLeast"/>
              <w:rPr>
                <w:rFonts w:cstheme="minorHAnsi"/>
                <w:color w:val="FF0000"/>
                <w:sz w:val="20"/>
                <w:szCs w:val="20"/>
                <w:lang w:eastAsia="sl-SI"/>
              </w:rPr>
            </w:pPr>
            <w:r w:rsidRPr="000A401C">
              <w:rPr>
                <w:rFonts w:cstheme="minorHAnsi"/>
                <w:color w:val="FF0000"/>
                <w:sz w:val="20"/>
                <w:szCs w:val="20"/>
                <w:lang w:eastAsia="sl-SI"/>
              </w:rPr>
              <w:t>Pri dejavnostih se ne uporabljajo poliklorirani bifenili (PCB).</w:t>
            </w:r>
          </w:p>
          <w:p w14:paraId="7AE1FE57" w14:textId="77777777" w:rsidR="000A401C" w:rsidRPr="005F57FC" w:rsidRDefault="000A401C" w:rsidP="00E5624C">
            <w:pPr>
              <w:spacing w:line="312" w:lineRule="atLeast"/>
              <w:rPr>
                <w:rFonts w:cstheme="minorHAnsi"/>
                <w:sz w:val="20"/>
                <w:szCs w:val="20"/>
                <w:lang w:eastAsia="sl-SI"/>
              </w:rPr>
            </w:pPr>
          </w:p>
          <w:p w14:paraId="167A4439" w14:textId="0F0CAB0D" w:rsidR="007619BB" w:rsidRPr="005F57FC" w:rsidRDefault="007619BB" w:rsidP="00E14EFB">
            <w:pPr>
              <w:spacing w:line="312" w:lineRule="atLeast"/>
              <w:rPr>
                <w:rFonts w:cstheme="minorHAnsi"/>
                <w:sz w:val="20"/>
                <w:szCs w:val="20"/>
                <w:lang w:eastAsia="sl-SI"/>
              </w:rPr>
            </w:pPr>
            <w:r w:rsidRPr="005F57FC">
              <w:rPr>
                <w:rFonts w:cstheme="minorHAnsi"/>
                <w:sz w:val="20"/>
                <w:szCs w:val="20"/>
                <w:lang w:eastAsia="sl-SI"/>
              </w:rPr>
              <w:t xml:space="preserve">Ukrep v skladu s Prilogo I k Uredbi (EU) 2021/1060 40-odstotno prispeva k drugim </w:t>
            </w:r>
            <w:proofErr w:type="spellStart"/>
            <w:r w:rsidRPr="005F57FC">
              <w:rPr>
                <w:rFonts w:cstheme="minorHAnsi"/>
                <w:sz w:val="20"/>
                <w:szCs w:val="20"/>
                <w:lang w:eastAsia="sl-SI"/>
              </w:rPr>
              <w:t>okoljskim</w:t>
            </w:r>
            <w:proofErr w:type="spellEnd"/>
            <w:r w:rsidRPr="005F57FC">
              <w:rPr>
                <w:rFonts w:cstheme="minorHAnsi"/>
                <w:sz w:val="20"/>
                <w:szCs w:val="20"/>
                <w:lang w:eastAsia="sl-SI"/>
              </w:rPr>
              <w:t xml:space="preserve"> ciljem – področje ukrepanja </w:t>
            </w:r>
            <w:r w:rsidR="00E5624C" w:rsidRPr="00E5624C">
              <w:rPr>
                <w:rFonts w:cstheme="minorHAnsi"/>
                <w:sz w:val="20"/>
                <w:szCs w:val="20"/>
                <w:lang w:eastAsia="sl-SI"/>
              </w:rPr>
              <w:t>053 - Pametni energetski sistemi (vključno z inteligentnimi energetskimi omrežji in sistemi IKT) ter povezano shranjevanje</w:t>
            </w:r>
            <w:r w:rsidRPr="005F57FC">
              <w:rPr>
                <w:rFonts w:cstheme="minorHAnsi"/>
                <w:sz w:val="20"/>
                <w:szCs w:val="20"/>
                <w:lang w:eastAsia="sl-SI"/>
              </w:rPr>
              <w:t>.</w:t>
            </w:r>
          </w:p>
          <w:p w14:paraId="6B97ED76" w14:textId="77777777" w:rsidR="007619BB" w:rsidRPr="005F57FC" w:rsidRDefault="007619BB" w:rsidP="00E14EFB">
            <w:pPr>
              <w:spacing w:line="312" w:lineRule="atLeast"/>
              <w:rPr>
                <w:rFonts w:cstheme="minorHAnsi"/>
                <w:sz w:val="20"/>
                <w:szCs w:val="20"/>
                <w:lang w:eastAsia="sl-SI"/>
              </w:rPr>
            </w:pPr>
            <w:r w:rsidRPr="005F57FC">
              <w:rPr>
                <w:rFonts w:cstheme="minorHAnsi"/>
                <w:sz w:val="20"/>
                <w:szCs w:val="20"/>
                <w:lang w:eastAsia="sl-SI"/>
              </w:rPr>
              <w:t>Skladno z omilitvenimi ukrepi iz CPVO-DNSH za Program EKP bodo v okviru ukrepa izpolnjene naslednje zahteve:</w:t>
            </w:r>
          </w:p>
          <w:p w14:paraId="3E7DAEE5" w14:textId="77777777" w:rsidR="007619BB" w:rsidRPr="005F57FC" w:rsidRDefault="007619BB" w:rsidP="009537AD">
            <w:pPr>
              <w:pStyle w:val="Odstavekseznama"/>
              <w:numPr>
                <w:ilvl w:val="0"/>
                <w:numId w:val="2"/>
              </w:numPr>
              <w:suppressAutoHyphens/>
              <w:spacing w:line="312" w:lineRule="atLeast"/>
              <w:rPr>
                <w:rFonts w:cstheme="minorHAnsi"/>
                <w:color w:val="FF0000"/>
                <w:sz w:val="20"/>
                <w:szCs w:val="20"/>
                <w:lang w:eastAsia="sl-SI"/>
              </w:rPr>
            </w:pPr>
            <w:r w:rsidRPr="005F57FC">
              <w:rPr>
                <w:rFonts w:cstheme="minorHAnsi"/>
                <w:color w:val="FF0000"/>
                <w:sz w:val="20"/>
                <w:szCs w:val="20"/>
                <w:lang w:eastAsia="sl-SI"/>
              </w:rPr>
              <w:t>pri izvedbi projekta/investicije bodo upoštevani morebitni omilitveni ukrepi in usmeritve za</w:t>
            </w:r>
            <w:r w:rsidRPr="005F57FC">
              <w:rPr>
                <w:rFonts w:cstheme="minorHAnsi"/>
                <w:color w:val="FF0000"/>
                <w:sz w:val="20"/>
                <w:szCs w:val="20"/>
              </w:rPr>
              <w:t xml:space="preserve"> </w:t>
            </w:r>
            <w:r w:rsidRPr="005F57FC">
              <w:rPr>
                <w:rFonts w:cstheme="minorHAnsi"/>
                <w:color w:val="FF0000"/>
                <w:sz w:val="20"/>
                <w:szCs w:val="20"/>
                <w:lang w:eastAsia="sl-SI"/>
              </w:rPr>
              <w:t>varstvo okolja iz Celovitega nacionalnega energetskega in podnebnega načrta Republike Slovenije (NEPN),</w:t>
            </w:r>
          </w:p>
          <w:p w14:paraId="76AB57BC" w14:textId="77777777" w:rsidR="007619BB" w:rsidRPr="005F57FC" w:rsidRDefault="007619BB" w:rsidP="009537AD">
            <w:pPr>
              <w:pStyle w:val="Odstavekseznama"/>
              <w:numPr>
                <w:ilvl w:val="0"/>
                <w:numId w:val="2"/>
              </w:numPr>
              <w:suppressAutoHyphens/>
              <w:spacing w:line="312" w:lineRule="atLeast"/>
              <w:rPr>
                <w:rFonts w:cstheme="minorHAnsi"/>
                <w:color w:val="FF0000"/>
                <w:sz w:val="20"/>
                <w:szCs w:val="20"/>
                <w:lang w:eastAsia="sl-SI"/>
              </w:rPr>
            </w:pPr>
            <w:r w:rsidRPr="005F57FC">
              <w:rPr>
                <w:rFonts w:cstheme="minorHAnsi"/>
                <w:color w:val="FF0000"/>
                <w:sz w:val="20"/>
                <w:szCs w:val="20"/>
                <w:lang w:eastAsia="sl-SI"/>
              </w:rPr>
              <w:t>projekt/Investicija se bo izvedla na lokacijah, ki so sprejemljive z vidika varstva okolja in tehničnih zmožnosti energetskega omrežja za energetsko učinkovit prevzem in distribucijo energije končnim porabnikom.</w:t>
            </w:r>
          </w:p>
          <w:p w14:paraId="2651D19E" w14:textId="77777777" w:rsidR="007619BB" w:rsidRPr="005F57FC" w:rsidRDefault="007619BB" w:rsidP="00E14EFB">
            <w:pPr>
              <w:spacing w:line="312" w:lineRule="atLeast"/>
              <w:rPr>
                <w:rFonts w:cstheme="minorHAnsi"/>
                <w:color w:val="333333"/>
                <w:sz w:val="20"/>
                <w:szCs w:val="20"/>
                <w:lang w:eastAsia="sl-SI"/>
              </w:rPr>
            </w:pPr>
            <w:r w:rsidRPr="005F57FC">
              <w:rPr>
                <w:rFonts w:cstheme="minorHAnsi"/>
                <w:sz w:val="20"/>
                <w:szCs w:val="20"/>
                <w:lang w:eastAsia="sl-SI"/>
              </w:rPr>
              <w:lastRenderedPageBreak/>
              <w:t>Ob upoštevanju navedenih meril za izbor projektov in omilitvenih ukrepov, ukrep ne bo znatno povečal emisij, onesnaževal v zrak, vodo ali tla.</w:t>
            </w:r>
          </w:p>
        </w:tc>
      </w:tr>
      <w:tr w:rsidR="000A401C" w:rsidRPr="005F57FC" w14:paraId="5946510E" w14:textId="77777777" w:rsidTr="00E14EFB">
        <w:tc>
          <w:tcPr>
            <w:tcW w:w="1640" w:type="pct"/>
            <w:vAlign w:val="center"/>
            <w:hideMark/>
          </w:tcPr>
          <w:p w14:paraId="4BFB475B" w14:textId="77777777" w:rsidR="000A401C" w:rsidRPr="005F57FC" w:rsidRDefault="000A401C" w:rsidP="000A401C">
            <w:pPr>
              <w:spacing w:before="60" w:after="60" w:line="240" w:lineRule="atLeast"/>
              <w:rPr>
                <w:rFonts w:cstheme="minorHAnsi"/>
                <w:sz w:val="20"/>
                <w:szCs w:val="20"/>
                <w:lang w:eastAsia="sl-SI"/>
              </w:rPr>
            </w:pPr>
            <w:r w:rsidRPr="005F57FC">
              <w:rPr>
                <w:rFonts w:cstheme="minorHAnsi"/>
                <w:sz w:val="20"/>
                <w:szCs w:val="20"/>
                <w:lang w:eastAsia="sl-SI"/>
              </w:rPr>
              <w:lastRenderedPageBreak/>
              <w:t>Varstvo in ohranjanje biotske raznovrstnosti in ekosistemov:</w:t>
            </w:r>
          </w:p>
          <w:p w14:paraId="01ED4042" w14:textId="77777777" w:rsidR="000A401C" w:rsidRPr="005F57FC" w:rsidRDefault="000A401C" w:rsidP="000A401C">
            <w:pPr>
              <w:spacing w:before="60" w:after="60" w:line="240" w:lineRule="atLeast"/>
              <w:rPr>
                <w:rFonts w:cstheme="minorHAnsi"/>
                <w:i/>
                <w:iCs/>
                <w:sz w:val="20"/>
                <w:szCs w:val="20"/>
                <w:lang w:eastAsia="sl-SI"/>
              </w:rPr>
            </w:pPr>
            <w:r w:rsidRPr="005F57FC">
              <w:rPr>
                <w:rFonts w:cstheme="minorHAnsi"/>
                <w:i/>
                <w:iCs/>
                <w:sz w:val="20"/>
                <w:szCs w:val="20"/>
                <w:lang w:eastAsia="sl-SI"/>
              </w:rPr>
              <w:t>Ali je ukrep:</w:t>
            </w:r>
          </w:p>
          <w:p w14:paraId="05C6E16C" w14:textId="77777777" w:rsidR="000A401C" w:rsidRPr="005F57FC" w:rsidRDefault="000A401C" w:rsidP="000A401C">
            <w:pPr>
              <w:spacing w:before="60" w:after="60" w:line="240" w:lineRule="atLeast"/>
              <w:rPr>
                <w:rFonts w:cstheme="minorHAnsi"/>
                <w:i/>
                <w:iCs/>
                <w:sz w:val="20"/>
                <w:szCs w:val="20"/>
                <w:lang w:eastAsia="sl-SI"/>
              </w:rPr>
            </w:pPr>
            <w:r w:rsidRPr="005F57FC">
              <w:rPr>
                <w:rFonts w:cstheme="minorHAnsi"/>
                <w:i/>
                <w:iCs/>
                <w:sz w:val="20"/>
                <w:szCs w:val="20"/>
                <w:lang w:eastAsia="sl-SI"/>
              </w:rPr>
              <w:t>(i) bistveno škodljiv za dobro</w:t>
            </w:r>
          </w:p>
          <w:p w14:paraId="39C29D9D" w14:textId="77777777" w:rsidR="000A401C" w:rsidRPr="005F57FC" w:rsidRDefault="000A401C" w:rsidP="000A401C">
            <w:pPr>
              <w:spacing w:before="60" w:after="60" w:line="240" w:lineRule="atLeast"/>
              <w:rPr>
                <w:rFonts w:cstheme="minorHAnsi"/>
                <w:i/>
                <w:iCs/>
                <w:sz w:val="20"/>
                <w:szCs w:val="20"/>
                <w:lang w:eastAsia="sl-SI"/>
              </w:rPr>
            </w:pPr>
            <w:r w:rsidRPr="005F57FC">
              <w:rPr>
                <w:rFonts w:cstheme="minorHAnsi"/>
                <w:i/>
                <w:iCs/>
                <w:sz w:val="20"/>
                <w:szCs w:val="20"/>
                <w:lang w:eastAsia="sl-SI"/>
              </w:rPr>
              <w:t>stanje in odpornosti</w:t>
            </w:r>
          </w:p>
          <w:p w14:paraId="7A257567" w14:textId="77777777" w:rsidR="000A401C" w:rsidRPr="005F57FC" w:rsidRDefault="000A401C" w:rsidP="000A401C">
            <w:pPr>
              <w:spacing w:before="60" w:after="60" w:line="240" w:lineRule="atLeast"/>
              <w:rPr>
                <w:rFonts w:cstheme="minorHAnsi"/>
                <w:i/>
                <w:iCs/>
                <w:sz w:val="20"/>
                <w:szCs w:val="20"/>
                <w:lang w:eastAsia="sl-SI"/>
              </w:rPr>
            </w:pPr>
            <w:r w:rsidRPr="005F57FC">
              <w:rPr>
                <w:rFonts w:cstheme="minorHAnsi"/>
                <w:i/>
                <w:iCs/>
                <w:sz w:val="20"/>
                <w:szCs w:val="20"/>
                <w:lang w:eastAsia="sl-SI"/>
              </w:rPr>
              <w:t>ekosistemov; ali</w:t>
            </w:r>
          </w:p>
          <w:p w14:paraId="0A15D81F" w14:textId="77777777" w:rsidR="000A401C" w:rsidRPr="005F57FC" w:rsidRDefault="000A401C" w:rsidP="000A401C">
            <w:pPr>
              <w:spacing w:before="60" w:after="60" w:line="240" w:lineRule="atLeast"/>
              <w:rPr>
                <w:rFonts w:cstheme="minorHAnsi"/>
                <w:i/>
                <w:iCs/>
                <w:sz w:val="20"/>
                <w:szCs w:val="20"/>
                <w:lang w:eastAsia="sl-SI"/>
              </w:rPr>
            </w:pPr>
            <w:r w:rsidRPr="005F57FC">
              <w:rPr>
                <w:rFonts w:cstheme="minorHAnsi"/>
                <w:i/>
                <w:iCs/>
                <w:sz w:val="20"/>
                <w:szCs w:val="20"/>
                <w:lang w:eastAsia="sl-SI"/>
              </w:rPr>
              <w:t>(ii) škodljiv za ohranitveni status</w:t>
            </w:r>
          </w:p>
          <w:p w14:paraId="0310DFBA" w14:textId="77777777" w:rsidR="000A401C" w:rsidRPr="005F57FC" w:rsidRDefault="000A401C" w:rsidP="000A401C">
            <w:pPr>
              <w:spacing w:before="60" w:after="60" w:line="240" w:lineRule="atLeast"/>
              <w:rPr>
                <w:rFonts w:cstheme="minorHAnsi"/>
                <w:i/>
                <w:iCs/>
                <w:sz w:val="20"/>
                <w:szCs w:val="20"/>
                <w:lang w:eastAsia="sl-SI"/>
              </w:rPr>
            </w:pPr>
            <w:r w:rsidRPr="005F57FC">
              <w:rPr>
                <w:rFonts w:cstheme="minorHAnsi"/>
                <w:i/>
                <w:iCs/>
                <w:sz w:val="20"/>
                <w:szCs w:val="20"/>
                <w:lang w:eastAsia="sl-SI"/>
              </w:rPr>
              <w:t>habitatov in vrst, vključno s</w:t>
            </w:r>
          </w:p>
          <w:p w14:paraId="3D29B467" w14:textId="17CE42CF" w:rsidR="000A401C" w:rsidRPr="00112748" w:rsidRDefault="000A401C" w:rsidP="000A401C">
            <w:pPr>
              <w:spacing w:before="60" w:after="60" w:line="240" w:lineRule="atLeast"/>
              <w:rPr>
                <w:rFonts w:cstheme="minorHAnsi"/>
                <w:i/>
                <w:iCs/>
                <w:sz w:val="20"/>
                <w:szCs w:val="20"/>
                <w:lang w:eastAsia="sl-SI"/>
              </w:rPr>
            </w:pPr>
            <w:r w:rsidRPr="005F57FC">
              <w:rPr>
                <w:rFonts w:cstheme="minorHAnsi"/>
                <w:i/>
                <w:iCs/>
                <w:sz w:val="20"/>
                <w:szCs w:val="20"/>
                <w:lang w:eastAsia="sl-SI"/>
              </w:rPr>
              <w:t>t</w:t>
            </w:r>
            <w:r w:rsidR="00112748">
              <w:rPr>
                <w:rFonts w:cstheme="minorHAnsi"/>
                <w:i/>
                <w:iCs/>
                <w:sz w:val="20"/>
                <w:szCs w:val="20"/>
                <w:lang w:eastAsia="sl-SI"/>
              </w:rPr>
              <w:t>istimi, ki so v interesu Unije?</w:t>
            </w:r>
          </w:p>
        </w:tc>
        <w:tc>
          <w:tcPr>
            <w:tcW w:w="392" w:type="pct"/>
            <w:vAlign w:val="center"/>
            <w:hideMark/>
          </w:tcPr>
          <w:p w14:paraId="03FAB6DA" w14:textId="4F5CE84E" w:rsidR="000A401C" w:rsidRPr="005F57FC" w:rsidRDefault="000A401C" w:rsidP="000A401C">
            <w:pPr>
              <w:jc w:val="center"/>
              <w:rPr>
                <w:rFonts w:cstheme="minorHAnsi"/>
                <w:sz w:val="20"/>
                <w:szCs w:val="20"/>
                <w:lang w:eastAsia="sl-SI"/>
              </w:rPr>
            </w:pPr>
            <w:r w:rsidRPr="005F57FC">
              <w:rPr>
                <w:rFonts w:cstheme="minorHAnsi"/>
                <w:sz w:val="20"/>
                <w:szCs w:val="20"/>
                <w:lang w:eastAsia="sl-SI"/>
              </w:rPr>
              <w:t>/</w:t>
            </w:r>
          </w:p>
        </w:tc>
        <w:tc>
          <w:tcPr>
            <w:tcW w:w="2968" w:type="pct"/>
            <w:vAlign w:val="center"/>
            <w:hideMark/>
          </w:tcPr>
          <w:p w14:paraId="16AE1A48" w14:textId="77777777" w:rsidR="000A401C" w:rsidRPr="005F57FC" w:rsidRDefault="000A401C" w:rsidP="000A401C">
            <w:pPr>
              <w:spacing w:line="240" w:lineRule="atLeast"/>
              <w:jc w:val="left"/>
              <w:rPr>
                <w:rFonts w:cstheme="minorHAnsi"/>
                <w:sz w:val="20"/>
                <w:szCs w:val="20"/>
                <w:lang w:eastAsia="sl-SI"/>
              </w:rPr>
            </w:pPr>
          </w:p>
          <w:p w14:paraId="43CE37FA" w14:textId="3032F76D" w:rsidR="000A401C" w:rsidRPr="005F57FC" w:rsidRDefault="000A401C" w:rsidP="000A401C">
            <w:pPr>
              <w:spacing w:line="312" w:lineRule="atLeast"/>
              <w:rPr>
                <w:rFonts w:cstheme="minorHAnsi"/>
                <w:sz w:val="20"/>
                <w:szCs w:val="20"/>
                <w:lang w:eastAsia="sl-SI"/>
              </w:rPr>
            </w:pPr>
            <w:r w:rsidRPr="005F57FC">
              <w:rPr>
                <w:rFonts w:cstheme="minorHAnsi"/>
                <w:sz w:val="20"/>
                <w:szCs w:val="20"/>
                <w:lang w:eastAsia="sl-SI"/>
              </w:rPr>
              <w:t xml:space="preserve">Podrobnejša vsebinska ocena skladnosti ukrepa s tem </w:t>
            </w:r>
            <w:proofErr w:type="spellStart"/>
            <w:r w:rsidRPr="005F57FC">
              <w:rPr>
                <w:rFonts w:cstheme="minorHAnsi"/>
                <w:sz w:val="20"/>
                <w:szCs w:val="20"/>
                <w:lang w:eastAsia="sl-SI"/>
              </w:rPr>
              <w:t>okoljskim</w:t>
            </w:r>
            <w:proofErr w:type="spellEnd"/>
            <w:r w:rsidRPr="005F57FC">
              <w:rPr>
                <w:rFonts w:cstheme="minorHAnsi"/>
                <w:sz w:val="20"/>
                <w:szCs w:val="20"/>
                <w:lang w:eastAsia="sl-SI"/>
              </w:rPr>
              <w:t xml:space="preserve"> ciljem ni potrebna.</w:t>
            </w:r>
          </w:p>
        </w:tc>
      </w:tr>
    </w:tbl>
    <w:p w14:paraId="79A05AC0" w14:textId="77777777" w:rsidR="007619BB" w:rsidRDefault="007619BB" w:rsidP="007619BB">
      <w:pPr>
        <w:pStyle w:val="Glava"/>
        <w:tabs>
          <w:tab w:val="clear" w:pos="4536"/>
          <w:tab w:val="clear" w:pos="9072"/>
        </w:tabs>
        <w:spacing w:line="360" w:lineRule="auto"/>
        <w:rPr>
          <w:rFonts w:cstheme="minorHAnsi"/>
          <w:color w:val="000000"/>
          <w:sz w:val="20"/>
          <w:szCs w:val="20"/>
        </w:rPr>
      </w:pPr>
    </w:p>
    <w:p w14:paraId="17C681B2" w14:textId="77777777" w:rsidR="007619BB" w:rsidRPr="003C2EE0" w:rsidRDefault="007619BB" w:rsidP="007619BB">
      <w:pPr>
        <w:pStyle w:val="Glava"/>
        <w:tabs>
          <w:tab w:val="clear" w:pos="4536"/>
          <w:tab w:val="clear" w:pos="9072"/>
        </w:tabs>
        <w:spacing w:line="360" w:lineRule="auto"/>
        <w:rPr>
          <w:rFonts w:cstheme="minorHAnsi"/>
          <w:b/>
          <w:bCs/>
          <w:color w:val="000000"/>
          <w:sz w:val="20"/>
        </w:rPr>
      </w:pPr>
      <w:r w:rsidRPr="003C2EE0">
        <w:rPr>
          <w:rFonts w:cstheme="minorHAnsi"/>
          <w:b/>
          <w:bCs/>
          <w:color w:val="000000"/>
          <w:sz w:val="20"/>
        </w:rPr>
        <w:t>Informacije o razpoložljivi dokumentaciji:</w:t>
      </w:r>
    </w:p>
    <w:tbl>
      <w:tblPr>
        <w:tblStyle w:val="Tabelamrea"/>
        <w:tblW w:w="9067" w:type="dxa"/>
        <w:tblLook w:val="04A0" w:firstRow="1" w:lastRow="0" w:firstColumn="1" w:lastColumn="0" w:noHBand="0" w:noVBand="1"/>
      </w:tblPr>
      <w:tblGrid>
        <w:gridCol w:w="9067"/>
      </w:tblGrid>
      <w:tr w:rsidR="007619BB" w14:paraId="3346E095" w14:textId="77777777" w:rsidTr="00E14EFB">
        <w:trPr>
          <w:trHeight w:val="914"/>
        </w:trPr>
        <w:tc>
          <w:tcPr>
            <w:tcW w:w="9067" w:type="dxa"/>
          </w:tcPr>
          <w:p w14:paraId="356A4C93" w14:textId="77777777" w:rsidR="007619BB" w:rsidRDefault="007619BB" w:rsidP="00E14EFB">
            <w:pPr>
              <w:pStyle w:val="Glava"/>
              <w:tabs>
                <w:tab w:val="clear" w:pos="4536"/>
                <w:tab w:val="clear" w:pos="9072"/>
              </w:tabs>
              <w:spacing w:line="360" w:lineRule="auto"/>
              <w:rPr>
                <w:rFonts w:ascii="Arial" w:hAnsi="Arial" w:cs="Arial"/>
                <w:color w:val="000000"/>
                <w:sz w:val="20"/>
              </w:rPr>
            </w:pPr>
          </w:p>
          <w:p w14:paraId="4A08851C" w14:textId="77777777" w:rsidR="007619BB" w:rsidRDefault="007619BB" w:rsidP="00E14EFB">
            <w:pPr>
              <w:pStyle w:val="Glava"/>
              <w:tabs>
                <w:tab w:val="clear" w:pos="4536"/>
                <w:tab w:val="clear" w:pos="9072"/>
              </w:tabs>
              <w:spacing w:line="360" w:lineRule="auto"/>
              <w:rPr>
                <w:rFonts w:ascii="Arial" w:hAnsi="Arial" w:cs="Arial"/>
                <w:color w:val="000000"/>
                <w:sz w:val="20"/>
              </w:rPr>
            </w:pPr>
          </w:p>
          <w:p w14:paraId="43E7579E" w14:textId="77777777" w:rsidR="007619BB" w:rsidRDefault="007619BB" w:rsidP="00E14EFB">
            <w:pPr>
              <w:pStyle w:val="Glava"/>
              <w:tabs>
                <w:tab w:val="clear" w:pos="4536"/>
                <w:tab w:val="clear" w:pos="9072"/>
              </w:tabs>
              <w:spacing w:line="360" w:lineRule="auto"/>
              <w:rPr>
                <w:rFonts w:ascii="Arial" w:hAnsi="Arial" w:cs="Arial"/>
                <w:color w:val="000000"/>
                <w:sz w:val="20"/>
              </w:rPr>
            </w:pPr>
          </w:p>
          <w:p w14:paraId="1D191713" w14:textId="77777777" w:rsidR="007619BB" w:rsidRDefault="007619BB" w:rsidP="00E14EFB">
            <w:pPr>
              <w:pStyle w:val="Glava"/>
              <w:tabs>
                <w:tab w:val="clear" w:pos="4536"/>
                <w:tab w:val="clear" w:pos="9072"/>
              </w:tabs>
              <w:spacing w:line="360" w:lineRule="auto"/>
              <w:rPr>
                <w:rFonts w:ascii="Arial" w:hAnsi="Arial" w:cs="Arial"/>
                <w:color w:val="000000"/>
                <w:sz w:val="20"/>
              </w:rPr>
            </w:pPr>
          </w:p>
          <w:p w14:paraId="66970319" w14:textId="77777777" w:rsidR="007619BB" w:rsidRDefault="007619BB" w:rsidP="00E14EFB">
            <w:pPr>
              <w:pStyle w:val="Glava"/>
              <w:tabs>
                <w:tab w:val="clear" w:pos="4536"/>
                <w:tab w:val="clear" w:pos="9072"/>
              </w:tabs>
              <w:spacing w:line="360" w:lineRule="auto"/>
              <w:rPr>
                <w:rFonts w:ascii="Arial" w:hAnsi="Arial" w:cs="Arial"/>
                <w:color w:val="000000"/>
                <w:sz w:val="20"/>
              </w:rPr>
            </w:pPr>
          </w:p>
          <w:p w14:paraId="4A5ED60F" w14:textId="77777777" w:rsidR="007619BB" w:rsidRDefault="007619BB" w:rsidP="00E14EFB">
            <w:pPr>
              <w:pStyle w:val="Glava"/>
              <w:tabs>
                <w:tab w:val="clear" w:pos="4536"/>
                <w:tab w:val="clear" w:pos="9072"/>
              </w:tabs>
              <w:spacing w:line="360" w:lineRule="auto"/>
              <w:rPr>
                <w:rFonts w:ascii="Arial" w:hAnsi="Arial" w:cs="Arial"/>
                <w:color w:val="000000"/>
                <w:sz w:val="20"/>
              </w:rPr>
            </w:pPr>
          </w:p>
        </w:tc>
      </w:tr>
    </w:tbl>
    <w:p w14:paraId="41227385" w14:textId="77777777" w:rsidR="007619BB" w:rsidRDefault="007619BB" w:rsidP="007619BB">
      <w:pPr>
        <w:rPr>
          <w:rFonts w:ascii="Arial" w:hAnsi="Arial" w:cs="Arial"/>
          <w:b/>
          <w:bCs/>
          <w:color w:val="000000"/>
          <w:sz w:val="20"/>
        </w:rPr>
      </w:pPr>
    </w:p>
    <w:p w14:paraId="39EC1FD6" w14:textId="77777777" w:rsidR="007619BB" w:rsidRDefault="007619BB" w:rsidP="007619BB">
      <w:pPr>
        <w:rPr>
          <w:rFonts w:ascii="Arial" w:hAnsi="Arial" w:cs="Arial"/>
          <w:b/>
          <w:bCs/>
          <w:color w:val="000000"/>
          <w:sz w:val="20"/>
        </w:rPr>
      </w:pPr>
    </w:p>
    <w:tbl>
      <w:tblPr>
        <w:tblStyle w:val="Tabelamrea2"/>
        <w:tblpPr w:leftFromText="141" w:rightFromText="141" w:vertAnchor="text" w:horzAnchor="margin" w:tblpY="384"/>
        <w:tblOverlap w:val="never"/>
        <w:tblW w:w="5185" w:type="pct"/>
        <w:tblLook w:val="04A0" w:firstRow="1" w:lastRow="0" w:firstColumn="1" w:lastColumn="0" w:noHBand="0" w:noVBand="1"/>
      </w:tblPr>
      <w:tblGrid>
        <w:gridCol w:w="3526"/>
        <w:gridCol w:w="589"/>
        <w:gridCol w:w="5293"/>
      </w:tblGrid>
      <w:tr w:rsidR="007619BB" w:rsidRPr="007B7219" w14:paraId="14DFCD52" w14:textId="77777777" w:rsidTr="00E14EFB">
        <w:trPr>
          <w:trHeight w:hRule="exact" w:val="851"/>
        </w:trPr>
        <w:tc>
          <w:tcPr>
            <w:tcW w:w="5000" w:type="pct"/>
            <w:gridSpan w:val="3"/>
            <w:tcBorders>
              <w:top w:val="nil"/>
              <w:left w:val="nil"/>
              <w:bottom w:val="nil"/>
              <w:right w:val="nil"/>
            </w:tcBorders>
            <w:vAlign w:val="bottom"/>
          </w:tcPr>
          <w:p w14:paraId="328E36F9" w14:textId="77777777" w:rsidR="007619BB" w:rsidRPr="007B7219" w:rsidRDefault="007619BB" w:rsidP="00E14EFB">
            <w:pPr>
              <w:pStyle w:val="Naslovpublikacije"/>
              <w:spacing w:after="0"/>
              <w:jc w:val="left"/>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V/na:</w:t>
            </w:r>
          </w:p>
        </w:tc>
      </w:tr>
      <w:tr w:rsidR="007619BB" w:rsidRPr="007B7219" w14:paraId="611AC5A3" w14:textId="77777777" w:rsidTr="00E14EFB">
        <w:trPr>
          <w:trHeight w:val="1188"/>
        </w:trPr>
        <w:tc>
          <w:tcPr>
            <w:tcW w:w="1874" w:type="pct"/>
            <w:vMerge w:val="restart"/>
            <w:tcBorders>
              <w:left w:val="nil"/>
              <w:right w:val="nil"/>
            </w:tcBorders>
          </w:tcPr>
          <w:p w14:paraId="68D4749D" w14:textId="77777777" w:rsidR="007619BB" w:rsidRPr="007B7219" w:rsidRDefault="007619BB" w:rsidP="00E14EFB">
            <w:pPr>
              <w:pStyle w:val="Naslovpublikacije"/>
              <w:spacing w:before="120" w:after="0"/>
              <w:jc w:val="left"/>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Datum:</w:t>
            </w:r>
          </w:p>
          <w:p w14:paraId="398AA339" w14:textId="77777777" w:rsidR="007619BB" w:rsidRPr="007B7219" w:rsidRDefault="007619BB" w:rsidP="00E14EFB">
            <w:pPr>
              <w:pStyle w:val="Naslovpublikacije"/>
              <w:spacing w:after="0"/>
              <w:jc w:val="left"/>
              <w:rPr>
                <w:rFonts w:asciiTheme="minorHAnsi" w:eastAsiaTheme="minorHAnsi" w:hAnsiTheme="minorHAnsi" w:cstheme="minorHAnsi"/>
                <w:b w:val="0"/>
                <w:color w:val="auto"/>
                <w:sz w:val="20"/>
                <w:szCs w:val="20"/>
              </w:rPr>
            </w:pPr>
          </w:p>
          <w:p w14:paraId="16A482AC" w14:textId="77777777" w:rsidR="007619BB" w:rsidRPr="007B7219" w:rsidRDefault="007619BB" w:rsidP="00E14EFB">
            <w:pPr>
              <w:pStyle w:val="Naslovpublikacije"/>
              <w:spacing w:after="0"/>
              <w:jc w:val="left"/>
              <w:rPr>
                <w:rFonts w:asciiTheme="minorHAnsi" w:eastAsiaTheme="minorHAnsi" w:hAnsiTheme="minorHAnsi" w:cstheme="minorHAnsi"/>
                <w:b w:val="0"/>
                <w:color w:val="auto"/>
                <w:sz w:val="20"/>
                <w:szCs w:val="20"/>
              </w:rPr>
            </w:pPr>
          </w:p>
          <w:p w14:paraId="4035C678" w14:textId="77777777" w:rsidR="007619BB" w:rsidRPr="007B7219" w:rsidRDefault="007619BB" w:rsidP="00E14EFB">
            <w:pPr>
              <w:pStyle w:val="Naslovpublikacije"/>
              <w:spacing w:after="0"/>
              <w:jc w:val="left"/>
              <w:rPr>
                <w:rFonts w:asciiTheme="minorHAnsi" w:eastAsiaTheme="minorHAnsi" w:hAnsiTheme="minorHAnsi" w:cstheme="minorHAnsi"/>
                <w:b w:val="0"/>
                <w:color w:val="auto"/>
                <w:sz w:val="20"/>
                <w:szCs w:val="20"/>
              </w:rPr>
            </w:pPr>
          </w:p>
          <w:p w14:paraId="6A0BB618" w14:textId="77777777" w:rsidR="007619BB" w:rsidRPr="007B7219" w:rsidRDefault="007619BB" w:rsidP="00E14EFB">
            <w:pPr>
              <w:pStyle w:val="Naslovpublikacije"/>
              <w:spacing w:after="0"/>
              <w:jc w:val="left"/>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Žig:</w:t>
            </w:r>
          </w:p>
          <w:p w14:paraId="5E55A204" w14:textId="77777777" w:rsidR="007619BB" w:rsidRPr="007B7219" w:rsidRDefault="007619BB" w:rsidP="00E14EFB">
            <w:pPr>
              <w:pStyle w:val="Naslovpublikacije"/>
              <w:spacing w:after="0"/>
              <w:jc w:val="left"/>
              <w:rPr>
                <w:rFonts w:asciiTheme="minorHAnsi" w:eastAsiaTheme="minorHAnsi" w:hAnsiTheme="minorHAnsi" w:cstheme="minorHAnsi"/>
                <w:b w:val="0"/>
                <w:color w:val="auto"/>
                <w:sz w:val="20"/>
                <w:szCs w:val="20"/>
              </w:rPr>
            </w:pPr>
          </w:p>
        </w:tc>
        <w:tc>
          <w:tcPr>
            <w:tcW w:w="313" w:type="pct"/>
            <w:vMerge w:val="restart"/>
            <w:tcBorders>
              <w:top w:val="nil"/>
              <w:left w:val="nil"/>
              <w:right w:val="nil"/>
            </w:tcBorders>
          </w:tcPr>
          <w:p w14:paraId="1635517E" w14:textId="77777777" w:rsidR="007619BB" w:rsidRPr="007B7219" w:rsidRDefault="007619BB" w:rsidP="00E14EFB">
            <w:pPr>
              <w:pStyle w:val="Naslovpublikacije"/>
              <w:spacing w:after="0"/>
              <w:jc w:val="left"/>
              <w:rPr>
                <w:rFonts w:asciiTheme="minorHAnsi" w:eastAsiaTheme="minorHAnsi" w:hAnsiTheme="minorHAnsi" w:cstheme="minorHAnsi"/>
                <w:b w:val="0"/>
                <w:color w:val="auto"/>
                <w:sz w:val="20"/>
                <w:szCs w:val="20"/>
              </w:rPr>
            </w:pPr>
          </w:p>
        </w:tc>
        <w:tc>
          <w:tcPr>
            <w:tcW w:w="2813" w:type="pct"/>
            <w:tcBorders>
              <w:left w:val="nil"/>
              <w:right w:val="nil"/>
            </w:tcBorders>
          </w:tcPr>
          <w:p w14:paraId="168400AE" w14:textId="77777777" w:rsidR="007619BB" w:rsidRPr="007B7219" w:rsidRDefault="007619BB" w:rsidP="00E14EFB">
            <w:pPr>
              <w:pStyle w:val="Naslovpublikacije"/>
              <w:spacing w:before="120" w:after="0"/>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 xml:space="preserve">Ime in priimek </w:t>
            </w:r>
            <w:r>
              <w:rPr>
                <w:rFonts w:asciiTheme="minorHAnsi" w:eastAsiaTheme="minorHAnsi" w:hAnsiTheme="minorHAnsi" w:cstheme="minorHAnsi"/>
                <w:b w:val="0"/>
                <w:color w:val="auto"/>
                <w:sz w:val="20"/>
                <w:szCs w:val="20"/>
              </w:rPr>
              <w:t>zakonitega zastopnika</w:t>
            </w:r>
            <w:r w:rsidRPr="007B7219">
              <w:rPr>
                <w:rFonts w:asciiTheme="minorHAnsi" w:eastAsiaTheme="minorHAnsi" w:hAnsiTheme="minorHAnsi" w:cstheme="minorHAnsi"/>
                <w:b w:val="0"/>
                <w:color w:val="auto"/>
                <w:sz w:val="20"/>
                <w:szCs w:val="20"/>
              </w:rPr>
              <w:t xml:space="preserve"> vlagatelja</w:t>
            </w:r>
          </w:p>
        </w:tc>
      </w:tr>
      <w:tr w:rsidR="007619BB" w:rsidRPr="007B7219" w14:paraId="7E558D5E" w14:textId="77777777" w:rsidTr="00E14EFB">
        <w:tc>
          <w:tcPr>
            <w:tcW w:w="1874" w:type="pct"/>
            <w:vMerge/>
            <w:tcBorders>
              <w:left w:val="nil"/>
              <w:bottom w:val="nil"/>
              <w:right w:val="nil"/>
            </w:tcBorders>
          </w:tcPr>
          <w:p w14:paraId="5B1CE16B" w14:textId="77777777" w:rsidR="007619BB" w:rsidRPr="007B7219" w:rsidRDefault="007619BB" w:rsidP="00E14EFB">
            <w:pPr>
              <w:pStyle w:val="Naslovpublikacije"/>
              <w:spacing w:after="0"/>
              <w:jc w:val="left"/>
              <w:rPr>
                <w:rFonts w:asciiTheme="minorHAnsi" w:eastAsiaTheme="minorHAnsi" w:hAnsiTheme="minorHAnsi" w:cstheme="minorHAnsi"/>
                <w:b w:val="0"/>
                <w:color w:val="auto"/>
                <w:sz w:val="20"/>
                <w:szCs w:val="20"/>
              </w:rPr>
            </w:pPr>
          </w:p>
        </w:tc>
        <w:tc>
          <w:tcPr>
            <w:tcW w:w="313" w:type="pct"/>
            <w:vMerge/>
            <w:tcBorders>
              <w:left w:val="nil"/>
              <w:bottom w:val="nil"/>
              <w:right w:val="nil"/>
            </w:tcBorders>
          </w:tcPr>
          <w:p w14:paraId="7E00B297" w14:textId="77777777" w:rsidR="007619BB" w:rsidRPr="007B7219" w:rsidRDefault="007619BB" w:rsidP="00E14EFB">
            <w:pPr>
              <w:pStyle w:val="Naslovpublikacije"/>
              <w:spacing w:after="0"/>
              <w:jc w:val="left"/>
              <w:rPr>
                <w:rFonts w:asciiTheme="minorHAnsi" w:eastAsiaTheme="minorHAnsi" w:hAnsiTheme="minorHAnsi" w:cstheme="minorHAnsi"/>
                <w:b w:val="0"/>
                <w:color w:val="auto"/>
                <w:sz w:val="20"/>
                <w:szCs w:val="20"/>
              </w:rPr>
            </w:pPr>
          </w:p>
        </w:tc>
        <w:tc>
          <w:tcPr>
            <w:tcW w:w="2813" w:type="pct"/>
            <w:tcBorders>
              <w:left w:val="nil"/>
              <w:bottom w:val="nil"/>
              <w:right w:val="nil"/>
            </w:tcBorders>
          </w:tcPr>
          <w:p w14:paraId="7BD03A32" w14:textId="77777777" w:rsidR="007619BB" w:rsidRPr="007B7219" w:rsidRDefault="007619BB" w:rsidP="00E14EFB">
            <w:pPr>
              <w:pStyle w:val="Naslovpublikacije"/>
              <w:spacing w:before="120" w:after="0"/>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 xml:space="preserve">Podpis </w:t>
            </w:r>
            <w:r>
              <w:rPr>
                <w:rFonts w:asciiTheme="minorHAnsi" w:eastAsiaTheme="minorHAnsi" w:hAnsiTheme="minorHAnsi" w:cstheme="minorHAnsi"/>
                <w:b w:val="0"/>
                <w:color w:val="auto"/>
                <w:sz w:val="20"/>
                <w:szCs w:val="20"/>
              </w:rPr>
              <w:t>zakonitega zastopnika</w:t>
            </w:r>
            <w:r w:rsidRPr="007B7219">
              <w:rPr>
                <w:rFonts w:asciiTheme="minorHAnsi" w:eastAsiaTheme="minorHAnsi" w:hAnsiTheme="minorHAnsi" w:cstheme="minorHAnsi"/>
                <w:b w:val="0"/>
                <w:color w:val="auto"/>
                <w:sz w:val="20"/>
                <w:szCs w:val="20"/>
              </w:rPr>
              <w:t xml:space="preserve"> vlagatelja</w:t>
            </w:r>
          </w:p>
        </w:tc>
      </w:tr>
    </w:tbl>
    <w:p w14:paraId="331D3D12" w14:textId="77777777" w:rsidR="007619BB" w:rsidRDefault="007619BB" w:rsidP="007619BB"/>
    <w:p w14:paraId="79F6E037" w14:textId="4D0EA831" w:rsidR="00EB0C82" w:rsidRPr="002D145E" w:rsidRDefault="00EB0C82" w:rsidP="007619BB">
      <w:pPr>
        <w:pStyle w:val="BodyText22"/>
        <w:spacing w:before="240" w:after="120" w:line="276" w:lineRule="auto"/>
        <w:rPr>
          <w:rFonts w:asciiTheme="minorHAnsi" w:eastAsiaTheme="minorHAnsi" w:hAnsiTheme="minorHAnsi" w:cstheme="minorHAnsi"/>
          <w:b/>
          <w:i/>
          <w:iCs/>
          <w:sz w:val="22"/>
          <w:szCs w:val="22"/>
        </w:rPr>
      </w:pPr>
    </w:p>
    <w:sectPr w:rsidR="00EB0C82" w:rsidRPr="002D145E" w:rsidSect="00114F13">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3F1FE" w14:textId="77777777" w:rsidR="003A2B31" w:rsidRDefault="003A2B31" w:rsidP="00154220">
      <w:pPr>
        <w:spacing w:after="0" w:line="240" w:lineRule="auto"/>
      </w:pPr>
      <w:r>
        <w:separator/>
      </w:r>
    </w:p>
  </w:endnote>
  <w:endnote w:type="continuationSeparator" w:id="0">
    <w:p w14:paraId="4F6AB71C" w14:textId="77777777" w:rsidR="003A2B31" w:rsidRDefault="003A2B31" w:rsidP="0015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BC254" w14:textId="77777777" w:rsidR="00E14EFB" w:rsidRPr="00151444" w:rsidRDefault="00E14EFB" w:rsidP="00114F13">
    <w:pPr>
      <w:pStyle w:val="Glava"/>
      <w:jc w:val="right"/>
    </w:pPr>
  </w:p>
  <w:p w14:paraId="175AD1DB" w14:textId="77777777" w:rsidR="00E14EFB" w:rsidRDefault="00E14EFB" w:rsidP="00114F13"/>
  <w:p w14:paraId="3F3615A9" w14:textId="29552AB8" w:rsidR="00E14EFB" w:rsidRPr="00114F13" w:rsidRDefault="00E14EFB" w:rsidP="00114F13">
    <w:pPr>
      <w:pStyle w:val="Noga"/>
      <w:pBdr>
        <w:top w:val="single" w:sz="4" w:space="1" w:color="auto"/>
      </w:pBdr>
      <w:rPr>
        <w:sz w:val="16"/>
        <w:szCs w:val="16"/>
      </w:rPr>
    </w:pPr>
    <w:r w:rsidRPr="00203981">
      <w:rPr>
        <w:sz w:val="16"/>
        <w:szCs w:val="16"/>
      </w:rPr>
      <w:t>P</w:t>
    </w:r>
    <w:r>
      <w:rPr>
        <w:sz w:val="16"/>
        <w:szCs w:val="16"/>
      </w:rPr>
      <w:t xml:space="preserve">ovabilo </w:t>
    </w:r>
    <w:r w:rsidRPr="00203981">
      <w:rPr>
        <w:sz w:val="16"/>
        <w:szCs w:val="16"/>
      </w:rPr>
      <w:t xml:space="preserve">k predložitvi vlog za neposredno potrditev projektov v okviru </w:t>
    </w:r>
    <w:r w:rsidR="00112748" w:rsidRPr="00112748">
      <w:rPr>
        <w:sz w:val="16"/>
        <w:szCs w:val="16"/>
      </w:rPr>
      <w:t>Sheme EE (del A): Posodobitev in razvoj prenosnega in distribucijskega električnega omrežja</w:t>
    </w:r>
    <w:r w:rsidR="00112748">
      <w:rPr>
        <w:sz w:val="16"/>
        <w:szCs w:val="16"/>
      </w:rPr>
      <w:t xml:space="preserve"> (oznaka: POVABILO MS E</w:t>
    </w:r>
    <w:r w:rsidRPr="00203981">
      <w:rPr>
        <w:sz w:val="16"/>
        <w:szCs w:val="16"/>
      </w:rPr>
      <w:t>E-A)</w:t>
    </w:r>
    <w:r w:rsidRPr="00ED782B">
      <w:rPr>
        <w:b/>
        <w:sz w:val="16"/>
        <w:szCs w:val="16"/>
      </w:rPr>
      <w:tab/>
    </w:r>
    <w:r>
      <w:rPr>
        <w:b/>
        <w:sz w:val="16"/>
        <w:szCs w:val="16"/>
      </w:rPr>
      <w:tab/>
    </w:r>
    <w:r w:rsidRPr="00ED782B">
      <w:rPr>
        <w:rStyle w:val="tevilkastrani"/>
        <w:rFonts w:ascii="Calibri" w:hAnsi="Calibri" w:cs="Calibri"/>
        <w:sz w:val="16"/>
        <w:szCs w:val="16"/>
      </w:rPr>
      <w:fldChar w:fldCharType="begin"/>
    </w:r>
    <w:r w:rsidRPr="00ED782B">
      <w:rPr>
        <w:rStyle w:val="tevilkastrani"/>
        <w:rFonts w:ascii="Calibri" w:hAnsi="Calibri" w:cs="Calibri"/>
        <w:sz w:val="16"/>
        <w:szCs w:val="16"/>
      </w:rPr>
      <w:instrText xml:space="preserve"> PAGE </w:instrText>
    </w:r>
    <w:r w:rsidRPr="00ED782B">
      <w:rPr>
        <w:rStyle w:val="tevilkastrani"/>
        <w:rFonts w:ascii="Calibri" w:hAnsi="Calibri" w:cs="Calibri"/>
        <w:sz w:val="16"/>
        <w:szCs w:val="16"/>
      </w:rPr>
      <w:fldChar w:fldCharType="separate"/>
    </w:r>
    <w:r w:rsidR="00112748">
      <w:rPr>
        <w:rStyle w:val="tevilkastrani"/>
        <w:rFonts w:ascii="Calibri" w:hAnsi="Calibri" w:cs="Calibri"/>
        <w:noProof/>
        <w:sz w:val="16"/>
        <w:szCs w:val="16"/>
      </w:rPr>
      <w:t>2</w:t>
    </w:r>
    <w:r w:rsidRPr="00ED782B">
      <w:rPr>
        <w:rStyle w:val="tevilkastrani"/>
        <w:rFonts w:ascii="Calibri" w:hAnsi="Calibri" w:cs="Calibri"/>
        <w:sz w:val="16"/>
        <w:szCs w:val="16"/>
      </w:rPr>
      <w:fldChar w:fldCharType="end"/>
    </w:r>
    <w:r w:rsidRPr="00ED782B">
      <w:rPr>
        <w:rStyle w:val="tevilkastrani"/>
        <w:rFonts w:ascii="Calibri" w:hAnsi="Calibri" w:cs="Calibri"/>
        <w:sz w:val="16"/>
        <w:szCs w:val="16"/>
      </w:rPr>
      <w:t xml:space="preserve"> / </w:t>
    </w:r>
    <w:r w:rsidRPr="00ED782B">
      <w:rPr>
        <w:rStyle w:val="tevilkastrani"/>
        <w:rFonts w:ascii="Calibri" w:hAnsi="Calibri" w:cs="Calibri"/>
        <w:sz w:val="16"/>
        <w:szCs w:val="16"/>
      </w:rPr>
      <w:fldChar w:fldCharType="begin"/>
    </w:r>
    <w:r w:rsidRPr="00ED782B">
      <w:rPr>
        <w:rStyle w:val="tevilkastrani"/>
        <w:rFonts w:ascii="Calibri" w:hAnsi="Calibri" w:cs="Calibri"/>
        <w:sz w:val="16"/>
        <w:szCs w:val="16"/>
      </w:rPr>
      <w:instrText xml:space="preserve"> NUMPAGES </w:instrText>
    </w:r>
    <w:r w:rsidRPr="00ED782B">
      <w:rPr>
        <w:rStyle w:val="tevilkastrani"/>
        <w:rFonts w:ascii="Calibri" w:hAnsi="Calibri" w:cs="Calibri"/>
        <w:sz w:val="16"/>
        <w:szCs w:val="16"/>
      </w:rPr>
      <w:fldChar w:fldCharType="separate"/>
    </w:r>
    <w:r w:rsidR="00112748">
      <w:rPr>
        <w:rStyle w:val="tevilkastrani"/>
        <w:rFonts w:ascii="Calibri" w:hAnsi="Calibri" w:cs="Calibri"/>
        <w:noProof/>
        <w:sz w:val="16"/>
        <w:szCs w:val="16"/>
      </w:rPr>
      <w:t>11</w:t>
    </w:r>
    <w:r w:rsidRPr="00ED782B">
      <w:rPr>
        <w:rStyle w:val="tevilkastrani"/>
        <w:rFonts w:ascii="Calibri" w:hAnsi="Calibri" w:cs="Calibr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8CDC9" w14:textId="6BFEE60C" w:rsidR="00E14EFB" w:rsidRPr="00CE58A1" w:rsidRDefault="00E14EFB" w:rsidP="00CE58A1">
    <w:pPr>
      <w:pStyle w:val="Noga"/>
      <w:pBdr>
        <w:top w:val="single" w:sz="4" w:space="1" w:color="auto"/>
      </w:pBdr>
      <w:rPr>
        <w:sz w:val="16"/>
        <w:szCs w:val="16"/>
      </w:rPr>
    </w:pPr>
    <w:r w:rsidRPr="00203981">
      <w:rPr>
        <w:sz w:val="16"/>
        <w:szCs w:val="16"/>
      </w:rPr>
      <w:t>P</w:t>
    </w:r>
    <w:r>
      <w:rPr>
        <w:sz w:val="16"/>
        <w:szCs w:val="16"/>
      </w:rPr>
      <w:t xml:space="preserve">ovabilo </w:t>
    </w:r>
    <w:r w:rsidRPr="00203981">
      <w:rPr>
        <w:sz w:val="16"/>
        <w:szCs w:val="16"/>
      </w:rPr>
      <w:t xml:space="preserve">k predložitvi vlog za neposredno potrditev projektov v okviru </w:t>
    </w:r>
    <w:r w:rsidR="00112748" w:rsidRPr="00112748">
      <w:rPr>
        <w:sz w:val="16"/>
        <w:szCs w:val="16"/>
      </w:rPr>
      <w:t>Sheme EE (del A): Posodobitev in razvoj prenosnega in distribucijskega električnega omrežja</w:t>
    </w:r>
    <w:r w:rsidR="00112748">
      <w:rPr>
        <w:sz w:val="16"/>
        <w:szCs w:val="16"/>
      </w:rPr>
      <w:t xml:space="preserve"> (oznaka: POVABILO MS E</w:t>
    </w:r>
    <w:r w:rsidRPr="00203981">
      <w:rPr>
        <w:sz w:val="16"/>
        <w:szCs w:val="16"/>
      </w:rPr>
      <w:t>E-A)</w:t>
    </w:r>
    <w:r w:rsidRPr="00ED782B">
      <w:rPr>
        <w:b/>
        <w:sz w:val="16"/>
        <w:szCs w:val="16"/>
      </w:rPr>
      <w:tab/>
    </w:r>
    <w:r>
      <w:rPr>
        <w:b/>
        <w:sz w:val="16"/>
        <w:szCs w:val="16"/>
      </w:rPr>
      <w:tab/>
    </w:r>
    <w:r w:rsidRPr="00ED782B">
      <w:rPr>
        <w:rStyle w:val="tevilkastrani"/>
        <w:rFonts w:ascii="Calibri" w:hAnsi="Calibri" w:cs="Calibri"/>
        <w:sz w:val="16"/>
        <w:szCs w:val="16"/>
      </w:rPr>
      <w:fldChar w:fldCharType="begin"/>
    </w:r>
    <w:r w:rsidRPr="00ED782B">
      <w:rPr>
        <w:rStyle w:val="tevilkastrani"/>
        <w:rFonts w:ascii="Calibri" w:hAnsi="Calibri" w:cs="Calibri"/>
        <w:sz w:val="16"/>
        <w:szCs w:val="16"/>
      </w:rPr>
      <w:instrText xml:space="preserve"> PAGE </w:instrText>
    </w:r>
    <w:r w:rsidRPr="00ED782B">
      <w:rPr>
        <w:rStyle w:val="tevilkastrani"/>
        <w:rFonts w:ascii="Calibri" w:hAnsi="Calibri" w:cs="Calibri"/>
        <w:sz w:val="16"/>
        <w:szCs w:val="16"/>
      </w:rPr>
      <w:fldChar w:fldCharType="separate"/>
    </w:r>
    <w:r w:rsidR="00112748">
      <w:rPr>
        <w:rStyle w:val="tevilkastrani"/>
        <w:rFonts w:ascii="Calibri" w:hAnsi="Calibri" w:cs="Calibri"/>
        <w:noProof/>
        <w:sz w:val="16"/>
        <w:szCs w:val="16"/>
      </w:rPr>
      <w:t>1</w:t>
    </w:r>
    <w:r w:rsidRPr="00ED782B">
      <w:rPr>
        <w:rStyle w:val="tevilkastrani"/>
        <w:rFonts w:ascii="Calibri" w:hAnsi="Calibri" w:cs="Calibri"/>
        <w:sz w:val="16"/>
        <w:szCs w:val="16"/>
      </w:rPr>
      <w:fldChar w:fldCharType="end"/>
    </w:r>
    <w:r w:rsidRPr="00ED782B">
      <w:rPr>
        <w:rStyle w:val="tevilkastrani"/>
        <w:rFonts w:ascii="Calibri" w:hAnsi="Calibri" w:cs="Calibri"/>
        <w:sz w:val="16"/>
        <w:szCs w:val="16"/>
      </w:rPr>
      <w:t xml:space="preserve"> / </w:t>
    </w:r>
    <w:r w:rsidRPr="00ED782B">
      <w:rPr>
        <w:rStyle w:val="tevilkastrani"/>
        <w:rFonts w:ascii="Calibri" w:hAnsi="Calibri" w:cs="Calibri"/>
        <w:sz w:val="16"/>
        <w:szCs w:val="16"/>
      </w:rPr>
      <w:fldChar w:fldCharType="begin"/>
    </w:r>
    <w:r w:rsidRPr="00ED782B">
      <w:rPr>
        <w:rStyle w:val="tevilkastrani"/>
        <w:rFonts w:ascii="Calibri" w:hAnsi="Calibri" w:cs="Calibri"/>
        <w:sz w:val="16"/>
        <w:szCs w:val="16"/>
      </w:rPr>
      <w:instrText xml:space="preserve"> NUMPAGES </w:instrText>
    </w:r>
    <w:r w:rsidRPr="00ED782B">
      <w:rPr>
        <w:rStyle w:val="tevilkastrani"/>
        <w:rFonts w:ascii="Calibri" w:hAnsi="Calibri" w:cs="Calibri"/>
        <w:sz w:val="16"/>
        <w:szCs w:val="16"/>
      </w:rPr>
      <w:fldChar w:fldCharType="separate"/>
    </w:r>
    <w:r w:rsidR="00112748">
      <w:rPr>
        <w:rStyle w:val="tevilkastrani"/>
        <w:rFonts w:ascii="Calibri" w:hAnsi="Calibri" w:cs="Calibri"/>
        <w:noProof/>
        <w:sz w:val="16"/>
        <w:szCs w:val="16"/>
      </w:rPr>
      <w:t>11</w:t>
    </w:r>
    <w:r w:rsidRPr="00ED782B">
      <w:rPr>
        <w:rStyle w:val="tevilkastrani"/>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C4BDF" w14:textId="77777777" w:rsidR="003A2B31" w:rsidRDefault="003A2B31" w:rsidP="00154220">
      <w:pPr>
        <w:spacing w:after="0" w:line="240" w:lineRule="auto"/>
      </w:pPr>
      <w:r>
        <w:separator/>
      </w:r>
    </w:p>
  </w:footnote>
  <w:footnote w:type="continuationSeparator" w:id="0">
    <w:p w14:paraId="01D1B053" w14:textId="77777777" w:rsidR="003A2B31" w:rsidRDefault="003A2B31" w:rsidP="00154220">
      <w:pPr>
        <w:spacing w:after="0" w:line="240" w:lineRule="auto"/>
      </w:pPr>
      <w:r>
        <w:continuationSeparator/>
      </w:r>
    </w:p>
  </w:footnote>
  <w:footnote w:id="1">
    <w:p w14:paraId="5AF83B9D" w14:textId="77777777" w:rsidR="00E14EFB" w:rsidRPr="008C27AB" w:rsidRDefault="00E14EFB" w:rsidP="007619BB">
      <w:pPr>
        <w:pStyle w:val="Sprotnaopomba-besedilo"/>
        <w:spacing w:line="259" w:lineRule="auto"/>
        <w:jc w:val="both"/>
        <w:rPr>
          <w:rFonts w:ascii="Calibri" w:hAnsi="Calibri" w:cs="Calibri"/>
          <w:sz w:val="16"/>
          <w:szCs w:val="16"/>
        </w:rPr>
      </w:pPr>
      <w:r w:rsidRPr="008C27AB">
        <w:rPr>
          <w:rStyle w:val="Sprotnaopomba-sklic"/>
          <w:rFonts w:ascii="Calibri" w:hAnsi="Calibri" w:cs="Calibri"/>
          <w:sz w:val="16"/>
          <w:szCs w:val="16"/>
        </w:rPr>
        <w:footnoteRef/>
      </w:r>
      <w:r w:rsidRPr="008C27AB">
        <w:rPr>
          <w:rFonts w:ascii="Calibri" w:hAnsi="Calibri" w:cs="Calibri"/>
          <w:sz w:val="16"/>
          <w:szCs w:val="16"/>
        </w:rPr>
        <w:t xml:space="preserve"> </w:t>
      </w:r>
      <w:hyperlink r:id="rId1" w:history="1">
        <w:r w:rsidRPr="00CB302B">
          <w:rPr>
            <w:rStyle w:val="Hiperpovezava"/>
            <w:rFonts w:ascii="Calibri" w:hAnsi="Calibri" w:cs="Calibri"/>
            <w:sz w:val="16"/>
            <w:szCs w:val="16"/>
          </w:rPr>
          <w:t>UREDBA (EU) 2020/852 EVROPSKEGA PARLAMENTA IN SVETA z dne 18. junija 2020 o vzpostavitvi okvira za spodbujanje trajnostnih naložb ter spremembi Uredbe (EU) 2019/2088</w:t>
        </w:r>
      </w:hyperlink>
    </w:p>
  </w:footnote>
  <w:footnote w:id="2">
    <w:p w14:paraId="0013D6C6" w14:textId="77777777" w:rsidR="00E14EFB" w:rsidRPr="005E7234" w:rsidRDefault="00E14EFB" w:rsidP="007619BB">
      <w:pPr>
        <w:pStyle w:val="Sprotnaopomba-besedilo"/>
        <w:spacing w:line="259" w:lineRule="auto"/>
        <w:jc w:val="both"/>
        <w:rPr>
          <w:rFonts w:ascii="Arial" w:hAnsi="Arial" w:cs="Arial"/>
        </w:rPr>
      </w:pPr>
      <w:r w:rsidRPr="008C27AB">
        <w:rPr>
          <w:rStyle w:val="Sprotnaopomba-sklic"/>
          <w:rFonts w:ascii="Calibri" w:hAnsi="Calibri" w:cs="Calibri"/>
          <w:sz w:val="16"/>
          <w:szCs w:val="16"/>
        </w:rPr>
        <w:footnoteRef/>
      </w:r>
      <w:r w:rsidRPr="008C27AB">
        <w:rPr>
          <w:rFonts w:ascii="Calibri" w:hAnsi="Calibri" w:cs="Calibri"/>
          <w:sz w:val="16"/>
          <w:szCs w:val="16"/>
        </w:rPr>
        <w:t xml:space="preserve"> </w:t>
      </w:r>
      <w:hyperlink r:id="rId2" w:history="1">
        <w:r w:rsidRPr="00CB302B">
          <w:rPr>
            <w:rStyle w:val="Hiperpovezava"/>
            <w:rFonts w:ascii="Calibri" w:hAnsi="Calibri" w:cs="Calibri"/>
            <w:sz w:val="16"/>
            <w:szCs w:val="16"/>
          </w:rPr>
          <w:t>Obvestilo Komisije - Tehnične smernice za uporabo „načela, da se ne škoduje bistveno“ v skladu z uredbo o vzpostavitvi mehanizma za okrevanje in odpornost 2021/C 58/01</w:t>
        </w:r>
      </w:hyperlink>
    </w:p>
  </w:footnote>
  <w:footnote w:id="3">
    <w:p w14:paraId="247610C7" w14:textId="77777777" w:rsidR="00E14EFB" w:rsidRPr="008F5061" w:rsidRDefault="00E14EFB" w:rsidP="007619BB">
      <w:pPr>
        <w:pStyle w:val="Sprotnaopomba-besedilo"/>
        <w:jc w:val="both"/>
        <w:rPr>
          <w:rFonts w:asciiTheme="minorHAnsi" w:hAnsiTheme="minorHAnsi"/>
        </w:rPr>
      </w:pPr>
      <w:r w:rsidRPr="008F5061">
        <w:rPr>
          <w:rStyle w:val="Sprotnaopomba-sklic"/>
          <w:rFonts w:asciiTheme="minorHAnsi" w:hAnsiTheme="minorHAnsi"/>
          <w:sz w:val="16"/>
        </w:rPr>
        <w:footnoteRef/>
      </w:r>
      <w:r w:rsidRPr="008F5061">
        <w:rPr>
          <w:rFonts w:asciiTheme="minorHAnsi" w:hAnsiTheme="minorHAnsi"/>
          <w:sz w:val="16"/>
        </w:rPr>
        <w:t xml:space="preserve"> </w:t>
      </w:r>
      <w:hyperlink r:id="rId3" w:history="1">
        <w:r w:rsidRPr="008F5061">
          <w:rPr>
            <w:rStyle w:val="Hiperpovezava"/>
            <w:rFonts w:asciiTheme="minorHAnsi" w:hAnsiTheme="minorHAnsi"/>
            <w:sz w:val="16"/>
          </w:rPr>
          <w:t xml:space="preserve">Delegirana uredba Komisije (EU) 2021/2139 z dne 4. junija 2021 o dopolnitvi Uredbe (EU) 2020/852 Evropskega parlamenta in Sveta z določitvijo tehničnih meril za pregled za določitev pogojev, pod katerimi se šteje, da gospodarska dejavnost bistveno prispeva k blažitvi podnebnih sprememb ali prilagajanju podnebnim spremembam, ter za ugotavljanje, ali ta gospodarska dejavnost ne škoduje bistveno kateremu od drugih </w:t>
        </w:r>
        <w:proofErr w:type="spellStart"/>
        <w:r w:rsidRPr="008F5061">
          <w:rPr>
            <w:rStyle w:val="Hiperpovezava"/>
            <w:rFonts w:asciiTheme="minorHAnsi" w:hAnsiTheme="minorHAnsi"/>
            <w:sz w:val="16"/>
          </w:rPr>
          <w:t>okoljskih</w:t>
        </w:r>
        <w:proofErr w:type="spellEnd"/>
        <w:r w:rsidRPr="008F5061">
          <w:rPr>
            <w:rStyle w:val="Hiperpovezava"/>
            <w:rFonts w:asciiTheme="minorHAnsi" w:hAnsiTheme="minorHAnsi"/>
            <w:sz w:val="16"/>
          </w:rPr>
          <w:t xml:space="preserve"> ciljev</w:t>
        </w:r>
      </w:hyperlink>
    </w:p>
  </w:footnote>
  <w:footnote w:id="4">
    <w:p w14:paraId="4D63D486" w14:textId="77777777" w:rsidR="00E14EFB" w:rsidRPr="008C27AB" w:rsidRDefault="00E14EFB" w:rsidP="007619BB">
      <w:pPr>
        <w:pStyle w:val="Sprotnaopomba-besedilo"/>
        <w:jc w:val="both"/>
        <w:rPr>
          <w:rFonts w:ascii="Calibri" w:hAnsi="Calibri" w:cs="Calibri"/>
          <w:sz w:val="16"/>
          <w:szCs w:val="16"/>
        </w:rPr>
      </w:pPr>
      <w:r w:rsidRPr="008C27AB">
        <w:rPr>
          <w:rStyle w:val="Sprotnaopomba-sklic"/>
          <w:rFonts w:ascii="Calibri" w:hAnsi="Calibri" w:cs="Calibri"/>
          <w:sz w:val="16"/>
          <w:szCs w:val="16"/>
        </w:rPr>
        <w:footnoteRef/>
      </w:r>
      <w:r w:rsidRPr="008C27AB">
        <w:rPr>
          <w:rFonts w:ascii="Calibri" w:hAnsi="Calibri" w:cs="Calibri"/>
          <w:sz w:val="16"/>
          <w:szCs w:val="16"/>
        </w:rPr>
        <w:t xml:space="preserve"> </w:t>
      </w:r>
      <w:hyperlink r:id="rId4" w:history="1">
        <w:r w:rsidRPr="003C2EE0">
          <w:rPr>
            <w:rStyle w:val="Hiperpovezava"/>
            <w:rFonts w:ascii="Calibri" w:hAnsi="Calibri" w:cs="Calibri"/>
            <w:sz w:val="16"/>
            <w:szCs w:val="16"/>
          </w:rPr>
          <w:t>Priloga k CPVO-DNSH: Tehnična merila za izbor projektov za izpolnjevanje »načela, da se ne škoduje bistveno«</w:t>
        </w:r>
      </w:hyperlink>
    </w:p>
  </w:footnote>
  <w:footnote w:id="5">
    <w:p w14:paraId="041C7566" w14:textId="77777777" w:rsidR="00E14EFB" w:rsidRDefault="00E14EFB" w:rsidP="007619BB">
      <w:pPr>
        <w:pStyle w:val="Sprotnaopomba-besedilo"/>
        <w:jc w:val="both"/>
      </w:pPr>
      <w:r w:rsidRPr="008C27AB">
        <w:rPr>
          <w:rStyle w:val="Sprotnaopomba-sklic"/>
          <w:rFonts w:ascii="Calibri" w:hAnsi="Calibri" w:cs="Calibri"/>
          <w:sz w:val="16"/>
          <w:szCs w:val="16"/>
        </w:rPr>
        <w:footnoteRef/>
      </w:r>
      <w:r w:rsidRPr="008C27AB">
        <w:rPr>
          <w:rFonts w:ascii="Calibri" w:hAnsi="Calibri" w:cs="Calibri"/>
          <w:sz w:val="16"/>
          <w:szCs w:val="16"/>
        </w:rPr>
        <w:t xml:space="preserve"> </w:t>
      </w:r>
      <w:hyperlink r:id="rId5" w:history="1">
        <w:r w:rsidRPr="003C2EE0">
          <w:rPr>
            <w:rStyle w:val="Hiperpovezava"/>
            <w:rFonts w:ascii="Calibri" w:hAnsi="Calibri" w:cs="Calibri"/>
            <w:sz w:val="16"/>
            <w:szCs w:val="16"/>
          </w:rPr>
          <w:t>Smernice organa upravljanja za uporabo načela, da se ne škoduje bistveno pri izvajanju Programa evropske kohezijske politike v obdobju 2021–2027 v Sloveniji, verzija 2.0</w:t>
        </w:r>
      </w:hyperlink>
    </w:p>
  </w:footnote>
  <w:footnote w:id="6">
    <w:p w14:paraId="07F22920" w14:textId="2447C6F1" w:rsidR="000A401C" w:rsidRPr="000A401C" w:rsidRDefault="000A401C" w:rsidP="000A401C">
      <w:pPr>
        <w:pStyle w:val="Sprotnaopomba-besedilo"/>
        <w:jc w:val="both"/>
        <w:rPr>
          <w:rFonts w:asciiTheme="minorHAnsi" w:hAnsiTheme="minorHAnsi" w:cstheme="minorHAnsi"/>
        </w:rPr>
      </w:pPr>
      <w:r w:rsidRPr="000A401C">
        <w:rPr>
          <w:rStyle w:val="Sprotnaopomba-sklic"/>
          <w:rFonts w:asciiTheme="minorHAnsi" w:hAnsiTheme="minorHAnsi" w:cstheme="minorHAnsi"/>
        </w:rPr>
        <w:footnoteRef/>
      </w:r>
      <w:r w:rsidRPr="000A401C">
        <w:rPr>
          <w:rFonts w:asciiTheme="minorHAnsi" w:hAnsiTheme="minorHAnsi" w:cstheme="minorHAnsi"/>
        </w:rPr>
        <w:t xml:space="preserve"> </w:t>
      </w:r>
      <w:proofErr w:type="spellStart"/>
      <w:r w:rsidRPr="000A401C">
        <w:rPr>
          <w:rFonts w:asciiTheme="minorHAnsi" w:hAnsiTheme="minorHAnsi" w:cstheme="minorHAnsi"/>
        </w:rPr>
        <w:t>Okoljske</w:t>
      </w:r>
      <w:proofErr w:type="spellEnd"/>
      <w:r w:rsidRPr="000A401C">
        <w:rPr>
          <w:rFonts w:asciiTheme="minorHAnsi" w:hAnsiTheme="minorHAnsi" w:cstheme="minorHAnsi"/>
        </w:rPr>
        <w:t xml:space="preserve">, zdravstvene in varnostne smernice z dne 30. aprila 2007 (različica z dne (različica z dne 4. junija 2021): </w:t>
      </w:r>
      <w:hyperlink r:id="rId6" w:history="1">
        <w:r w:rsidRPr="000A401C">
          <w:rPr>
            <w:rStyle w:val="Hiperpovezava"/>
            <w:rFonts w:asciiTheme="minorHAnsi" w:hAnsiTheme="minorHAnsi" w:cstheme="minorHAnsi"/>
          </w:rPr>
          <w:t>https://www.ifc.org/wps/wcm/connect/29f5137d-6e17-4660-b1f9-02bf561935e5/Final%2B-%2BGeneral%2BEHS%2BGuidelines.pdf?MOD=AJPERES&amp;CVID=jOWim3p</w:t>
        </w:r>
      </w:hyperlink>
      <w:r w:rsidRPr="000A401C">
        <w:rPr>
          <w:rFonts w:asciiTheme="minorHAnsi" w:hAnsiTheme="minorHAnsi" w:cstheme="minorHAnsi"/>
        </w:rPr>
        <w:t>).</w:t>
      </w:r>
    </w:p>
  </w:footnote>
  <w:footnote w:id="7">
    <w:p w14:paraId="44944ECA" w14:textId="706C22C5" w:rsidR="000A401C" w:rsidRDefault="000A401C" w:rsidP="000A401C">
      <w:pPr>
        <w:pStyle w:val="Sprotnaopomba-besedilo"/>
        <w:jc w:val="both"/>
      </w:pPr>
      <w:r w:rsidRPr="000A401C">
        <w:rPr>
          <w:rStyle w:val="Sprotnaopomba-sklic"/>
          <w:rFonts w:asciiTheme="minorHAnsi" w:hAnsiTheme="minorHAnsi" w:cstheme="minorHAnsi"/>
        </w:rPr>
        <w:footnoteRef/>
      </w:r>
      <w:r w:rsidRPr="000A401C">
        <w:rPr>
          <w:rFonts w:asciiTheme="minorHAnsi" w:hAnsiTheme="minorHAnsi" w:cstheme="minorHAnsi"/>
        </w:rPr>
        <w:t xml:space="preserve"> </w:t>
      </w:r>
      <w:r w:rsidRPr="000A401C">
        <w:rPr>
          <w:rFonts w:asciiTheme="minorHAnsi" w:hAnsiTheme="minorHAnsi" w:cstheme="minorHAnsi"/>
        </w:rPr>
        <w:t>Priporočilo Sveta z dne 12. julija 1999 o omejevanju izpostavljanja javnosti elektromagnetnim poljem (od 0 Hz do 300 GHz) (1999/519/ES) (UL L 199, 30.7.1999, str. 59).</w:t>
      </w:r>
    </w:p>
  </w:footnote>
  <w:footnote w:id="8">
    <w:p w14:paraId="7FF39F05" w14:textId="74069516" w:rsidR="000A401C" w:rsidRPr="000A401C" w:rsidRDefault="000A401C" w:rsidP="000A401C">
      <w:pPr>
        <w:pStyle w:val="Sprotnaopomba-besedilo"/>
        <w:jc w:val="both"/>
        <w:rPr>
          <w:rFonts w:asciiTheme="minorHAnsi" w:hAnsiTheme="minorHAnsi" w:cstheme="minorHAnsi"/>
        </w:rPr>
      </w:pPr>
      <w:r w:rsidRPr="000A401C">
        <w:rPr>
          <w:rStyle w:val="Sprotnaopomba-sklic"/>
          <w:rFonts w:asciiTheme="minorHAnsi" w:hAnsiTheme="minorHAnsi" w:cstheme="minorHAnsi"/>
        </w:rPr>
        <w:footnoteRef/>
      </w:r>
      <w:r w:rsidRPr="000A401C">
        <w:rPr>
          <w:rFonts w:asciiTheme="minorHAnsi" w:hAnsiTheme="minorHAnsi" w:cstheme="minorHAnsi"/>
        </w:rPr>
        <w:t xml:space="preserve"> </w:t>
      </w:r>
      <w:r w:rsidRPr="000A401C">
        <w:rPr>
          <w:rFonts w:asciiTheme="minorHAnsi" w:hAnsiTheme="minorHAnsi" w:cstheme="minorHAnsi"/>
        </w:rPr>
        <w:t xml:space="preserve">Smernice Mednarodne komisije za varstvo pred neionizirajočimi sevanji za omejevanje izpostavljenosti časovno spremenljivim električnim, magnetnim in elektromagnetnim poljem (do 300 GHz) iz leta 1998 (različica z dne (različica z dne 4. junija 2021): </w:t>
      </w:r>
      <w:hyperlink r:id="rId7" w:history="1">
        <w:r w:rsidRPr="007D1AD2">
          <w:rPr>
            <w:rStyle w:val="Hiperpovezava"/>
            <w:rFonts w:asciiTheme="minorHAnsi" w:hAnsiTheme="minorHAnsi" w:cstheme="minorHAnsi"/>
          </w:rPr>
          <w:t>https://www.icnirp.org/cms/upload/publications/ICNIRPemfgdl.pdf</w:t>
        </w:r>
      </w:hyperlink>
      <w:r w:rsidRPr="000A401C">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43707" w14:textId="073ECE87" w:rsidR="00E14EFB" w:rsidRDefault="00E14EFB" w:rsidP="00114F13">
    <w:pPr>
      <w:pStyle w:val="Glava"/>
      <w:tabs>
        <w:tab w:val="clear" w:pos="4536"/>
        <w:tab w:val="clear" w:pos="9072"/>
        <w:tab w:val="left" w:pos="40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E4576" w14:textId="361D7E6D" w:rsidR="00E14EFB" w:rsidRDefault="00E14EFB" w:rsidP="00C83346">
    <w:pPr>
      <w:pStyle w:val="Glava"/>
      <w:tabs>
        <w:tab w:val="left" w:pos="5112"/>
      </w:tabs>
      <w:rPr>
        <w:rFonts w:cs="Arial"/>
        <w:sz w:val="16"/>
      </w:rPr>
    </w:pPr>
  </w:p>
  <w:p w14:paraId="430102F6" w14:textId="4F8AAAD8" w:rsidR="00E14EFB" w:rsidRDefault="00E14EFB" w:rsidP="00EB6F9C">
    <w:pPr>
      <w:pStyle w:val="Glava"/>
      <w:tabs>
        <w:tab w:val="left" w:pos="3261"/>
      </w:tabs>
      <w:rPr>
        <w:rFonts w:ascii="Republika" w:hAnsi="Republika" w:cs="Arial"/>
        <w:sz w:val="16"/>
      </w:rPr>
    </w:pPr>
    <w:r>
      <w:rPr>
        <w:noProof/>
        <w:lang w:eastAsia="sl-SI"/>
      </w:rPr>
      <w:drawing>
        <wp:anchor distT="0" distB="0" distL="114300" distR="114300" simplePos="0" relativeHeight="251663360" behindDoc="0" locked="0" layoutInCell="1" allowOverlap="1" wp14:anchorId="05FA23D9" wp14:editId="5B346EFD">
          <wp:simplePos x="0" y="0"/>
          <wp:positionH relativeFrom="column">
            <wp:posOffset>4307205</wp:posOffset>
          </wp:positionH>
          <wp:positionV relativeFrom="paragraph">
            <wp:posOffset>80645</wp:posOffset>
          </wp:positionV>
          <wp:extent cx="1549400" cy="518160"/>
          <wp:effectExtent l="0" t="0" r="0" b="0"/>
          <wp:wrapThrough wrapText="bothSides">
            <wp:wrapPolygon edited="0">
              <wp:start x="5843" y="2382"/>
              <wp:lineTo x="4249" y="5559"/>
              <wp:lineTo x="797" y="14294"/>
              <wp:lineTo x="797" y="18265"/>
              <wp:lineTo x="21246" y="18265"/>
              <wp:lineTo x="21246" y="15088"/>
              <wp:lineTo x="14341" y="7147"/>
              <wp:lineTo x="9826" y="2382"/>
              <wp:lineTo x="5843" y="2382"/>
            </wp:wrapPolygon>
          </wp:wrapThrough>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r="15366"/>
                  <a:stretch/>
                </pic:blipFill>
                <pic:spPr bwMode="auto">
                  <a:xfrm>
                    <a:off x="0" y="0"/>
                    <a:ext cx="1549400" cy="518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1312" behindDoc="0" locked="0" layoutInCell="1" allowOverlap="1" wp14:anchorId="7534DE1F" wp14:editId="06FB7AB1">
          <wp:simplePos x="0" y="0"/>
          <wp:positionH relativeFrom="column">
            <wp:posOffset>2751455</wp:posOffset>
          </wp:positionH>
          <wp:positionV relativeFrom="paragraph">
            <wp:posOffset>74295</wp:posOffset>
          </wp:positionV>
          <wp:extent cx="1602740" cy="420370"/>
          <wp:effectExtent l="0" t="0" r="0" b="0"/>
          <wp:wrapThrough wrapText="bothSides">
            <wp:wrapPolygon edited="0">
              <wp:start x="4878" y="0"/>
              <wp:lineTo x="0" y="4894"/>
              <wp:lineTo x="0" y="20556"/>
              <wp:lineTo x="21309" y="20556"/>
              <wp:lineTo x="21309" y="7831"/>
              <wp:lineTo x="8472" y="0"/>
              <wp:lineTo x="4878"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602740" cy="420370"/>
                  </a:xfrm>
                  <a:prstGeom prst="rect">
                    <a:avLst/>
                  </a:prstGeom>
                  <a:noFill/>
                </pic:spPr>
              </pic:pic>
            </a:graphicData>
          </a:graphic>
          <wp14:sizeRelH relativeFrom="page">
            <wp14:pctWidth>0</wp14:pctWidth>
          </wp14:sizeRelH>
          <wp14:sizeRelV relativeFrom="page">
            <wp14:pctHeight>0</wp14:pctHeight>
          </wp14:sizeRelV>
        </wp:anchor>
      </w:drawing>
    </w:r>
    <w:r w:rsidRPr="00E254A9">
      <w:rPr>
        <w:rFonts w:ascii="Republika" w:hAnsi="Republika" w:cs="Arial"/>
        <w:sz w:val="16"/>
      </w:rPr>
      <w:tab/>
    </w:r>
    <w:bookmarkStart w:id="3" w:name="_Hlk184975996"/>
  </w:p>
  <w:p w14:paraId="33D2BDEA" w14:textId="15C900E8" w:rsidR="00E14EFB" w:rsidRDefault="00E14EFB" w:rsidP="00EB6F9C">
    <w:pPr>
      <w:pStyle w:val="Glava"/>
      <w:tabs>
        <w:tab w:val="left" w:pos="3261"/>
      </w:tabs>
      <w:rPr>
        <w:rFonts w:ascii="Republika" w:hAnsi="Republika" w:cs="Arial"/>
        <w:sz w:val="16"/>
      </w:rPr>
    </w:pPr>
    <w:r>
      <w:rPr>
        <w:noProof/>
        <w:lang w:eastAsia="sl-SI"/>
      </w:rPr>
      <w:drawing>
        <wp:anchor distT="0" distB="0" distL="114300" distR="114300" simplePos="0" relativeHeight="251659264" behindDoc="0" locked="0" layoutInCell="1" allowOverlap="1" wp14:anchorId="0B901421" wp14:editId="2BA1D017">
          <wp:simplePos x="0" y="0"/>
          <wp:positionH relativeFrom="margin">
            <wp:posOffset>-487045</wp:posOffset>
          </wp:positionH>
          <wp:positionV relativeFrom="paragraph">
            <wp:posOffset>92075</wp:posOffset>
          </wp:positionV>
          <wp:extent cx="3112770" cy="323850"/>
          <wp:effectExtent l="0" t="0" r="0" b="0"/>
          <wp:wrapThrough wrapText="bothSides">
            <wp:wrapPolygon edited="0">
              <wp:start x="0" y="0"/>
              <wp:lineTo x="0" y="20329"/>
              <wp:lineTo x="21415" y="20329"/>
              <wp:lineTo x="21415" y="0"/>
              <wp:lineTo x="0" y="0"/>
            </wp:wrapPolygon>
          </wp:wrapThrough>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12770"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9BA9CC" w14:textId="5D854C4B" w:rsidR="00E14EFB" w:rsidRPr="00EB6F9C" w:rsidRDefault="00E14EFB" w:rsidP="00EB6F9C">
    <w:pPr>
      <w:pStyle w:val="Glava"/>
      <w:tabs>
        <w:tab w:val="left" w:pos="3261"/>
      </w:tabs>
      <w:rPr>
        <w:rFonts w:ascii="Republika" w:hAnsi="Republika" w:cs="Arial"/>
        <w:sz w:val="16"/>
      </w:rPr>
    </w:pPr>
  </w:p>
  <w:bookmarkEnd w:id="3"/>
  <w:p w14:paraId="4B79426E" w14:textId="164CA528" w:rsidR="00E14EFB" w:rsidRDefault="00E14EFB" w:rsidP="007619BB">
    <w:pPr>
      <w:pStyle w:val="Glava"/>
      <w:jc w:val="right"/>
      <w:rPr>
        <w:b/>
        <w:bCs/>
        <w:i/>
        <w:color w:val="0070C0"/>
        <w:kern w:val="32"/>
      </w:rPr>
    </w:pPr>
    <w:r w:rsidRPr="007619BB">
      <w:rPr>
        <w:b/>
        <w:bCs/>
        <w:i/>
        <w:color w:val="0070C0"/>
        <w:kern w:val="32"/>
      </w:rPr>
      <w:t>Ocena skladnosti z »načelom, da se ne škoduje bistveno«</w:t>
    </w:r>
  </w:p>
  <w:p w14:paraId="15689A51" w14:textId="77777777" w:rsidR="00E14EFB" w:rsidRPr="00151444" w:rsidRDefault="00E14EFB" w:rsidP="007619BB">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428D4"/>
    <w:multiLevelType w:val="hybridMultilevel"/>
    <w:tmpl w:val="028AC8F6"/>
    <w:lvl w:ilvl="0" w:tplc="0424000B">
      <w:start w:val="1"/>
      <w:numFmt w:val="bullet"/>
      <w:lvlText w:val=""/>
      <w:lvlJc w:val="left"/>
      <w:pPr>
        <w:ind w:left="360" w:hanging="360"/>
      </w:pPr>
      <w:rPr>
        <w:rFonts w:ascii="Wingdings" w:hAnsi="Wingdings" w:hint="default"/>
        <w:b/>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23291390"/>
    <w:multiLevelType w:val="hybridMultilevel"/>
    <w:tmpl w:val="5B3C87B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8983858"/>
    <w:multiLevelType w:val="hybridMultilevel"/>
    <w:tmpl w:val="83361FDC"/>
    <w:lvl w:ilvl="0" w:tplc="A968789A">
      <w:start w:val="1"/>
      <w:numFmt w:val="bullet"/>
      <w:lvlText w:val=""/>
      <w:lvlJc w:val="left"/>
      <w:pPr>
        <w:ind w:left="360" w:hanging="360"/>
      </w:pPr>
      <w:rPr>
        <w:rFonts w:ascii="Symbol" w:hAnsi="Symbol" w:hint="default"/>
        <w:color w:val="FF0000"/>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4E376613"/>
    <w:multiLevelType w:val="hybridMultilevel"/>
    <w:tmpl w:val="763C3B66"/>
    <w:lvl w:ilvl="0" w:tplc="A968789A">
      <w:start w:val="1"/>
      <w:numFmt w:val="bullet"/>
      <w:lvlText w:val=""/>
      <w:lvlJc w:val="left"/>
      <w:pPr>
        <w:ind w:left="360" w:hanging="360"/>
      </w:pPr>
      <w:rPr>
        <w:rFonts w:ascii="Symbol" w:hAnsi="Symbol" w:hint="default"/>
        <w:color w:val="FF000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4E3D30B9"/>
    <w:multiLevelType w:val="hybridMultilevel"/>
    <w:tmpl w:val="CA34B578"/>
    <w:lvl w:ilvl="0" w:tplc="D46A86AC">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 w15:restartNumberingAfterBreak="0">
    <w:nsid w:val="546E3DFF"/>
    <w:multiLevelType w:val="hybridMultilevel"/>
    <w:tmpl w:val="547A1C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4963EB6"/>
    <w:multiLevelType w:val="hybridMultilevel"/>
    <w:tmpl w:val="3112E51E"/>
    <w:lvl w:ilvl="0" w:tplc="0424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EA76670"/>
    <w:multiLevelType w:val="hybridMultilevel"/>
    <w:tmpl w:val="64E8A74C"/>
    <w:lvl w:ilvl="0" w:tplc="C0F06FE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2A06278"/>
    <w:multiLevelType w:val="hybridMultilevel"/>
    <w:tmpl w:val="9DCAEAB0"/>
    <w:lvl w:ilvl="0" w:tplc="A968789A">
      <w:start w:val="1"/>
      <w:numFmt w:val="bullet"/>
      <w:lvlText w:val=""/>
      <w:lvlJc w:val="left"/>
      <w:pPr>
        <w:ind w:left="360" w:hanging="360"/>
      </w:pPr>
      <w:rPr>
        <w:rFonts w:ascii="Symbol" w:hAnsi="Symbol" w:hint="default"/>
        <w:color w:val="FF000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74163508"/>
    <w:multiLevelType w:val="hybridMultilevel"/>
    <w:tmpl w:val="ED1E37EA"/>
    <w:lvl w:ilvl="0" w:tplc="887453A0">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num>
  <w:num w:numId="2">
    <w:abstractNumId w:val="2"/>
  </w:num>
  <w:num w:numId="3">
    <w:abstractNumId w:val="6"/>
  </w:num>
  <w:num w:numId="4">
    <w:abstractNumId w:val="0"/>
  </w:num>
  <w:num w:numId="5">
    <w:abstractNumId w:val="4"/>
  </w:num>
  <w:num w:numId="6">
    <w:abstractNumId w:val="5"/>
  </w:num>
  <w:num w:numId="7">
    <w:abstractNumId w:val="1"/>
  </w:num>
  <w:num w:numId="8">
    <w:abstractNumId w:val="3"/>
  </w:num>
  <w:num w:numId="9">
    <w:abstractNumId w:val="7"/>
  </w:num>
  <w:num w:numId="1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510"/>
    <w:rsid w:val="00001234"/>
    <w:rsid w:val="0000790D"/>
    <w:rsid w:val="00010095"/>
    <w:rsid w:val="00012A34"/>
    <w:rsid w:val="00013CC9"/>
    <w:rsid w:val="00014669"/>
    <w:rsid w:val="00015D8F"/>
    <w:rsid w:val="00015ED9"/>
    <w:rsid w:val="00024D3B"/>
    <w:rsid w:val="00027195"/>
    <w:rsid w:val="00027635"/>
    <w:rsid w:val="00027A86"/>
    <w:rsid w:val="00032727"/>
    <w:rsid w:val="000369B4"/>
    <w:rsid w:val="00042654"/>
    <w:rsid w:val="0004442C"/>
    <w:rsid w:val="00051F0A"/>
    <w:rsid w:val="000572FD"/>
    <w:rsid w:val="00061747"/>
    <w:rsid w:val="0006560B"/>
    <w:rsid w:val="000705A3"/>
    <w:rsid w:val="00072761"/>
    <w:rsid w:val="00075416"/>
    <w:rsid w:val="00076BFF"/>
    <w:rsid w:val="000803E8"/>
    <w:rsid w:val="0008169E"/>
    <w:rsid w:val="00086D61"/>
    <w:rsid w:val="00086E8C"/>
    <w:rsid w:val="00090319"/>
    <w:rsid w:val="00090EEC"/>
    <w:rsid w:val="00091DCA"/>
    <w:rsid w:val="000933DC"/>
    <w:rsid w:val="000A1FAF"/>
    <w:rsid w:val="000A401C"/>
    <w:rsid w:val="000A4176"/>
    <w:rsid w:val="000A4639"/>
    <w:rsid w:val="000A488C"/>
    <w:rsid w:val="000A4A43"/>
    <w:rsid w:val="000A5E29"/>
    <w:rsid w:val="000A7574"/>
    <w:rsid w:val="000B3B42"/>
    <w:rsid w:val="000C0CB0"/>
    <w:rsid w:val="000C4744"/>
    <w:rsid w:val="000C4D39"/>
    <w:rsid w:val="000D2D5D"/>
    <w:rsid w:val="000E398C"/>
    <w:rsid w:val="000E63C1"/>
    <w:rsid w:val="000F2BE5"/>
    <w:rsid w:val="00104C2F"/>
    <w:rsid w:val="00107012"/>
    <w:rsid w:val="00111097"/>
    <w:rsid w:val="001119FC"/>
    <w:rsid w:val="00112748"/>
    <w:rsid w:val="00114F13"/>
    <w:rsid w:val="001249B0"/>
    <w:rsid w:val="00124C4A"/>
    <w:rsid w:val="0013046A"/>
    <w:rsid w:val="00134C33"/>
    <w:rsid w:val="00135E07"/>
    <w:rsid w:val="001365E7"/>
    <w:rsid w:val="00137D85"/>
    <w:rsid w:val="00142A24"/>
    <w:rsid w:val="00143CEA"/>
    <w:rsid w:val="00144265"/>
    <w:rsid w:val="00151444"/>
    <w:rsid w:val="00154220"/>
    <w:rsid w:val="00156023"/>
    <w:rsid w:val="00157BF7"/>
    <w:rsid w:val="00160172"/>
    <w:rsid w:val="00165BC5"/>
    <w:rsid w:val="00167476"/>
    <w:rsid w:val="001769D0"/>
    <w:rsid w:val="00183D95"/>
    <w:rsid w:val="00184022"/>
    <w:rsid w:val="00186C96"/>
    <w:rsid w:val="001913DA"/>
    <w:rsid w:val="00196500"/>
    <w:rsid w:val="001A1323"/>
    <w:rsid w:val="001A2A07"/>
    <w:rsid w:val="001A2A98"/>
    <w:rsid w:val="001A3F99"/>
    <w:rsid w:val="001A4C9E"/>
    <w:rsid w:val="001B3305"/>
    <w:rsid w:val="001B3ABA"/>
    <w:rsid w:val="001B5AEF"/>
    <w:rsid w:val="001C38A6"/>
    <w:rsid w:val="001C456E"/>
    <w:rsid w:val="001C5D94"/>
    <w:rsid w:val="001C77AA"/>
    <w:rsid w:val="001E0982"/>
    <w:rsid w:val="001E0DB4"/>
    <w:rsid w:val="001E1FB4"/>
    <w:rsid w:val="001E3142"/>
    <w:rsid w:val="001E4A74"/>
    <w:rsid w:val="001E51BE"/>
    <w:rsid w:val="001E62A8"/>
    <w:rsid w:val="001F06DA"/>
    <w:rsid w:val="001F0F92"/>
    <w:rsid w:val="002024A1"/>
    <w:rsid w:val="00204F41"/>
    <w:rsid w:val="00207555"/>
    <w:rsid w:val="002125F0"/>
    <w:rsid w:val="00220D3B"/>
    <w:rsid w:val="002210B8"/>
    <w:rsid w:val="00222624"/>
    <w:rsid w:val="00224E72"/>
    <w:rsid w:val="00226C61"/>
    <w:rsid w:val="00230B5B"/>
    <w:rsid w:val="00236009"/>
    <w:rsid w:val="00237C61"/>
    <w:rsid w:val="00240439"/>
    <w:rsid w:val="0024114E"/>
    <w:rsid w:val="002429BB"/>
    <w:rsid w:val="00242D87"/>
    <w:rsid w:val="0024358F"/>
    <w:rsid w:val="0024383E"/>
    <w:rsid w:val="00244290"/>
    <w:rsid w:val="00244FAA"/>
    <w:rsid w:val="002450B5"/>
    <w:rsid w:val="002458ED"/>
    <w:rsid w:val="00245910"/>
    <w:rsid w:val="00252677"/>
    <w:rsid w:val="002655EE"/>
    <w:rsid w:val="002708FD"/>
    <w:rsid w:val="0027318E"/>
    <w:rsid w:val="002755A2"/>
    <w:rsid w:val="00276C2C"/>
    <w:rsid w:val="00277A0E"/>
    <w:rsid w:val="00280CBA"/>
    <w:rsid w:val="002818BE"/>
    <w:rsid w:val="00282D11"/>
    <w:rsid w:val="00282D86"/>
    <w:rsid w:val="00287B09"/>
    <w:rsid w:val="00290303"/>
    <w:rsid w:val="0029055B"/>
    <w:rsid w:val="00290F6F"/>
    <w:rsid w:val="00296965"/>
    <w:rsid w:val="002A022C"/>
    <w:rsid w:val="002A18D2"/>
    <w:rsid w:val="002A1ABE"/>
    <w:rsid w:val="002A374C"/>
    <w:rsid w:val="002A618A"/>
    <w:rsid w:val="002B5AE3"/>
    <w:rsid w:val="002B731C"/>
    <w:rsid w:val="002B7F7B"/>
    <w:rsid w:val="002B7FAC"/>
    <w:rsid w:val="002C151F"/>
    <w:rsid w:val="002C1699"/>
    <w:rsid w:val="002C5ADD"/>
    <w:rsid w:val="002D03A5"/>
    <w:rsid w:val="002D1DD7"/>
    <w:rsid w:val="002D1E8D"/>
    <w:rsid w:val="002E0CD7"/>
    <w:rsid w:val="002E1D81"/>
    <w:rsid w:val="002E714F"/>
    <w:rsid w:val="002F004B"/>
    <w:rsid w:val="002F0375"/>
    <w:rsid w:val="002F0CE2"/>
    <w:rsid w:val="002F41BE"/>
    <w:rsid w:val="002F495F"/>
    <w:rsid w:val="00301A36"/>
    <w:rsid w:val="00304A96"/>
    <w:rsid w:val="003069C0"/>
    <w:rsid w:val="00311B44"/>
    <w:rsid w:val="00313ADA"/>
    <w:rsid w:val="003141A8"/>
    <w:rsid w:val="00314C83"/>
    <w:rsid w:val="00315C94"/>
    <w:rsid w:val="0032504D"/>
    <w:rsid w:val="003259E3"/>
    <w:rsid w:val="003365D1"/>
    <w:rsid w:val="00336882"/>
    <w:rsid w:val="00337543"/>
    <w:rsid w:val="0034097F"/>
    <w:rsid w:val="003420D6"/>
    <w:rsid w:val="00344DF1"/>
    <w:rsid w:val="0034693B"/>
    <w:rsid w:val="00350E13"/>
    <w:rsid w:val="00351005"/>
    <w:rsid w:val="00351B23"/>
    <w:rsid w:val="00351E61"/>
    <w:rsid w:val="00356D14"/>
    <w:rsid w:val="00365ACD"/>
    <w:rsid w:val="003721C1"/>
    <w:rsid w:val="00375CA5"/>
    <w:rsid w:val="0037677B"/>
    <w:rsid w:val="00381553"/>
    <w:rsid w:val="00382BA7"/>
    <w:rsid w:val="00385573"/>
    <w:rsid w:val="003872FF"/>
    <w:rsid w:val="00390387"/>
    <w:rsid w:val="003930E0"/>
    <w:rsid w:val="00394A17"/>
    <w:rsid w:val="003A2B31"/>
    <w:rsid w:val="003A3750"/>
    <w:rsid w:val="003A3EA1"/>
    <w:rsid w:val="003A4EDC"/>
    <w:rsid w:val="003B03B9"/>
    <w:rsid w:val="003B0EB4"/>
    <w:rsid w:val="003B127A"/>
    <w:rsid w:val="003B16AB"/>
    <w:rsid w:val="003B387B"/>
    <w:rsid w:val="003B5174"/>
    <w:rsid w:val="003B6520"/>
    <w:rsid w:val="003B76C3"/>
    <w:rsid w:val="003C21A3"/>
    <w:rsid w:val="003D0D44"/>
    <w:rsid w:val="003D1D62"/>
    <w:rsid w:val="003D5420"/>
    <w:rsid w:val="003D5A45"/>
    <w:rsid w:val="003E285E"/>
    <w:rsid w:val="003E3448"/>
    <w:rsid w:val="003E3A7B"/>
    <w:rsid w:val="003E4703"/>
    <w:rsid w:val="003E4DF5"/>
    <w:rsid w:val="003E4E87"/>
    <w:rsid w:val="003E7EF5"/>
    <w:rsid w:val="003F01E2"/>
    <w:rsid w:val="003F0438"/>
    <w:rsid w:val="003F1562"/>
    <w:rsid w:val="003F239F"/>
    <w:rsid w:val="0040054E"/>
    <w:rsid w:val="00402DD7"/>
    <w:rsid w:val="00403A7C"/>
    <w:rsid w:val="00405D1E"/>
    <w:rsid w:val="00414D20"/>
    <w:rsid w:val="004177C1"/>
    <w:rsid w:val="004223CB"/>
    <w:rsid w:val="00422BA5"/>
    <w:rsid w:val="00423670"/>
    <w:rsid w:val="00423D5D"/>
    <w:rsid w:val="004251EE"/>
    <w:rsid w:val="00426639"/>
    <w:rsid w:val="004270C7"/>
    <w:rsid w:val="0043500C"/>
    <w:rsid w:val="00437274"/>
    <w:rsid w:val="00445F04"/>
    <w:rsid w:val="00446027"/>
    <w:rsid w:val="004506A0"/>
    <w:rsid w:val="00452035"/>
    <w:rsid w:val="00453CE9"/>
    <w:rsid w:val="00457BC5"/>
    <w:rsid w:val="00457C09"/>
    <w:rsid w:val="00457CA6"/>
    <w:rsid w:val="004613A0"/>
    <w:rsid w:val="004618EB"/>
    <w:rsid w:val="004628A1"/>
    <w:rsid w:val="00463A7C"/>
    <w:rsid w:val="00464703"/>
    <w:rsid w:val="00465349"/>
    <w:rsid w:val="00466E43"/>
    <w:rsid w:val="00467900"/>
    <w:rsid w:val="00470C08"/>
    <w:rsid w:val="00474494"/>
    <w:rsid w:val="0047718C"/>
    <w:rsid w:val="00483EC5"/>
    <w:rsid w:val="00485B6F"/>
    <w:rsid w:val="00486E5C"/>
    <w:rsid w:val="00487054"/>
    <w:rsid w:val="00492946"/>
    <w:rsid w:val="00492CFD"/>
    <w:rsid w:val="00497839"/>
    <w:rsid w:val="004A02AB"/>
    <w:rsid w:val="004A1A71"/>
    <w:rsid w:val="004A2E92"/>
    <w:rsid w:val="004A3F81"/>
    <w:rsid w:val="004A5CE0"/>
    <w:rsid w:val="004A6EED"/>
    <w:rsid w:val="004B4822"/>
    <w:rsid w:val="004B4D06"/>
    <w:rsid w:val="004B70B8"/>
    <w:rsid w:val="004C18DB"/>
    <w:rsid w:val="004C2E90"/>
    <w:rsid w:val="004C3D57"/>
    <w:rsid w:val="004D2E34"/>
    <w:rsid w:val="004D67D5"/>
    <w:rsid w:val="004E02BA"/>
    <w:rsid w:val="004E679C"/>
    <w:rsid w:val="004F5F1A"/>
    <w:rsid w:val="0050169F"/>
    <w:rsid w:val="0050226C"/>
    <w:rsid w:val="005033BB"/>
    <w:rsid w:val="0050356A"/>
    <w:rsid w:val="00504C17"/>
    <w:rsid w:val="00505355"/>
    <w:rsid w:val="00511826"/>
    <w:rsid w:val="00512234"/>
    <w:rsid w:val="0051348E"/>
    <w:rsid w:val="00516E4A"/>
    <w:rsid w:val="00517734"/>
    <w:rsid w:val="00523426"/>
    <w:rsid w:val="00523A92"/>
    <w:rsid w:val="0052619C"/>
    <w:rsid w:val="00527802"/>
    <w:rsid w:val="0053228F"/>
    <w:rsid w:val="00533F95"/>
    <w:rsid w:val="005340B4"/>
    <w:rsid w:val="0053603F"/>
    <w:rsid w:val="00536343"/>
    <w:rsid w:val="00537703"/>
    <w:rsid w:val="00543FAA"/>
    <w:rsid w:val="00550FA5"/>
    <w:rsid w:val="00556A66"/>
    <w:rsid w:val="00560323"/>
    <w:rsid w:val="00560A86"/>
    <w:rsid w:val="00562BEE"/>
    <w:rsid w:val="00563179"/>
    <w:rsid w:val="00564184"/>
    <w:rsid w:val="00564598"/>
    <w:rsid w:val="0056465D"/>
    <w:rsid w:val="00571AD7"/>
    <w:rsid w:val="005759CB"/>
    <w:rsid w:val="00581590"/>
    <w:rsid w:val="00583E3A"/>
    <w:rsid w:val="00586B18"/>
    <w:rsid w:val="00587FEF"/>
    <w:rsid w:val="00592616"/>
    <w:rsid w:val="005926AE"/>
    <w:rsid w:val="00592959"/>
    <w:rsid w:val="00593705"/>
    <w:rsid w:val="00594A61"/>
    <w:rsid w:val="00597F51"/>
    <w:rsid w:val="005A021E"/>
    <w:rsid w:val="005A0D8D"/>
    <w:rsid w:val="005A5551"/>
    <w:rsid w:val="005A7228"/>
    <w:rsid w:val="005B1F8A"/>
    <w:rsid w:val="005B5C40"/>
    <w:rsid w:val="005B6302"/>
    <w:rsid w:val="005B65E2"/>
    <w:rsid w:val="005C23A9"/>
    <w:rsid w:val="005C2DFA"/>
    <w:rsid w:val="005C66FE"/>
    <w:rsid w:val="005D1D9D"/>
    <w:rsid w:val="005D311C"/>
    <w:rsid w:val="005D68E5"/>
    <w:rsid w:val="005E2056"/>
    <w:rsid w:val="005E3992"/>
    <w:rsid w:val="005E6E75"/>
    <w:rsid w:val="005E7E82"/>
    <w:rsid w:val="005F1452"/>
    <w:rsid w:val="005F1C44"/>
    <w:rsid w:val="005F49B5"/>
    <w:rsid w:val="00603BC6"/>
    <w:rsid w:val="00604652"/>
    <w:rsid w:val="00605180"/>
    <w:rsid w:val="00607DD6"/>
    <w:rsid w:val="00613AF4"/>
    <w:rsid w:val="00614E56"/>
    <w:rsid w:val="00616637"/>
    <w:rsid w:val="00623377"/>
    <w:rsid w:val="00625E89"/>
    <w:rsid w:val="00626549"/>
    <w:rsid w:val="00626C1C"/>
    <w:rsid w:val="0062759D"/>
    <w:rsid w:val="00630602"/>
    <w:rsid w:val="0063122F"/>
    <w:rsid w:val="00632F71"/>
    <w:rsid w:val="00635BCF"/>
    <w:rsid w:val="00637B9C"/>
    <w:rsid w:val="006443AF"/>
    <w:rsid w:val="00644490"/>
    <w:rsid w:val="00644B28"/>
    <w:rsid w:val="00644B85"/>
    <w:rsid w:val="006558BF"/>
    <w:rsid w:val="00656D9A"/>
    <w:rsid w:val="006571DE"/>
    <w:rsid w:val="00657FF7"/>
    <w:rsid w:val="00663F5F"/>
    <w:rsid w:val="00672A3A"/>
    <w:rsid w:val="00675C45"/>
    <w:rsid w:val="006810B3"/>
    <w:rsid w:val="0068734D"/>
    <w:rsid w:val="00687C2E"/>
    <w:rsid w:val="006906A0"/>
    <w:rsid w:val="00693724"/>
    <w:rsid w:val="00693A78"/>
    <w:rsid w:val="00694594"/>
    <w:rsid w:val="00694C17"/>
    <w:rsid w:val="00696EE8"/>
    <w:rsid w:val="006A0529"/>
    <w:rsid w:val="006A2953"/>
    <w:rsid w:val="006A2D0C"/>
    <w:rsid w:val="006B1AC0"/>
    <w:rsid w:val="006B52D0"/>
    <w:rsid w:val="006B7DF2"/>
    <w:rsid w:val="006C178E"/>
    <w:rsid w:val="006C2AAD"/>
    <w:rsid w:val="006C370F"/>
    <w:rsid w:val="006C5045"/>
    <w:rsid w:val="006C5D97"/>
    <w:rsid w:val="006D004D"/>
    <w:rsid w:val="006D1A49"/>
    <w:rsid w:val="006D45DA"/>
    <w:rsid w:val="006D4D93"/>
    <w:rsid w:val="006D76E0"/>
    <w:rsid w:val="006D7F25"/>
    <w:rsid w:val="006E04A5"/>
    <w:rsid w:val="006E6706"/>
    <w:rsid w:val="006E6734"/>
    <w:rsid w:val="006F054D"/>
    <w:rsid w:val="006F110F"/>
    <w:rsid w:val="006F20E1"/>
    <w:rsid w:val="006F5458"/>
    <w:rsid w:val="006F55D6"/>
    <w:rsid w:val="00700063"/>
    <w:rsid w:val="0070616F"/>
    <w:rsid w:val="00707809"/>
    <w:rsid w:val="00707D7D"/>
    <w:rsid w:val="00711FA7"/>
    <w:rsid w:val="00711FCA"/>
    <w:rsid w:val="00713FDF"/>
    <w:rsid w:val="00716460"/>
    <w:rsid w:val="00716527"/>
    <w:rsid w:val="00723204"/>
    <w:rsid w:val="00733389"/>
    <w:rsid w:val="0073431D"/>
    <w:rsid w:val="007401A5"/>
    <w:rsid w:val="007432C2"/>
    <w:rsid w:val="00747A46"/>
    <w:rsid w:val="00753634"/>
    <w:rsid w:val="007552EA"/>
    <w:rsid w:val="007619BB"/>
    <w:rsid w:val="00766FDA"/>
    <w:rsid w:val="00770B99"/>
    <w:rsid w:val="00771CA3"/>
    <w:rsid w:val="0077443B"/>
    <w:rsid w:val="00774FB9"/>
    <w:rsid w:val="0077678D"/>
    <w:rsid w:val="00782863"/>
    <w:rsid w:val="00784C2D"/>
    <w:rsid w:val="00786708"/>
    <w:rsid w:val="00786A4B"/>
    <w:rsid w:val="00787EBE"/>
    <w:rsid w:val="00787F2B"/>
    <w:rsid w:val="00790B20"/>
    <w:rsid w:val="00794F1F"/>
    <w:rsid w:val="007950B9"/>
    <w:rsid w:val="007960F6"/>
    <w:rsid w:val="007975AC"/>
    <w:rsid w:val="007A0813"/>
    <w:rsid w:val="007A18B4"/>
    <w:rsid w:val="007B0E4B"/>
    <w:rsid w:val="007B1523"/>
    <w:rsid w:val="007B33D9"/>
    <w:rsid w:val="007B6E91"/>
    <w:rsid w:val="007B7219"/>
    <w:rsid w:val="007B771F"/>
    <w:rsid w:val="007C37FC"/>
    <w:rsid w:val="007C66F5"/>
    <w:rsid w:val="007C6909"/>
    <w:rsid w:val="007D117A"/>
    <w:rsid w:val="007D2534"/>
    <w:rsid w:val="007E53E0"/>
    <w:rsid w:val="007E6B96"/>
    <w:rsid w:val="007E7604"/>
    <w:rsid w:val="007F4F23"/>
    <w:rsid w:val="00803948"/>
    <w:rsid w:val="008039A5"/>
    <w:rsid w:val="008043E5"/>
    <w:rsid w:val="0080490C"/>
    <w:rsid w:val="00806BF1"/>
    <w:rsid w:val="00807FBE"/>
    <w:rsid w:val="008137BB"/>
    <w:rsid w:val="0081495A"/>
    <w:rsid w:val="00816583"/>
    <w:rsid w:val="00822154"/>
    <w:rsid w:val="00825096"/>
    <w:rsid w:val="00825983"/>
    <w:rsid w:val="008450B2"/>
    <w:rsid w:val="00847159"/>
    <w:rsid w:val="0084717B"/>
    <w:rsid w:val="008503BA"/>
    <w:rsid w:val="00854654"/>
    <w:rsid w:val="00854B04"/>
    <w:rsid w:val="00854B92"/>
    <w:rsid w:val="008575DE"/>
    <w:rsid w:val="008613B3"/>
    <w:rsid w:val="00861B94"/>
    <w:rsid w:val="00871D13"/>
    <w:rsid w:val="008726B2"/>
    <w:rsid w:val="00873C46"/>
    <w:rsid w:val="008835E4"/>
    <w:rsid w:val="0089057F"/>
    <w:rsid w:val="00896971"/>
    <w:rsid w:val="008A4B4B"/>
    <w:rsid w:val="008B09DB"/>
    <w:rsid w:val="008B469C"/>
    <w:rsid w:val="008B5DC2"/>
    <w:rsid w:val="008C00DF"/>
    <w:rsid w:val="008C1708"/>
    <w:rsid w:val="008C5804"/>
    <w:rsid w:val="008C6F64"/>
    <w:rsid w:val="008D1DE6"/>
    <w:rsid w:val="008E4C5B"/>
    <w:rsid w:val="008E7ABC"/>
    <w:rsid w:val="008F10D2"/>
    <w:rsid w:val="008F1740"/>
    <w:rsid w:val="008F18DE"/>
    <w:rsid w:val="008F226D"/>
    <w:rsid w:val="008F6BFE"/>
    <w:rsid w:val="00903D36"/>
    <w:rsid w:val="00906FFE"/>
    <w:rsid w:val="00912522"/>
    <w:rsid w:val="0091378C"/>
    <w:rsid w:val="009156A2"/>
    <w:rsid w:val="0091716E"/>
    <w:rsid w:val="00917229"/>
    <w:rsid w:val="009203AC"/>
    <w:rsid w:val="00923ADD"/>
    <w:rsid w:val="00923D23"/>
    <w:rsid w:val="00926F34"/>
    <w:rsid w:val="009300C2"/>
    <w:rsid w:val="00932790"/>
    <w:rsid w:val="00932ED5"/>
    <w:rsid w:val="00933E45"/>
    <w:rsid w:val="009414A3"/>
    <w:rsid w:val="00943345"/>
    <w:rsid w:val="00943C5C"/>
    <w:rsid w:val="009537AD"/>
    <w:rsid w:val="009575E9"/>
    <w:rsid w:val="0095773B"/>
    <w:rsid w:val="00960369"/>
    <w:rsid w:val="00964A12"/>
    <w:rsid w:val="00964C72"/>
    <w:rsid w:val="009655C2"/>
    <w:rsid w:val="00965966"/>
    <w:rsid w:val="009671A5"/>
    <w:rsid w:val="00967465"/>
    <w:rsid w:val="009719CD"/>
    <w:rsid w:val="00973E51"/>
    <w:rsid w:val="00977757"/>
    <w:rsid w:val="009811FD"/>
    <w:rsid w:val="0098237D"/>
    <w:rsid w:val="009855DE"/>
    <w:rsid w:val="00993F50"/>
    <w:rsid w:val="009A10D6"/>
    <w:rsid w:val="009A6DB0"/>
    <w:rsid w:val="009A6FDC"/>
    <w:rsid w:val="009B15CA"/>
    <w:rsid w:val="009B1FC0"/>
    <w:rsid w:val="009B47B4"/>
    <w:rsid w:val="009C0D56"/>
    <w:rsid w:val="009C1818"/>
    <w:rsid w:val="009C2B52"/>
    <w:rsid w:val="009C7542"/>
    <w:rsid w:val="009C7DB5"/>
    <w:rsid w:val="009D10C9"/>
    <w:rsid w:val="009D2B6C"/>
    <w:rsid w:val="009D2BC1"/>
    <w:rsid w:val="009D46CC"/>
    <w:rsid w:val="009D63BA"/>
    <w:rsid w:val="009E0823"/>
    <w:rsid w:val="009E0A30"/>
    <w:rsid w:val="009E0DA0"/>
    <w:rsid w:val="009E7221"/>
    <w:rsid w:val="009F352F"/>
    <w:rsid w:val="009F56EC"/>
    <w:rsid w:val="00A006AE"/>
    <w:rsid w:val="00A00C88"/>
    <w:rsid w:val="00A02100"/>
    <w:rsid w:val="00A0742F"/>
    <w:rsid w:val="00A0767E"/>
    <w:rsid w:val="00A10509"/>
    <w:rsid w:val="00A11946"/>
    <w:rsid w:val="00A13BE0"/>
    <w:rsid w:val="00A13E18"/>
    <w:rsid w:val="00A2087C"/>
    <w:rsid w:val="00A260A3"/>
    <w:rsid w:val="00A2661D"/>
    <w:rsid w:val="00A27A67"/>
    <w:rsid w:val="00A3329E"/>
    <w:rsid w:val="00A33AF0"/>
    <w:rsid w:val="00A349BA"/>
    <w:rsid w:val="00A3747E"/>
    <w:rsid w:val="00A375C6"/>
    <w:rsid w:val="00A419DD"/>
    <w:rsid w:val="00A42195"/>
    <w:rsid w:val="00A4414A"/>
    <w:rsid w:val="00A536C3"/>
    <w:rsid w:val="00A563F4"/>
    <w:rsid w:val="00A60919"/>
    <w:rsid w:val="00A63574"/>
    <w:rsid w:val="00A64422"/>
    <w:rsid w:val="00A64BFC"/>
    <w:rsid w:val="00A6535B"/>
    <w:rsid w:val="00A675D9"/>
    <w:rsid w:val="00A704DA"/>
    <w:rsid w:val="00A718EC"/>
    <w:rsid w:val="00A71B35"/>
    <w:rsid w:val="00A764FA"/>
    <w:rsid w:val="00A8002C"/>
    <w:rsid w:val="00A8127F"/>
    <w:rsid w:val="00A82B8E"/>
    <w:rsid w:val="00A83B79"/>
    <w:rsid w:val="00A8599F"/>
    <w:rsid w:val="00A86662"/>
    <w:rsid w:val="00A8708B"/>
    <w:rsid w:val="00A873EC"/>
    <w:rsid w:val="00A93010"/>
    <w:rsid w:val="00AA3C9B"/>
    <w:rsid w:val="00AB712C"/>
    <w:rsid w:val="00AB75AF"/>
    <w:rsid w:val="00AB7BED"/>
    <w:rsid w:val="00AC351D"/>
    <w:rsid w:val="00AC5495"/>
    <w:rsid w:val="00AC63CD"/>
    <w:rsid w:val="00AC79CE"/>
    <w:rsid w:val="00AD4187"/>
    <w:rsid w:val="00AE0A74"/>
    <w:rsid w:val="00AE610D"/>
    <w:rsid w:val="00AE6D8C"/>
    <w:rsid w:val="00AE7B2B"/>
    <w:rsid w:val="00AF5C63"/>
    <w:rsid w:val="00B00C6C"/>
    <w:rsid w:val="00B0563D"/>
    <w:rsid w:val="00B05D3F"/>
    <w:rsid w:val="00B11F00"/>
    <w:rsid w:val="00B13EDD"/>
    <w:rsid w:val="00B1706D"/>
    <w:rsid w:val="00B22F48"/>
    <w:rsid w:val="00B30AFE"/>
    <w:rsid w:val="00B320B2"/>
    <w:rsid w:val="00B33D0B"/>
    <w:rsid w:val="00B3510E"/>
    <w:rsid w:val="00B36AA1"/>
    <w:rsid w:val="00B37882"/>
    <w:rsid w:val="00B4454B"/>
    <w:rsid w:val="00B4642C"/>
    <w:rsid w:val="00B4799B"/>
    <w:rsid w:val="00B47CF9"/>
    <w:rsid w:val="00B50327"/>
    <w:rsid w:val="00B51948"/>
    <w:rsid w:val="00B62C52"/>
    <w:rsid w:val="00B66373"/>
    <w:rsid w:val="00B673C8"/>
    <w:rsid w:val="00B706FF"/>
    <w:rsid w:val="00B716DB"/>
    <w:rsid w:val="00B81515"/>
    <w:rsid w:val="00B84063"/>
    <w:rsid w:val="00B867F5"/>
    <w:rsid w:val="00B94536"/>
    <w:rsid w:val="00B9692A"/>
    <w:rsid w:val="00BA3E2E"/>
    <w:rsid w:val="00BA4D7A"/>
    <w:rsid w:val="00BB0081"/>
    <w:rsid w:val="00BB0A0C"/>
    <w:rsid w:val="00BB0FDE"/>
    <w:rsid w:val="00BB149C"/>
    <w:rsid w:val="00BB4BAD"/>
    <w:rsid w:val="00BB501E"/>
    <w:rsid w:val="00BD0FFA"/>
    <w:rsid w:val="00BD3E02"/>
    <w:rsid w:val="00BD4F80"/>
    <w:rsid w:val="00BD76C1"/>
    <w:rsid w:val="00BE01DA"/>
    <w:rsid w:val="00BE7586"/>
    <w:rsid w:val="00BF0E58"/>
    <w:rsid w:val="00BF5128"/>
    <w:rsid w:val="00BF6BE6"/>
    <w:rsid w:val="00C035F8"/>
    <w:rsid w:val="00C03835"/>
    <w:rsid w:val="00C14D9A"/>
    <w:rsid w:val="00C153FD"/>
    <w:rsid w:val="00C17CEF"/>
    <w:rsid w:val="00C20E27"/>
    <w:rsid w:val="00C300E7"/>
    <w:rsid w:val="00C329C4"/>
    <w:rsid w:val="00C406EF"/>
    <w:rsid w:val="00C42A86"/>
    <w:rsid w:val="00C4330E"/>
    <w:rsid w:val="00C47141"/>
    <w:rsid w:val="00C47E08"/>
    <w:rsid w:val="00C51C91"/>
    <w:rsid w:val="00C52D2F"/>
    <w:rsid w:val="00C55E1A"/>
    <w:rsid w:val="00C56ED2"/>
    <w:rsid w:val="00C65C38"/>
    <w:rsid w:val="00C662AA"/>
    <w:rsid w:val="00C727D0"/>
    <w:rsid w:val="00C771E2"/>
    <w:rsid w:val="00C77626"/>
    <w:rsid w:val="00C778FD"/>
    <w:rsid w:val="00C808FE"/>
    <w:rsid w:val="00C81668"/>
    <w:rsid w:val="00C81F42"/>
    <w:rsid w:val="00C82C0D"/>
    <w:rsid w:val="00C83346"/>
    <w:rsid w:val="00C84904"/>
    <w:rsid w:val="00C8563F"/>
    <w:rsid w:val="00C87195"/>
    <w:rsid w:val="00C876F9"/>
    <w:rsid w:val="00C904E3"/>
    <w:rsid w:val="00C91295"/>
    <w:rsid w:val="00C915F1"/>
    <w:rsid w:val="00C922FB"/>
    <w:rsid w:val="00C9444F"/>
    <w:rsid w:val="00C9658D"/>
    <w:rsid w:val="00C97477"/>
    <w:rsid w:val="00CA7C9C"/>
    <w:rsid w:val="00CB0080"/>
    <w:rsid w:val="00CB28C6"/>
    <w:rsid w:val="00CB3E28"/>
    <w:rsid w:val="00CB42A9"/>
    <w:rsid w:val="00CC1537"/>
    <w:rsid w:val="00CC1889"/>
    <w:rsid w:val="00CC737F"/>
    <w:rsid w:val="00CC77A0"/>
    <w:rsid w:val="00CD2302"/>
    <w:rsid w:val="00CD4C04"/>
    <w:rsid w:val="00CD7E81"/>
    <w:rsid w:val="00CE0F7F"/>
    <w:rsid w:val="00CE2A5A"/>
    <w:rsid w:val="00CE3811"/>
    <w:rsid w:val="00CE4872"/>
    <w:rsid w:val="00CE58A1"/>
    <w:rsid w:val="00CE5EEC"/>
    <w:rsid w:val="00CE60E2"/>
    <w:rsid w:val="00CF364C"/>
    <w:rsid w:val="00CF4242"/>
    <w:rsid w:val="00CF42E8"/>
    <w:rsid w:val="00CF6510"/>
    <w:rsid w:val="00CF68CA"/>
    <w:rsid w:val="00CF7B2B"/>
    <w:rsid w:val="00D015F4"/>
    <w:rsid w:val="00D04237"/>
    <w:rsid w:val="00D05CA3"/>
    <w:rsid w:val="00D0696B"/>
    <w:rsid w:val="00D10849"/>
    <w:rsid w:val="00D108EE"/>
    <w:rsid w:val="00D1159D"/>
    <w:rsid w:val="00D20284"/>
    <w:rsid w:val="00D2360B"/>
    <w:rsid w:val="00D247C8"/>
    <w:rsid w:val="00D33726"/>
    <w:rsid w:val="00D35A51"/>
    <w:rsid w:val="00D35DE3"/>
    <w:rsid w:val="00D36024"/>
    <w:rsid w:val="00D42A3A"/>
    <w:rsid w:val="00D47789"/>
    <w:rsid w:val="00D47D42"/>
    <w:rsid w:val="00D535F2"/>
    <w:rsid w:val="00D54EB0"/>
    <w:rsid w:val="00D600A8"/>
    <w:rsid w:val="00D73319"/>
    <w:rsid w:val="00D80FDC"/>
    <w:rsid w:val="00D813A4"/>
    <w:rsid w:val="00D81946"/>
    <w:rsid w:val="00D83EB0"/>
    <w:rsid w:val="00D93068"/>
    <w:rsid w:val="00D95F65"/>
    <w:rsid w:val="00D964F4"/>
    <w:rsid w:val="00DA43E5"/>
    <w:rsid w:val="00DA53D6"/>
    <w:rsid w:val="00DB1A9C"/>
    <w:rsid w:val="00DB3DE3"/>
    <w:rsid w:val="00DB6D37"/>
    <w:rsid w:val="00DB70C3"/>
    <w:rsid w:val="00DC2741"/>
    <w:rsid w:val="00DC5F59"/>
    <w:rsid w:val="00DD4EC4"/>
    <w:rsid w:val="00DE29C7"/>
    <w:rsid w:val="00DE3E36"/>
    <w:rsid w:val="00DE4DC0"/>
    <w:rsid w:val="00DE5BBB"/>
    <w:rsid w:val="00DE5E9B"/>
    <w:rsid w:val="00DF2CB0"/>
    <w:rsid w:val="00DF4597"/>
    <w:rsid w:val="00DF730C"/>
    <w:rsid w:val="00DF7DAA"/>
    <w:rsid w:val="00E0093F"/>
    <w:rsid w:val="00E00AC4"/>
    <w:rsid w:val="00E02164"/>
    <w:rsid w:val="00E11725"/>
    <w:rsid w:val="00E1239A"/>
    <w:rsid w:val="00E147CA"/>
    <w:rsid w:val="00E14EFB"/>
    <w:rsid w:val="00E17DE6"/>
    <w:rsid w:val="00E20098"/>
    <w:rsid w:val="00E2444E"/>
    <w:rsid w:val="00E26BCE"/>
    <w:rsid w:val="00E2755C"/>
    <w:rsid w:val="00E2775B"/>
    <w:rsid w:val="00E3186B"/>
    <w:rsid w:val="00E37CD3"/>
    <w:rsid w:val="00E507AF"/>
    <w:rsid w:val="00E51E5B"/>
    <w:rsid w:val="00E51FF4"/>
    <w:rsid w:val="00E52C64"/>
    <w:rsid w:val="00E5624C"/>
    <w:rsid w:val="00E61C62"/>
    <w:rsid w:val="00E625CF"/>
    <w:rsid w:val="00E64459"/>
    <w:rsid w:val="00E67CAC"/>
    <w:rsid w:val="00E7651C"/>
    <w:rsid w:val="00E77D36"/>
    <w:rsid w:val="00E80193"/>
    <w:rsid w:val="00E81CEB"/>
    <w:rsid w:val="00E84224"/>
    <w:rsid w:val="00E94875"/>
    <w:rsid w:val="00E96C36"/>
    <w:rsid w:val="00E97C37"/>
    <w:rsid w:val="00EA2C4C"/>
    <w:rsid w:val="00EA4A8E"/>
    <w:rsid w:val="00EA4DF5"/>
    <w:rsid w:val="00EA6DC8"/>
    <w:rsid w:val="00EB0C82"/>
    <w:rsid w:val="00EB1726"/>
    <w:rsid w:val="00EB1E78"/>
    <w:rsid w:val="00EB2D18"/>
    <w:rsid w:val="00EB6F9C"/>
    <w:rsid w:val="00EC1432"/>
    <w:rsid w:val="00ED0641"/>
    <w:rsid w:val="00ED0692"/>
    <w:rsid w:val="00ED07CA"/>
    <w:rsid w:val="00ED1DDF"/>
    <w:rsid w:val="00ED67B6"/>
    <w:rsid w:val="00ED7800"/>
    <w:rsid w:val="00ED785D"/>
    <w:rsid w:val="00EE27AD"/>
    <w:rsid w:val="00EE3D76"/>
    <w:rsid w:val="00EE5500"/>
    <w:rsid w:val="00EF201C"/>
    <w:rsid w:val="00EF21F4"/>
    <w:rsid w:val="00EF26C7"/>
    <w:rsid w:val="00F02100"/>
    <w:rsid w:val="00F06713"/>
    <w:rsid w:val="00F1012B"/>
    <w:rsid w:val="00F127AC"/>
    <w:rsid w:val="00F13B7A"/>
    <w:rsid w:val="00F15977"/>
    <w:rsid w:val="00F2400F"/>
    <w:rsid w:val="00F3068E"/>
    <w:rsid w:val="00F40076"/>
    <w:rsid w:val="00F4200B"/>
    <w:rsid w:val="00F4349C"/>
    <w:rsid w:val="00F44E91"/>
    <w:rsid w:val="00F52331"/>
    <w:rsid w:val="00F53E9E"/>
    <w:rsid w:val="00F57536"/>
    <w:rsid w:val="00F65178"/>
    <w:rsid w:val="00F65CA2"/>
    <w:rsid w:val="00F66F73"/>
    <w:rsid w:val="00F74D04"/>
    <w:rsid w:val="00F7538F"/>
    <w:rsid w:val="00F75822"/>
    <w:rsid w:val="00F77ACD"/>
    <w:rsid w:val="00F8518C"/>
    <w:rsid w:val="00F87BE4"/>
    <w:rsid w:val="00F9227A"/>
    <w:rsid w:val="00F95D69"/>
    <w:rsid w:val="00FA0C28"/>
    <w:rsid w:val="00FA2423"/>
    <w:rsid w:val="00FA2CD9"/>
    <w:rsid w:val="00FA6291"/>
    <w:rsid w:val="00FA70D5"/>
    <w:rsid w:val="00FB09E0"/>
    <w:rsid w:val="00FB1B86"/>
    <w:rsid w:val="00FB22FA"/>
    <w:rsid w:val="00FB3EF6"/>
    <w:rsid w:val="00FB614A"/>
    <w:rsid w:val="00FB6A64"/>
    <w:rsid w:val="00FB73D0"/>
    <w:rsid w:val="00FC2C51"/>
    <w:rsid w:val="00FC65BB"/>
    <w:rsid w:val="00FC7083"/>
    <w:rsid w:val="00FE359F"/>
    <w:rsid w:val="00FE3686"/>
    <w:rsid w:val="00FF1F27"/>
    <w:rsid w:val="00FF5EB6"/>
    <w:rsid w:val="00FF6F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24B89"/>
  <w15:docId w15:val="{FCFC4F0A-1DC6-4AC5-AC16-F5085812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54220"/>
    <w:pPr>
      <w:jc w:val="both"/>
    </w:pPr>
  </w:style>
  <w:style w:type="paragraph" w:styleId="Naslov1">
    <w:name w:val="heading 1"/>
    <w:basedOn w:val="Navaden"/>
    <w:next w:val="Navaden"/>
    <w:link w:val="Naslov1Znak"/>
    <w:uiPriority w:val="9"/>
    <w:qFormat/>
    <w:rsid w:val="00154220"/>
    <w:pPr>
      <w:keepNext/>
      <w:keepLines/>
      <w:spacing w:before="240" w:after="12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154220"/>
    <w:pPr>
      <w:keepNext/>
      <w:keepLines/>
      <w:spacing w:before="40" w:after="12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1"/>
    <w:basedOn w:val="Navaden"/>
    <w:link w:val="GlavaZnak"/>
    <w:unhideWhenUsed/>
    <w:rsid w:val="00154220"/>
    <w:pPr>
      <w:tabs>
        <w:tab w:val="center" w:pos="4536"/>
        <w:tab w:val="right" w:pos="9072"/>
      </w:tabs>
      <w:spacing w:after="0" w:line="240" w:lineRule="auto"/>
    </w:pPr>
  </w:style>
  <w:style w:type="character" w:customStyle="1" w:styleId="GlavaZnak">
    <w:name w:val="Glava Znak"/>
    <w:aliases w:val="Glava1 Znak"/>
    <w:basedOn w:val="Privzetapisavaodstavka"/>
    <w:link w:val="Glava"/>
    <w:rsid w:val="00154220"/>
  </w:style>
  <w:style w:type="paragraph" w:styleId="Noga">
    <w:name w:val="footer"/>
    <w:basedOn w:val="Navaden"/>
    <w:link w:val="NogaZnak"/>
    <w:uiPriority w:val="99"/>
    <w:unhideWhenUsed/>
    <w:rsid w:val="00154220"/>
    <w:pPr>
      <w:tabs>
        <w:tab w:val="center" w:pos="4536"/>
        <w:tab w:val="right" w:pos="9072"/>
      </w:tabs>
      <w:spacing w:after="0" w:line="240" w:lineRule="auto"/>
    </w:pPr>
  </w:style>
  <w:style w:type="character" w:customStyle="1" w:styleId="NogaZnak">
    <w:name w:val="Noga Znak"/>
    <w:basedOn w:val="Privzetapisavaodstavka"/>
    <w:link w:val="Noga"/>
    <w:uiPriority w:val="99"/>
    <w:rsid w:val="00154220"/>
  </w:style>
  <w:style w:type="paragraph" w:customStyle="1" w:styleId="Naslovpublikacije">
    <w:name w:val="Naslov_publikacije"/>
    <w:basedOn w:val="Navaden"/>
    <w:link w:val="NaslovpublikacijeZnak"/>
    <w:qFormat/>
    <w:rsid w:val="00154220"/>
    <w:pPr>
      <w:spacing w:after="200" w:line="276" w:lineRule="auto"/>
      <w:jc w:val="center"/>
    </w:pPr>
    <w:rPr>
      <w:rFonts w:ascii="Republika" w:eastAsia="Calibri" w:hAnsi="Republika" w:cs="Times New Roman"/>
      <w:b/>
      <w:color w:val="0070C0"/>
      <w:sz w:val="72"/>
      <w:szCs w:val="72"/>
      <w:lang w:eastAsia="sl-SI"/>
    </w:rPr>
  </w:style>
  <w:style w:type="character" w:customStyle="1" w:styleId="NaslovpublikacijeZnak">
    <w:name w:val="Naslov_publikacije Znak"/>
    <w:link w:val="Naslovpublikacije"/>
    <w:rsid w:val="00154220"/>
    <w:rPr>
      <w:rFonts w:ascii="Republika" w:eastAsia="Calibri" w:hAnsi="Republika" w:cs="Times New Roman"/>
      <w:b/>
      <w:color w:val="0070C0"/>
      <w:sz w:val="72"/>
      <w:szCs w:val="72"/>
      <w:lang w:eastAsia="sl-SI"/>
    </w:rPr>
  </w:style>
  <w:style w:type="character" w:styleId="Hiperpovezava">
    <w:name w:val="Hyperlink"/>
    <w:basedOn w:val="Privzetapisavaodstavka"/>
    <w:uiPriority w:val="99"/>
    <w:unhideWhenUsed/>
    <w:rsid w:val="00154220"/>
    <w:rPr>
      <w:color w:val="0563C1" w:themeColor="hyperlink"/>
      <w:u w:val="single"/>
    </w:rPr>
  </w:style>
  <w:style w:type="character" w:customStyle="1" w:styleId="Naslov1Znak">
    <w:name w:val="Naslov 1 Znak"/>
    <w:basedOn w:val="Privzetapisavaodstavka"/>
    <w:link w:val="Naslov1"/>
    <w:uiPriority w:val="9"/>
    <w:rsid w:val="00154220"/>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154220"/>
    <w:rPr>
      <w:rFonts w:asciiTheme="majorHAnsi" w:eastAsiaTheme="majorEastAsia" w:hAnsiTheme="majorHAnsi" w:cstheme="majorBidi"/>
      <w:color w:val="2E74B5" w:themeColor="accent1" w:themeShade="BF"/>
      <w:sz w:val="26"/>
      <w:szCs w:val="26"/>
    </w:rPr>
  </w:style>
  <w:style w:type="paragraph" w:styleId="Odstavekseznama">
    <w:name w:val="List Paragraph"/>
    <w:basedOn w:val="Navaden"/>
    <w:link w:val="OdstavekseznamaZnak"/>
    <w:uiPriority w:val="34"/>
    <w:qFormat/>
    <w:rsid w:val="0077443B"/>
    <w:pPr>
      <w:ind w:left="720"/>
      <w:contextualSpacing/>
    </w:pPr>
  </w:style>
  <w:style w:type="table" w:styleId="Tabelamrea">
    <w:name w:val="Table Grid"/>
    <w:basedOn w:val="Navadnatabela"/>
    <w:uiPriority w:val="99"/>
    <w:rsid w:val="00344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poudarek11">
    <w:name w:val="Tabela – mreža 4 (poudarek 1)1"/>
    <w:basedOn w:val="Navadnatabela"/>
    <w:uiPriority w:val="49"/>
    <w:rsid w:val="00344DF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protnaopomba-besedilo">
    <w:name w:val="footnote text"/>
    <w:basedOn w:val="Navaden"/>
    <w:link w:val="Sprotnaopomba-besediloZnak"/>
    <w:uiPriority w:val="99"/>
    <w:rsid w:val="00344DF1"/>
    <w:pPr>
      <w:spacing w:after="200" w:line="276" w:lineRule="auto"/>
      <w:jc w:val="left"/>
    </w:pPr>
    <w:rPr>
      <w:rFonts w:ascii="Cambria" w:eastAsia="Calibri" w:hAnsi="Cambria" w:cs="Times New Roman"/>
      <w:sz w:val="20"/>
      <w:szCs w:val="20"/>
      <w:lang w:eastAsia="sl-SI"/>
    </w:rPr>
  </w:style>
  <w:style w:type="character" w:customStyle="1" w:styleId="Sprotnaopomba-besediloZnak">
    <w:name w:val="Sprotna opomba - besedilo Znak"/>
    <w:basedOn w:val="Privzetapisavaodstavka"/>
    <w:link w:val="Sprotnaopomba-besedilo"/>
    <w:uiPriority w:val="99"/>
    <w:rsid w:val="00344DF1"/>
    <w:rPr>
      <w:rFonts w:ascii="Cambria" w:eastAsia="Calibri" w:hAnsi="Cambria" w:cs="Times New Roman"/>
      <w:sz w:val="20"/>
      <w:szCs w:val="20"/>
      <w:lang w:eastAsia="sl-SI"/>
    </w:rPr>
  </w:style>
  <w:style w:type="character" w:styleId="Sprotnaopomba-sklic">
    <w:name w:val="footnote reference"/>
    <w:uiPriority w:val="99"/>
    <w:rsid w:val="00344DF1"/>
    <w:rPr>
      <w:vertAlign w:val="superscript"/>
    </w:rPr>
  </w:style>
  <w:style w:type="character" w:customStyle="1" w:styleId="OdstavekseznamaZnak">
    <w:name w:val="Odstavek seznama Znak"/>
    <w:link w:val="Odstavekseznama"/>
    <w:uiPriority w:val="34"/>
    <w:rsid w:val="00344DF1"/>
  </w:style>
  <w:style w:type="paragraph" w:customStyle="1" w:styleId="Natevanje">
    <w:name w:val="Naštevanje"/>
    <w:basedOn w:val="Odstavekseznama"/>
    <w:link w:val="NatevanjeZnak"/>
    <w:autoRedefine/>
    <w:qFormat/>
    <w:rsid w:val="00344DF1"/>
    <w:pPr>
      <w:spacing w:after="0" w:line="276" w:lineRule="auto"/>
      <w:ind w:left="0"/>
      <w:jc w:val="left"/>
    </w:pPr>
    <w:rPr>
      <w:rFonts w:ascii="Arial" w:eastAsia="Calibri" w:hAnsi="Arial" w:cs="Arial"/>
      <w:sz w:val="24"/>
    </w:rPr>
  </w:style>
  <w:style w:type="character" w:customStyle="1" w:styleId="NatevanjeZnak">
    <w:name w:val="Naštevanje Znak"/>
    <w:link w:val="Natevanje"/>
    <w:rsid w:val="00344DF1"/>
    <w:rPr>
      <w:rFonts w:ascii="Arial" w:eastAsia="Calibri" w:hAnsi="Arial" w:cs="Arial"/>
      <w:sz w:val="24"/>
    </w:rPr>
  </w:style>
  <w:style w:type="paragraph" w:customStyle="1" w:styleId="Naslovtabele">
    <w:name w:val="Naslov_tabele"/>
    <w:basedOn w:val="Napis"/>
    <w:link w:val="NaslovtabeleZnak"/>
    <w:qFormat/>
    <w:rsid w:val="00344DF1"/>
    <w:pPr>
      <w:keepNext/>
      <w:keepLines/>
      <w:widowControl w:val="0"/>
      <w:spacing w:after="0" w:line="276" w:lineRule="auto"/>
      <w:jc w:val="left"/>
    </w:pPr>
    <w:rPr>
      <w:rFonts w:ascii="Calibri" w:eastAsia="Calibri" w:hAnsi="Calibri" w:cs="Times New Roman"/>
      <w:b/>
      <w:bCs/>
      <w:i w:val="0"/>
      <w:iCs w:val="0"/>
      <w:color w:val="2DA2BF"/>
      <w:sz w:val="16"/>
      <w:szCs w:val="16"/>
      <w:lang w:eastAsia="sl-SI"/>
    </w:rPr>
  </w:style>
  <w:style w:type="character" w:customStyle="1" w:styleId="NaslovtabeleZnak">
    <w:name w:val="Naslov_tabele Znak"/>
    <w:link w:val="Naslovtabele"/>
    <w:rsid w:val="00344DF1"/>
    <w:rPr>
      <w:rFonts w:ascii="Calibri" w:eastAsia="Calibri" w:hAnsi="Calibri" w:cs="Times New Roman"/>
      <w:b/>
      <w:bCs/>
      <w:color w:val="2DA2BF"/>
      <w:sz w:val="16"/>
      <w:szCs w:val="16"/>
      <w:lang w:eastAsia="sl-SI"/>
    </w:rPr>
  </w:style>
  <w:style w:type="paragraph" w:styleId="Napis">
    <w:name w:val="caption"/>
    <w:basedOn w:val="Navaden"/>
    <w:next w:val="Navaden"/>
    <w:uiPriority w:val="35"/>
    <w:semiHidden/>
    <w:unhideWhenUsed/>
    <w:qFormat/>
    <w:rsid w:val="00344DF1"/>
    <w:pPr>
      <w:spacing w:after="200" w:line="240" w:lineRule="auto"/>
    </w:pPr>
    <w:rPr>
      <w:i/>
      <w:iCs/>
      <w:color w:val="44546A" w:themeColor="text2"/>
      <w:sz w:val="18"/>
      <w:szCs w:val="18"/>
    </w:rPr>
  </w:style>
  <w:style w:type="character" w:styleId="Pripombasklic">
    <w:name w:val="annotation reference"/>
    <w:basedOn w:val="Privzetapisavaodstavka"/>
    <w:uiPriority w:val="99"/>
    <w:unhideWhenUsed/>
    <w:rsid w:val="001E0DB4"/>
    <w:rPr>
      <w:sz w:val="16"/>
      <w:szCs w:val="16"/>
    </w:rPr>
  </w:style>
  <w:style w:type="paragraph" w:styleId="Pripombabesedilo">
    <w:name w:val="annotation text"/>
    <w:basedOn w:val="Navaden"/>
    <w:link w:val="PripombabesediloZnak"/>
    <w:uiPriority w:val="99"/>
    <w:unhideWhenUsed/>
    <w:rsid w:val="001E0DB4"/>
    <w:pPr>
      <w:spacing w:line="240" w:lineRule="auto"/>
    </w:pPr>
    <w:rPr>
      <w:sz w:val="20"/>
      <w:szCs w:val="20"/>
    </w:rPr>
  </w:style>
  <w:style w:type="character" w:customStyle="1" w:styleId="PripombabesediloZnak">
    <w:name w:val="Pripomba – besedilo Znak"/>
    <w:basedOn w:val="Privzetapisavaodstavka"/>
    <w:link w:val="Pripombabesedilo"/>
    <w:uiPriority w:val="99"/>
    <w:rsid w:val="001E0DB4"/>
    <w:rPr>
      <w:sz w:val="20"/>
      <w:szCs w:val="20"/>
    </w:rPr>
  </w:style>
  <w:style w:type="paragraph" w:styleId="Besedilooblaka">
    <w:name w:val="Balloon Text"/>
    <w:basedOn w:val="Navaden"/>
    <w:link w:val="BesedilooblakaZnak"/>
    <w:uiPriority w:val="99"/>
    <w:semiHidden/>
    <w:unhideWhenUsed/>
    <w:rsid w:val="001E0DB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E0DB4"/>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1E0DB4"/>
    <w:rPr>
      <w:b/>
      <w:bCs/>
    </w:rPr>
  </w:style>
  <w:style w:type="character" w:customStyle="1" w:styleId="ZadevapripombeZnak">
    <w:name w:val="Zadeva pripombe Znak"/>
    <w:basedOn w:val="PripombabesediloZnak"/>
    <w:link w:val="Zadevapripombe"/>
    <w:uiPriority w:val="99"/>
    <w:semiHidden/>
    <w:rsid w:val="001E0DB4"/>
    <w:rPr>
      <w:b/>
      <w:bCs/>
      <w:sz w:val="20"/>
      <w:szCs w:val="20"/>
    </w:rPr>
  </w:style>
  <w:style w:type="table" w:customStyle="1" w:styleId="Tabelamrea4poudarek110">
    <w:name w:val="Tabela – mreža 4 (poudarek 1)1"/>
    <w:basedOn w:val="Navadnatabela"/>
    <w:uiPriority w:val="49"/>
    <w:rsid w:val="00AE610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footnotedescription">
    <w:name w:val="footnote description"/>
    <w:next w:val="Navaden"/>
    <w:link w:val="footnotedescriptionChar"/>
    <w:hidden/>
    <w:rsid w:val="00ED7800"/>
    <w:pPr>
      <w:spacing w:after="0" w:line="263" w:lineRule="auto"/>
      <w:jc w:val="both"/>
    </w:pPr>
    <w:rPr>
      <w:rFonts w:ascii="Calibri" w:eastAsia="Calibri" w:hAnsi="Calibri" w:cs="Calibri"/>
      <w:color w:val="000000"/>
      <w:sz w:val="16"/>
      <w:lang w:eastAsia="sl-SI"/>
    </w:rPr>
  </w:style>
  <w:style w:type="character" w:customStyle="1" w:styleId="footnotedescriptionChar">
    <w:name w:val="footnote description Char"/>
    <w:link w:val="footnotedescription"/>
    <w:rsid w:val="00ED7800"/>
    <w:rPr>
      <w:rFonts w:ascii="Calibri" w:eastAsia="Calibri" w:hAnsi="Calibri" w:cs="Calibri"/>
      <w:color w:val="000000"/>
      <w:sz w:val="16"/>
      <w:lang w:eastAsia="sl-SI"/>
    </w:rPr>
  </w:style>
  <w:style w:type="character" w:customStyle="1" w:styleId="footnotemark">
    <w:name w:val="footnote mark"/>
    <w:hidden/>
    <w:rsid w:val="00ED7800"/>
    <w:rPr>
      <w:rFonts w:ascii="Calibri" w:eastAsia="Calibri" w:hAnsi="Calibri" w:cs="Calibri"/>
      <w:color w:val="000000"/>
      <w:sz w:val="16"/>
      <w:vertAlign w:val="superscript"/>
    </w:rPr>
  </w:style>
  <w:style w:type="table" w:customStyle="1" w:styleId="Tabelamrea1">
    <w:name w:val="Tabela – mreža1"/>
    <w:basedOn w:val="Navadnatabela"/>
    <w:next w:val="Tabelamrea"/>
    <w:uiPriority w:val="99"/>
    <w:rsid w:val="00707D7D"/>
    <w:pPr>
      <w:spacing w:after="0" w:line="240" w:lineRule="auto"/>
    </w:pPr>
    <w:rPr>
      <w:rFonts w:eastAsiaTheme="minorEastAsia"/>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B9692A"/>
    <w:pPr>
      <w:spacing w:after="0"/>
      <w:outlineLvl w:val="9"/>
    </w:pPr>
  </w:style>
  <w:style w:type="paragraph" w:styleId="Revizija">
    <w:name w:val="Revision"/>
    <w:hidden/>
    <w:uiPriority w:val="99"/>
    <w:semiHidden/>
    <w:rsid w:val="00B9692A"/>
    <w:pPr>
      <w:spacing w:after="0" w:line="240" w:lineRule="auto"/>
    </w:pPr>
  </w:style>
  <w:style w:type="paragraph" w:styleId="Kazalovsebine1">
    <w:name w:val="toc 1"/>
    <w:basedOn w:val="Navaden"/>
    <w:next w:val="Navaden"/>
    <w:autoRedefine/>
    <w:uiPriority w:val="39"/>
    <w:unhideWhenUsed/>
    <w:rsid w:val="00B9692A"/>
    <w:pPr>
      <w:spacing w:after="100"/>
    </w:pPr>
  </w:style>
  <w:style w:type="paragraph" w:styleId="Kazalovsebine2">
    <w:name w:val="toc 2"/>
    <w:basedOn w:val="Navaden"/>
    <w:next w:val="Navaden"/>
    <w:autoRedefine/>
    <w:uiPriority w:val="39"/>
    <w:unhideWhenUsed/>
    <w:rsid w:val="00B9692A"/>
    <w:pPr>
      <w:spacing w:after="100"/>
      <w:ind w:left="220"/>
    </w:pPr>
  </w:style>
  <w:style w:type="table" w:customStyle="1" w:styleId="Tabelamrea2">
    <w:name w:val="Tabela – mreža2"/>
    <w:basedOn w:val="Navadnatabela"/>
    <w:next w:val="Tabelamrea"/>
    <w:uiPriority w:val="39"/>
    <w:rsid w:val="00693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2">
    <w:name w:val="Body Text 22"/>
    <w:basedOn w:val="Navaden"/>
    <w:rsid w:val="009D2BC1"/>
    <w:pPr>
      <w:spacing w:after="0" w:line="313" w:lineRule="atLeast"/>
    </w:pPr>
    <w:rPr>
      <w:rFonts w:ascii="Times New Roman" w:eastAsia="MS Mincho" w:hAnsi="Times New Roman" w:cs="Times New Roman"/>
      <w:sz w:val="24"/>
      <w:szCs w:val="20"/>
      <w:lang w:eastAsia="sl-SI"/>
    </w:rPr>
  </w:style>
  <w:style w:type="character" w:styleId="tevilkastrani">
    <w:name w:val="page number"/>
    <w:basedOn w:val="Privzetapisavaodstavka"/>
    <w:rsid w:val="00FB73D0"/>
  </w:style>
  <w:style w:type="character" w:styleId="SledenaHiperpovezava">
    <w:name w:val="FollowedHyperlink"/>
    <w:basedOn w:val="Privzetapisavaodstavka"/>
    <w:uiPriority w:val="99"/>
    <w:semiHidden/>
    <w:unhideWhenUsed/>
    <w:rsid w:val="00A653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373348">
      <w:bodyDiv w:val="1"/>
      <w:marLeft w:val="0"/>
      <w:marRight w:val="0"/>
      <w:marTop w:val="0"/>
      <w:marBottom w:val="0"/>
      <w:divBdr>
        <w:top w:val="none" w:sz="0" w:space="0" w:color="auto"/>
        <w:left w:val="none" w:sz="0" w:space="0" w:color="auto"/>
        <w:bottom w:val="none" w:sz="0" w:space="0" w:color="auto"/>
        <w:right w:val="none" w:sz="0" w:space="0" w:color="auto"/>
      </w:divBdr>
    </w:div>
    <w:div w:id="193458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SL/TXT/?uri=CELEX:02021R2139-20240101" TargetMode="External"/><Relationship Id="rId7" Type="http://schemas.openxmlformats.org/officeDocument/2006/relationships/hyperlink" Target="https://www.icnirp.org/cms/upload/publications/ICNIRPemfgdl.pdf" TargetMode="External"/><Relationship Id="rId2" Type="http://schemas.openxmlformats.org/officeDocument/2006/relationships/hyperlink" Target="https://eur-lex.europa.eu/legal-content/SL/TXT/HTML/?uri=CELEX:52021XC0218(01)" TargetMode="External"/><Relationship Id="rId1" Type="http://schemas.openxmlformats.org/officeDocument/2006/relationships/hyperlink" Target="https://eur-lex.europa.eu/legal-content/SL/TXT/HTML/?uri=CELEX:02020R0852-20200622" TargetMode="External"/><Relationship Id="rId6" Type="http://schemas.openxmlformats.org/officeDocument/2006/relationships/hyperlink" Target="https://www.ifc.org/wps/wcm/connect/29f5137d-6e17-4660-b1f9-02bf561935e5/Final%2B-%2BGeneral%2BEHS%2BGuidelines.pdf?MOD=AJPERES&amp;CVID=jOWim3p" TargetMode="External"/><Relationship Id="rId5" Type="http://schemas.openxmlformats.org/officeDocument/2006/relationships/hyperlink" Target="https://evropskasredstva.si/app/uploads/2024/07/Smernice_DNSH_junij2024_verzija2_0.pdf" TargetMode="External"/><Relationship Id="rId4" Type="http://schemas.openxmlformats.org/officeDocument/2006/relationships/hyperlink" Target="https://evropskasredstva.si/app/uploads/2023/09/Priloga-Programa_DNSH_Tehnicna-merila-za-izbor-projektov.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62D9B-E897-4EE9-8E92-A31BA690F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3275</Words>
  <Characters>18672</Characters>
  <Application>Microsoft Office Word</Application>
  <DocSecurity>0</DocSecurity>
  <Lines>155</Lines>
  <Paragraphs>43</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21904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MOPE</dc:creator>
  <cp:lastModifiedBy>Nataša Naumović</cp:lastModifiedBy>
  <cp:revision>4</cp:revision>
  <cp:lastPrinted>2025-01-07T12:16:00Z</cp:lastPrinted>
  <dcterms:created xsi:type="dcterms:W3CDTF">2025-08-13T14:30:00Z</dcterms:created>
  <dcterms:modified xsi:type="dcterms:W3CDTF">2025-08-13T15:25:00Z</dcterms:modified>
</cp:coreProperties>
</file>