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D9114" w14:textId="747D4612" w:rsidR="007D117A" w:rsidRPr="007D117A" w:rsidRDefault="007D117A" w:rsidP="007D117A">
      <w:pPr>
        <w:pStyle w:val="Naslovpublikacije"/>
        <w:spacing w:after="0"/>
        <w:jc w:val="right"/>
        <w:rPr>
          <w:rFonts w:asciiTheme="minorHAnsi" w:eastAsiaTheme="minorHAnsi" w:hAnsiTheme="minorHAnsi" w:cstheme="minorHAnsi"/>
          <w:i/>
          <w:color w:val="auto"/>
          <w:sz w:val="20"/>
          <w:szCs w:val="20"/>
        </w:rPr>
      </w:pPr>
      <w:r w:rsidRPr="007D117A">
        <w:rPr>
          <w:rFonts w:asciiTheme="minorHAnsi" w:eastAsiaTheme="minorHAnsi" w:hAnsiTheme="minorHAnsi" w:cstheme="minorHAnsi"/>
          <w:i/>
          <w:color w:val="auto"/>
          <w:sz w:val="20"/>
          <w:szCs w:val="20"/>
        </w:rPr>
        <w:t xml:space="preserve">Obrazec 2: </w:t>
      </w:r>
      <w:r w:rsidRPr="007D117A">
        <w:rPr>
          <w:rFonts w:asciiTheme="minorHAnsi" w:eastAsiaTheme="minorHAnsi" w:hAnsiTheme="minorHAnsi" w:cstheme="minorHAnsi"/>
          <w:i/>
          <w:color w:val="auto"/>
          <w:sz w:val="20"/>
          <w:szCs w:val="20"/>
        </w:rPr>
        <w:t>Izjava vlagatelja o strinjanju in sprejemanju pogojev</w:t>
      </w:r>
      <w:r>
        <w:rPr>
          <w:rFonts w:asciiTheme="minorHAnsi" w:eastAsiaTheme="minorHAnsi" w:hAnsiTheme="minorHAnsi" w:cstheme="minorHAnsi"/>
          <w:i/>
          <w:color w:val="auto"/>
          <w:sz w:val="20"/>
          <w:szCs w:val="20"/>
        </w:rPr>
        <w:t xml:space="preserve"> in zahtev</w:t>
      </w:r>
      <w:r w:rsidRPr="007D117A">
        <w:rPr>
          <w:rFonts w:asciiTheme="minorHAnsi" w:eastAsiaTheme="minorHAnsi" w:hAnsiTheme="minorHAnsi" w:cstheme="minorHAnsi"/>
          <w:i/>
          <w:color w:val="auto"/>
          <w:sz w:val="20"/>
          <w:szCs w:val="20"/>
        </w:rPr>
        <w:t xml:space="preserve"> javnega razpisa</w:t>
      </w:r>
    </w:p>
    <w:p w14:paraId="5EB62D21" w14:textId="2A1B7525" w:rsidR="0008169E" w:rsidRPr="007B7219" w:rsidRDefault="0008169E" w:rsidP="0008169E">
      <w:pPr>
        <w:pStyle w:val="Naslovpublikacije"/>
        <w:spacing w:after="0"/>
        <w:rPr>
          <w:rFonts w:asciiTheme="minorHAnsi" w:eastAsiaTheme="minorHAnsi" w:hAnsiTheme="minorHAnsi" w:cstheme="minorHAnsi"/>
          <w:b w:val="0"/>
          <w:color w:val="auto"/>
          <w:sz w:val="20"/>
          <w:szCs w:val="20"/>
        </w:rPr>
      </w:pPr>
    </w:p>
    <w:p w14:paraId="7A69DA70" w14:textId="77777777" w:rsidR="00637B9C" w:rsidRPr="007B7219" w:rsidRDefault="00637B9C" w:rsidP="0008169E">
      <w:pPr>
        <w:pStyle w:val="Naslovpublikacije"/>
        <w:spacing w:after="0"/>
        <w:rPr>
          <w:rFonts w:asciiTheme="minorHAnsi" w:eastAsiaTheme="minorHAnsi" w:hAnsiTheme="minorHAnsi" w:cstheme="minorHAnsi"/>
          <w:b w:val="0"/>
          <w:color w:val="auto"/>
          <w:sz w:val="20"/>
          <w:szCs w:val="20"/>
        </w:rPr>
      </w:pPr>
    </w:p>
    <w:tbl>
      <w:tblPr>
        <w:tblStyle w:val="Tabelamrea"/>
        <w:tblW w:w="0" w:type="auto"/>
        <w:tblLook w:val="04A0" w:firstRow="1" w:lastRow="0" w:firstColumn="1" w:lastColumn="0" w:noHBand="0" w:noVBand="1"/>
      </w:tblPr>
      <w:tblGrid>
        <w:gridCol w:w="2122"/>
        <w:gridCol w:w="6940"/>
      </w:tblGrid>
      <w:tr w:rsidR="00E2444E" w:rsidRPr="007B7219" w14:paraId="557AF2CD" w14:textId="77777777" w:rsidTr="003924D1">
        <w:trPr>
          <w:trHeight w:val="567"/>
        </w:trPr>
        <w:tc>
          <w:tcPr>
            <w:tcW w:w="2122" w:type="dxa"/>
            <w:vAlign w:val="center"/>
          </w:tcPr>
          <w:p w14:paraId="7D6807F4" w14:textId="77777777" w:rsidR="0008169E" w:rsidRPr="007B7219" w:rsidRDefault="0008169E" w:rsidP="006F55D6">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Naziv vlagatelja:</w:t>
            </w:r>
          </w:p>
        </w:tc>
        <w:tc>
          <w:tcPr>
            <w:tcW w:w="6940" w:type="dxa"/>
            <w:vAlign w:val="center"/>
          </w:tcPr>
          <w:p w14:paraId="1B06230A" w14:textId="77777777" w:rsidR="0008169E" w:rsidRPr="007B7219" w:rsidRDefault="0008169E" w:rsidP="003924D1">
            <w:pPr>
              <w:pStyle w:val="Naslovpublikacije"/>
              <w:spacing w:after="0"/>
              <w:rPr>
                <w:rFonts w:asciiTheme="minorHAnsi" w:eastAsiaTheme="minorHAnsi" w:hAnsiTheme="minorHAnsi" w:cstheme="minorHAnsi"/>
                <w:b w:val="0"/>
                <w:color w:val="auto"/>
                <w:sz w:val="20"/>
                <w:szCs w:val="20"/>
              </w:rPr>
            </w:pPr>
          </w:p>
        </w:tc>
      </w:tr>
      <w:tr w:rsidR="00E2444E" w:rsidRPr="007B7219" w14:paraId="4C2205AB" w14:textId="77777777" w:rsidTr="003924D1">
        <w:trPr>
          <w:trHeight w:val="567"/>
        </w:trPr>
        <w:tc>
          <w:tcPr>
            <w:tcW w:w="2122" w:type="dxa"/>
            <w:vAlign w:val="center"/>
          </w:tcPr>
          <w:p w14:paraId="68C176D7" w14:textId="43AA4857" w:rsidR="0008169E" w:rsidRPr="007B7219" w:rsidRDefault="006F55D6" w:rsidP="007D117A">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 xml:space="preserve">Naziv </w:t>
            </w:r>
            <w:r w:rsidR="007D117A">
              <w:rPr>
                <w:rFonts w:asciiTheme="minorHAnsi" w:eastAsiaTheme="minorHAnsi" w:hAnsiTheme="minorHAnsi" w:cstheme="minorHAnsi"/>
                <w:color w:val="auto"/>
                <w:sz w:val="20"/>
                <w:szCs w:val="20"/>
              </w:rPr>
              <w:t>operacije</w:t>
            </w:r>
            <w:r w:rsidR="0008169E" w:rsidRPr="007B7219">
              <w:rPr>
                <w:rFonts w:asciiTheme="minorHAnsi" w:eastAsiaTheme="minorHAnsi" w:hAnsiTheme="minorHAnsi" w:cstheme="minorHAnsi"/>
                <w:color w:val="auto"/>
                <w:sz w:val="20"/>
                <w:szCs w:val="20"/>
              </w:rPr>
              <w:t>:</w:t>
            </w:r>
          </w:p>
        </w:tc>
        <w:tc>
          <w:tcPr>
            <w:tcW w:w="6940" w:type="dxa"/>
            <w:vAlign w:val="center"/>
          </w:tcPr>
          <w:p w14:paraId="60F9042C" w14:textId="77777777" w:rsidR="0008169E" w:rsidRPr="007B7219" w:rsidRDefault="0008169E" w:rsidP="003924D1">
            <w:pPr>
              <w:pStyle w:val="Naslovpublikacije"/>
              <w:spacing w:after="0"/>
              <w:rPr>
                <w:rFonts w:asciiTheme="minorHAnsi" w:eastAsiaTheme="minorHAnsi" w:hAnsiTheme="minorHAnsi" w:cstheme="minorHAnsi"/>
                <w:b w:val="0"/>
                <w:color w:val="auto"/>
                <w:sz w:val="20"/>
                <w:szCs w:val="20"/>
              </w:rPr>
            </w:pPr>
          </w:p>
        </w:tc>
      </w:tr>
    </w:tbl>
    <w:p w14:paraId="39EBE74A" w14:textId="344C2523" w:rsidR="0008169E" w:rsidRPr="007B7219" w:rsidRDefault="0008169E" w:rsidP="0008169E">
      <w:pPr>
        <w:pStyle w:val="Naslovpublikacije"/>
        <w:spacing w:after="0"/>
        <w:rPr>
          <w:rFonts w:asciiTheme="minorHAnsi" w:eastAsiaTheme="minorHAnsi" w:hAnsiTheme="minorHAnsi" w:cstheme="minorHAnsi"/>
          <w:b w:val="0"/>
          <w:color w:val="auto"/>
          <w:sz w:val="20"/>
          <w:szCs w:val="20"/>
        </w:rPr>
      </w:pPr>
    </w:p>
    <w:p w14:paraId="70BB773E" w14:textId="77777777" w:rsidR="007D117A" w:rsidRDefault="007D117A" w:rsidP="00DF7DAA">
      <w:pPr>
        <w:pStyle w:val="Naslovpublikacije"/>
        <w:spacing w:after="0"/>
        <w:jc w:val="both"/>
        <w:rPr>
          <w:rFonts w:asciiTheme="minorHAnsi" w:eastAsiaTheme="minorHAnsi" w:hAnsiTheme="minorHAnsi" w:cstheme="minorHAnsi"/>
          <w:b w:val="0"/>
          <w:color w:val="auto"/>
          <w:sz w:val="20"/>
          <w:szCs w:val="20"/>
        </w:rPr>
      </w:pPr>
    </w:p>
    <w:p w14:paraId="3A450E4F" w14:textId="348309B1" w:rsidR="00D600A8" w:rsidRDefault="00D600A8" w:rsidP="00DF7DAA">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V postopku </w:t>
      </w:r>
      <w:r w:rsidR="007D117A">
        <w:rPr>
          <w:rFonts w:asciiTheme="minorHAnsi" w:eastAsiaTheme="minorHAnsi" w:hAnsiTheme="minorHAnsi" w:cstheme="minorHAnsi"/>
          <w:b w:val="0"/>
          <w:color w:val="auto"/>
          <w:sz w:val="20"/>
          <w:szCs w:val="20"/>
        </w:rPr>
        <w:t>izbora operacij za sofinanciranje s sredstvi Kohezijskega sklada</w:t>
      </w:r>
      <w:r>
        <w:rPr>
          <w:rFonts w:asciiTheme="minorHAnsi" w:eastAsiaTheme="minorHAnsi" w:hAnsiTheme="minorHAnsi" w:cstheme="minorHAnsi"/>
          <w:b w:val="0"/>
          <w:color w:val="auto"/>
          <w:sz w:val="20"/>
          <w:szCs w:val="20"/>
        </w:rPr>
        <w:t xml:space="preserve"> v okviru Javnega razpisa </w:t>
      </w:r>
      <w:r w:rsidR="00DF7DAA" w:rsidRPr="00DF7DAA">
        <w:rPr>
          <w:rFonts w:asciiTheme="minorHAnsi" w:eastAsiaTheme="minorHAnsi" w:hAnsiTheme="minorHAnsi" w:cstheme="minorHAnsi"/>
          <w:b w:val="0"/>
          <w:color w:val="auto"/>
          <w:sz w:val="20"/>
          <w:szCs w:val="20"/>
        </w:rPr>
        <w:t>za sofinanciranje občinskih celostnih prometnih strategij</w:t>
      </w:r>
      <w:r w:rsidR="00DF7DAA">
        <w:rPr>
          <w:rFonts w:asciiTheme="minorHAnsi" w:eastAsiaTheme="minorHAnsi" w:hAnsiTheme="minorHAnsi" w:cstheme="minorHAnsi"/>
          <w:b w:val="0"/>
          <w:color w:val="auto"/>
          <w:sz w:val="20"/>
          <w:szCs w:val="20"/>
        </w:rPr>
        <w:t xml:space="preserve"> (JR OCPS), ki se izvaja v okviru</w:t>
      </w:r>
      <w:r w:rsidR="00DF7DAA" w:rsidRPr="00DF7DAA">
        <w:rPr>
          <w:rFonts w:asciiTheme="minorHAnsi" w:eastAsiaTheme="minorHAnsi" w:hAnsiTheme="minorHAnsi" w:cstheme="minorHAnsi"/>
          <w:b w:val="0"/>
          <w:color w:val="auto"/>
          <w:sz w:val="20"/>
          <w:szCs w:val="20"/>
        </w:rPr>
        <w:t xml:space="preserve"> Programa evropske kohezijske politike v obdobju 2021–2027 v Sloveniji,</w:t>
      </w:r>
      <w:r w:rsidR="00DF7DAA">
        <w:rPr>
          <w:rFonts w:asciiTheme="minorHAnsi" w:eastAsiaTheme="minorHAnsi" w:hAnsiTheme="minorHAnsi" w:cstheme="minorHAnsi"/>
          <w:b w:val="0"/>
          <w:color w:val="auto"/>
          <w:sz w:val="20"/>
          <w:szCs w:val="20"/>
        </w:rPr>
        <w:t xml:space="preserve"> </w:t>
      </w:r>
      <w:r w:rsidR="00DF7DAA" w:rsidRPr="00DF7DAA">
        <w:rPr>
          <w:rFonts w:asciiTheme="minorHAnsi" w:eastAsiaTheme="minorHAnsi" w:hAnsiTheme="minorHAnsi" w:cstheme="minorHAnsi"/>
          <w:b w:val="0"/>
          <w:color w:val="auto"/>
          <w:sz w:val="20"/>
          <w:szCs w:val="20"/>
        </w:rPr>
        <w:t>prednostne naloge 5 »</w:t>
      </w:r>
      <w:r w:rsidR="00DF7DAA" w:rsidRPr="007D117A">
        <w:rPr>
          <w:rFonts w:asciiTheme="minorHAnsi" w:eastAsiaTheme="minorHAnsi" w:hAnsiTheme="minorHAnsi" w:cstheme="minorHAnsi"/>
          <w:b w:val="0"/>
          <w:i/>
          <w:color w:val="auto"/>
          <w:sz w:val="20"/>
          <w:szCs w:val="20"/>
        </w:rPr>
        <w:t>Trajnostna (čez)regionalna mobilnost in povezljivost</w:t>
      </w:r>
      <w:r w:rsidR="00DF7DAA" w:rsidRPr="00DF7DAA">
        <w:rPr>
          <w:rFonts w:asciiTheme="minorHAnsi" w:eastAsiaTheme="minorHAnsi" w:hAnsiTheme="minorHAnsi" w:cstheme="minorHAnsi"/>
          <w:b w:val="0"/>
          <w:color w:val="auto"/>
          <w:sz w:val="20"/>
          <w:szCs w:val="20"/>
        </w:rPr>
        <w:t>«,</w:t>
      </w:r>
      <w:r w:rsidR="00DF7DAA">
        <w:rPr>
          <w:rFonts w:asciiTheme="minorHAnsi" w:eastAsiaTheme="minorHAnsi" w:hAnsiTheme="minorHAnsi" w:cstheme="minorHAnsi"/>
          <w:b w:val="0"/>
          <w:color w:val="auto"/>
          <w:sz w:val="20"/>
          <w:szCs w:val="20"/>
        </w:rPr>
        <w:t xml:space="preserve"> </w:t>
      </w:r>
      <w:r w:rsidR="007D117A">
        <w:rPr>
          <w:rFonts w:asciiTheme="minorHAnsi" w:eastAsiaTheme="minorHAnsi" w:hAnsiTheme="minorHAnsi" w:cstheme="minorHAnsi"/>
          <w:b w:val="0"/>
          <w:color w:val="auto"/>
          <w:sz w:val="20"/>
          <w:szCs w:val="20"/>
        </w:rPr>
        <w:t>specifičnega cilja RSO</w:t>
      </w:r>
      <w:r w:rsidR="00DF7DAA" w:rsidRPr="00DF7DAA">
        <w:rPr>
          <w:rFonts w:asciiTheme="minorHAnsi" w:eastAsiaTheme="minorHAnsi" w:hAnsiTheme="minorHAnsi" w:cstheme="minorHAnsi"/>
          <w:b w:val="0"/>
          <w:color w:val="auto"/>
          <w:sz w:val="20"/>
          <w:szCs w:val="20"/>
        </w:rPr>
        <w:t>3.2 »</w:t>
      </w:r>
      <w:r w:rsidR="00DF7DAA" w:rsidRPr="007D117A">
        <w:rPr>
          <w:rFonts w:asciiTheme="minorHAnsi" w:eastAsiaTheme="minorHAnsi" w:hAnsiTheme="minorHAnsi" w:cstheme="minorHAnsi"/>
          <w:b w:val="0"/>
          <w:i/>
          <w:color w:val="auto"/>
          <w:sz w:val="20"/>
          <w:szCs w:val="20"/>
        </w:rPr>
        <w:t xml:space="preserve">Razvoj in krepitev trajnostne, pametne in </w:t>
      </w:r>
      <w:proofErr w:type="spellStart"/>
      <w:r w:rsidR="00DF7DAA" w:rsidRPr="007D117A">
        <w:rPr>
          <w:rFonts w:asciiTheme="minorHAnsi" w:eastAsiaTheme="minorHAnsi" w:hAnsiTheme="minorHAnsi" w:cstheme="minorHAnsi"/>
          <w:b w:val="0"/>
          <w:i/>
          <w:color w:val="auto"/>
          <w:sz w:val="20"/>
          <w:szCs w:val="20"/>
        </w:rPr>
        <w:t>intermodalne</w:t>
      </w:r>
      <w:proofErr w:type="spellEnd"/>
      <w:r w:rsidR="00DF7DAA" w:rsidRPr="007D117A">
        <w:rPr>
          <w:rFonts w:asciiTheme="minorHAnsi" w:eastAsiaTheme="minorHAnsi" w:hAnsiTheme="minorHAnsi" w:cstheme="minorHAnsi"/>
          <w:b w:val="0"/>
          <w:i/>
          <w:color w:val="auto"/>
          <w:sz w:val="20"/>
          <w:szCs w:val="20"/>
        </w:rPr>
        <w:t xml:space="preserve"> nacionalne, regionalne in lokalne mobilnosti, odporne proti podnebnim spremembam, vključno z boljšim dostopom do omrežja TEN-T in čezmejno mobilnostjo</w:t>
      </w:r>
      <w:r w:rsidR="00DF7DAA" w:rsidRPr="00DF7DAA">
        <w:rPr>
          <w:rFonts w:asciiTheme="minorHAnsi" w:eastAsiaTheme="minorHAnsi" w:hAnsiTheme="minorHAnsi" w:cstheme="minorHAnsi"/>
          <w:b w:val="0"/>
          <w:color w:val="auto"/>
          <w:sz w:val="20"/>
          <w:szCs w:val="20"/>
        </w:rPr>
        <w:t>«</w:t>
      </w:r>
      <w:r w:rsidR="00DF7DAA">
        <w:rPr>
          <w:rFonts w:asciiTheme="minorHAnsi" w:eastAsiaTheme="minorHAnsi" w:hAnsiTheme="minorHAnsi" w:cstheme="minorHAnsi"/>
          <w:b w:val="0"/>
          <w:color w:val="auto"/>
          <w:sz w:val="20"/>
          <w:szCs w:val="20"/>
        </w:rPr>
        <w:t>, podajam</w:t>
      </w:r>
      <w:r w:rsidR="00487054">
        <w:rPr>
          <w:rFonts w:asciiTheme="minorHAnsi" w:eastAsiaTheme="minorHAnsi" w:hAnsiTheme="minorHAnsi" w:cstheme="minorHAnsi"/>
          <w:b w:val="0"/>
          <w:color w:val="auto"/>
          <w:sz w:val="20"/>
          <w:szCs w:val="20"/>
        </w:rPr>
        <w:t>o</w:t>
      </w:r>
      <w:r w:rsidR="00DF7DAA">
        <w:rPr>
          <w:rFonts w:asciiTheme="minorHAnsi" w:eastAsiaTheme="minorHAnsi" w:hAnsiTheme="minorHAnsi" w:cstheme="minorHAnsi"/>
          <w:b w:val="0"/>
          <w:color w:val="auto"/>
          <w:sz w:val="20"/>
          <w:szCs w:val="20"/>
        </w:rPr>
        <w:t xml:space="preserve"> naslednjo:</w:t>
      </w:r>
    </w:p>
    <w:p w14:paraId="4B4BA7DB" w14:textId="77777777" w:rsidR="00D600A8" w:rsidRDefault="00D600A8" w:rsidP="00637B9C">
      <w:pPr>
        <w:pStyle w:val="Naslovpublikacije"/>
        <w:spacing w:after="0"/>
        <w:jc w:val="both"/>
        <w:rPr>
          <w:rFonts w:asciiTheme="minorHAnsi" w:eastAsiaTheme="minorHAnsi" w:hAnsiTheme="minorHAnsi" w:cstheme="minorHAnsi"/>
          <w:b w:val="0"/>
          <w:color w:val="auto"/>
          <w:sz w:val="20"/>
          <w:szCs w:val="20"/>
        </w:rPr>
      </w:pPr>
    </w:p>
    <w:p w14:paraId="5B4A4868" w14:textId="05622C68" w:rsidR="00C406EF" w:rsidRPr="007B7219" w:rsidRDefault="00C406EF" w:rsidP="006F55D6">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I</w:t>
      </w:r>
      <w:r w:rsidR="007D117A">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Z</w:t>
      </w:r>
      <w:r w:rsidR="007D117A">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J</w:t>
      </w:r>
      <w:r w:rsidR="007D117A">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A</w:t>
      </w:r>
      <w:r w:rsidR="007D117A">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V</w:t>
      </w:r>
      <w:r w:rsidR="007D117A">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O</w:t>
      </w:r>
    </w:p>
    <w:p w14:paraId="4FE7DBEA" w14:textId="77777777" w:rsidR="00637B9C" w:rsidRPr="007B7219" w:rsidRDefault="00637B9C" w:rsidP="006F55D6">
      <w:pPr>
        <w:pStyle w:val="Naslovpublikacije"/>
        <w:spacing w:after="0"/>
        <w:rPr>
          <w:rFonts w:asciiTheme="minorHAnsi" w:eastAsiaTheme="minorHAnsi" w:hAnsiTheme="minorHAnsi" w:cstheme="minorHAnsi"/>
          <w:color w:val="auto"/>
          <w:sz w:val="20"/>
          <w:szCs w:val="20"/>
        </w:rPr>
      </w:pPr>
    </w:p>
    <w:p w14:paraId="69CF82CA" w14:textId="5EBA594F"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 xml:space="preserve">da </w:t>
      </w:r>
      <w:r>
        <w:rPr>
          <w:rFonts w:asciiTheme="minorHAnsi" w:eastAsiaTheme="minorHAnsi" w:hAnsiTheme="minorHAnsi" w:cstheme="minorHAnsi"/>
          <w:b w:val="0"/>
          <w:color w:val="auto"/>
          <w:sz w:val="20"/>
          <w:szCs w:val="20"/>
        </w:rPr>
        <w:t>smo</w:t>
      </w:r>
      <w:r w:rsidRPr="0073431D">
        <w:rPr>
          <w:rFonts w:asciiTheme="minorHAnsi" w:eastAsiaTheme="minorHAnsi" w:hAnsiTheme="minorHAnsi" w:cstheme="minorHAnsi"/>
          <w:b w:val="0"/>
          <w:color w:val="auto"/>
          <w:sz w:val="20"/>
          <w:szCs w:val="20"/>
        </w:rPr>
        <w:t xml:space="preserve"> seznanjen</w:t>
      </w:r>
      <w:r w:rsidR="00487054">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in da se v celoti strinja</w:t>
      </w:r>
      <w:r>
        <w:rPr>
          <w:rFonts w:asciiTheme="minorHAnsi" w:eastAsiaTheme="minorHAnsi" w:hAnsiTheme="minorHAnsi" w:cstheme="minorHAnsi"/>
          <w:b w:val="0"/>
          <w:color w:val="auto"/>
          <w:sz w:val="20"/>
          <w:szCs w:val="20"/>
        </w:rPr>
        <w:t>m</w:t>
      </w:r>
      <w:r w:rsidR="00487054">
        <w:rPr>
          <w:rFonts w:asciiTheme="minorHAnsi" w:eastAsiaTheme="minorHAnsi" w:hAnsiTheme="minorHAnsi" w:cstheme="minorHAnsi"/>
          <w:b w:val="0"/>
          <w:color w:val="auto"/>
          <w:sz w:val="20"/>
          <w:szCs w:val="20"/>
        </w:rPr>
        <w:t>o</w:t>
      </w:r>
      <w:r w:rsidRPr="0073431D">
        <w:rPr>
          <w:rFonts w:asciiTheme="minorHAnsi" w:eastAsiaTheme="minorHAnsi" w:hAnsiTheme="minorHAnsi" w:cstheme="minorHAnsi"/>
          <w:b w:val="0"/>
          <w:color w:val="auto"/>
          <w:sz w:val="20"/>
          <w:szCs w:val="20"/>
        </w:rPr>
        <w:t xml:space="preserve"> z vsebino, pogoji in zahtevami javnega razpisa; </w:t>
      </w:r>
    </w:p>
    <w:p w14:paraId="58D96775" w14:textId="6AC3C84A"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je projekt, ki je predmet vloge, skladen z namenom in predmetom javnega razpisa, določili javnega razpisa, razpisno dokumentacijo ter evropsko in slovensko zakonodajo;</w:t>
      </w:r>
    </w:p>
    <w:p w14:paraId="2762D8CF" w14:textId="04F62637"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v celoti upošteval</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vsebinske zahteve postopka priprave OCPS, kar bo</w:t>
      </w:r>
      <w:r>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na poziv ministrstva utemeljil</w:t>
      </w:r>
      <w:r w:rsidR="007D117A">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z ustreznimi dokazili;</w:t>
      </w:r>
    </w:p>
    <w:p w14:paraId="162446DB" w14:textId="59559F9D"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 xml:space="preserve">da </w:t>
      </w:r>
      <w:r>
        <w:rPr>
          <w:rFonts w:asciiTheme="minorHAnsi" w:eastAsiaTheme="minorHAnsi" w:hAnsiTheme="minorHAnsi" w:cstheme="minorHAnsi"/>
          <w:b w:val="0"/>
          <w:color w:val="auto"/>
          <w:sz w:val="20"/>
          <w:szCs w:val="20"/>
        </w:rPr>
        <w:t>smo</w:t>
      </w:r>
      <w:r w:rsidRPr="0073431D">
        <w:rPr>
          <w:rFonts w:asciiTheme="minorHAnsi" w:eastAsiaTheme="minorHAnsi" w:hAnsiTheme="minorHAnsi" w:cstheme="minorHAnsi"/>
          <w:b w:val="0"/>
          <w:color w:val="auto"/>
          <w:sz w:val="20"/>
          <w:szCs w:val="20"/>
        </w:rPr>
        <w:t xml:space="preserve"> seznanjen</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s 65. členom Uredbe 2021/1060/EU o trajnosti operacije, in sicer, da mora upravičenec zagotoviti, da pet (5) let po zaključku operacije ne sme priti do bistvene spremembe operacije, ki vpliva na značaj, cilje ali pogoje izvajanja, zaradi česar bi se razvrednotili njeni prvotni cilji;</w:t>
      </w:r>
    </w:p>
    <w:p w14:paraId="08BF083E" w14:textId="094D11F4"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ministrstvu dostavljal</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letna poročila o doseganju kazalnikov učinka operacije in izjave, da rezultati operacije ne bodo in niso bili odtujeni, cedirani, zastavljeni, prodani ali uporabljeni za namen, ki ni v povezavi s sofinancirano operacijo, in sicer najpozneje do 31. marca tekočega leta za preteklo leto;</w:t>
      </w:r>
    </w:p>
    <w:p w14:paraId="23ABED58" w14:textId="2B04A78D"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projekt oz. operacija ni in ne bo predmet sofinanciranja iz drugih sredstev državnega ali EU proračuna;</w:t>
      </w:r>
    </w:p>
    <w:p w14:paraId="15BD1300" w14:textId="27B58E41"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 smo</w:t>
      </w:r>
      <w:r w:rsidRPr="0073431D">
        <w:rPr>
          <w:rFonts w:asciiTheme="minorHAnsi" w:eastAsiaTheme="minorHAnsi" w:hAnsiTheme="minorHAnsi" w:cstheme="minorHAnsi"/>
          <w:b w:val="0"/>
          <w:color w:val="auto"/>
          <w:sz w:val="20"/>
          <w:szCs w:val="20"/>
        </w:rPr>
        <w:t xml:space="preserve"> seznanjen</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z možnimi posledicami, ki bi nastale ob ugotovitvi dvojnega financiranja operacije, neupoštevanja veljavne zakonodaje ali navodil v vseh postopkih izvajanja operacije, kot je npr. vračilo vseh že izplačanih sredstev s pripadajočimi obrestmi;</w:t>
      </w:r>
    </w:p>
    <w:p w14:paraId="118EAC29" w14:textId="6CAC6CFC"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 bomo</w:t>
      </w:r>
      <w:r w:rsidRPr="0073431D">
        <w:rPr>
          <w:rFonts w:asciiTheme="minorHAnsi" w:eastAsiaTheme="minorHAnsi" w:hAnsiTheme="minorHAnsi" w:cstheme="minorHAnsi"/>
          <w:b w:val="0"/>
          <w:color w:val="auto"/>
          <w:sz w:val="20"/>
          <w:szCs w:val="20"/>
        </w:rPr>
        <w:t xml:space="preserve"> označeval</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operacijo, informiral</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in obveščal</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javnost ter komuniciral</w:t>
      </w:r>
      <w:r>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o operaciji skladno s 47. in 50. členom ter Prilogo IX Uredbe 2021/1060 in II. poglavjem Izvedbene uredbe 821/2014/EU ter Navodili organa upravljanja na področju zagotavljanja prepoznavnosti, preglednosti in komuniciranja evropske kohezijske politike v obdobju 2021-2027;</w:t>
      </w:r>
    </w:p>
    <w:p w14:paraId="296F6D79" w14:textId="421E48D9" w:rsidR="0073431D" w:rsidRPr="0073431D" w:rsidRDefault="00FA0C28"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 bomo</w:t>
      </w:r>
      <w:r w:rsidR="0073431D" w:rsidRPr="0073431D">
        <w:rPr>
          <w:rFonts w:asciiTheme="minorHAnsi" w:eastAsiaTheme="minorHAnsi" w:hAnsiTheme="minorHAnsi" w:cstheme="minorHAnsi"/>
          <w:b w:val="0"/>
          <w:color w:val="auto"/>
          <w:sz w:val="20"/>
          <w:szCs w:val="20"/>
        </w:rPr>
        <w:t xml:space="preserve"> hranil</w:t>
      </w:r>
      <w:r>
        <w:rPr>
          <w:rFonts w:asciiTheme="minorHAnsi" w:eastAsiaTheme="minorHAnsi" w:hAnsiTheme="minorHAnsi" w:cstheme="minorHAnsi"/>
          <w:b w:val="0"/>
          <w:color w:val="auto"/>
          <w:sz w:val="20"/>
          <w:szCs w:val="20"/>
        </w:rPr>
        <w:t>i</w:t>
      </w:r>
      <w:r w:rsidR="0073431D" w:rsidRPr="0073431D">
        <w:rPr>
          <w:rFonts w:asciiTheme="minorHAnsi" w:eastAsiaTheme="minorHAnsi" w:hAnsiTheme="minorHAnsi" w:cstheme="minorHAnsi"/>
          <w:b w:val="0"/>
          <w:color w:val="auto"/>
          <w:sz w:val="20"/>
          <w:szCs w:val="20"/>
        </w:rPr>
        <w:t xml:space="preserve"> celotno originalno dokumentacijo, vezano na operacijo, skladno s pravili Evropske unije in zakonodajo Republike Slovenije ter v skladu s 82. členom Uredbe 2021/1060</w:t>
      </w:r>
      <w:r w:rsidR="009300C2">
        <w:rPr>
          <w:rFonts w:asciiTheme="minorHAnsi" w:eastAsiaTheme="minorHAnsi" w:hAnsiTheme="minorHAnsi" w:cstheme="minorHAnsi"/>
          <w:b w:val="0"/>
          <w:color w:val="auto"/>
          <w:sz w:val="20"/>
          <w:szCs w:val="20"/>
        </w:rPr>
        <w:t>/EU</w:t>
      </w:r>
      <w:r w:rsidR="0073431D" w:rsidRPr="0073431D">
        <w:rPr>
          <w:rFonts w:asciiTheme="minorHAnsi" w:eastAsiaTheme="minorHAnsi" w:hAnsiTheme="minorHAnsi" w:cstheme="minorHAnsi"/>
          <w:b w:val="0"/>
          <w:color w:val="auto"/>
          <w:sz w:val="20"/>
          <w:szCs w:val="20"/>
        </w:rPr>
        <w:t>;</w:t>
      </w:r>
    </w:p>
    <w:p w14:paraId="32C786DC" w14:textId="47BA5BA9"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posredniškemu telesu, organu upravljanja, organu za </w:t>
      </w:r>
      <w:proofErr w:type="spellStart"/>
      <w:r w:rsidRPr="0073431D">
        <w:rPr>
          <w:rFonts w:asciiTheme="minorHAnsi" w:eastAsiaTheme="minorHAnsi" w:hAnsiTheme="minorHAnsi" w:cstheme="minorHAnsi"/>
          <w:b w:val="0"/>
          <w:color w:val="auto"/>
          <w:sz w:val="20"/>
          <w:szCs w:val="20"/>
        </w:rPr>
        <w:t>računovodenje</w:t>
      </w:r>
      <w:proofErr w:type="spellEnd"/>
      <w:r w:rsidRPr="0073431D">
        <w:rPr>
          <w:rFonts w:asciiTheme="minorHAnsi" w:eastAsiaTheme="minorHAnsi" w:hAnsiTheme="minorHAnsi" w:cstheme="minorHAnsi"/>
          <w:b w:val="0"/>
          <w:color w:val="auto"/>
          <w:sz w:val="20"/>
          <w:szCs w:val="20"/>
        </w:rPr>
        <w:t>, revizijskemu organu ter drugim nadzornim organom, vključenim v izvajanje, upravljanje, nadzor ali revizijo operacije, omogočil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dostopnost do celotne dokumentacije operacije na način, da sta vsak čas možna kontrola izvajanja operacije in vpogled v dokumentacijo v vsaki točki operacije;</w:t>
      </w:r>
    </w:p>
    <w:p w14:paraId="2B8D7FD6" w14:textId="1E1B7697"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vodil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ločene knjigovodske evidence za operacijo za spremljanje prihodkov oz. prilivov na operaciji;</w:t>
      </w:r>
    </w:p>
    <w:p w14:paraId="6E6E0D61" w14:textId="3B9BDF21"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lastRenderedPageBreak/>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morebitne prihodke na operaciji spremljal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še najmanj pet (5) let po zaključku operacije;</w:t>
      </w:r>
    </w:p>
    <w:p w14:paraId="0F043DE0" w14:textId="3A56B71B"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se strinja</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z javno objavo podatkov o vlagatelju in operaciji, o odobrenih in izplačanih denarnih sredstvih in da dovoljuje</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objavo osnovnih podatkov o operaciji in prejemniku sredstev skladno z zakonom, ki ureja dostop do informacij javnega značaja in zakonom, ki ureja varstvo osebnih podatkov;</w:t>
      </w:r>
    </w:p>
    <w:p w14:paraId="30C662C3" w14:textId="75E8A67C"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v vseh fazah operacije smiselno zagotavljal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skladnost s horizontalnimi načeli iz 9. člena Uredbe 2021/1060/EU, zlasti pa skladnost z »načelom, da se ne škoduje bistveno« glede na merila iz člena 17 Uredbe (EU) 2020/852;</w:t>
      </w:r>
    </w:p>
    <w:p w14:paraId="45C7A902" w14:textId="7913656F"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ima operacija ob upoštevanju dodelitve sredstev po tem javnem razpisu zaprto finančno konstrukcijo za izvedbo celotne operacije (po tekočih cenah), za kar prilaga</w:t>
      </w:r>
      <w:r w:rsidR="009300C2">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izsek iz Načrta razvojnih programov in, v kolikor potrebno, izjavo odgovorne osebe vlagatelja, da bo najkasneje do zahtevka za izplačilo uskladil naziv in vire financiranja projekta v Načrtu razvojnih programov z nazivom in viri financiranja v obrazcih vloge;</w:t>
      </w:r>
    </w:p>
    <w:p w14:paraId="17AB8739" w14:textId="715B0B02"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kot upravičenec vsako finančno, vsebinsko oziroma časovno spremembo, ki bi vplivala ali bi lahko vplivala na cilje, kazalnike ali rezultate operacije pisno obrazloži</w:t>
      </w:r>
      <w:r w:rsidR="00FA0C28">
        <w:rPr>
          <w:rFonts w:asciiTheme="minorHAnsi" w:eastAsiaTheme="minorHAnsi" w:hAnsiTheme="minorHAnsi" w:cstheme="minorHAnsi"/>
          <w:b w:val="0"/>
          <w:color w:val="auto"/>
          <w:sz w:val="20"/>
          <w:szCs w:val="20"/>
        </w:rPr>
        <w:t>li</w:t>
      </w:r>
      <w:r w:rsidRPr="0073431D">
        <w:rPr>
          <w:rFonts w:asciiTheme="minorHAnsi" w:eastAsiaTheme="minorHAnsi" w:hAnsiTheme="minorHAnsi" w:cstheme="minorHAnsi"/>
          <w:b w:val="0"/>
          <w:color w:val="auto"/>
          <w:sz w:val="20"/>
          <w:szCs w:val="20"/>
        </w:rPr>
        <w:t xml:space="preserve"> in utemelji</w:t>
      </w:r>
      <w:r w:rsidR="00FA0C28">
        <w:rPr>
          <w:rFonts w:asciiTheme="minorHAnsi" w:eastAsiaTheme="minorHAnsi" w:hAnsiTheme="minorHAnsi" w:cstheme="minorHAnsi"/>
          <w:b w:val="0"/>
          <w:color w:val="auto"/>
          <w:sz w:val="20"/>
          <w:szCs w:val="20"/>
        </w:rPr>
        <w:t>li</w:t>
      </w:r>
      <w:r w:rsidRPr="0073431D">
        <w:rPr>
          <w:rFonts w:asciiTheme="minorHAnsi" w:eastAsiaTheme="minorHAnsi" w:hAnsiTheme="minorHAnsi" w:cstheme="minorHAnsi"/>
          <w:b w:val="0"/>
          <w:color w:val="auto"/>
          <w:sz w:val="20"/>
          <w:szCs w:val="20"/>
        </w:rPr>
        <w:t xml:space="preserve"> ministrstvu nemudoma oziroma najkasneje v 30. dneh od nastalih sprememb tako, da o njih obvesti</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skrbnika pogodbe o sofinanciranju operacije, sicer se šteje, da se sredstva uporabljajo nenamensko;</w:t>
      </w:r>
    </w:p>
    <w:p w14:paraId="2A6F52DA" w14:textId="0937ADFE"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 xml:space="preserve">da </w:t>
      </w:r>
      <w:r w:rsidR="00FA0C28">
        <w:rPr>
          <w:rFonts w:asciiTheme="minorHAnsi" w:eastAsiaTheme="minorHAnsi" w:hAnsiTheme="minorHAnsi" w:cstheme="minorHAnsi"/>
          <w:b w:val="0"/>
          <w:color w:val="auto"/>
          <w:sz w:val="20"/>
          <w:szCs w:val="20"/>
        </w:rPr>
        <w:t>smo</w:t>
      </w:r>
      <w:r w:rsidRPr="0073431D">
        <w:rPr>
          <w:rFonts w:asciiTheme="minorHAnsi" w:eastAsiaTheme="minorHAnsi" w:hAnsiTheme="minorHAnsi" w:cstheme="minorHAnsi"/>
          <w:b w:val="0"/>
          <w:color w:val="auto"/>
          <w:sz w:val="20"/>
          <w:szCs w:val="20"/>
        </w:rPr>
        <w:t xml:space="preserve"> pri naročilu blaga in storitev za potrebe operacije dolž</w:t>
      </w:r>
      <w:r w:rsidR="00FA0C28">
        <w:rPr>
          <w:rFonts w:asciiTheme="minorHAnsi" w:eastAsiaTheme="minorHAnsi" w:hAnsiTheme="minorHAnsi" w:cstheme="minorHAnsi"/>
          <w:b w:val="0"/>
          <w:color w:val="auto"/>
          <w:sz w:val="20"/>
          <w:szCs w:val="20"/>
        </w:rPr>
        <w:t>ni</w:t>
      </w:r>
      <w:r w:rsidRPr="0073431D">
        <w:rPr>
          <w:rFonts w:asciiTheme="minorHAnsi" w:eastAsiaTheme="minorHAnsi" w:hAnsiTheme="minorHAnsi" w:cstheme="minorHAnsi"/>
          <w:b w:val="0"/>
          <w:color w:val="auto"/>
          <w:sz w:val="20"/>
          <w:szCs w:val="20"/>
        </w:rPr>
        <w:t xml:space="preserve"> upoštevati zakonodajo s področja javnega naročanja;</w:t>
      </w:r>
    </w:p>
    <w:p w14:paraId="0BCA3111" w14:textId="1AB461B7"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upošteval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zakonodajo s področja integritete in preprečevanja korupcije (Zakon o integriteti in preprečevanju korupcije (Uradni list RS, št. 69/11 – uradno prečiščeno besedilo, 158/20, 3/22 – </w:t>
      </w:r>
      <w:proofErr w:type="spellStart"/>
      <w:r w:rsidRPr="0073431D">
        <w:rPr>
          <w:rFonts w:asciiTheme="minorHAnsi" w:eastAsiaTheme="minorHAnsi" w:hAnsiTheme="minorHAnsi" w:cstheme="minorHAnsi"/>
          <w:b w:val="0"/>
          <w:color w:val="auto"/>
          <w:sz w:val="20"/>
          <w:szCs w:val="20"/>
        </w:rPr>
        <w:t>ZDeb</w:t>
      </w:r>
      <w:proofErr w:type="spellEnd"/>
      <w:r w:rsidRPr="0073431D">
        <w:rPr>
          <w:rFonts w:asciiTheme="minorHAnsi" w:eastAsiaTheme="minorHAnsi" w:hAnsiTheme="minorHAnsi" w:cstheme="minorHAnsi"/>
          <w:b w:val="0"/>
          <w:color w:val="auto"/>
          <w:sz w:val="20"/>
          <w:szCs w:val="20"/>
        </w:rPr>
        <w:t xml:space="preserve"> in 16/23 – </w:t>
      </w:r>
      <w:proofErr w:type="spellStart"/>
      <w:r w:rsidRPr="0073431D">
        <w:rPr>
          <w:rFonts w:asciiTheme="minorHAnsi" w:eastAsiaTheme="minorHAnsi" w:hAnsiTheme="minorHAnsi" w:cstheme="minorHAnsi"/>
          <w:b w:val="0"/>
          <w:color w:val="auto"/>
          <w:sz w:val="20"/>
          <w:szCs w:val="20"/>
        </w:rPr>
        <w:t>ZZPri</w:t>
      </w:r>
      <w:proofErr w:type="spellEnd"/>
      <w:r w:rsidRPr="0073431D">
        <w:rPr>
          <w:rFonts w:asciiTheme="minorHAnsi" w:eastAsiaTheme="minorHAnsi" w:hAnsiTheme="minorHAnsi" w:cstheme="minorHAnsi"/>
          <w:b w:val="0"/>
          <w:color w:val="auto"/>
          <w:sz w:val="20"/>
          <w:szCs w:val="20"/>
        </w:rPr>
        <w:t>)</w:t>
      </w:r>
      <w:r w:rsidR="009300C2">
        <w:rPr>
          <w:rFonts w:asciiTheme="minorHAnsi" w:eastAsiaTheme="minorHAnsi" w:hAnsiTheme="minorHAnsi" w:cstheme="minorHAnsi"/>
          <w:b w:val="0"/>
          <w:color w:val="auto"/>
          <w:sz w:val="20"/>
          <w:szCs w:val="20"/>
        </w:rPr>
        <w:t>)</w:t>
      </w:r>
      <w:r w:rsidRPr="0073431D">
        <w:rPr>
          <w:rFonts w:asciiTheme="minorHAnsi" w:eastAsiaTheme="minorHAnsi" w:hAnsiTheme="minorHAnsi" w:cstheme="minorHAnsi"/>
          <w:b w:val="0"/>
          <w:color w:val="auto"/>
          <w:sz w:val="20"/>
          <w:szCs w:val="20"/>
        </w:rPr>
        <w:t>;</w:t>
      </w:r>
    </w:p>
    <w:p w14:paraId="66C911AB" w14:textId="5F14A57E"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zahtevek za izplačilo pripravil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in oddal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preko informacijskega siste</w:t>
      </w:r>
      <w:r w:rsidR="007D117A">
        <w:rPr>
          <w:rFonts w:asciiTheme="minorHAnsi" w:eastAsiaTheme="minorHAnsi" w:hAnsiTheme="minorHAnsi" w:cstheme="minorHAnsi"/>
          <w:b w:val="0"/>
          <w:color w:val="auto"/>
          <w:sz w:val="20"/>
          <w:szCs w:val="20"/>
        </w:rPr>
        <w:t xml:space="preserve">ma organa upravljanja </w:t>
      </w:r>
      <w:proofErr w:type="spellStart"/>
      <w:r w:rsidR="007D117A">
        <w:rPr>
          <w:rFonts w:asciiTheme="minorHAnsi" w:eastAsiaTheme="minorHAnsi" w:hAnsiTheme="minorHAnsi" w:cstheme="minorHAnsi"/>
          <w:b w:val="0"/>
          <w:color w:val="auto"/>
          <w:sz w:val="20"/>
          <w:szCs w:val="20"/>
        </w:rPr>
        <w:t>t.i</w:t>
      </w:r>
      <w:proofErr w:type="spellEnd"/>
      <w:r w:rsidR="007D117A">
        <w:rPr>
          <w:rFonts w:asciiTheme="minorHAnsi" w:eastAsiaTheme="minorHAnsi" w:hAnsiTheme="minorHAnsi" w:cstheme="minorHAnsi"/>
          <w:b w:val="0"/>
          <w:color w:val="auto"/>
          <w:sz w:val="20"/>
          <w:szCs w:val="20"/>
        </w:rPr>
        <w:t>. IS</w:t>
      </w:r>
      <w:r w:rsidR="007D117A">
        <w:rPr>
          <w:rFonts w:asciiTheme="minorHAnsi" w:eastAsiaTheme="minorHAnsi" w:hAnsiTheme="minorHAnsi" w:cstheme="minorHAnsi"/>
          <w:b w:val="0"/>
          <w:color w:val="auto"/>
          <w:sz w:val="20"/>
          <w:szCs w:val="20"/>
        </w:rPr>
        <w:noBreakHyphen/>
        <w:t>e</w:t>
      </w:r>
      <w:r w:rsidRPr="0073431D">
        <w:rPr>
          <w:rFonts w:asciiTheme="minorHAnsi" w:eastAsiaTheme="minorHAnsi" w:hAnsiTheme="minorHAnsi" w:cstheme="minorHAnsi"/>
          <w:b w:val="0"/>
          <w:color w:val="auto"/>
          <w:sz w:val="20"/>
          <w:szCs w:val="20"/>
        </w:rPr>
        <w:t>MA2;</w:t>
      </w:r>
    </w:p>
    <w:p w14:paraId="4AB7CBAD" w14:textId="2ADE75E1"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bo</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pri izvedbi operacije dosledno upošteval</w:t>
      </w:r>
      <w:r w:rsidR="00FA0C28">
        <w:rPr>
          <w:rFonts w:asciiTheme="minorHAnsi" w:eastAsiaTheme="minorHAnsi" w:hAnsiTheme="minorHAnsi" w:cstheme="minorHAnsi"/>
          <w:b w:val="0"/>
          <w:color w:val="auto"/>
          <w:sz w:val="20"/>
          <w:szCs w:val="20"/>
        </w:rPr>
        <w:t>i</w:t>
      </w:r>
      <w:r w:rsidRPr="0073431D">
        <w:rPr>
          <w:rFonts w:asciiTheme="minorHAnsi" w:eastAsiaTheme="minorHAnsi" w:hAnsiTheme="minorHAnsi" w:cstheme="minorHAnsi"/>
          <w:b w:val="0"/>
          <w:color w:val="auto"/>
          <w:sz w:val="20"/>
          <w:szCs w:val="20"/>
        </w:rPr>
        <w:t xml:space="preserve"> vso veljavno evropsko in nacionalno zakonodajo ter pravila izvajanja evropske kohezijske politike v Republiki Sloveniji, navodila organa upravljanja in navodila ministrstva;</w:t>
      </w:r>
    </w:p>
    <w:p w14:paraId="080D7DAC" w14:textId="67408234"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dovoljuje</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ministrstvu, da za potrebe preverjanja izpolnjevanja pogojev po tem javnem razpisu iz uradnih evidenc pridobi potrebne podatke;</w:t>
      </w:r>
    </w:p>
    <w:p w14:paraId="089AF073" w14:textId="30686EEE" w:rsidR="0073431D" w:rsidRPr="0073431D"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se zaveda</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da je vsako navajanje neresničnih podatkov v predloženi vlogi po zakonodaji Republike Slovenije kaznivo dejanje;</w:t>
      </w:r>
    </w:p>
    <w:p w14:paraId="5200D0BF" w14:textId="2A85F61C" w:rsidR="006F55D6" w:rsidRPr="007B7219" w:rsidRDefault="0073431D" w:rsidP="0073431D">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3431D">
        <w:rPr>
          <w:rFonts w:asciiTheme="minorHAnsi" w:eastAsiaTheme="minorHAnsi" w:hAnsiTheme="minorHAnsi" w:cstheme="minorHAnsi"/>
          <w:b w:val="0"/>
          <w:color w:val="auto"/>
          <w:sz w:val="20"/>
          <w:szCs w:val="20"/>
        </w:rPr>
        <w:t>da so vsi podatki v vlogi resnični, točni in popolni, za kar prevzema</w:t>
      </w:r>
      <w:r w:rsidR="00FA0C28">
        <w:rPr>
          <w:rFonts w:asciiTheme="minorHAnsi" w:eastAsiaTheme="minorHAnsi" w:hAnsiTheme="minorHAnsi" w:cstheme="minorHAnsi"/>
          <w:b w:val="0"/>
          <w:color w:val="auto"/>
          <w:sz w:val="20"/>
          <w:szCs w:val="20"/>
        </w:rPr>
        <w:t>mo</w:t>
      </w:r>
      <w:r w:rsidRPr="0073431D">
        <w:rPr>
          <w:rFonts w:asciiTheme="minorHAnsi" w:eastAsiaTheme="minorHAnsi" w:hAnsiTheme="minorHAnsi" w:cstheme="minorHAnsi"/>
          <w:b w:val="0"/>
          <w:color w:val="auto"/>
          <w:sz w:val="20"/>
          <w:szCs w:val="20"/>
        </w:rPr>
        <w:t xml:space="preserve"> vso materialno in kazensko odgovornost.</w:t>
      </w:r>
    </w:p>
    <w:tbl>
      <w:tblPr>
        <w:tblStyle w:val="Tabelamrea"/>
        <w:tblpPr w:leftFromText="141" w:rightFromText="141" w:vertAnchor="text" w:horzAnchor="margin" w:tblpY="384"/>
        <w:tblOverlap w:val="never"/>
        <w:tblW w:w="5000" w:type="pct"/>
        <w:tblLook w:val="04A0" w:firstRow="1" w:lastRow="0" w:firstColumn="1" w:lastColumn="0" w:noHBand="0" w:noVBand="1"/>
      </w:tblPr>
      <w:tblGrid>
        <w:gridCol w:w="3400"/>
        <w:gridCol w:w="568"/>
        <w:gridCol w:w="5104"/>
      </w:tblGrid>
      <w:tr w:rsidR="00637B9C" w:rsidRPr="007B7219" w14:paraId="5E514D7F" w14:textId="77777777" w:rsidTr="007D117A">
        <w:trPr>
          <w:trHeight w:hRule="exact" w:val="851"/>
        </w:trPr>
        <w:tc>
          <w:tcPr>
            <w:tcW w:w="5000" w:type="pct"/>
            <w:gridSpan w:val="3"/>
            <w:tcBorders>
              <w:top w:val="nil"/>
              <w:left w:val="nil"/>
              <w:bottom w:val="nil"/>
              <w:right w:val="nil"/>
            </w:tcBorders>
            <w:vAlign w:val="bottom"/>
          </w:tcPr>
          <w:p w14:paraId="763159DC"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637B9C" w:rsidRPr="007B7219" w14:paraId="12FC486E" w14:textId="77777777" w:rsidTr="007D117A">
        <w:trPr>
          <w:trHeight w:val="1188"/>
        </w:trPr>
        <w:tc>
          <w:tcPr>
            <w:tcW w:w="1874" w:type="pct"/>
            <w:vMerge w:val="restart"/>
            <w:tcBorders>
              <w:left w:val="nil"/>
              <w:right w:val="nil"/>
            </w:tcBorders>
          </w:tcPr>
          <w:p w14:paraId="7016F5A6" w14:textId="77777777" w:rsidR="00637B9C" w:rsidRPr="007B7219" w:rsidRDefault="00637B9C" w:rsidP="009655C2">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3BDACC74"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p>
          <w:p w14:paraId="53E24E63"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p>
          <w:p w14:paraId="2BE61A69"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p>
          <w:p w14:paraId="54CFDC4F"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358FFDF2" w14:textId="52DF1FB2" w:rsidR="009655C2" w:rsidRPr="007B7219" w:rsidRDefault="009655C2" w:rsidP="009655C2">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700DF18C"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61F87062" w14:textId="56F14219" w:rsidR="00637B9C" w:rsidRPr="007B7219" w:rsidRDefault="00637B9C" w:rsidP="009655C2">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Ime in priimek odgovorne osebe</w:t>
            </w:r>
            <w:r w:rsidR="00BF6BE6" w:rsidRPr="007B7219">
              <w:rPr>
                <w:rFonts w:asciiTheme="minorHAnsi" w:eastAsiaTheme="minorHAnsi" w:hAnsiTheme="minorHAnsi" w:cstheme="minorHAnsi"/>
                <w:b w:val="0"/>
                <w:color w:val="auto"/>
                <w:sz w:val="20"/>
                <w:szCs w:val="20"/>
              </w:rPr>
              <w:t xml:space="preserve"> vlagatelja</w:t>
            </w:r>
          </w:p>
        </w:tc>
      </w:tr>
      <w:tr w:rsidR="00637B9C" w:rsidRPr="007B7219" w14:paraId="47A6CC9F" w14:textId="77777777" w:rsidTr="007D117A">
        <w:tc>
          <w:tcPr>
            <w:tcW w:w="1874" w:type="pct"/>
            <w:vMerge/>
            <w:tcBorders>
              <w:left w:val="nil"/>
              <w:bottom w:val="nil"/>
              <w:right w:val="nil"/>
            </w:tcBorders>
          </w:tcPr>
          <w:p w14:paraId="73735BDB"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2B97CDBB" w14:textId="77777777" w:rsidR="00637B9C" w:rsidRPr="007B7219" w:rsidRDefault="00637B9C" w:rsidP="009655C2">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79BC4B6F" w14:textId="2149A504" w:rsidR="00637B9C" w:rsidRPr="007B7219" w:rsidRDefault="00637B9C" w:rsidP="009655C2">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Podpis odgovorne osebe</w:t>
            </w:r>
            <w:r w:rsidR="00BF6BE6" w:rsidRPr="007B7219">
              <w:rPr>
                <w:rFonts w:asciiTheme="minorHAnsi" w:eastAsiaTheme="minorHAnsi" w:hAnsiTheme="minorHAnsi" w:cstheme="minorHAnsi"/>
                <w:b w:val="0"/>
                <w:color w:val="auto"/>
                <w:sz w:val="20"/>
                <w:szCs w:val="20"/>
              </w:rPr>
              <w:t xml:space="preserve"> vlagatelja</w:t>
            </w:r>
          </w:p>
        </w:tc>
      </w:tr>
    </w:tbl>
    <w:p w14:paraId="7C0CF282" w14:textId="77777777" w:rsidR="00BF6BE6" w:rsidRPr="007B7219" w:rsidRDefault="00BF6BE6" w:rsidP="006F55D6">
      <w:pPr>
        <w:pStyle w:val="Naslovpublikacije"/>
        <w:spacing w:after="0"/>
        <w:jc w:val="both"/>
        <w:rPr>
          <w:rFonts w:asciiTheme="minorHAnsi" w:eastAsiaTheme="minorHAnsi" w:hAnsiTheme="minorHAnsi" w:cstheme="minorHAnsi"/>
          <w:b w:val="0"/>
          <w:color w:val="auto"/>
          <w:sz w:val="20"/>
          <w:szCs w:val="20"/>
        </w:rPr>
      </w:pPr>
    </w:p>
    <w:p w14:paraId="30E1299B" w14:textId="77777777"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bookmarkStart w:id="0" w:name="_GoBack"/>
      <w:bookmarkEnd w:id="0"/>
    </w:p>
    <w:sectPr w:rsidR="009655C2" w:rsidRPr="007B7219" w:rsidSect="0015422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DD37" w14:textId="77777777" w:rsidR="003D0D44" w:rsidRDefault="003D0D44" w:rsidP="00154220">
      <w:pPr>
        <w:spacing w:after="0" w:line="240" w:lineRule="auto"/>
      </w:pPr>
      <w:r>
        <w:separator/>
      </w:r>
    </w:p>
  </w:endnote>
  <w:endnote w:type="continuationSeparator" w:id="0">
    <w:p w14:paraId="63C27DEF" w14:textId="77777777" w:rsidR="003D0D44" w:rsidRDefault="003D0D44"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04D0" w14:textId="7522CEF9" w:rsidR="007B7219" w:rsidRDefault="007B7219" w:rsidP="007B7219">
    <w:pPr>
      <w:pStyle w:val="Noga"/>
      <w:pBdr>
        <w:bottom w:val="single" w:sz="12" w:space="1" w:color="auto"/>
      </w:pBdr>
      <w:rPr>
        <w:rFonts w:ascii="Calibri" w:hAnsi="Calibri" w:cs="Calibri"/>
        <w:sz w:val="18"/>
        <w:szCs w:val="16"/>
      </w:rPr>
    </w:pPr>
  </w:p>
  <w:p w14:paraId="3F3615A9" w14:textId="34F1D757" w:rsidR="003B16AB" w:rsidRPr="007B7219" w:rsidRDefault="007B7219" w:rsidP="007B7219">
    <w:pPr>
      <w:pStyle w:val="Noga"/>
    </w:pPr>
    <w:r w:rsidRPr="005B04BA">
      <w:rPr>
        <w:rFonts w:ascii="Calibri" w:hAnsi="Calibri" w:cs="Calibri"/>
        <w:sz w:val="18"/>
        <w:szCs w:val="16"/>
      </w:rPr>
      <w:t>Javni razpis za sofinanciranje občinskih celostnih prometnih strategij (J</w:t>
    </w:r>
    <w:r>
      <w:rPr>
        <w:rFonts w:ascii="Calibri" w:hAnsi="Calibri" w:cs="Calibri"/>
        <w:sz w:val="18"/>
        <w:szCs w:val="16"/>
      </w:rPr>
      <w:t>R</w:t>
    </w:r>
    <w:r w:rsidRPr="005B04BA">
      <w:rPr>
        <w:rFonts w:ascii="Calibri" w:hAnsi="Calibri" w:cs="Calibri"/>
        <w:sz w:val="18"/>
        <w:szCs w:val="16"/>
      </w:rPr>
      <w:t xml:space="preserve"> OCPS)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BC3A" w14:textId="3C184878" w:rsidR="002708FD" w:rsidRDefault="002708FD" w:rsidP="002708FD">
    <w:pPr>
      <w:pStyle w:val="Glava"/>
      <w:pBdr>
        <w:bottom w:val="single" w:sz="12" w:space="1" w:color="auto"/>
      </w:pBdr>
      <w:rPr>
        <w:rFonts w:ascii="Calibri" w:hAnsi="Calibri" w:cs="Calibri"/>
        <w:sz w:val="28"/>
      </w:rPr>
    </w:pPr>
  </w:p>
  <w:p w14:paraId="7B78CDC9" w14:textId="105216E2" w:rsidR="003B16AB" w:rsidRDefault="002708FD" w:rsidP="002708FD">
    <w:pPr>
      <w:pStyle w:val="Noga"/>
    </w:pPr>
    <w:r w:rsidRPr="005B04BA">
      <w:rPr>
        <w:rFonts w:ascii="Calibri" w:hAnsi="Calibri" w:cs="Calibri"/>
        <w:sz w:val="18"/>
        <w:szCs w:val="16"/>
      </w:rPr>
      <w:t>Javni razpis za sofinanciranje občinskih celostnih prometnih strategij (J</w:t>
    </w:r>
    <w:r>
      <w:rPr>
        <w:rFonts w:ascii="Calibri" w:hAnsi="Calibri" w:cs="Calibri"/>
        <w:sz w:val="18"/>
        <w:szCs w:val="16"/>
      </w:rPr>
      <w:t>R</w:t>
    </w:r>
    <w:r w:rsidRPr="005B04BA">
      <w:rPr>
        <w:rFonts w:ascii="Calibri" w:hAnsi="Calibri" w:cs="Calibri"/>
        <w:sz w:val="18"/>
        <w:szCs w:val="16"/>
      </w:rPr>
      <w:t xml:space="preserve"> OCPS)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0D85A" w14:textId="77777777" w:rsidR="003D0D44" w:rsidRDefault="003D0D44" w:rsidP="00154220">
      <w:pPr>
        <w:spacing w:after="0" w:line="240" w:lineRule="auto"/>
      </w:pPr>
      <w:r>
        <w:separator/>
      </w:r>
    </w:p>
  </w:footnote>
  <w:footnote w:type="continuationSeparator" w:id="0">
    <w:p w14:paraId="0B1A37AA" w14:textId="77777777" w:rsidR="003D0D44" w:rsidRDefault="003D0D44"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C87F" w14:textId="1CFF7CDD" w:rsidR="002708FD" w:rsidRDefault="002708FD" w:rsidP="002708FD">
    <w:pPr>
      <w:pStyle w:val="Glava"/>
    </w:pPr>
    <w:r>
      <w:rPr>
        <w:rFonts w:ascii="Republika" w:hAnsi="Republika" w:cs="Arial"/>
        <w:noProof/>
        <w:sz w:val="18"/>
        <w:szCs w:val="16"/>
        <w:lang w:eastAsia="sl-SI"/>
      </w:rPr>
      <w:drawing>
        <wp:anchor distT="0" distB="0" distL="114300" distR="114300" simplePos="0" relativeHeight="251668480" behindDoc="0" locked="0" layoutInCell="1" allowOverlap="1" wp14:anchorId="7D8B1E7F" wp14:editId="33033470">
          <wp:simplePos x="0" y="0"/>
          <wp:positionH relativeFrom="column">
            <wp:posOffset>3030220</wp:posOffset>
          </wp:positionH>
          <wp:positionV relativeFrom="paragraph">
            <wp:posOffset>8890</wp:posOffset>
          </wp:positionV>
          <wp:extent cx="829945" cy="422910"/>
          <wp:effectExtent l="0" t="0" r="8255"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5D1DDAEE" wp14:editId="61B82AF0">
          <wp:simplePos x="0" y="0"/>
          <wp:positionH relativeFrom="column">
            <wp:posOffset>-370205</wp:posOffset>
          </wp:positionH>
          <wp:positionV relativeFrom="paragraph">
            <wp:posOffset>50165</wp:posOffset>
          </wp:positionV>
          <wp:extent cx="2942590" cy="3054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epublika" w:hAnsi="Republika" w:cs="Arial"/>
        <w:noProof/>
        <w:sz w:val="18"/>
        <w:szCs w:val="16"/>
        <w:lang w:eastAsia="sl-SI"/>
      </w:rPr>
      <w:drawing>
        <wp:anchor distT="0" distB="0" distL="114300" distR="114300" simplePos="0" relativeHeight="251669504" behindDoc="0" locked="0" layoutInCell="1" allowOverlap="1" wp14:anchorId="5D64D2C5" wp14:editId="67158689">
          <wp:simplePos x="0" y="0"/>
          <wp:positionH relativeFrom="column">
            <wp:posOffset>3898265</wp:posOffset>
          </wp:positionH>
          <wp:positionV relativeFrom="paragraph">
            <wp:posOffset>-35560</wp:posOffset>
          </wp:positionV>
          <wp:extent cx="1864360" cy="492760"/>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36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6B6C9" w14:textId="77777777" w:rsidR="002708FD" w:rsidRDefault="002708FD" w:rsidP="002708FD">
    <w:pPr>
      <w:pStyle w:val="Glava"/>
      <w:tabs>
        <w:tab w:val="left" w:pos="3261"/>
      </w:tabs>
      <w:rPr>
        <w:rFonts w:ascii="Republika" w:hAnsi="Republika" w:cs="Arial"/>
        <w:sz w:val="16"/>
        <w:szCs w:val="16"/>
      </w:rPr>
    </w:pPr>
    <w:r w:rsidRPr="00ED782B">
      <w:rPr>
        <w:rFonts w:ascii="Republika" w:hAnsi="Republika" w:cs="Arial"/>
        <w:sz w:val="16"/>
        <w:szCs w:val="16"/>
      </w:rPr>
      <w:t xml:space="preserve"> </w:t>
    </w:r>
  </w:p>
  <w:p w14:paraId="1A4F003C" w14:textId="77777777" w:rsidR="002708FD" w:rsidRPr="007E47E9" w:rsidRDefault="002708FD" w:rsidP="002708FD">
    <w:pPr>
      <w:pStyle w:val="Glava"/>
      <w:tabs>
        <w:tab w:val="clear" w:pos="4536"/>
        <w:tab w:val="clear" w:pos="9072"/>
        <w:tab w:val="left" w:pos="5340"/>
      </w:tabs>
      <w:rPr>
        <w:rFonts w:ascii="Republika" w:hAnsi="Republika" w:cs="Arial"/>
        <w:sz w:val="18"/>
        <w:szCs w:val="16"/>
      </w:rPr>
    </w:pPr>
    <w:r>
      <w:rPr>
        <w:rFonts w:ascii="Republika" w:hAnsi="Republika" w:cs="Arial"/>
        <w:sz w:val="18"/>
        <w:szCs w:val="16"/>
      </w:rPr>
      <w:tab/>
    </w:r>
  </w:p>
  <w:p w14:paraId="63C8AEA6" w14:textId="77777777" w:rsidR="002708FD" w:rsidRPr="006D39A9" w:rsidRDefault="002708FD" w:rsidP="002708FD">
    <w:pPr>
      <w:pStyle w:val="Glava"/>
      <w:tabs>
        <w:tab w:val="left" w:pos="3261"/>
      </w:tabs>
      <w:rPr>
        <w:rFonts w:ascii="Republika" w:hAnsi="Republika" w:cs="Arial"/>
        <w:sz w:val="18"/>
        <w:szCs w:val="16"/>
      </w:rPr>
    </w:pPr>
  </w:p>
  <w:p w14:paraId="24E100A1" w14:textId="77777777" w:rsidR="002708FD" w:rsidRDefault="002708FD" w:rsidP="002708FD">
    <w:pPr>
      <w:pStyle w:val="Glava"/>
      <w:tabs>
        <w:tab w:val="left" w:pos="3261"/>
      </w:tabs>
      <w:rPr>
        <w:rFonts w:ascii="Republika" w:hAnsi="Republika" w:cs="Arial"/>
        <w:sz w:val="18"/>
        <w:szCs w:val="16"/>
      </w:rPr>
    </w:pPr>
  </w:p>
  <w:p w14:paraId="66E1F0A9" w14:textId="77777777" w:rsidR="002708FD" w:rsidRPr="006D39A9" w:rsidRDefault="002708FD" w:rsidP="002708FD">
    <w:pPr>
      <w:pStyle w:val="Glava"/>
      <w:tabs>
        <w:tab w:val="left" w:pos="3261"/>
      </w:tabs>
      <w:rPr>
        <w:rFonts w:ascii="Republika" w:hAnsi="Republika" w:cs="Arial"/>
        <w:sz w:val="18"/>
        <w:szCs w:val="16"/>
      </w:rPr>
    </w:pP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04DA6AE0" w14:textId="77777777" w:rsidR="002708FD" w:rsidRPr="006D39A9" w:rsidRDefault="002708FD" w:rsidP="002708FD">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4A42C0EE" w14:textId="77777777" w:rsidR="002708FD" w:rsidRPr="006D39A9" w:rsidRDefault="002708FD" w:rsidP="002708FD">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B79426E" w14:textId="77777777" w:rsidR="003B16AB" w:rsidRPr="002708FD" w:rsidRDefault="003B16AB" w:rsidP="002708F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143888"/>
    <w:multiLevelType w:val="hybridMultilevel"/>
    <w:tmpl w:val="D94600EC"/>
    <w:lvl w:ilvl="0" w:tplc="5520427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6"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37"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4"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3"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4"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2"/>
  </w:num>
  <w:num w:numId="3">
    <w:abstractNumId w:val="29"/>
  </w:num>
  <w:num w:numId="4">
    <w:abstractNumId w:val="17"/>
  </w:num>
  <w:num w:numId="5">
    <w:abstractNumId w:val="4"/>
  </w:num>
  <w:num w:numId="6">
    <w:abstractNumId w:val="13"/>
  </w:num>
  <w:num w:numId="7">
    <w:abstractNumId w:val="43"/>
  </w:num>
  <w:num w:numId="8">
    <w:abstractNumId w:val="35"/>
  </w:num>
  <w:num w:numId="9">
    <w:abstractNumId w:val="15"/>
  </w:num>
  <w:num w:numId="10">
    <w:abstractNumId w:val="56"/>
  </w:num>
  <w:num w:numId="11">
    <w:abstractNumId w:val="23"/>
  </w:num>
  <w:num w:numId="12">
    <w:abstractNumId w:val="54"/>
  </w:num>
  <w:num w:numId="13">
    <w:abstractNumId w:val="2"/>
  </w:num>
  <w:num w:numId="14">
    <w:abstractNumId w:val="22"/>
  </w:num>
  <w:num w:numId="15">
    <w:abstractNumId w:val="43"/>
  </w:num>
  <w:num w:numId="16">
    <w:abstractNumId w:val="35"/>
  </w:num>
  <w:num w:numId="17">
    <w:abstractNumId w:val="51"/>
  </w:num>
  <w:num w:numId="18">
    <w:abstractNumId w:val="49"/>
  </w:num>
  <w:num w:numId="19">
    <w:abstractNumId w:val="39"/>
  </w:num>
  <w:num w:numId="20">
    <w:abstractNumId w:val="3"/>
  </w:num>
  <w:num w:numId="21">
    <w:abstractNumId w:val="32"/>
  </w:num>
  <w:num w:numId="22">
    <w:abstractNumId w:val="41"/>
  </w:num>
  <w:num w:numId="23">
    <w:abstractNumId w:val="40"/>
  </w:num>
  <w:num w:numId="24">
    <w:abstractNumId w:val="53"/>
  </w:num>
  <w:num w:numId="25">
    <w:abstractNumId w:val="34"/>
  </w:num>
  <w:num w:numId="26">
    <w:abstractNumId w:val="10"/>
  </w:num>
  <w:num w:numId="27">
    <w:abstractNumId w:val="7"/>
  </w:num>
  <w:num w:numId="28">
    <w:abstractNumId w:val="16"/>
  </w:num>
  <w:num w:numId="29">
    <w:abstractNumId w:val="5"/>
  </w:num>
  <w:num w:numId="30">
    <w:abstractNumId w:val="21"/>
  </w:num>
  <w:num w:numId="31">
    <w:abstractNumId w:val="8"/>
  </w:num>
  <w:num w:numId="32">
    <w:abstractNumId w:val="48"/>
  </w:num>
  <w:num w:numId="33">
    <w:abstractNumId w:val="47"/>
  </w:num>
  <w:num w:numId="34">
    <w:abstractNumId w:val="14"/>
  </w:num>
  <w:num w:numId="35">
    <w:abstractNumId w:val="55"/>
  </w:num>
  <w:num w:numId="36">
    <w:abstractNumId w:val="18"/>
  </w:num>
  <w:num w:numId="37">
    <w:abstractNumId w:val="9"/>
  </w:num>
  <w:num w:numId="38">
    <w:abstractNumId w:val="0"/>
  </w:num>
  <w:num w:numId="39">
    <w:abstractNumId w:val="38"/>
  </w:num>
  <w:num w:numId="40">
    <w:abstractNumId w:val="24"/>
  </w:num>
  <w:num w:numId="41">
    <w:abstractNumId w:val="37"/>
  </w:num>
  <w:num w:numId="42">
    <w:abstractNumId w:val="1"/>
  </w:num>
  <w:num w:numId="43">
    <w:abstractNumId w:val="31"/>
  </w:num>
  <w:num w:numId="44">
    <w:abstractNumId w:val="50"/>
  </w:num>
  <w:num w:numId="45">
    <w:abstractNumId w:val="12"/>
  </w:num>
  <w:num w:numId="46">
    <w:abstractNumId w:val="27"/>
  </w:num>
  <w:num w:numId="47">
    <w:abstractNumId w:val="20"/>
  </w:num>
  <w:num w:numId="48">
    <w:abstractNumId w:val="46"/>
  </w:num>
  <w:num w:numId="49">
    <w:abstractNumId w:val="44"/>
  </w:num>
  <w:num w:numId="50">
    <w:abstractNumId w:val="6"/>
  </w:num>
  <w:num w:numId="51">
    <w:abstractNumId w:val="36"/>
  </w:num>
  <w:num w:numId="52">
    <w:abstractNumId w:val="25"/>
  </w:num>
  <w:num w:numId="53">
    <w:abstractNumId w:val="28"/>
  </w:num>
  <w:num w:numId="54">
    <w:abstractNumId w:val="33"/>
  </w:num>
  <w:num w:numId="55">
    <w:abstractNumId w:val="45"/>
  </w:num>
  <w:num w:numId="56">
    <w:abstractNumId w:val="26"/>
  </w:num>
  <w:num w:numId="57">
    <w:abstractNumId w:val="30"/>
  </w:num>
  <w:num w:numId="58">
    <w:abstractNumId w:val="52"/>
  </w:num>
  <w:num w:numId="5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10"/>
    <w:rsid w:val="00001234"/>
    <w:rsid w:val="0000790D"/>
    <w:rsid w:val="00012A34"/>
    <w:rsid w:val="00013CC9"/>
    <w:rsid w:val="00014669"/>
    <w:rsid w:val="00015D8F"/>
    <w:rsid w:val="00015ED9"/>
    <w:rsid w:val="00024D3B"/>
    <w:rsid w:val="00027195"/>
    <w:rsid w:val="00027A86"/>
    <w:rsid w:val="00032727"/>
    <w:rsid w:val="000369B4"/>
    <w:rsid w:val="00042654"/>
    <w:rsid w:val="0004442C"/>
    <w:rsid w:val="00051F0A"/>
    <w:rsid w:val="000572FD"/>
    <w:rsid w:val="00061747"/>
    <w:rsid w:val="0006560B"/>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63C1"/>
    <w:rsid w:val="000F2BE5"/>
    <w:rsid w:val="00104C2F"/>
    <w:rsid w:val="00107012"/>
    <w:rsid w:val="00111097"/>
    <w:rsid w:val="001119FC"/>
    <w:rsid w:val="001249B0"/>
    <w:rsid w:val="00124C4A"/>
    <w:rsid w:val="0013046A"/>
    <w:rsid w:val="00134C33"/>
    <w:rsid w:val="00135E07"/>
    <w:rsid w:val="001365E7"/>
    <w:rsid w:val="00137D85"/>
    <w:rsid w:val="00142A24"/>
    <w:rsid w:val="00143CEA"/>
    <w:rsid w:val="00144265"/>
    <w:rsid w:val="00154220"/>
    <w:rsid w:val="00156023"/>
    <w:rsid w:val="00157BF7"/>
    <w:rsid w:val="00160172"/>
    <w:rsid w:val="00165BC5"/>
    <w:rsid w:val="00167476"/>
    <w:rsid w:val="001769D0"/>
    <w:rsid w:val="00183D95"/>
    <w:rsid w:val="00184022"/>
    <w:rsid w:val="00186C96"/>
    <w:rsid w:val="001913DA"/>
    <w:rsid w:val="00196500"/>
    <w:rsid w:val="001A1323"/>
    <w:rsid w:val="001A2A98"/>
    <w:rsid w:val="001A3F99"/>
    <w:rsid w:val="001A4C9E"/>
    <w:rsid w:val="001B3305"/>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4FAA"/>
    <w:rsid w:val="002450B5"/>
    <w:rsid w:val="002458ED"/>
    <w:rsid w:val="00245910"/>
    <w:rsid w:val="00252677"/>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0D44"/>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054"/>
    <w:rsid w:val="00492946"/>
    <w:rsid w:val="00492CFD"/>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C23A9"/>
    <w:rsid w:val="005C66FE"/>
    <w:rsid w:val="005D68E5"/>
    <w:rsid w:val="005E2056"/>
    <w:rsid w:val="005E3992"/>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204"/>
    <w:rsid w:val="00733389"/>
    <w:rsid w:val="0073431D"/>
    <w:rsid w:val="007401A5"/>
    <w:rsid w:val="007432C2"/>
    <w:rsid w:val="00747A46"/>
    <w:rsid w:val="00753634"/>
    <w:rsid w:val="007552EA"/>
    <w:rsid w:val="00766FDA"/>
    <w:rsid w:val="00771CA3"/>
    <w:rsid w:val="0077443B"/>
    <w:rsid w:val="00774FB9"/>
    <w:rsid w:val="0077678D"/>
    <w:rsid w:val="00784C2D"/>
    <w:rsid w:val="00786708"/>
    <w:rsid w:val="00786A4B"/>
    <w:rsid w:val="00790B20"/>
    <w:rsid w:val="00794F1F"/>
    <w:rsid w:val="007960F6"/>
    <w:rsid w:val="007975AC"/>
    <w:rsid w:val="007A0813"/>
    <w:rsid w:val="007B0E4B"/>
    <w:rsid w:val="007B1523"/>
    <w:rsid w:val="007B33D9"/>
    <w:rsid w:val="007B7219"/>
    <w:rsid w:val="007B771F"/>
    <w:rsid w:val="007C37FC"/>
    <w:rsid w:val="007C66F5"/>
    <w:rsid w:val="007C6909"/>
    <w:rsid w:val="007D117A"/>
    <w:rsid w:val="007D2534"/>
    <w:rsid w:val="007E53E0"/>
    <w:rsid w:val="007E7604"/>
    <w:rsid w:val="007F4F23"/>
    <w:rsid w:val="00803948"/>
    <w:rsid w:val="008039A5"/>
    <w:rsid w:val="008043E5"/>
    <w:rsid w:val="0080490C"/>
    <w:rsid w:val="00806BF1"/>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00C2"/>
    <w:rsid w:val="00932790"/>
    <w:rsid w:val="00932ED5"/>
    <w:rsid w:val="00933E45"/>
    <w:rsid w:val="009414A3"/>
    <w:rsid w:val="00943345"/>
    <w:rsid w:val="00943C5C"/>
    <w:rsid w:val="009575E9"/>
    <w:rsid w:val="00960369"/>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2087C"/>
    <w:rsid w:val="00A260A3"/>
    <w:rsid w:val="00A2661D"/>
    <w:rsid w:val="00A3329E"/>
    <w:rsid w:val="00A33AF0"/>
    <w:rsid w:val="00A349BA"/>
    <w:rsid w:val="00A375C6"/>
    <w:rsid w:val="00A419DD"/>
    <w:rsid w:val="00A42195"/>
    <w:rsid w:val="00A536C3"/>
    <w:rsid w:val="00A563F4"/>
    <w:rsid w:val="00A60919"/>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3010"/>
    <w:rsid w:val="00AA3C9B"/>
    <w:rsid w:val="00AB75AF"/>
    <w:rsid w:val="00AB7BED"/>
    <w:rsid w:val="00AC351D"/>
    <w:rsid w:val="00AC5495"/>
    <w:rsid w:val="00AC63CD"/>
    <w:rsid w:val="00AC79CE"/>
    <w:rsid w:val="00AD4187"/>
    <w:rsid w:val="00AE0A74"/>
    <w:rsid w:val="00AE610D"/>
    <w:rsid w:val="00AE6D8C"/>
    <w:rsid w:val="00AF5C63"/>
    <w:rsid w:val="00B00C6C"/>
    <w:rsid w:val="00B0563D"/>
    <w:rsid w:val="00B05D3F"/>
    <w:rsid w:val="00B13EDD"/>
    <w:rsid w:val="00B1706D"/>
    <w:rsid w:val="00B22F48"/>
    <w:rsid w:val="00B30AFE"/>
    <w:rsid w:val="00B320B2"/>
    <w:rsid w:val="00B33D0B"/>
    <w:rsid w:val="00B3510E"/>
    <w:rsid w:val="00B36AA1"/>
    <w:rsid w:val="00B4454B"/>
    <w:rsid w:val="00B4642C"/>
    <w:rsid w:val="00B4799B"/>
    <w:rsid w:val="00B50327"/>
    <w:rsid w:val="00B51948"/>
    <w:rsid w:val="00B62C52"/>
    <w:rsid w:val="00B66373"/>
    <w:rsid w:val="00B673C8"/>
    <w:rsid w:val="00B706FF"/>
    <w:rsid w:val="00B716DB"/>
    <w:rsid w:val="00B81515"/>
    <w:rsid w:val="00B84063"/>
    <w:rsid w:val="00B867F5"/>
    <w:rsid w:val="00B94536"/>
    <w:rsid w:val="00B9692A"/>
    <w:rsid w:val="00BA4D7A"/>
    <w:rsid w:val="00BB0081"/>
    <w:rsid w:val="00BB0A0C"/>
    <w:rsid w:val="00BB0FDE"/>
    <w:rsid w:val="00BB149C"/>
    <w:rsid w:val="00BB4BAD"/>
    <w:rsid w:val="00BB501E"/>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C38"/>
    <w:rsid w:val="00C662AA"/>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A7C9C"/>
    <w:rsid w:val="00CB0080"/>
    <w:rsid w:val="00CB28C6"/>
    <w:rsid w:val="00CB3E28"/>
    <w:rsid w:val="00CB42A9"/>
    <w:rsid w:val="00CC1537"/>
    <w:rsid w:val="00CC737F"/>
    <w:rsid w:val="00CC77A0"/>
    <w:rsid w:val="00CD2302"/>
    <w:rsid w:val="00CD4C04"/>
    <w:rsid w:val="00CD7E81"/>
    <w:rsid w:val="00CE0F7F"/>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600A8"/>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DF7DAA"/>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625CF"/>
    <w:rsid w:val="00E67CAC"/>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D0641"/>
    <w:rsid w:val="00ED0692"/>
    <w:rsid w:val="00ED07CA"/>
    <w:rsid w:val="00ED1DDF"/>
    <w:rsid w:val="00ED7800"/>
    <w:rsid w:val="00ED785D"/>
    <w:rsid w:val="00EE27AD"/>
    <w:rsid w:val="00EE3D76"/>
    <w:rsid w:val="00EE5500"/>
    <w:rsid w:val="00EF201C"/>
    <w:rsid w:val="00EF21F4"/>
    <w:rsid w:val="00EF26C7"/>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518C"/>
    <w:rsid w:val="00F87BE4"/>
    <w:rsid w:val="00F9227A"/>
    <w:rsid w:val="00FA0C28"/>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A501-BE23-4E2F-90A6-B2CCC8BA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858</Words>
  <Characters>4896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 Kunovar</dc:creator>
  <cp:lastModifiedBy>Nataša Naumović</cp:lastModifiedBy>
  <cp:revision>3</cp:revision>
  <cp:lastPrinted>2022-08-09T10:34:00Z</cp:lastPrinted>
  <dcterms:created xsi:type="dcterms:W3CDTF">2023-08-29T07:22:00Z</dcterms:created>
  <dcterms:modified xsi:type="dcterms:W3CDTF">2023-11-12T17:19:00Z</dcterms:modified>
</cp:coreProperties>
</file>