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E839" w14:textId="29E64A43" w:rsidR="00991810" w:rsidRPr="00900F8E" w:rsidRDefault="008B2239" w:rsidP="008B355C">
      <w:pPr>
        <w:spacing w:after="0" w:line="240" w:lineRule="auto"/>
        <w:jc w:val="center"/>
        <w:rPr>
          <w:rFonts w:ascii="Arial" w:hAnsi="Arial" w:cs="Arial"/>
          <w:b/>
          <w:bCs/>
        </w:rPr>
      </w:pPr>
      <w:bookmarkStart w:id="0" w:name="_Hlk112755611"/>
      <w:bookmarkEnd w:id="0"/>
      <w:r w:rsidRPr="00900F8E">
        <w:rPr>
          <w:rFonts w:ascii="Arial" w:hAnsi="Arial" w:cs="Arial"/>
          <w:noProof/>
          <w:lang w:eastAsia="sl-SI"/>
        </w:rPr>
        <w:drawing>
          <wp:inline distT="0" distB="0" distL="0" distR="0" wp14:anchorId="1CE55156" wp14:editId="21A0D5C2">
            <wp:extent cx="2821333" cy="368530"/>
            <wp:effectExtent l="0" t="0" r="0" b="0"/>
            <wp:docPr id="1" name="Picture 1" descr="logo" title="Ministrstvo za okolje in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OP_SL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002" cy="372405"/>
                    </a:xfrm>
                    <a:prstGeom prst="rect">
                      <a:avLst/>
                    </a:prstGeom>
                  </pic:spPr>
                </pic:pic>
              </a:graphicData>
            </a:graphic>
          </wp:inline>
        </w:drawing>
      </w:r>
    </w:p>
    <w:p w14:paraId="2822A4D5" w14:textId="465241EA" w:rsidR="00991810" w:rsidRPr="003B5548" w:rsidRDefault="00740A0B" w:rsidP="003B5548">
      <w:pPr>
        <w:spacing w:before="5280" w:after="5880" w:line="240" w:lineRule="auto"/>
        <w:jc w:val="center"/>
        <w:rPr>
          <w:rFonts w:ascii="Arial" w:hAnsi="Arial" w:cs="Arial"/>
          <w:b/>
          <w:bCs/>
          <w:sz w:val="32"/>
          <w:szCs w:val="32"/>
        </w:rPr>
      </w:pPr>
      <w:r w:rsidRPr="003B5548">
        <w:rPr>
          <w:rFonts w:ascii="Arial" w:hAnsi="Arial" w:cs="Arial"/>
          <w:b/>
          <w:bCs/>
          <w:sz w:val="32"/>
          <w:szCs w:val="32"/>
        </w:rPr>
        <w:t>Peto</w:t>
      </w:r>
      <w:r w:rsidR="00991810" w:rsidRPr="003B5548">
        <w:rPr>
          <w:rFonts w:ascii="Arial" w:hAnsi="Arial" w:cs="Arial"/>
          <w:b/>
          <w:bCs/>
          <w:sz w:val="32"/>
          <w:szCs w:val="32"/>
        </w:rPr>
        <w:t xml:space="preserve"> poročilo o izvajanju Operativnega programa ukrepov zmanjšanja emisij toplogrednih plinov do leta 2020</w:t>
      </w:r>
    </w:p>
    <w:p w14:paraId="541A35DA" w14:textId="77777777" w:rsidR="00991810" w:rsidRPr="00900F8E" w:rsidRDefault="00991810" w:rsidP="008B355C">
      <w:pPr>
        <w:spacing w:after="0" w:line="240" w:lineRule="auto"/>
        <w:jc w:val="both"/>
        <w:rPr>
          <w:rFonts w:ascii="Arial" w:hAnsi="Arial" w:cs="Arial"/>
        </w:rPr>
      </w:pPr>
    </w:p>
    <w:p w14:paraId="35191793" w14:textId="46A4F04C" w:rsidR="00991810" w:rsidRPr="00900F8E" w:rsidRDefault="00776518" w:rsidP="008B355C">
      <w:pPr>
        <w:spacing w:after="0" w:line="240" w:lineRule="auto"/>
        <w:jc w:val="center"/>
        <w:rPr>
          <w:rFonts w:ascii="Arial" w:hAnsi="Arial" w:cs="Arial"/>
        </w:rPr>
      </w:pPr>
      <w:r>
        <w:rPr>
          <w:rFonts w:ascii="Arial" w:hAnsi="Arial" w:cs="Arial"/>
        </w:rPr>
        <w:t>november</w:t>
      </w:r>
      <w:r w:rsidR="00740A0B" w:rsidRPr="00900F8E">
        <w:rPr>
          <w:rFonts w:ascii="Arial" w:hAnsi="Arial" w:cs="Arial"/>
        </w:rPr>
        <w:t xml:space="preserve"> 202</w:t>
      </w:r>
      <w:r w:rsidR="00C95D94" w:rsidRPr="00900F8E">
        <w:rPr>
          <w:rFonts w:ascii="Arial" w:hAnsi="Arial" w:cs="Arial"/>
        </w:rPr>
        <w:t>2</w:t>
      </w:r>
    </w:p>
    <w:p w14:paraId="1A2ED5BE" w14:textId="11CA93B9" w:rsidR="00333542" w:rsidRPr="00900F8E" w:rsidRDefault="00333542" w:rsidP="008B355C">
      <w:pPr>
        <w:spacing w:after="0" w:line="240" w:lineRule="auto"/>
        <w:jc w:val="center"/>
        <w:rPr>
          <w:rFonts w:ascii="Arial" w:hAnsi="Arial" w:cs="Arial"/>
        </w:rPr>
      </w:pPr>
    </w:p>
    <w:sdt>
      <w:sdtPr>
        <w:rPr>
          <w:rFonts w:ascii="Arial" w:eastAsiaTheme="minorHAnsi" w:hAnsi="Arial" w:cs="Arial"/>
          <w:color w:val="auto"/>
          <w:sz w:val="22"/>
          <w:szCs w:val="22"/>
          <w:lang w:eastAsia="en-US"/>
        </w:rPr>
        <w:id w:val="1220247852"/>
        <w:docPartObj>
          <w:docPartGallery w:val="Table of Contents"/>
          <w:docPartUnique/>
        </w:docPartObj>
      </w:sdtPr>
      <w:sdtEndPr>
        <w:rPr>
          <w:b/>
          <w:bCs/>
        </w:rPr>
      </w:sdtEndPr>
      <w:sdtContent>
        <w:p w14:paraId="56AE3BB1" w14:textId="353E13FA" w:rsidR="00697E76" w:rsidRPr="0032537D" w:rsidRDefault="00697E76">
          <w:pPr>
            <w:pStyle w:val="NaslovTOC"/>
            <w:rPr>
              <w:rFonts w:ascii="Arial" w:hAnsi="Arial" w:cs="Arial"/>
              <w:b/>
              <w:bCs/>
              <w:color w:val="auto"/>
              <w:sz w:val="28"/>
              <w:szCs w:val="28"/>
            </w:rPr>
          </w:pPr>
          <w:r w:rsidRPr="0032537D">
            <w:rPr>
              <w:rFonts w:ascii="Arial" w:hAnsi="Arial" w:cs="Arial"/>
              <w:b/>
              <w:bCs/>
              <w:color w:val="auto"/>
              <w:sz w:val="28"/>
              <w:szCs w:val="28"/>
            </w:rPr>
            <w:t>Kazalo</w:t>
          </w:r>
        </w:p>
        <w:p w14:paraId="29913CAE" w14:textId="77777777" w:rsidR="00697E76" w:rsidRPr="0032537D" w:rsidRDefault="00697E76" w:rsidP="00697E76">
          <w:pPr>
            <w:rPr>
              <w:rFonts w:ascii="Arial" w:hAnsi="Arial" w:cs="Arial"/>
              <w:lang w:eastAsia="sl-SI"/>
            </w:rPr>
          </w:pPr>
        </w:p>
        <w:p w14:paraId="41995754" w14:textId="032D067D" w:rsidR="00CF66BC" w:rsidRDefault="00697E76">
          <w:pPr>
            <w:pStyle w:val="Kazalovsebine1"/>
            <w:rPr>
              <w:rFonts w:asciiTheme="minorHAnsi" w:eastAsiaTheme="minorEastAsia" w:hAnsiTheme="minorHAnsi" w:cstheme="minorBidi"/>
              <w:b w:val="0"/>
              <w:bCs w:val="0"/>
              <w:lang w:eastAsia="sl-SI"/>
            </w:rPr>
          </w:pPr>
          <w:r w:rsidRPr="0032537D">
            <w:fldChar w:fldCharType="begin"/>
          </w:r>
          <w:r w:rsidRPr="0032537D">
            <w:instrText xml:space="preserve"> TOC \o "1-3" \h \z \u </w:instrText>
          </w:r>
          <w:r w:rsidRPr="0032537D">
            <w:fldChar w:fldCharType="separate"/>
          </w:r>
          <w:hyperlink w:anchor="_Toc120166925" w:history="1">
            <w:r w:rsidR="00CF66BC" w:rsidRPr="00253EE4">
              <w:rPr>
                <w:rStyle w:val="Hiperpovezava"/>
              </w:rPr>
              <w:t>1 Ključne ugotovitve</w:t>
            </w:r>
            <w:r w:rsidR="00CF66BC">
              <w:rPr>
                <w:webHidden/>
              </w:rPr>
              <w:tab/>
            </w:r>
            <w:r w:rsidR="00CF66BC">
              <w:rPr>
                <w:webHidden/>
              </w:rPr>
              <w:fldChar w:fldCharType="begin"/>
            </w:r>
            <w:r w:rsidR="00CF66BC">
              <w:rPr>
                <w:webHidden/>
              </w:rPr>
              <w:instrText xml:space="preserve"> PAGEREF _Toc120166925 \h </w:instrText>
            </w:r>
            <w:r w:rsidR="00CF66BC">
              <w:rPr>
                <w:webHidden/>
              </w:rPr>
            </w:r>
            <w:r w:rsidR="00CF66BC">
              <w:rPr>
                <w:webHidden/>
              </w:rPr>
              <w:fldChar w:fldCharType="separate"/>
            </w:r>
            <w:r w:rsidR="00CF66BC">
              <w:rPr>
                <w:webHidden/>
              </w:rPr>
              <w:t>4</w:t>
            </w:r>
            <w:r w:rsidR="00CF66BC">
              <w:rPr>
                <w:webHidden/>
              </w:rPr>
              <w:fldChar w:fldCharType="end"/>
            </w:r>
          </w:hyperlink>
        </w:p>
        <w:p w14:paraId="32B810E7" w14:textId="0BF00231" w:rsidR="00CF66BC" w:rsidRDefault="009A432B">
          <w:pPr>
            <w:pStyle w:val="Kazalovsebine1"/>
            <w:rPr>
              <w:rFonts w:asciiTheme="minorHAnsi" w:eastAsiaTheme="minorEastAsia" w:hAnsiTheme="minorHAnsi" w:cstheme="minorBidi"/>
              <w:b w:val="0"/>
              <w:bCs w:val="0"/>
              <w:lang w:eastAsia="sl-SI"/>
            </w:rPr>
          </w:pPr>
          <w:hyperlink w:anchor="_Toc120166926" w:history="1">
            <w:r w:rsidR="00CF66BC" w:rsidRPr="00253EE4">
              <w:rPr>
                <w:rStyle w:val="Hiperpovezava"/>
              </w:rPr>
              <w:t>1.1 Kratkoročni model za spremljanje emisij v tekočem letu</w:t>
            </w:r>
            <w:r w:rsidR="00CF66BC">
              <w:rPr>
                <w:webHidden/>
              </w:rPr>
              <w:tab/>
            </w:r>
            <w:r w:rsidR="00CF66BC">
              <w:rPr>
                <w:webHidden/>
              </w:rPr>
              <w:fldChar w:fldCharType="begin"/>
            </w:r>
            <w:r w:rsidR="00CF66BC">
              <w:rPr>
                <w:webHidden/>
              </w:rPr>
              <w:instrText xml:space="preserve"> PAGEREF _Toc120166926 \h </w:instrText>
            </w:r>
            <w:r w:rsidR="00CF66BC">
              <w:rPr>
                <w:webHidden/>
              </w:rPr>
            </w:r>
            <w:r w:rsidR="00CF66BC">
              <w:rPr>
                <w:webHidden/>
              </w:rPr>
              <w:fldChar w:fldCharType="separate"/>
            </w:r>
            <w:r w:rsidR="00CF66BC">
              <w:rPr>
                <w:webHidden/>
              </w:rPr>
              <w:t>5</w:t>
            </w:r>
            <w:r w:rsidR="00CF66BC">
              <w:rPr>
                <w:webHidden/>
              </w:rPr>
              <w:fldChar w:fldCharType="end"/>
            </w:r>
          </w:hyperlink>
        </w:p>
        <w:p w14:paraId="5A6D2A29" w14:textId="7A17250B" w:rsidR="00CF66BC" w:rsidRDefault="009A432B">
          <w:pPr>
            <w:pStyle w:val="Kazalovsebine1"/>
            <w:rPr>
              <w:rFonts w:asciiTheme="minorHAnsi" w:eastAsiaTheme="minorEastAsia" w:hAnsiTheme="minorHAnsi" w:cstheme="minorBidi"/>
              <w:b w:val="0"/>
              <w:bCs w:val="0"/>
              <w:lang w:eastAsia="sl-SI"/>
            </w:rPr>
          </w:pPr>
          <w:hyperlink w:anchor="_Toc120166927" w:history="1">
            <w:r w:rsidR="00CF66BC" w:rsidRPr="00253EE4">
              <w:rPr>
                <w:rStyle w:val="Hiperpovezava"/>
              </w:rPr>
              <w:t>2 Ocena doseganja ciljev</w:t>
            </w:r>
            <w:r w:rsidR="00CF66BC">
              <w:rPr>
                <w:webHidden/>
              </w:rPr>
              <w:tab/>
            </w:r>
            <w:r w:rsidR="00CF66BC">
              <w:rPr>
                <w:webHidden/>
              </w:rPr>
              <w:fldChar w:fldCharType="begin"/>
            </w:r>
            <w:r w:rsidR="00CF66BC">
              <w:rPr>
                <w:webHidden/>
              </w:rPr>
              <w:instrText xml:space="preserve"> PAGEREF _Toc120166927 \h </w:instrText>
            </w:r>
            <w:r w:rsidR="00CF66BC">
              <w:rPr>
                <w:webHidden/>
              </w:rPr>
            </w:r>
            <w:r w:rsidR="00CF66BC">
              <w:rPr>
                <w:webHidden/>
              </w:rPr>
              <w:fldChar w:fldCharType="separate"/>
            </w:r>
            <w:r w:rsidR="00CF66BC">
              <w:rPr>
                <w:webHidden/>
              </w:rPr>
              <w:t>8</w:t>
            </w:r>
            <w:r w:rsidR="00CF66BC">
              <w:rPr>
                <w:webHidden/>
              </w:rPr>
              <w:fldChar w:fldCharType="end"/>
            </w:r>
          </w:hyperlink>
        </w:p>
        <w:p w14:paraId="28F7423C" w14:textId="25B65E51" w:rsidR="00CF66BC" w:rsidRDefault="009A432B">
          <w:pPr>
            <w:pStyle w:val="Kazalovsebine1"/>
            <w:rPr>
              <w:rFonts w:asciiTheme="minorHAnsi" w:eastAsiaTheme="minorEastAsia" w:hAnsiTheme="minorHAnsi" w:cstheme="minorBidi"/>
              <w:b w:val="0"/>
              <w:bCs w:val="0"/>
              <w:lang w:eastAsia="sl-SI"/>
            </w:rPr>
          </w:pPr>
          <w:hyperlink w:anchor="_Toc120166928" w:history="1">
            <w:r w:rsidR="00CF66BC" w:rsidRPr="00253EE4">
              <w:rPr>
                <w:rStyle w:val="Hiperpovezava"/>
              </w:rPr>
              <w:t>3 Analiza glavnih kazalcev izvajanja OP TGP 2020</w:t>
            </w:r>
            <w:r w:rsidR="00CF66BC">
              <w:rPr>
                <w:webHidden/>
              </w:rPr>
              <w:tab/>
            </w:r>
            <w:r w:rsidR="00CF66BC">
              <w:rPr>
                <w:webHidden/>
              </w:rPr>
              <w:fldChar w:fldCharType="begin"/>
            </w:r>
            <w:r w:rsidR="00CF66BC">
              <w:rPr>
                <w:webHidden/>
              </w:rPr>
              <w:instrText xml:space="preserve"> PAGEREF _Toc120166928 \h </w:instrText>
            </w:r>
            <w:r w:rsidR="00CF66BC">
              <w:rPr>
                <w:webHidden/>
              </w:rPr>
            </w:r>
            <w:r w:rsidR="00CF66BC">
              <w:rPr>
                <w:webHidden/>
              </w:rPr>
              <w:fldChar w:fldCharType="separate"/>
            </w:r>
            <w:r w:rsidR="00CF66BC">
              <w:rPr>
                <w:webHidden/>
              </w:rPr>
              <w:t>12</w:t>
            </w:r>
            <w:r w:rsidR="00CF66BC">
              <w:rPr>
                <w:webHidden/>
              </w:rPr>
              <w:fldChar w:fldCharType="end"/>
            </w:r>
          </w:hyperlink>
        </w:p>
        <w:p w14:paraId="30B4BB62" w14:textId="09763B65" w:rsidR="00CF66BC" w:rsidRDefault="009A432B">
          <w:pPr>
            <w:pStyle w:val="Kazalovsebine2"/>
            <w:tabs>
              <w:tab w:val="right" w:leader="dot" w:pos="9016"/>
            </w:tabs>
            <w:rPr>
              <w:rFonts w:eastAsiaTheme="minorEastAsia"/>
              <w:noProof/>
              <w:lang w:eastAsia="sl-SI"/>
            </w:rPr>
          </w:pPr>
          <w:hyperlink w:anchor="_Toc120166929" w:history="1">
            <w:r w:rsidR="00CF66BC" w:rsidRPr="00253EE4">
              <w:rPr>
                <w:rStyle w:val="Hiperpovezava"/>
                <w:rFonts w:ascii="Arial" w:hAnsi="Arial" w:cs="Arial"/>
                <w:noProof/>
              </w:rPr>
              <w:t>3.1 Promet</w:t>
            </w:r>
            <w:r w:rsidR="00CF66BC">
              <w:rPr>
                <w:noProof/>
                <w:webHidden/>
              </w:rPr>
              <w:tab/>
            </w:r>
            <w:r w:rsidR="00CF66BC">
              <w:rPr>
                <w:noProof/>
                <w:webHidden/>
              </w:rPr>
              <w:fldChar w:fldCharType="begin"/>
            </w:r>
            <w:r w:rsidR="00CF66BC">
              <w:rPr>
                <w:noProof/>
                <w:webHidden/>
              </w:rPr>
              <w:instrText xml:space="preserve"> PAGEREF _Toc120166929 \h </w:instrText>
            </w:r>
            <w:r w:rsidR="00CF66BC">
              <w:rPr>
                <w:noProof/>
                <w:webHidden/>
              </w:rPr>
            </w:r>
            <w:r w:rsidR="00CF66BC">
              <w:rPr>
                <w:noProof/>
                <w:webHidden/>
              </w:rPr>
              <w:fldChar w:fldCharType="separate"/>
            </w:r>
            <w:r w:rsidR="00CF66BC">
              <w:rPr>
                <w:noProof/>
                <w:webHidden/>
              </w:rPr>
              <w:t>12</w:t>
            </w:r>
            <w:r w:rsidR="00CF66BC">
              <w:rPr>
                <w:noProof/>
                <w:webHidden/>
              </w:rPr>
              <w:fldChar w:fldCharType="end"/>
            </w:r>
          </w:hyperlink>
        </w:p>
        <w:p w14:paraId="2085724C" w14:textId="454CD3BB" w:rsidR="00CF66BC" w:rsidRDefault="009A432B">
          <w:pPr>
            <w:pStyle w:val="Kazalovsebine2"/>
            <w:tabs>
              <w:tab w:val="right" w:leader="dot" w:pos="9016"/>
            </w:tabs>
            <w:rPr>
              <w:rFonts w:eastAsiaTheme="minorEastAsia"/>
              <w:noProof/>
              <w:lang w:eastAsia="sl-SI"/>
            </w:rPr>
          </w:pPr>
          <w:hyperlink w:anchor="_Toc120166930" w:history="1">
            <w:r w:rsidR="00CF66BC" w:rsidRPr="00253EE4">
              <w:rPr>
                <w:rStyle w:val="Hiperpovezava"/>
                <w:rFonts w:ascii="Arial" w:hAnsi="Arial" w:cs="Arial"/>
                <w:noProof/>
              </w:rPr>
              <w:t>3.2 Kmetijstvo</w:t>
            </w:r>
            <w:r w:rsidR="00CF66BC">
              <w:rPr>
                <w:noProof/>
                <w:webHidden/>
              </w:rPr>
              <w:tab/>
            </w:r>
            <w:r w:rsidR="00CF66BC">
              <w:rPr>
                <w:noProof/>
                <w:webHidden/>
              </w:rPr>
              <w:fldChar w:fldCharType="begin"/>
            </w:r>
            <w:r w:rsidR="00CF66BC">
              <w:rPr>
                <w:noProof/>
                <w:webHidden/>
              </w:rPr>
              <w:instrText xml:space="preserve"> PAGEREF _Toc120166930 \h </w:instrText>
            </w:r>
            <w:r w:rsidR="00CF66BC">
              <w:rPr>
                <w:noProof/>
                <w:webHidden/>
              </w:rPr>
            </w:r>
            <w:r w:rsidR="00CF66BC">
              <w:rPr>
                <w:noProof/>
                <w:webHidden/>
              </w:rPr>
              <w:fldChar w:fldCharType="separate"/>
            </w:r>
            <w:r w:rsidR="00CF66BC">
              <w:rPr>
                <w:noProof/>
                <w:webHidden/>
              </w:rPr>
              <w:t>14</w:t>
            </w:r>
            <w:r w:rsidR="00CF66BC">
              <w:rPr>
                <w:noProof/>
                <w:webHidden/>
              </w:rPr>
              <w:fldChar w:fldCharType="end"/>
            </w:r>
          </w:hyperlink>
        </w:p>
        <w:p w14:paraId="3A7EA354" w14:textId="3E63213F" w:rsidR="00CF66BC" w:rsidRDefault="009A432B">
          <w:pPr>
            <w:pStyle w:val="Kazalovsebine2"/>
            <w:tabs>
              <w:tab w:val="right" w:leader="dot" w:pos="9016"/>
            </w:tabs>
            <w:rPr>
              <w:rFonts w:eastAsiaTheme="minorEastAsia"/>
              <w:noProof/>
              <w:lang w:eastAsia="sl-SI"/>
            </w:rPr>
          </w:pPr>
          <w:hyperlink w:anchor="_Toc120166931" w:history="1">
            <w:r w:rsidR="00CF66BC" w:rsidRPr="00253EE4">
              <w:rPr>
                <w:rStyle w:val="Hiperpovezava"/>
                <w:rFonts w:ascii="Arial" w:hAnsi="Arial" w:cs="Arial"/>
                <w:noProof/>
              </w:rPr>
              <w:t>3.3 Široka raba – stavbe</w:t>
            </w:r>
            <w:r w:rsidR="00CF66BC">
              <w:rPr>
                <w:noProof/>
                <w:webHidden/>
              </w:rPr>
              <w:tab/>
            </w:r>
            <w:r w:rsidR="00CF66BC">
              <w:rPr>
                <w:noProof/>
                <w:webHidden/>
              </w:rPr>
              <w:fldChar w:fldCharType="begin"/>
            </w:r>
            <w:r w:rsidR="00CF66BC">
              <w:rPr>
                <w:noProof/>
                <w:webHidden/>
              </w:rPr>
              <w:instrText xml:space="preserve"> PAGEREF _Toc120166931 \h </w:instrText>
            </w:r>
            <w:r w:rsidR="00CF66BC">
              <w:rPr>
                <w:noProof/>
                <w:webHidden/>
              </w:rPr>
            </w:r>
            <w:r w:rsidR="00CF66BC">
              <w:rPr>
                <w:noProof/>
                <w:webHidden/>
              </w:rPr>
              <w:fldChar w:fldCharType="separate"/>
            </w:r>
            <w:r w:rsidR="00CF66BC">
              <w:rPr>
                <w:noProof/>
                <w:webHidden/>
              </w:rPr>
              <w:t>15</w:t>
            </w:r>
            <w:r w:rsidR="00CF66BC">
              <w:rPr>
                <w:noProof/>
                <w:webHidden/>
              </w:rPr>
              <w:fldChar w:fldCharType="end"/>
            </w:r>
          </w:hyperlink>
        </w:p>
        <w:p w14:paraId="274C9F90" w14:textId="4EE0FCC9" w:rsidR="00CF66BC" w:rsidRDefault="009A432B">
          <w:pPr>
            <w:pStyle w:val="Kazalovsebine2"/>
            <w:tabs>
              <w:tab w:val="right" w:leader="dot" w:pos="9016"/>
            </w:tabs>
            <w:rPr>
              <w:rFonts w:eastAsiaTheme="minorEastAsia"/>
              <w:noProof/>
              <w:lang w:eastAsia="sl-SI"/>
            </w:rPr>
          </w:pPr>
          <w:hyperlink w:anchor="_Toc120166932" w:history="1">
            <w:r w:rsidR="00CF66BC" w:rsidRPr="00253EE4">
              <w:rPr>
                <w:rStyle w:val="Hiperpovezava"/>
                <w:rFonts w:ascii="Arial" w:hAnsi="Arial" w:cs="Arial"/>
                <w:noProof/>
              </w:rPr>
              <w:t>3.4 Industrija neETS</w:t>
            </w:r>
            <w:r w:rsidR="00CF66BC">
              <w:rPr>
                <w:noProof/>
                <w:webHidden/>
              </w:rPr>
              <w:tab/>
            </w:r>
            <w:r w:rsidR="00CF66BC">
              <w:rPr>
                <w:noProof/>
                <w:webHidden/>
              </w:rPr>
              <w:fldChar w:fldCharType="begin"/>
            </w:r>
            <w:r w:rsidR="00CF66BC">
              <w:rPr>
                <w:noProof/>
                <w:webHidden/>
              </w:rPr>
              <w:instrText xml:space="preserve"> PAGEREF _Toc120166932 \h </w:instrText>
            </w:r>
            <w:r w:rsidR="00CF66BC">
              <w:rPr>
                <w:noProof/>
                <w:webHidden/>
              </w:rPr>
            </w:r>
            <w:r w:rsidR="00CF66BC">
              <w:rPr>
                <w:noProof/>
                <w:webHidden/>
              </w:rPr>
              <w:fldChar w:fldCharType="separate"/>
            </w:r>
            <w:r w:rsidR="00CF66BC">
              <w:rPr>
                <w:noProof/>
                <w:webHidden/>
              </w:rPr>
              <w:t>17</w:t>
            </w:r>
            <w:r w:rsidR="00CF66BC">
              <w:rPr>
                <w:noProof/>
                <w:webHidden/>
              </w:rPr>
              <w:fldChar w:fldCharType="end"/>
            </w:r>
          </w:hyperlink>
        </w:p>
        <w:p w14:paraId="41922D2E" w14:textId="3323E9D5" w:rsidR="00CF66BC" w:rsidRDefault="009A432B">
          <w:pPr>
            <w:pStyle w:val="Kazalovsebine2"/>
            <w:tabs>
              <w:tab w:val="right" w:leader="dot" w:pos="9016"/>
            </w:tabs>
            <w:rPr>
              <w:rFonts w:eastAsiaTheme="minorEastAsia"/>
              <w:noProof/>
              <w:lang w:eastAsia="sl-SI"/>
            </w:rPr>
          </w:pPr>
          <w:hyperlink w:anchor="_Toc120166933" w:history="1">
            <w:r w:rsidR="00CF66BC" w:rsidRPr="00253EE4">
              <w:rPr>
                <w:rStyle w:val="Hiperpovezava"/>
                <w:rFonts w:ascii="Arial" w:hAnsi="Arial" w:cs="Arial"/>
                <w:noProof/>
              </w:rPr>
              <w:t>3.5 Odpadki</w:t>
            </w:r>
            <w:r w:rsidR="00CF66BC">
              <w:rPr>
                <w:noProof/>
                <w:webHidden/>
              </w:rPr>
              <w:tab/>
            </w:r>
            <w:r w:rsidR="00CF66BC">
              <w:rPr>
                <w:noProof/>
                <w:webHidden/>
              </w:rPr>
              <w:fldChar w:fldCharType="begin"/>
            </w:r>
            <w:r w:rsidR="00CF66BC">
              <w:rPr>
                <w:noProof/>
                <w:webHidden/>
              </w:rPr>
              <w:instrText xml:space="preserve"> PAGEREF _Toc120166933 \h </w:instrText>
            </w:r>
            <w:r w:rsidR="00CF66BC">
              <w:rPr>
                <w:noProof/>
                <w:webHidden/>
              </w:rPr>
            </w:r>
            <w:r w:rsidR="00CF66BC">
              <w:rPr>
                <w:noProof/>
                <w:webHidden/>
              </w:rPr>
              <w:fldChar w:fldCharType="separate"/>
            </w:r>
            <w:r w:rsidR="00CF66BC">
              <w:rPr>
                <w:noProof/>
                <w:webHidden/>
              </w:rPr>
              <w:t>17</w:t>
            </w:r>
            <w:r w:rsidR="00CF66BC">
              <w:rPr>
                <w:noProof/>
                <w:webHidden/>
              </w:rPr>
              <w:fldChar w:fldCharType="end"/>
            </w:r>
          </w:hyperlink>
        </w:p>
        <w:p w14:paraId="1FDC1DB2" w14:textId="380A1708" w:rsidR="00CF66BC" w:rsidRDefault="009A432B">
          <w:pPr>
            <w:pStyle w:val="Kazalovsebine2"/>
            <w:tabs>
              <w:tab w:val="right" w:leader="dot" w:pos="9016"/>
            </w:tabs>
            <w:rPr>
              <w:rFonts w:eastAsiaTheme="minorEastAsia"/>
              <w:noProof/>
              <w:lang w:eastAsia="sl-SI"/>
            </w:rPr>
          </w:pPr>
          <w:hyperlink w:anchor="_Toc120166934" w:history="1">
            <w:r w:rsidR="00CF66BC" w:rsidRPr="00253EE4">
              <w:rPr>
                <w:rStyle w:val="Hiperpovezava"/>
                <w:rFonts w:ascii="Arial" w:hAnsi="Arial" w:cs="Arial"/>
                <w:noProof/>
              </w:rPr>
              <w:t>3.6 Zelena gospodarska rast</w:t>
            </w:r>
            <w:r w:rsidR="00CF66BC">
              <w:rPr>
                <w:noProof/>
                <w:webHidden/>
              </w:rPr>
              <w:tab/>
            </w:r>
            <w:r w:rsidR="00CF66BC">
              <w:rPr>
                <w:noProof/>
                <w:webHidden/>
              </w:rPr>
              <w:fldChar w:fldCharType="begin"/>
            </w:r>
            <w:r w:rsidR="00CF66BC">
              <w:rPr>
                <w:noProof/>
                <w:webHidden/>
              </w:rPr>
              <w:instrText xml:space="preserve"> PAGEREF _Toc120166934 \h </w:instrText>
            </w:r>
            <w:r w:rsidR="00CF66BC">
              <w:rPr>
                <w:noProof/>
                <w:webHidden/>
              </w:rPr>
            </w:r>
            <w:r w:rsidR="00CF66BC">
              <w:rPr>
                <w:noProof/>
                <w:webHidden/>
              </w:rPr>
              <w:fldChar w:fldCharType="separate"/>
            </w:r>
            <w:r w:rsidR="00CF66BC">
              <w:rPr>
                <w:noProof/>
                <w:webHidden/>
              </w:rPr>
              <w:t>17</w:t>
            </w:r>
            <w:r w:rsidR="00CF66BC">
              <w:rPr>
                <w:noProof/>
                <w:webHidden/>
              </w:rPr>
              <w:fldChar w:fldCharType="end"/>
            </w:r>
          </w:hyperlink>
        </w:p>
        <w:p w14:paraId="5A6C034A" w14:textId="095F289A" w:rsidR="00CF66BC" w:rsidRDefault="009A432B">
          <w:pPr>
            <w:pStyle w:val="Kazalovsebine1"/>
            <w:rPr>
              <w:rFonts w:asciiTheme="minorHAnsi" w:eastAsiaTheme="minorEastAsia" w:hAnsiTheme="minorHAnsi" w:cstheme="minorBidi"/>
              <w:b w:val="0"/>
              <w:bCs w:val="0"/>
              <w:lang w:eastAsia="sl-SI"/>
            </w:rPr>
          </w:pPr>
          <w:hyperlink w:anchor="_Toc120166935" w:history="1">
            <w:r w:rsidR="00CF66BC" w:rsidRPr="00253EE4">
              <w:rPr>
                <w:rStyle w:val="Hiperpovezava"/>
              </w:rPr>
              <w:t>4 Pregled ukrepanja po sektorjih</w:t>
            </w:r>
            <w:r w:rsidR="00CF66BC">
              <w:rPr>
                <w:webHidden/>
              </w:rPr>
              <w:tab/>
            </w:r>
            <w:r w:rsidR="00CF66BC">
              <w:rPr>
                <w:webHidden/>
              </w:rPr>
              <w:fldChar w:fldCharType="begin"/>
            </w:r>
            <w:r w:rsidR="00CF66BC">
              <w:rPr>
                <w:webHidden/>
              </w:rPr>
              <w:instrText xml:space="preserve"> PAGEREF _Toc120166935 \h </w:instrText>
            </w:r>
            <w:r w:rsidR="00CF66BC">
              <w:rPr>
                <w:webHidden/>
              </w:rPr>
            </w:r>
            <w:r w:rsidR="00CF66BC">
              <w:rPr>
                <w:webHidden/>
              </w:rPr>
              <w:fldChar w:fldCharType="separate"/>
            </w:r>
            <w:r w:rsidR="00CF66BC">
              <w:rPr>
                <w:webHidden/>
              </w:rPr>
              <w:t>20</w:t>
            </w:r>
            <w:r w:rsidR="00CF66BC">
              <w:rPr>
                <w:webHidden/>
              </w:rPr>
              <w:fldChar w:fldCharType="end"/>
            </w:r>
          </w:hyperlink>
        </w:p>
        <w:p w14:paraId="7CC70E9D" w14:textId="023A4D18" w:rsidR="00CF66BC" w:rsidRDefault="009A432B">
          <w:pPr>
            <w:pStyle w:val="Kazalovsebine2"/>
            <w:tabs>
              <w:tab w:val="right" w:leader="dot" w:pos="9016"/>
            </w:tabs>
            <w:rPr>
              <w:rFonts w:eastAsiaTheme="minorEastAsia"/>
              <w:noProof/>
              <w:lang w:eastAsia="sl-SI"/>
            </w:rPr>
          </w:pPr>
          <w:hyperlink w:anchor="_Toc120166936" w:history="1">
            <w:r w:rsidR="00CF66BC" w:rsidRPr="00253EE4">
              <w:rPr>
                <w:rStyle w:val="Hiperpovezava"/>
                <w:rFonts w:ascii="Arial" w:hAnsi="Arial" w:cs="Arial"/>
                <w:noProof/>
              </w:rPr>
              <w:t>4.1 Zelena gospodarska rast</w:t>
            </w:r>
            <w:r w:rsidR="00CF66BC">
              <w:rPr>
                <w:noProof/>
                <w:webHidden/>
              </w:rPr>
              <w:tab/>
            </w:r>
            <w:r w:rsidR="00CF66BC">
              <w:rPr>
                <w:noProof/>
                <w:webHidden/>
              </w:rPr>
              <w:fldChar w:fldCharType="begin"/>
            </w:r>
            <w:r w:rsidR="00CF66BC">
              <w:rPr>
                <w:noProof/>
                <w:webHidden/>
              </w:rPr>
              <w:instrText xml:space="preserve"> PAGEREF _Toc120166936 \h </w:instrText>
            </w:r>
            <w:r w:rsidR="00CF66BC">
              <w:rPr>
                <w:noProof/>
                <w:webHidden/>
              </w:rPr>
            </w:r>
            <w:r w:rsidR="00CF66BC">
              <w:rPr>
                <w:noProof/>
                <w:webHidden/>
              </w:rPr>
              <w:fldChar w:fldCharType="separate"/>
            </w:r>
            <w:r w:rsidR="00CF66BC">
              <w:rPr>
                <w:noProof/>
                <w:webHidden/>
              </w:rPr>
              <w:t>20</w:t>
            </w:r>
            <w:r w:rsidR="00CF66BC">
              <w:rPr>
                <w:noProof/>
                <w:webHidden/>
              </w:rPr>
              <w:fldChar w:fldCharType="end"/>
            </w:r>
          </w:hyperlink>
        </w:p>
        <w:p w14:paraId="7B8889FA" w14:textId="49A948AA" w:rsidR="00CF66BC" w:rsidRDefault="009A432B">
          <w:pPr>
            <w:pStyle w:val="Kazalovsebine2"/>
            <w:tabs>
              <w:tab w:val="right" w:leader="dot" w:pos="9016"/>
            </w:tabs>
            <w:rPr>
              <w:rFonts w:eastAsiaTheme="minorEastAsia"/>
              <w:noProof/>
              <w:lang w:eastAsia="sl-SI"/>
            </w:rPr>
          </w:pPr>
          <w:hyperlink w:anchor="_Toc120166937" w:history="1">
            <w:r w:rsidR="00CF66BC" w:rsidRPr="00253EE4">
              <w:rPr>
                <w:rStyle w:val="Hiperpovezava"/>
                <w:rFonts w:ascii="Arial" w:hAnsi="Arial" w:cs="Arial"/>
                <w:noProof/>
              </w:rPr>
              <w:t>4.2 Promet</w:t>
            </w:r>
            <w:r w:rsidR="00CF66BC">
              <w:rPr>
                <w:noProof/>
                <w:webHidden/>
              </w:rPr>
              <w:tab/>
            </w:r>
            <w:r w:rsidR="00CF66BC">
              <w:rPr>
                <w:noProof/>
                <w:webHidden/>
              </w:rPr>
              <w:fldChar w:fldCharType="begin"/>
            </w:r>
            <w:r w:rsidR="00CF66BC">
              <w:rPr>
                <w:noProof/>
                <w:webHidden/>
              </w:rPr>
              <w:instrText xml:space="preserve"> PAGEREF _Toc120166937 \h </w:instrText>
            </w:r>
            <w:r w:rsidR="00CF66BC">
              <w:rPr>
                <w:noProof/>
                <w:webHidden/>
              </w:rPr>
            </w:r>
            <w:r w:rsidR="00CF66BC">
              <w:rPr>
                <w:noProof/>
                <w:webHidden/>
              </w:rPr>
              <w:fldChar w:fldCharType="separate"/>
            </w:r>
            <w:r w:rsidR="00CF66BC">
              <w:rPr>
                <w:noProof/>
                <w:webHidden/>
              </w:rPr>
              <w:t>22</w:t>
            </w:r>
            <w:r w:rsidR="00CF66BC">
              <w:rPr>
                <w:noProof/>
                <w:webHidden/>
              </w:rPr>
              <w:fldChar w:fldCharType="end"/>
            </w:r>
          </w:hyperlink>
        </w:p>
        <w:p w14:paraId="40224038" w14:textId="55FA8473" w:rsidR="00CF66BC" w:rsidRDefault="009A432B">
          <w:pPr>
            <w:pStyle w:val="Kazalovsebine2"/>
            <w:tabs>
              <w:tab w:val="right" w:leader="dot" w:pos="9016"/>
            </w:tabs>
            <w:rPr>
              <w:rFonts w:eastAsiaTheme="minorEastAsia"/>
              <w:noProof/>
              <w:lang w:eastAsia="sl-SI"/>
            </w:rPr>
          </w:pPr>
          <w:hyperlink w:anchor="_Toc120166938" w:history="1">
            <w:r w:rsidR="00CF66BC" w:rsidRPr="00253EE4">
              <w:rPr>
                <w:rStyle w:val="Hiperpovezava"/>
                <w:rFonts w:ascii="Arial" w:hAnsi="Arial" w:cs="Arial"/>
                <w:noProof/>
              </w:rPr>
              <w:t>4.3 Kmetijstvo</w:t>
            </w:r>
            <w:r w:rsidR="00CF66BC">
              <w:rPr>
                <w:noProof/>
                <w:webHidden/>
              </w:rPr>
              <w:tab/>
            </w:r>
            <w:r w:rsidR="00CF66BC">
              <w:rPr>
                <w:noProof/>
                <w:webHidden/>
              </w:rPr>
              <w:fldChar w:fldCharType="begin"/>
            </w:r>
            <w:r w:rsidR="00CF66BC">
              <w:rPr>
                <w:noProof/>
                <w:webHidden/>
              </w:rPr>
              <w:instrText xml:space="preserve"> PAGEREF _Toc120166938 \h </w:instrText>
            </w:r>
            <w:r w:rsidR="00CF66BC">
              <w:rPr>
                <w:noProof/>
                <w:webHidden/>
              </w:rPr>
            </w:r>
            <w:r w:rsidR="00CF66BC">
              <w:rPr>
                <w:noProof/>
                <w:webHidden/>
              </w:rPr>
              <w:fldChar w:fldCharType="separate"/>
            </w:r>
            <w:r w:rsidR="00CF66BC">
              <w:rPr>
                <w:noProof/>
                <w:webHidden/>
              </w:rPr>
              <w:t>33</w:t>
            </w:r>
            <w:r w:rsidR="00CF66BC">
              <w:rPr>
                <w:noProof/>
                <w:webHidden/>
              </w:rPr>
              <w:fldChar w:fldCharType="end"/>
            </w:r>
          </w:hyperlink>
        </w:p>
        <w:p w14:paraId="7D067CAE" w14:textId="65D4F103" w:rsidR="00CF66BC" w:rsidRDefault="009A432B">
          <w:pPr>
            <w:pStyle w:val="Kazalovsebine2"/>
            <w:tabs>
              <w:tab w:val="right" w:leader="dot" w:pos="9016"/>
            </w:tabs>
            <w:rPr>
              <w:rFonts w:eastAsiaTheme="minorEastAsia"/>
              <w:noProof/>
              <w:lang w:eastAsia="sl-SI"/>
            </w:rPr>
          </w:pPr>
          <w:hyperlink w:anchor="_Toc120166939" w:history="1">
            <w:r w:rsidR="00CF66BC" w:rsidRPr="00253EE4">
              <w:rPr>
                <w:rStyle w:val="Hiperpovezava"/>
                <w:rFonts w:ascii="Arial" w:hAnsi="Arial" w:cs="Arial"/>
                <w:noProof/>
              </w:rPr>
              <w:t>4.4 Široka raba – stavbe</w:t>
            </w:r>
            <w:r w:rsidR="00CF66BC">
              <w:rPr>
                <w:noProof/>
                <w:webHidden/>
              </w:rPr>
              <w:tab/>
            </w:r>
            <w:r w:rsidR="00CF66BC">
              <w:rPr>
                <w:noProof/>
                <w:webHidden/>
              </w:rPr>
              <w:fldChar w:fldCharType="begin"/>
            </w:r>
            <w:r w:rsidR="00CF66BC">
              <w:rPr>
                <w:noProof/>
                <w:webHidden/>
              </w:rPr>
              <w:instrText xml:space="preserve"> PAGEREF _Toc120166939 \h </w:instrText>
            </w:r>
            <w:r w:rsidR="00CF66BC">
              <w:rPr>
                <w:noProof/>
                <w:webHidden/>
              </w:rPr>
            </w:r>
            <w:r w:rsidR="00CF66BC">
              <w:rPr>
                <w:noProof/>
                <w:webHidden/>
              </w:rPr>
              <w:fldChar w:fldCharType="separate"/>
            </w:r>
            <w:r w:rsidR="00CF66BC">
              <w:rPr>
                <w:noProof/>
                <w:webHidden/>
              </w:rPr>
              <w:t>35</w:t>
            </w:r>
            <w:r w:rsidR="00CF66BC">
              <w:rPr>
                <w:noProof/>
                <w:webHidden/>
              </w:rPr>
              <w:fldChar w:fldCharType="end"/>
            </w:r>
          </w:hyperlink>
        </w:p>
        <w:p w14:paraId="7CEA2554" w14:textId="2FD1C0E8" w:rsidR="00CF66BC" w:rsidRDefault="009A432B">
          <w:pPr>
            <w:pStyle w:val="Kazalovsebine2"/>
            <w:tabs>
              <w:tab w:val="right" w:leader="dot" w:pos="9016"/>
            </w:tabs>
            <w:rPr>
              <w:rFonts w:eastAsiaTheme="minorEastAsia"/>
              <w:noProof/>
              <w:lang w:eastAsia="sl-SI"/>
            </w:rPr>
          </w:pPr>
          <w:hyperlink w:anchor="_Toc120166940" w:history="1">
            <w:r w:rsidR="00CF66BC" w:rsidRPr="00253EE4">
              <w:rPr>
                <w:rStyle w:val="Hiperpovezava"/>
                <w:rFonts w:ascii="Arial" w:hAnsi="Arial" w:cs="Arial"/>
                <w:noProof/>
              </w:rPr>
              <w:t>4.5 Industrija neETS</w:t>
            </w:r>
            <w:r w:rsidR="00CF66BC">
              <w:rPr>
                <w:noProof/>
                <w:webHidden/>
              </w:rPr>
              <w:tab/>
            </w:r>
            <w:r w:rsidR="00CF66BC">
              <w:rPr>
                <w:noProof/>
                <w:webHidden/>
              </w:rPr>
              <w:fldChar w:fldCharType="begin"/>
            </w:r>
            <w:r w:rsidR="00CF66BC">
              <w:rPr>
                <w:noProof/>
                <w:webHidden/>
              </w:rPr>
              <w:instrText xml:space="preserve"> PAGEREF _Toc120166940 \h </w:instrText>
            </w:r>
            <w:r w:rsidR="00CF66BC">
              <w:rPr>
                <w:noProof/>
                <w:webHidden/>
              </w:rPr>
            </w:r>
            <w:r w:rsidR="00CF66BC">
              <w:rPr>
                <w:noProof/>
                <w:webHidden/>
              </w:rPr>
              <w:fldChar w:fldCharType="separate"/>
            </w:r>
            <w:r w:rsidR="00CF66BC">
              <w:rPr>
                <w:noProof/>
                <w:webHidden/>
              </w:rPr>
              <w:t>43</w:t>
            </w:r>
            <w:r w:rsidR="00CF66BC">
              <w:rPr>
                <w:noProof/>
                <w:webHidden/>
              </w:rPr>
              <w:fldChar w:fldCharType="end"/>
            </w:r>
          </w:hyperlink>
        </w:p>
        <w:p w14:paraId="3DA70D1D" w14:textId="2A16A73C" w:rsidR="00CF66BC" w:rsidRDefault="009A432B">
          <w:pPr>
            <w:pStyle w:val="Kazalovsebine2"/>
            <w:tabs>
              <w:tab w:val="right" w:leader="dot" w:pos="9016"/>
            </w:tabs>
            <w:rPr>
              <w:rFonts w:eastAsiaTheme="minorEastAsia"/>
              <w:noProof/>
              <w:lang w:eastAsia="sl-SI"/>
            </w:rPr>
          </w:pPr>
          <w:hyperlink w:anchor="_Toc120166941" w:history="1">
            <w:r w:rsidR="00CF66BC" w:rsidRPr="00253EE4">
              <w:rPr>
                <w:rStyle w:val="Hiperpovezava"/>
                <w:rFonts w:ascii="Arial" w:hAnsi="Arial" w:cs="Arial"/>
                <w:noProof/>
              </w:rPr>
              <w:t>4.6 Energetika neETS</w:t>
            </w:r>
            <w:r w:rsidR="00CF66BC">
              <w:rPr>
                <w:noProof/>
                <w:webHidden/>
              </w:rPr>
              <w:tab/>
            </w:r>
            <w:r w:rsidR="00CF66BC">
              <w:rPr>
                <w:noProof/>
                <w:webHidden/>
              </w:rPr>
              <w:fldChar w:fldCharType="begin"/>
            </w:r>
            <w:r w:rsidR="00CF66BC">
              <w:rPr>
                <w:noProof/>
                <w:webHidden/>
              </w:rPr>
              <w:instrText xml:space="preserve"> PAGEREF _Toc120166941 \h </w:instrText>
            </w:r>
            <w:r w:rsidR="00CF66BC">
              <w:rPr>
                <w:noProof/>
                <w:webHidden/>
              </w:rPr>
            </w:r>
            <w:r w:rsidR="00CF66BC">
              <w:rPr>
                <w:noProof/>
                <w:webHidden/>
              </w:rPr>
              <w:fldChar w:fldCharType="separate"/>
            </w:r>
            <w:r w:rsidR="00CF66BC">
              <w:rPr>
                <w:noProof/>
                <w:webHidden/>
              </w:rPr>
              <w:t>46</w:t>
            </w:r>
            <w:r w:rsidR="00CF66BC">
              <w:rPr>
                <w:noProof/>
                <w:webHidden/>
              </w:rPr>
              <w:fldChar w:fldCharType="end"/>
            </w:r>
          </w:hyperlink>
        </w:p>
        <w:p w14:paraId="4CAEE647" w14:textId="3A94A9B3" w:rsidR="00CF66BC" w:rsidRDefault="009A432B">
          <w:pPr>
            <w:pStyle w:val="Kazalovsebine2"/>
            <w:tabs>
              <w:tab w:val="right" w:leader="dot" w:pos="9016"/>
            </w:tabs>
            <w:rPr>
              <w:rFonts w:eastAsiaTheme="minorEastAsia"/>
              <w:noProof/>
              <w:lang w:eastAsia="sl-SI"/>
            </w:rPr>
          </w:pPr>
          <w:hyperlink w:anchor="_Toc120166942" w:history="1">
            <w:r w:rsidR="00CF66BC" w:rsidRPr="00253EE4">
              <w:rPr>
                <w:rStyle w:val="Hiperpovezava"/>
                <w:rFonts w:ascii="Arial" w:hAnsi="Arial" w:cs="Arial"/>
                <w:noProof/>
              </w:rPr>
              <w:t>4.7 Odpadki</w:t>
            </w:r>
            <w:r w:rsidR="00CF66BC">
              <w:rPr>
                <w:noProof/>
                <w:webHidden/>
              </w:rPr>
              <w:tab/>
            </w:r>
            <w:r w:rsidR="00CF66BC">
              <w:rPr>
                <w:noProof/>
                <w:webHidden/>
              </w:rPr>
              <w:fldChar w:fldCharType="begin"/>
            </w:r>
            <w:r w:rsidR="00CF66BC">
              <w:rPr>
                <w:noProof/>
                <w:webHidden/>
              </w:rPr>
              <w:instrText xml:space="preserve"> PAGEREF _Toc120166942 \h </w:instrText>
            </w:r>
            <w:r w:rsidR="00CF66BC">
              <w:rPr>
                <w:noProof/>
                <w:webHidden/>
              </w:rPr>
            </w:r>
            <w:r w:rsidR="00CF66BC">
              <w:rPr>
                <w:noProof/>
                <w:webHidden/>
              </w:rPr>
              <w:fldChar w:fldCharType="separate"/>
            </w:r>
            <w:r w:rsidR="00CF66BC">
              <w:rPr>
                <w:noProof/>
                <w:webHidden/>
              </w:rPr>
              <w:t>47</w:t>
            </w:r>
            <w:r w:rsidR="00CF66BC">
              <w:rPr>
                <w:noProof/>
                <w:webHidden/>
              </w:rPr>
              <w:fldChar w:fldCharType="end"/>
            </w:r>
          </w:hyperlink>
        </w:p>
        <w:p w14:paraId="6CC51C57" w14:textId="6130E159" w:rsidR="00CF66BC" w:rsidRDefault="009A432B">
          <w:pPr>
            <w:pStyle w:val="Kazalovsebine2"/>
            <w:tabs>
              <w:tab w:val="right" w:leader="dot" w:pos="9016"/>
            </w:tabs>
            <w:rPr>
              <w:rFonts w:eastAsiaTheme="minorEastAsia"/>
              <w:noProof/>
              <w:lang w:eastAsia="sl-SI"/>
            </w:rPr>
          </w:pPr>
          <w:hyperlink w:anchor="_Toc120166943" w:history="1">
            <w:r w:rsidR="00CF66BC" w:rsidRPr="00253EE4">
              <w:rPr>
                <w:rStyle w:val="Hiperpovezava"/>
                <w:rFonts w:ascii="Arial" w:hAnsi="Arial" w:cs="Arial"/>
                <w:noProof/>
              </w:rPr>
              <w:t>4.8 LULUCF – raba zemljišč, sprememba rabe zemljišč in gozdarstvo</w:t>
            </w:r>
            <w:r w:rsidR="00CF66BC">
              <w:rPr>
                <w:noProof/>
                <w:webHidden/>
              </w:rPr>
              <w:tab/>
            </w:r>
            <w:r w:rsidR="00CF66BC">
              <w:rPr>
                <w:noProof/>
                <w:webHidden/>
              </w:rPr>
              <w:fldChar w:fldCharType="begin"/>
            </w:r>
            <w:r w:rsidR="00CF66BC">
              <w:rPr>
                <w:noProof/>
                <w:webHidden/>
              </w:rPr>
              <w:instrText xml:space="preserve"> PAGEREF _Toc120166943 \h </w:instrText>
            </w:r>
            <w:r w:rsidR="00CF66BC">
              <w:rPr>
                <w:noProof/>
                <w:webHidden/>
              </w:rPr>
            </w:r>
            <w:r w:rsidR="00CF66BC">
              <w:rPr>
                <w:noProof/>
                <w:webHidden/>
              </w:rPr>
              <w:fldChar w:fldCharType="separate"/>
            </w:r>
            <w:r w:rsidR="00CF66BC">
              <w:rPr>
                <w:noProof/>
                <w:webHidden/>
              </w:rPr>
              <w:t>48</w:t>
            </w:r>
            <w:r w:rsidR="00CF66BC">
              <w:rPr>
                <w:noProof/>
                <w:webHidden/>
              </w:rPr>
              <w:fldChar w:fldCharType="end"/>
            </w:r>
          </w:hyperlink>
        </w:p>
        <w:p w14:paraId="60DD1AAF" w14:textId="3D450E8B" w:rsidR="00CF66BC" w:rsidRDefault="009A432B">
          <w:pPr>
            <w:pStyle w:val="Kazalovsebine2"/>
            <w:tabs>
              <w:tab w:val="right" w:leader="dot" w:pos="9016"/>
            </w:tabs>
            <w:rPr>
              <w:rFonts w:eastAsiaTheme="minorEastAsia"/>
              <w:noProof/>
              <w:lang w:eastAsia="sl-SI"/>
            </w:rPr>
          </w:pPr>
          <w:hyperlink w:anchor="_Toc120166944" w:history="1">
            <w:r w:rsidR="00CF66BC" w:rsidRPr="00253EE4">
              <w:rPr>
                <w:rStyle w:val="Hiperpovezava"/>
                <w:rFonts w:ascii="Arial" w:hAnsi="Arial" w:cs="Arial"/>
                <w:noProof/>
              </w:rPr>
              <w:t>4.9 Večsektorski ukrepi</w:t>
            </w:r>
            <w:r w:rsidR="00CF66BC">
              <w:rPr>
                <w:noProof/>
                <w:webHidden/>
              </w:rPr>
              <w:tab/>
            </w:r>
            <w:r w:rsidR="00CF66BC">
              <w:rPr>
                <w:noProof/>
                <w:webHidden/>
              </w:rPr>
              <w:fldChar w:fldCharType="begin"/>
            </w:r>
            <w:r w:rsidR="00CF66BC">
              <w:rPr>
                <w:noProof/>
                <w:webHidden/>
              </w:rPr>
              <w:instrText xml:space="preserve"> PAGEREF _Toc120166944 \h </w:instrText>
            </w:r>
            <w:r w:rsidR="00CF66BC">
              <w:rPr>
                <w:noProof/>
                <w:webHidden/>
              </w:rPr>
            </w:r>
            <w:r w:rsidR="00CF66BC">
              <w:rPr>
                <w:noProof/>
                <w:webHidden/>
              </w:rPr>
              <w:fldChar w:fldCharType="separate"/>
            </w:r>
            <w:r w:rsidR="00CF66BC">
              <w:rPr>
                <w:noProof/>
                <w:webHidden/>
              </w:rPr>
              <w:t>49</w:t>
            </w:r>
            <w:r w:rsidR="00CF66BC">
              <w:rPr>
                <w:noProof/>
                <w:webHidden/>
              </w:rPr>
              <w:fldChar w:fldCharType="end"/>
            </w:r>
          </w:hyperlink>
        </w:p>
        <w:p w14:paraId="1D5586C4" w14:textId="5612B98A" w:rsidR="00CF66BC" w:rsidRDefault="009A432B">
          <w:pPr>
            <w:pStyle w:val="Kazalovsebine2"/>
            <w:tabs>
              <w:tab w:val="right" w:leader="dot" w:pos="9016"/>
            </w:tabs>
            <w:rPr>
              <w:rFonts w:eastAsiaTheme="minorEastAsia"/>
              <w:noProof/>
              <w:lang w:eastAsia="sl-SI"/>
            </w:rPr>
          </w:pPr>
          <w:hyperlink w:anchor="_Toc120166945" w:history="1">
            <w:r w:rsidR="00CF66BC" w:rsidRPr="00253EE4">
              <w:rPr>
                <w:rStyle w:val="Hiperpovezava"/>
                <w:rFonts w:ascii="Arial" w:hAnsi="Arial" w:cs="Arial"/>
                <w:noProof/>
              </w:rPr>
              <w:t>4.10 Izobraževanje, usposabljanje, informiranje, ozaveščanje</w:t>
            </w:r>
            <w:r w:rsidR="00CF66BC">
              <w:rPr>
                <w:noProof/>
                <w:webHidden/>
              </w:rPr>
              <w:tab/>
            </w:r>
            <w:r w:rsidR="00CF66BC">
              <w:rPr>
                <w:noProof/>
                <w:webHidden/>
              </w:rPr>
              <w:fldChar w:fldCharType="begin"/>
            </w:r>
            <w:r w:rsidR="00CF66BC">
              <w:rPr>
                <w:noProof/>
                <w:webHidden/>
              </w:rPr>
              <w:instrText xml:space="preserve"> PAGEREF _Toc120166945 \h </w:instrText>
            </w:r>
            <w:r w:rsidR="00CF66BC">
              <w:rPr>
                <w:noProof/>
                <w:webHidden/>
              </w:rPr>
            </w:r>
            <w:r w:rsidR="00CF66BC">
              <w:rPr>
                <w:noProof/>
                <w:webHidden/>
              </w:rPr>
              <w:fldChar w:fldCharType="separate"/>
            </w:r>
            <w:r w:rsidR="00CF66BC">
              <w:rPr>
                <w:noProof/>
                <w:webHidden/>
              </w:rPr>
              <w:t>53</w:t>
            </w:r>
            <w:r w:rsidR="00CF66BC">
              <w:rPr>
                <w:noProof/>
                <w:webHidden/>
              </w:rPr>
              <w:fldChar w:fldCharType="end"/>
            </w:r>
          </w:hyperlink>
        </w:p>
        <w:p w14:paraId="751FC2D9" w14:textId="644EF5D6" w:rsidR="00CF66BC" w:rsidRDefault="009A432B">
          <w:pPr>
            <w:pStyle w:val="Kazalovsebine1"/>
            <w:rPr>
              <w:rFonts w:asciiTheme="minorHAnsi" w:eastAsiaTheme="minorEastAsia" w:hAnsiTheme="minorHAnsi" w:cstheme="minorBidi"/>
              <w:b w:val="0"/>
              <w:bCs w:val="0"/>
              <w:lang w:eastAsia="sl-SI"/>
            </w:rPr>
          </w:pPr>
          <w:hyperlink w:anchor="_Toc120166946" w:history="1">
            <w:r w:rsidR="00CF66BC" w:rsidRPr="00253EE4">
              <w:rPr>
                <w:rStyle w:val="Hiperpovezava"/>
              </w:rPr>
              <w:t>5 Financiranje izvajanja ukrepov</w:t>
            </w:r>
            <w:r w:rsidR="00CF66BC">
              <w:rPr>
                <w:webHidden/>
              </w:rPr>
              <w:tab/>
            </w:r>
            <w:r w:rsidR="00CF66BC">
              <w:rPr>
                <w:webHidden/>
              </w:rPr>
              <w:fldChar w:fldCharType="begin"/>
            </w:r>
            <w:r w:rsidR="00CF66BC">
              <w:rPr>
                <w:webHidden/>
              </w:rPr>
              <w:instrText xml:space="preserve"> PAGEREF _Toc120166946 \h </w:instrText>
            </w:r>
            <w:r w:rsidR="00CF66BC">
              <w:rPr>
                <w:webHidden/>
              </w:rPr>
            </w:r>
            <w:r w:rsidR="00CF66BC">
              <w:rPr>
                <w:webHidden/>
              </w:rPr>
              <w:fldChar w:fldCharType="separate"/>
            </w:r>
            <w:r w:rsidR="00CF66BC">
              <w:rPr>
                <w:webHidden/>
              </w:rPr>
              <w:t>56</w:t>
            </w:r>
            <w:r w:rsidR="00CF66BC">
              <w:rPr>
                <w:webHidden/>
              </w:rPr>
              <w:fldChar w:fldCharType="end"/>
            </w:r>
          </w:hyperlink>
        </w:p>
        <w:p w14:paraId="5E830121" w14:textId="6190A92B" w:rsidR="00CF66BC" w:rsidRDefault="009A432B">
          <w:pPr>
            <w:pStyle w:val="Kazalovsebine1"/>
            <w:rPr>
              <w:rFonts w:asciiTheme="minorHAnsi" w:eastAsiaTheme="minorEastAsia" w:hAnsiTheme="minorHAnsi" w:cstheme="minorBidi"/>
              <w:b w:val="0"/>
              <w:bCs w:val="0"/>
              <w:lang w:eastAsia="sl-SI"/>
            </w:rPr>
          </w:pPr>
          <w:hyperlink w:anchor="_Toc120166947" w:history="1">
            <w:r w:rsidR="00CF66BC" w:rsidRPr="00253EE4">
              <w:rPr>
                <w:rStyle w:val="Hiperpovezava"/>
              </w:rPr>
              <w:t>6 Priporočila po sektorjih</w:t>
            </w:r>
            <w:r w:rsidR="00CF66BC">
              <w:rPr>
                <w:webHidden/>
              </w:rPr>
              <w:tab/>
            </w:r>
            <w:r w:rsidR="00CF66BC">
              <w:rPr>
                <w:webHidden/>
              </w:rPr>
              <w:fldChar w:fldCharType="begin"/>
            </w:r>
            <w:r w:rsidR="00CF66BC">
              <w:rPr>
                <w:webHidden/>
              </w:rPr>
              <w:instrText xml:space="preserve"> PAGEREF _Toc120166947 \h </w:instrText>
            </w:r>
            <w:r w:rsidR="00CF66BC">
              <w:rPr>
                <w:webHidden/>
              </w:rPr>
            </w:r>
            <w:r w:rsidR="00CF66BC">
              <w:rPr>
                <w:webHidden/>
              </w:rPr>
              <w:fldChar w:fldCharType="separate"/>
            </w:r>
            <w:r w:rsidR="00CF66BC">
              <w:rPr>
                <w:webHidden/>
              </w:rPr>
              <w:t>59</w:t>
            </w:r>
            <w:r w:rsidR="00CF66BC">
              <w:rPr>
                <w:webHidden/>
              </w:rPr>
              <w:fldChar w:fldCharType="end"/>
            </w:r>
          </w:hyperlink>
        </w:p>
        <w:p w14:paraId="62CF4A65" w14:textId="35DDEDF8" w:rsidR="00CF66BC" w:rsidRDefault="009A432B">
          <w:pPr>
            <w:pStyle w:val="Kazalovsebine2"/>
            <w:tabs>
              <w:tab w:val="right" w:leader="dot" w:pos="9016"/>
            </w:tabs>
            <w:rPr>
              <w:rFonts w:eastAsiaTheme="minorEastAsia"/>
              <w:noProof/>
              <w:lang w:eastAsia="sl-SI"/>
            </w:rPr>
          </w:pPr>
          <w:hyperlink w:anchor="_Toc120166948" w:history="1">
            <w:r w:rsidR="00CF66BC" w:rsidRPr="00253EE4">
              <w:rPr>
                <w:rStyle w:val="Hiperpovezava"/>
                <w:rFonts w:ascii="Arial" w:hAnsi="Arial" w:cs="Arial"/>
                <w:noProof/>
              </w:rPr>
              <w:t>6.1 Zelena gospodarska rast</w:t>
            </w:r>
            <w:r w:rsidR="00CF66BC">
              <w:rPr>
                <w:noProof/>
                <w:webHidden/>
              </w:rPr>
              <w:tab/>
            </w:r>
            <w:r w:rsidR="00CF66BC">
              <w:rPr>
                <w:noProof/>
                <w:webHidden/>
              </w:rPr>
              <w:fldChar w:fldCharType="begin"/>
            </w:r>
            <w:r w:rsidR="00CF66BC">
              <w:rPr>
                <w:noProof/>
                <w:webHidden/>
              </w:rPr>
              <w:instrText xml:space="preserve"> PAGEREF _Toc120166948 \h </w:instrText>
            </w:r>
            <w:r w:rsidR="00CF66BC">
              <w:rPr>
                <w:noProof/>
                <w:webHidden/>
              </w:rPr>
            </w:r>
            <w:r w:rsidR="00CF66BC">
              <w:rPr>
                <w:noProof/>
                <w:webHidden/>
              </w:rPr>
              <w:fldChar w:fldCharType="separate"/>
            </w:r>
            <w:r w:rsidR="00CF66BC">
              <w:rPr>
                <w:noProof/>
                <w:webHidden/>
              </w:rPr>
              <w:t>59</w:t>
            </w:r>
            <w:r w:rsidR="00CF66BC">
              <w:rPr>
                <w:noProof/>
                <w:webHidden/>
              </w:rPr>
              <w:fldChar w:fldCharType="end"/>
            </w:r>
          </w:hyperlink>
        </w:p>
        <w:p w14:paraId="4565E4C0" w14:textId="2276F4EF" w:rsidR="00CF66BC" w:rsidRDefault="009A432B">
          <w:pPr>
            <w:pStyle w:val="Kazalovsebine2"/>
            <w:tabs>
              <w:tab w:val="right" w:leader="dot" w:pos="9016"/>
            </w:tabs>
            <w:rPr>
              <w:rFonts w:eastAsiaTheme="minorEastAsia"/>
              <w:noProof/>
              <w:lang w:eastAsia="sl-SI"/>
            </w:rPr>
          </w:pPr>
          <w:hyperlink w:anchor="_Toc120166949" w:history="1">
            <w:r w:rsidR="00CF66BC" w:rsidRPr="00253EE4">
              <w:rPr>
                <w:rStyle w:val="Hiperpovezava"/>
                <w:rFonts w:ascii="Arial" w:hAnsi="Arial" w:cs="Arial"/>
                <w:noProof/>
              </w:rPr>
              <w:t>6.2 Promet</w:t>
            </w:r>
            <w:r w:rsidR="00CF66BC">
              <w:rPr>
                <w:noProof/>
                <w:webHidden/>
              </w:rPr>
              <w:tab/>
            </w:r>
            <w:r w:rsidR="00CF66BC">
              <w:rPr>
                <w:noProof/>
                <w:webHidden/>
              </w:rPr>
              <w:fldChar w:fldCharType="begin"/>
            </w:r>
            <w:r w:rsidR="00CF66BC">
              <w:rPr>
                <w:noProof/>
                <w:webHidden/>
              </w:rPr>
              <w:instrText xml:space="preserve"> PAGEREF _Toc120166949 \h </w:instrText>
            </w:r>
            <w:r w:rsidR="00CF66BC">
              <w:rPr>
                <w:noProof/>
                <w:webHidden/>
              </w:rPr>
            </w:r>
            <w:r w:rsidR="00CF66BC">
              <w:rPr>
                <w:noProof/>
                <w:webHidden/>
              </w:rPr>
              <w:fldChar w:fldCharType="separate"/>
            </w:r>
            <w:r w:rsidR="00CF66BC">
              <w:rPr>
                <w:noProof/>
                <w:webHidden/>
              </w:rPr>
              <w:t>60</w:t>
            </w:r>
            <w:r w:rsidR="00CF66BC">
              <w:rPr>
                <w:noProof/>
                <w:webHidden/>
              </w:rPr>
              <w:fldChar w:fldCharType="end"/>
            </w:r>
          </w:hyperlink>
        </w:p>
        <w:p w14:paraId="71056E57" w14:textId="27293608" w:rsidR="00CF66BC" w:rsidRDefault="009A432B">
          <w:pPr>
            <w:pStyle w:val="Kazalovsebine2"/>
            <w:tabs>
              <w:tab w:val="right" w:leader="dot" w:pos="9016"/>
            </w:tabs>
            <w:rPr>
              <w:rFonts w:eastAsiaTheme="minorEastAsia"/>
              <w:noProof/>
              <w:lang w:eastAsia="sl-SI"/>
            </w:rPr>
          </w:pPr>
          <w:hyperlink w:anchor="_Toc120166950" w:history="1">
            <w:r w:rsidR="00CF66BC" w:rsidRPr="00253EE4">
              <w:rPr>
                <w:rStyle w:val="Hiperpovezava"/>
                <w:rFonts w:ascii="Arial" w:hAnsi="Arial" w:cs="Arial"/>
                <w:noProof/>
              </w:rPr>
              <w:t>6.3 Kmetijstvo</w:t>
            </w:r>
            <w:r w:rsidR="00CF66BC">
              <w:rPr>
                <w:noProof/>
                <w:webHidden/>
              </w:rPr>
              <w:tab/>
            </w:r>
            <w:r w:rsidR="00CF66BC">
              <w:rPr>
                <w:noProof/>
                <w:webHidden/>
              </w:rPr>
              <w:fldChar w:fldCharType="begin"/>
            </w:r>
            <w:r w:rsidR="00CF66BC">
              <w:rPr>
                <w:noProof/>
                <w:webHidden/>
              </w:rPr>
              <w:instrText xml:space="preserve"> PAGEREF _Toc120166950 \h </w:instrText>
            </w:r>
            <w:r w:rsidR="00CF66BC">
              <w:rPr>
                <w:noProof/>
                <w:webHidden/>
              </w:rPr>
            </w:r>
            <w:r w:rsidR="00CF66BC">
              <w:rPr>
                <w:noProof/>
                <w:webHidden/>
              </w:rPr>
              <w:fldChar w:fldCharType="separate"/>
            </w:r>
            <w:r w:rsidR="00CF66BC">
              <w:rPr>
                <w:noProof/>
                <w:webHidden/>
              </w:rPr>
              <w:t>61</w:t>
            </w:r>
            <w:r w:rsidR="00CF66BC">
              <w:rPr>
                <w:noProof/>
                <w:webHidden/>
              </w:rPr>
              <w:fldChar w:fldCharType="end"/>
            </w:r>
          </w:hyperlink>
        </w:p>
        <w:p w14:paraId="78670294" w14:textId="071058D2" w:rsidR="00CF66BC" w:rsidRDefault="009A432B">
          <w:pPr>
            <w:pStyle w:val="Kazalovsebine2"/>
            <w:tabs>
              <w:tab w:val="right" w:leader="dot" w:pos="9016"/>
            </w:tabs>
            <w:rPr>
              <w:rFonts w:eastAsiaTheme="minorEastAsia"/>
              <w:noProof/>
              <w:lang w:eastAsia="sl-SI"/>
            </w:rPr>
          </w:pPr>
          <w:hyperlink w:anchor="_Toc120166951" w:history="1">
            <w:r w:rsidR="00CF66BC" w:rsidRPr="00253EE4">
              <w:rPr>
                <w:rStyle w:val="Hiperpovezava"/>
                <w:rFonts w:ascii="Arial" w:hAnsi="Arial" w:cs="Arial"/>
                <w:noProof/>
              </w:rPr>
              <w:t>6.4 Široka raba – stavbe</w:t>
            </w:r>
            <w:r w:rsidR="00CF66BC">
              <w:rPr>
                <w:noProof/>
                <w:webHidden/>
              </w:rPr>
              <w:tab/>
            </w:r>
            <w:r w:rsidR="00CF66BC">
              <w:rPr>
                <w:noProof/>
                <w:webHidden/>
              </w:rPr>
              <w:fldChar w:fldCharType="begin"/>
            </w:r>
            <w:r w:rsidR="00CF66BC">
              <w:rPr>
                <w:noProof/>
                <w:webHidden/>
              </w:rPr>
              <w:instrText xml:space="preserve"> PAGEREF _Toc120166951 \h </w:instrText>
            </w:r>
            <w:r w:rsidR="00CF66BC">
              <w:rPr>
                <w:noProof/>
                <w:webHidden/>
              </w:rPr>
            </w:r>
            <w:r w:rsidR="00CF66BC">
              <w:rPr>
                <w:noProof/>
                <w:webHidden/>
              </w:rPr>
              <w:fldChar w:fldCharType="separate"/>
            </w:r>
            <w:r w:rsidR="00CF66BC">
              <w:rPr>
                <w:noProof/>
                <w:webHidden/>
              </w:rPr>
              <w:t>61</w:t>
            </w:r>
            <w:r w:rsidR="00CF66BC">
              <w:rPr>
                <w:noProof/>
                <w:webHidden/>
              </w:rPr>
              <w:fldChar w:fldCharType="end"/>
            </w:r>
          </w:hyperlink>
        </w:p>
        <w:p w14:paraId="22DAD517" w14:textId="6C89C767" w:rsidR="00CF66BC" w:rsidRDefault="009A432B">
          <w:pPr>
            <w:pStyle w:val="Kazalovsebine2"/>
            <w:tabs>
              <w:tab w:val="right" w:leader="dot" w:pos="9016"/>
            </w:tabs>
            <w:rPr>
              <w:rFonts w:eastAsiaTheme="minorEastAsia"/>
              <w:noProof/>
              <w:lang w:eastAsia="sl-SI"/>
            </w:rPr>
          </w:pPr>
          <w:hyperlink w:anchor="_Toc120166952" w:history="1">
            <w:r w:rsidR="00CF66BC" w:rsidRPr="00253EE4">
              <w:rPr>
                <w:rStyle w:val="Hiperpovezava"/>
                <w:rFonts w:ascii="Arial" w:hAnsi="Arial" w:cs="Arial"/>
                <w:noProof/>
              </w:rPr>
              <w:t>6.5 Industrija neETS</w:t>
            </w:r>
            <w:r w:rsidR="00CF66BC">
              <w:rPr>
                <w:noProof/>
                <w:webHidden/>
              </w:rPr>
              <w:tab/>
            </w:r>
            <w:r w:rsidR="00CF66BC">
              <w:rPr>
                <w:noProof/>
                <w:webHidden/>
              </w:rPr>
              <w:fldChar w:fldCharType="begin"/>
            </w:r>
            <w:r w:rsidR="00CF66BC">
              <w:rPr>
                <w:noProof/>
                <w:webHidden/>
              </w:rPr>
              <w:instrText xml:space="preserve"> PAGEREF _Toc120166952 \h </w:instrText>
            </w:r>
            <w:r w:rsidR="00CF66BC">
              <w:rPr>
                <w:noProof/>
                <w:webHidden/>
              </w:rPr>
            </w:r>
            <w:r w:rsidR="00CF66BC">
              <w:rPr>
                <w:noProof/>
                <w:webHidden/>
              </w:rPr>
              <w:fldChar w:fldCharType="separate"/>
            </w:r>
            <w:r w:rsidR="00CF66BC">
              <w:rPr>
                <w:noProof/>
                <w:webHidden/>
              </w:rPr>
              <w:t>62</w:t>
            </w:r>
            <w:r w:rsidR="00CF66BC">
              <w:rPr>
                <w:noProof/>
                <w:webHidden/>
              </w:rPr>
              <w:fldChar w:fldCharType="end"/>
            </w:r>
          </w:hyperlink>
        </w:p>
        <w:p w14:paraId="402D876E" w14:textId="795F28A8" w:rsidR="00CF66BC" w:rsidRDefault="009A432B">
          <w:pPr>
            <w:pStyle w:val="Kazalovsebine2"/>
            <w:tabs>
              <w:tab w:val="right" w:leader="dot" w:pos="9016"/>
            </w:tabs>
            <w:rPr>
              <w:rFonts w:eastAsiaTheme="minorEastAsia"/>
              <w:noProof/>
              <w:lang w:eastAsia="sl-SI"/>
            </w:rPr>
          </w:pPr>
          <w:hyperlink w:anchor="_Toc120166953" w:history="1">
            <w:r w:rsidR="00CF66BC" w:rsidRPr="00253EE4">
              <w:rPr>
                <w:rStyle w:val="Hiperpovezava"/>
                <w:rFonts w:ascii="Arial" w:hAnsi="Arial" w:cs="Arial"/>
                <w:noProof/>
              </w:rPr>
              <w:t>6.6 Energetika neETS</w:t>
            </w:r>
            <w:r w:rsidR="00CF66BC">
              <w:rPr>
                <w:noProof/>
                <w:webHidden/>
              </w:rPr>
              <w:tab/>
            </w:r>
            <w:r w:rsidR="00CF66BC">
              <w:rPr>
                <w:noProof/>
                <w:webHidden/>
              </w:rPr>
              <w:fldChar w:fldCharType="begin"/>
            </w:r>
            <w:r w:rsidR="00CF66BC">
              <w:rPr>
                <w:noProof/>
                <w:webHidden/>
              </w:rPr>
              <w:instrText xml:space="preserve"> PAGEREF _Toc120166953 \h </w:instrText>
            </w:r>
            <w:r w:rsidR="00CF66BC">
              <w:rPr>
                <w:noProof/>
                <w:webHidden/>
              </w:rPr>
            </w:r>
            <w:r w:rsidR="00CF66BC">
              <w:rPr>
                <w:noProof/>
                <w:webHidden/>
              </w:rPr>
              <w:fldChar w:fldCharType="separate"/>
            </w:r>
            <w:r w:rsidR="00CF66BC">
              <w:rPr>
                <w:noProof/>
                <w:webHidden/>
              </w:rPr>
              <w:t>62</w:t>
            </w:r>
            <w:r w:rsidR="00CF66BC">
              <w:rPr>
                <w:noProof/>
                <w:webHidden/>
              </w:rPr>
              <w:fldChar w:fldCharType="end"/>
            </w:r>
          </w:hyperlink>
        </w:p>
        <w:p w14:paraId="2DB16A05" w14:textId="116B22F9" w:rsidR="00CF66BC" w:rsidRDefault="009A432B">
          <w:pPr>
            <w:pStyle w:val="Kazalovsebine2"/>
            <w:tabs>
              <w:tab w:val="right" w:leader="dot" w:pos="9016"/>
            </w:tabs>
            <w:rPr>
              <w:rFonts w:eastAsiaTheme="minorEastAsia"/>
              <w:noProof/>
              <w:lang w:eastAsia="sl-SI"/>
            </w:rPr>
          </w:pPr>
          <w:hyperlink w:anchor="_Toc120166954" w:history="1">
            <w:r w:rsidR="00CF66BC" w:rsidRPr="00253EE4">
              <w:rPr>
                <w:rStyle w:val="Hiperpovezava"/>
                <w:rFonts w:ascii="Arial" w:hAnsi="Arial" w:cs="Arial"/>
                <w:noProof/>
              </w:rPr>
              <w:t>6.7 LULUCF – raba zemljišč, sprememba rabe zemljišč in gozdarstvo</w:t>
            </w:r>
            <w:r w:rsidR="00CF66BC">
              <w:rPr>
                <w:noProof/>
                <w:webHidden/>
              </w:rPr>
              <w:tab/>
            </w:r>
            <w:r w:rsidR="00CF66BC">
              <w:rPr>
                <w:noProof/>
                <w:webHidden/>
              </w:rPr>
              <w:fldChar w:fldCharType="begin"/>
            </w:r>
            <w:r w:rsidR="00CF66BC">
              <w:rPr>
                <w:noProof/>
                <w:webHidden/>
              </w:rPr>
              <w:instrText xml:space="preserve"> PAGEREF _Toc120166954 \h </w:instrText>
            </w:r>
            <w:r w:rsidR="00CF66BC">
              <w:rPr>
                <w:noProof/>
                <w:webHidden/>
              </w:rPr>
            </w:r>
            <w:r w:rsidR="00CF66BC">
              <w:rPr>
                <w:noProof/>
                <w:webHidden/>
              </w:rPr>
              <w:fldChar w:fldCharType="separate"/>
            </w:r>
            <w:r w:rsidR="00CF66BC">
              <w:rPr>
                <w:noProof/>
                <w:webHidden/>
              </w:rPr>
              <w:t>63</w:t>
            </w:r>
            <w:r w:rsidR="00CF66BC">
              <w:rPr>
                <w:noProof/>
                <w:webHidden/>
              </w:rPr>
              <w:fldChar w:fldCharType="end"/>
            </w:r>
          </w:hyperlink>
        </w:p>
        <w:p w14:paraId="0A3CFA3E" w14:textId="14434937" w:rsidR="00CF66BC" w:rsidRDefault="009A432B">
          <w:pPr>
            <w:pStyle w:val="Kazalovsebine2"/>
            <w:tabs>
              <w:tab w:val="right" w:leader="dot" w:pos="9016"/>
            </w:tabs>
            <w:rPr>
              <w:rFonts w:eastAsiaTheme="minorEastAsia"/>
              <w:noProof/>
              <w:lang w:eastAsia="sl-SI"/>
            </w:rPr>
          </w:pPr>
          <w:hyperlink w:anchor="_Toc120166955" w:history="1">
            <w:r w:rsidR="00CF66BC" w:rsidRPr="00253EE4">
              <w:rPr>
                <w:rStyle w:val="Hiperpovezava"/>
                <w:rFonts w:ascii="Arial" w:hAnsi="Arial" w:cs="Arial"/>
                <w:noProof/>
              </w:rPr>
              <w:t>6.8 Večsektorski ukrepi</w:t>
            </w:r>
            <w:r w:rsidR="00CF66BC">
              <w:rPr>
                <w:noProof/>
                <w:webHidden/>
              </w:rPr>
              <w:tab/>
            </w:r>
            <w:r w:rsidR="00CF66BC">
              <w:rPr>
                <w:noProof/>
                <w:webHidden/>
              </w:rPr>
              <w:fldChar w:fldCharType="begin"/>
            </w:r>
            <w:r w:rsidR="00CF66BC">
              <w:rPr>
                <w:noProof/>
                <w:webHidden/>
              </w:rPr>
              <w:instrText xml:space="preserve"> PAGEREF _Toc120166955 \h </w:instrText>
            </w:r>
            <w:r w:rsidR="00CF66BC">
              <w:rPr>
                <w:noProof/>
                <w:webHidden/>
              </w:rPr>
            </w:r>
            <w:r w:rsidR="00CF66BC">
              <w:rPr>
                <w:noProof/>
                <w:webHidden/>
              </w:rPr>
              <w:fldChar w:fldCharType="separate"/>
            </w:r>
            <w:r w:rsidR="00CF66BC">
              <w:rPr>
                <w:noProof/>
                <w:webHidden/>
              </w:rPr>
              <w:t>63</w:t>
            </w:r>
            <w:r w:rsidR="00CF66BC">
              <w:rPr>
                <w:noProof/>
                <w:webHidden/>
              </w:rPr>
              <w:fldChar w:fldCharType="end"/>
            </w:r>
          </w:hyperlink>
        </w:p>
        <w:p w14:paraId="6058C761" w14:textId="19ED07B6" w:rsidR="00CF66BC" w:rsidRDefault="009A432B">
          <w:pPr>
            <w:pStyle w:val="Kazalovsebine2"/>
            <w:tabs>
              <w:tab w:val="right" w:leader="dot" w:pos="9016"/>
            </w:tabs>
            <w:rPr>
              <w:rFonts w:eastAsiaTheme="minorEastAsia"/>
              <w:noProof/>
              <w:lang w:eastAsia="sl-SI"/>
            </w:rPr>
          </w:pPr>
          <w:hyperlink w:anchor="_Toc120166956" w:history="1">
            <w:r w:rsidR="00CF66BC" w:rsidRPr="00253EE4">
              <w:rPr>
                <w:rStyle w:val="Hiperpovezava"/>
                <w:rFonts w:ascii="Arial" w:hAnsi="Arial" w:cs="Arial"/>
                <w:noProof/>
              </w:rPr>
              <w:t>6.9 Izobraževanje, usposabljanje, informiranje, ozaveščanje</w:t>
            </w:r>
            <w:r w:rsidR="00CF66BC">
              <w:rPr>
                <w:noProof/>
                <w:webHidden/>
              </w:rPr>
              <w:tab/>
            </w:r>
            <w:r w:rsidR="00CF66BC">
              <w:rPr>
                <w:noProof/>
                <w:webHidden/>
              </w:rPr>
              <w:fldChar w:fldCharType="begin"/>
            </w:r>
            <w:r w:rsidR="00CF66BC">
              <w:rPr>
                <w:noProof/>
                <w:webHidden/>
              </w:rPr>
              <w:instrText xml:space="preserve"> PAGEREF _Toc120166956 \h </w:instrText>
            </w:r>
            <w:r w:rsidR="00CF66BC">
              <w:rPr>
                <w:noProof/>
                <w:webHidden/>
              </w:rPr>
            </w:r>
            <w:r w:rsidR="00CF66BC">
              <w:rPr>
                <w:noProof/>
                <w:webHidden/>
              </w:rPr>
              <w:fldChar w:fldCharType="separate"/>
            </w:r>
            <w:r w:rsidR="00CF66BC">
              <w:rPr>
                <w:noProof/>
                <w:webHidden/>
              </w:rPr>
              <w:t>64</w:t>
            </w:r>
            <w:r w:rsidR="00CF66BC">
              <w:rPr>
                <w:noProof/>
                <w:webHidden/>
              </w:rPr>
              <w:fldChar w:fldCharType="end"/>
            </w:r>
          </w:hyperlink>
        </w:p>
        <w:p w14:paraId="7534E4B7" w14:textId="48E5D08B" w:rsidR="00697E76" w:rsidRPr="0032537D" w:rsidRDefault="00697E76">
          <w:pPr>
            <w:rPr>
              <w:rFonts w:ascii="Arial" w:hAnsi="Arial" w:cs="Arial"/>
            </w:rPr>
          </w:pPr>
          <w:r w:rsidRPr="0032537D">
            <w:rPr>
              <w:rFonts w:ascii="Arial" w:hAnsi="Arial" w:cs="Arial"/>
              <w:b/>
              <w:bCs/>
            </w:rPr>
            <w:fldChar w:fldCharType="end"/>
          </w:r>
        </w:p>
      </w:sdtContent>
    </w:sdt>
    <w:p w14:paraId="2364B972" w14:textId="77777777" w:rsidR="0032537D" w:rsidRDefault="0032537D" w:rsidP="00333542">
      <w:pPr>
        <w:spacing w:after="0" w:line="240" w:lineRule="auto"/>
        <w:rPr>
          <w:rFonts w:ascii="Arial" w:hAnsi="Arial" w:cs="Arial"/>
          <w:b/>
          <w:bCs/>
          <w:sz w:val="32"/>
          <w:szCs w:val="32"/>
        </w:rPr>
      </w:pPr>
    </w:p>
    <w:p w14:paraId="11408423" w14:textId="77777777" w:rsidR="0032537D" w:rsidRDefault="0032537D" w:rsidP="00333542">
      <w:pPr>
        <w:spacing w:after="0" w:line="240" w:lineRule="auto"/>
        <w:rPr>
          <w:rFonts w:ascii="Arial" w:hAnsi="Arial" w:cs="Arial"/>
          <w:b/>
          <w:bCs/>
          <w:sz w:val="32"/>
          <w:szCs w:val="32"/>
        </w:rPr>
      </w:pPr>
    </w:p>
    <w:p w14:paraId="674D5985" w14:textId="57CEAEE9" w:rsidR="00333542" w:rsidRPr="004A52F7" w:rsidRDefault="0032537D" w:rsidP="00333542">
      <w:pPr>
        <w:spacing w:after="0" w:line="240" w:lineRule="auto"/>
        <w:rPr>
          <w:rFonts w:ascii="Arial" w:hAnsi="Arial" w:cs="Arial"/>
          <w:b/>
          <w:bCs/>
          <w:sz w:val="26"/>
          <w:szCs w:val="26"/>
        </w:rPr>
      </w:pPr>
      <w:r w:rsidRPr="004A52F7">
        <w:rPr>
          <w:rFonts w:ascii="Arial" w:hAnsi="Arial" w:cs="Arial"/>
          <w:b/>
          <w:bCs/>
          <w:sz w:val="26"/>
          <w:szCs w:val="26"/>
        </w:rPr>
        <w:t>Kazalo slik:</w:t>
      </w:r>
    </w:p>
    <w:p w14:paraId="1BF0169C" w14:textId="1BB6F67B" w:rsidR="00727490" w:rsidRDefault="00727490" w:rsidP="00333542">
      <w:pPr>
        <w:spacing w:after="0" w:line="240" w:lineRule="auto"/>
        <w:rPr>
          <w:rFonts w:ascii="Arial" w:hAnsi="Arial" w:cs="Arial"/>
        </w:rPr>
      </w:pPr>
    </w:p>
    <w:p w14:paraId="5D6873BA" w14:textId="5E9595E4" w:rsidR="0032537D" w:rsidRPr="004A52F7" w:rsidRDefault="0032537D" w:rsidP="0032537D">
      <w:pPr>
        <w:pStyle w:val="Kazaloslik"/>
        <w:tabs>
          <w:tab w:val="right" w:leader="dot" w:pos="9016"/>
        </w:tabs>
        <w:spacing w:after="120"/>
        <w:rPr>
          <w:noProof/>
          <w:sz w:val="20"/>
          <w:szCs w:val="20"/>
        </w:rPr>
      </w:pPr>
      <w:r w:rsidRPr="004A52F7">
        <w:rPr>
          <w:rFonts w:ascii="Arial" w:hAnsi="Arial" w:cs="Arial"/>
          <w:sz w:val="20"/>
          <w:szCs w:val="20"/>
        </w:rPr>
        <w:fldChar w:fldCharType="begin"/>
      </w:r>
      <w:r w:rsidRPr="004A52F7">
        <w:rPr>
          <w:rFonts w:ascii="Arial" w:hAnsi="Arial" w:cs="Arial"/>
          <w:sz w:val="20"/>
          <w:szCs w:val="20"/>
        </w:rPr>
        <w:instrText xml:space="preserve"> TOC \c "Slika" </w:instrText>
      </w:r>
      <w:r w:rsidRPr="004A52F7">
        <w:rPr>
          <w:rFonts w:ascii="Arial" w:hAnsi="Arial" w:cs="Arial"/>
          <w:sz w:val="20"/>
          <w:szCs w:val="20"/>
        </w:rPr>
        <w:fldChar w:fldCharType="separate"/>
      </w:r>
      <w:r w:rsidRPr="004A52F7">
        <w:rPr>
          <w:rFonts w:ascii="Arial" w:hAnsi="Arial" w:cs="Arial"/>
          <w:b/>
          <w:bCs/>
          <w:noProof/>
          <w:sz w:val="20"/>
          <w:szCs w:val="20"/>
        </w:rPr>
        <w:t>Slika 1:</w:t>
      </w:r>
      <w:r w:rsidRPr="004A52F7">
        <w:rPr>
          <w:rFonts w:ascii="Arial" w:hAnsi="Arial" w:cs="Arial"/>
          <w:noProof/>
          <w:sz w:val="20"/>
          <w:szCs w:val="20"/>
        </w:rPr>
        <w:t xml:space="preserve"> Gibanje dejanskih emisij ESR za zadnja tri leta ter kratkoročna projekcija za leti 2021 in 2022 v primerjavi z letnimi cilji</w:t>
      </w:r>
      <w:r w:rsidR="00A0632E">
        <w:rPr>
          <w:rFonts w:ascii="Arial" w:hAnsi="Arial" w:cs="Arial"/>
          <w:noProof/>
          <w:sz w:val="20"/>
          <w:szCs w:val="20"/>
        </w:rPr>
        <w:t>,</w:t>
      </w:r>
      <w:r w:rsidRPr="004A52F7">
        <w:rPr>
          <w:rFonts w:ascii="Arial" w:hAnsi="Arial" w:cs="Arial"/>
          <w:noProof/>
          <w:sz w:val="20"/>
          <w:szCs w:val="20"/>
        </w:rPr>
        <w:t xml:space="preserve"> določenimi s Sklepom 2020/2026 EU</w:t>
      </w:r>
      <w:r w:rsidR="000A7404">
        <w:rPr>
          <w:rFonts w:ascii="Arial" w:hAnsi="Arial" w:cs="Arial"/>
          <w:noProof/>
          <w:sz w:val="20"/>
          <w:szCs w:val="20"/>
        </w:rPr>
        <w:t>,</w:t>
      </w:r>
      <w:r w:rsidRPr="004A52F7">
        <w:rPr>
          <w:rFonts w:ascii="Arial" w:hAnsi="Arial" w:cs="Arial"/>
          <w:noProof/>
          <w:sz w:val="20"/>
          <w:szCs w:val="20"/>
        </w:rPr>
        <w:t xml:space="preserve"> in </w:t>
      </w:r>
      <w:r w:rsidRPr="009D2B86">
        <w:rPr>
          <w:rFonts w:ascii="Arial" w:hAnsi="Arial" w:cs="Arial"/>
          <w:noProof/>
          <w:sz w:val="20"/>
          <w:szCs w:val="20"/>
        </w:rPr>
        <w:t>predlog</w:t>
      </w:r>
      <w:r w:rsidR="00CD06B9" w:rsidRPr="009D2B86">
        <w:rPr>
          <w:rFonts w:ascii="Arial" w:hAnsi="Arial" w:cs="Arial"/>
          <w:noProof/>
          <w:sz w:val="20"/>
          <w:szCs w:val="20"/>
        </w:rPr>
        <w:t>om</w:t>
      </w:r>
      <w:r w:rsidRPr="009D2B86">
        <w:rPr>
          <w:rFonts w:ascii="Arial" w:hAnsi="Arial" w:cs="Arial"/>
          <w:noProof/>
          <w:sz w:val="20"/>
          <w:szCs w:val="20"/>
        </w:rPr>
        <w:t xml:space="preserve"> iz p</w:t>
      </w:r>
      <w:r w:rsidRPr="004A52F7">
        <w:rPr>
          <w:rFonts w:ascii="Arial" w:hAnsi="Arial" w:cs="Arial"/>
          <w:noProof/>
          <w:sz w:val="20"/>
          <w:szCs w:val="20"/>
        </w:rPr>
        <w:t xml:space="preserve">aketa Pripravljeni na 55 </w:t>
      </w:r>
      <w:r w:rsidR="000A7404">
        <w:rPr>
          <w:rFonts w:ascii="Arial" w:hAnsi="Arial" w:cs="Arial"/>
          <w:noProof/>
          <w:sz w:val="20"/>
          <w:szCs w:val="20"/>
        </w:rPr>
        <w:t>ter</w:t>
      </w:r>
      <w:r w:rsidR="000A7404" w:rsidRPr="004A52F7">
        <w:rPr>
          <w:rFonts w:ascii="Arial" w:hAnsi="Arial" w:cs="Arial"/>
          <w:noProof/>
          <w:sz w:val="20"/>
          <w:szCs w:val="20"/>
        </w:rPr>
        <w:t xml:space="preserve"> </w:t>
      </w:r>
      <w:r w:rsidRPr="004A52F7">
        <w:rPr>
          <w:rFonts w:ascii="Arial" w:hAnsi="Arial" w:cs="Arial"/>
          <w:noProof/>
          <w:sz w:val="20"/>
          <w:szCs w:val="20"/>
        </w:rPr>
        <w:t>projekcijami scenarija DUA SNP (</w:t>
      </w:r>
      <w:r w:rsidR="001843A0">
        <w:rPr>
          <w:rFonts w:ascii="Arial" w:hAnsi="Arial" w:cs="Arial"/>
          <w:noProof/>
          <w:sz w:val="20"/>
          <w:szCs w:val="20"/>
        </w:rPr>
        <w:t>V</w:t>
      </w:r>
      <w:r w:rsidRPr="004A52F7">
        <w:rPr>
          <w:rFonts w:ascii="Arial" w:hAnsi="Arial" w:cs="Arial"/>
          <w:noProof/>
          <w:sz w:val="20"/>
          <w:szCs w:val="20"/>
        </w:rPr>
        <w:t>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_Toc112840950 \h </w:instrText>
      </w:r>
      <w:r w:rsidRPr="004A52F7">
        <w:rPr>
          <w:noProof/>
          <w:sz w:val="20"/>
          <w:szCs w:val="20"/>
        </w:rPr>
      </w:r>
      <w:r w:rsidRPr="004A52F7">
        <w:rPr>
          <w:noProof/>
          <w:sz w:val="20"/>
          <w:szCs w:val="20"/>
        </w:rPr>
        <w:fldChar w:fldCharType="separate"/>
      </w:r>
      <w:r w:rsidR="009B48AB">
        <w:rPr>
          <w:noProof/>
          <w:sz w:val="20"/>
          <w:szCs w:val="20"/>
        </w:rPr>
        <w:t>7</w:t>
      </w:r>
      <w:r w:rsidRPr="004A52F7">
        <w:rPr>
          <w:noProof/>
          <w:sz w:val="20"/>
          <w:szCs w:val="20"/>
        </w:rPr>
        <w:fldChar w:fldCharType="end"/>
      </w:r>
    </w:p>
    <w:p w14:paraId="0B2C7BC4" w14:textId="1EE7EC9C" w:rsidR="0032537D" w:rsidRPr="004A52F7" w:rsidRDefault="0032537D" w:rsidP="0032537D">
      <w:pPr>
        <w:pStyle w:val="Kazaloslik"/>
        <w:tabs>
          <w:tab w:val="right" w:leader="dot" w:pos="9016"/>
        </w:tabs>
        <w:spacing w:after="120"/>
        <w:rPr>
          <w:noProof/>
          <w:sz w:val="20"/>
          <w:szCs w:val="20"/>
        </w:rPr>
      </w:pPr>
      <w:r w:rsidRPr="004A52F7">
        <w:rPr>
          <w:rFonts w:ascii="Arial" w:hAnsi="Arial" w:cs="Arial"/>
          <w:b/>
          <w:bCs/>
          <w:noProof/>
          <w:sz w:val="20"/>
          <w:szCs w:val="20"/>
        </w:rPr>
        <w:t>Slika 2:</w:t>
      </w:r>
      <w:r w:rsidRPr="004A52F7">
        <w:rPr>
          <w:rFonts w:ascii="Arial" w:hAnsi="Arial" w:cs="Arial"/>
          <w:noProof/>
          <w:sz w:val="20"/>
          <w:szCs w:val="20"/>
        </w:rPr>
        <w:t xml:space="preserve"> Gibanje emisij neETS v obdobju 2005−2020 v primerjavi s ciljnimi emisijami v obdobju 2013−2020. Prikazan je indeks rasti, preračunan glede na emisije v letu 2005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_Toc112840951 \h </w:instrText>
      </w:r>
      <w:r w:rsidRPr="004A52F7">
        <w:rPr>
          <w:noProof/>
          <w:sz w:val="20"/>
          <w:szCs w:val="20"/>
        </w:rPr>
      </w:r>
      <w:r w:rsidRPr="004A52F7">
        <w:rPr>
          <w:noProof/>
          <w:sz w:val="20"/>
          <w:szCs w:val="20"/>
        </w:rPr>
        <w:fldChar w:fldCharType="separate"/>
      </w:r>
      <w:r w:rsidR="009B48AB">
        <w:rPr>
          <w:noProof/>
          <w:sz w:val="20"/>
          <w:szCs w:val="20"/>
        </w:rPr>
        <w:t>8</w:t>
      </w:r>
      <w:r w:rsidRPr="004A52F7">
        <w:rPr>
          <w:noProof/>
          <w:sz w:val="20"/>
          <w:szCs w:val="20"/>
        </w:rPr>
        <w:fldChar w:fldCharType="end"/>
      </w:r>
    </w:p>
    <w:p w14:paraId="4494D5D6" w14:textId="65517E44" w:rsidR="0032537D" w:rsidRPr="004A52F7" w:rsidRDefault="0032537D" w:rsidP="0032537D">
      <w:pPr>
        <w:pStyle w:val="Kazaloslik"/>
        <w:tabs>
          <w:tab w:val="right" w:leader="dot" w:pos="9016"/>
        </w:tabs>
        <w:rPr>
          <w:noProof/>
          <w:sz w:val="20"/>
          <w:szCs w:val="20"/>
        </w:rPr>
      </w:pPr>
      <w:r w:rsidRPr="004A52F7">
        <w:rPr>
          <w:rFonts w:ascii="Arial" w:hAnsi="Arial" w:cs="Arial"/>
          <w:b/>
          <w:bCs/>
          <w:noProof/>
          <w:sz w:val="20"/>
          <w:szCs w:val="20"/>
        </w:rPr>
        <w:t xml:space="preserve">Slika 3: </w:t>
      </w:r>
      <w:r w:rsidRPr="004A52F7">
        <w:rPr>
          <w:rFonts w:ascii="Arial" w:hAnsi="Arial" w:cs="Arial"/>
          <w:noProof/>
          <w:sz w:val="20"/>
          <w:szCs w:val="20"/>
        </w:rPr>
        <w:t>Struktura emisij TGP po neETS sektorjih v letu 2019 in letu 2020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_Toc112840952 \h </w:instrText>
      </w:r>
      <w:r w:rsidRPr="004A52F7">
        <w:rPr>
          <w:noProof/>
          <w:sz w:val="20"/>
          <w:szCs w:val="20"/>
        </w:rPr>
      </w:r>
      <w:r w:rsidRPr="004A52F7">
        <w:rPr>
          <w:noProof/>
          <w:sz w:val="20"/>
          <w:szCs w:val="20"/>
        </w:rPr>
        <w:fldChar w:fldCharType="separate"/>
      </w:r>
      <w:r w:rsidR="009B48AB">
        <w:rPr>
          <w:noProof/>
          <w:sz w:val="20"/>
          <w:szCs w:val="20"/>
        </w:rPr>
        <w:t>9</w:t>
      </w:r>
      <w:r w:rsidRPr="004A52F7">
        <w:rPr>
          <w:noProof/>
          <w:sz w:val="20"/>
          <w:szCs w:val="20"/>
        </w:rPr>
        <w:fldChar w:fldCharType="end"/>
      </w:r>
    </w:p>
    <w:p w14:paraId="1CDC3F19" w14:textId="19205D99" w:rsidR="0032537D" w:rsidRPr="004A52F7" w:rsidRDefault="0032537D" w:rsidP="000D0CC3">
      <w:pPr>
        <w:pStyle w:val="Kazaloslik"/>
        <w:tabs>
          <w:tab w:val="right" w:leader="dot" w:pos="9016"/>
        </w:tabs>
        <w:spacing w:before="120" w:after="120"/>
        <w:rPr>
          <w:noProof/>
          <w:sz w:val="20"/>
          <w:szCs w:val="20"/>
        </w:rPr>
      </w:pPr>
      <w:r w:rsidRPr="004A52F7">
        <w:rPr>
          <w:rFonts w:ascii="Arial" w:hAnsi="Arial" w:cs="Arial"/>
          <w:b/>
          <w:bCs/>
          <w:noProof/>
          <w:sz w:val="20"/>
          <w:szCs w:val="20"/>
        </w:rPr>
        <w:t xml:space="preserve">Slika 4: </w:t>
      </w:r>
      <w:r w:rsidRPr="004A52F7">
        <w:rPr>
          <w:rFonts w:ascii="Arial" w:hAnsi="Arial" w:cs="Arial"/>
          <w:noProof/>
          <w:sz w:val="20"/>
          <w:szCs w:val="20"/>
        </w:rPr>
        <w:t>Struktura emisij TGP po neETS sektorjih v letu 2020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_Toc112840953 \h </w:instrText>
      </w:r>
      <w:r w:rsidRPr="004A52F7">
        <w:rPr>
          <w:noProof/>
          <w:sz w:val="20"/>
          <w:szCs w:val="20"/>
        </w:rPr>
      </w:r>
      <w:r w:rsidRPr="004A52F7">
        <w:rPr>
          <w:noProof/>
          <w:sz w:val="20"/>
          <w:szCs w:val="20"/>
        </w:rPr>
        <w:fldChar w:fldCharType="separate"/>
      </w:r>
      <w:r w:rsidR="009B48AB">
        <w:rPr>
          <w:noProof/>
          <w:sz w:val="20"/>
          <w:szCs w:val="20"/>
        </w:rPr>
        <w:t>9</w:t>
      </w:r>
      <w:r w:rsidRPr="004A52F7">
        <w:rPr>
          <w:noProof/>
          <w:sz w:val="20"/>
          <w:szCs w:val="20"/>
        </w:rPr>
        <w:fldChar w:fldCharType="end"/>
      </w:r>
    </w:p>
    <w:p w14:paraId="486D5914" w14:textId="464B83D8" w:rsidR="0032537D" w:rsidRPr="004A52F7" w:rsidRDefault="0032537D" w:rsidP="0032537D">
      <w:pPr>
        <w:pStyle w:val="Kazaloslik"/>
        <w:tabs>
          <w:tab w:val="right" w:leader="dot" w:pos="9016"/>
        </w:tabs>
        <w:rPr>
          <w:noProof/>
          <w:sz w:val="20"/>
          <w:szCs w:val="20"/>
        </w:rPr>
      </w:pPr>
      <w:r w:rsidRPr="004A52F7">
        <w:rPr>
          <w:rFonts w:ascii="Arial" w:hAnsi="Arial" w:cs="Arial"/>
          <w:b/>
          <w:bCs/>
          <w:noProof/>
          <w:sz w:val="20"/>
          <w:szCs w:val="20"/>
        </w:rPr>
        <w:t xml:space="preserve">Slika 5: </w:t>
      </w:r>
      <w:r w:rsidRPr="004A52F7">
        <w:rPr>
          <w:rFonts w:ascii="Arial" w:hAnsi="Arial" w:cs="Arial"/>
          <w:noProof/>
          <w:sz w:val="20"/>
          <w:szCs w:val="20"/>
        </w:rPr>
        <w:t>Gibanje emisij neETS po sektorjih v obdobju 2005−2020 v primerjavi s projekcijami za leto 2020 in linearno potjo do ciljev v obdobju 2012−2020 (črtkane črte)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_Toc112840954 \h </w:instrText>
      </w:r>
      <w:r w:rsidRPr="004A52F7">
        <w:rPr>
          <w:noProof/>
          <w:sz w:val="20"/>
          <w:szCs w:val="20"/>
        </w:rPr>
      </w:r>
      <w:r w:rsidRPr="004A52F7">
        <w:rPr>
          <w:noProof/>
          <w:sz w:val="20"/>
          <w:szCs w:val="20"/>
        </w:rPr>
        <w:fldChar w:fldCharType="separate"/>
      </w:r>
      <w:r w:rsidR="009B48AB">
        <w:rPr>
          <w:noProof/>
          <w:sz w:val="20"/>
          <w:szCs w:val="20"/>
        </w:rPr>
        <w:t>11</w:t>
      </w:r>
      <w:r w:rsidRPr="004A52F7">
        <w:rPr>
          <w:noProof/>
          <w:sz w:val="20"/>
          <w:szCs w:val="20"/>
        </w:rPr>
        <w:fldChar w:fldCharType="end"/>
      </w:r>
    </w:p>
    <w:p w14:paraId="25FF3A8B" w14:textId="6668177C" w:rsidR="0032537D" w:rsidRPr="004A52F7" w:rsidRDefault="0032537D" w:rsidP="000D0CC3">
      <w:pPr>
        <w:pStyle w:val="Kazaloslik"/>
        <w:tabs>
          <w:tab w:val="right" w:leader="dot" w:pos="9016"/>
        </w:tabs>
        <w:spacing w:before="120" w:after="120"/>
        <w:rPr>
          <w:noProof/>
          <w:sz w:val="20"/>
          <w:szCs w:val="20"/>
        </w:rPr>
      </w:pPr>
      <w:r w:rsidRPr="004A52F7">
        <w:rPr>
          <w:rFonts w:ascii="Arial" w:hAnsi="Arial" w:cs="Arial"/>
          <w:b/>
          <w:bCs/>
          <w:noProof/>
          <w:sz w:val="20"/>
          <w:szCs w:val="20"/>
        </w:rPr>
        <w:t>Slika 6:</w:t>
      </w:r>
      <w:r w:rsidRPr="004A52F7">
        <w:rPr>
          <w:rFonts w:ascii="Arial" w:hAnsi="Arial" w:cs="Arial"/>
          <w:noProof/>
          <w:sz w:val="20"/>
          <w:szCs w:val="20"/>
        </w:rPr>
        <w:t xml:space="preserve"> Primerjava specifičnih emisij CO2 novih vozil s cilji za let</w:t>
      </w:r>
      <w:r w:rsidR="00CD06B9">
        <w:rPr>
          <w:rFonts w:ascii="Arial" w:hAnsi="Arial" w:cs="Arial"/>
          <w:noProof/>
          <w:sz w:val="20"/>
          <w:szCs w:val="20"/>
        </w:rPr>
        <w:t>i</w:t>
      </w:r>
      <w:r w:rsidRPr="004A52F7">
        <w:rPr>
          <w:rFonts w:ascii="Arial" w:hAnsi="Arial" w:cs="Arial"/>
          <w:noProof/>
          <w:sz w:val="20"/>
          <w:szCs w:val="20"/>
        </w:rPr>
        <w:t xml:space="preserve"> 2015 in 2021 ter s specifičnimi emisijami CO2 vseh vozil (Vir: ARSO,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_Toc112840955 \h </w:instrText>
      </w:r>
      <w:r w:rsidRPr="004A52F7">
        <w:rPr>
          <w:noProof/>
          <w:sz w:val="20"/>
          <w:szCs w:val="20"/>
        </w:rPr>
      </w:r>
      <w:r w:rsidRPr="004A52F7">
        <w:rPr>
          <w:noProof/>
          <w:sz w:val="20"/>
          <w:szCs w:val="20"/>
        </w:rPr>
        <w:fldChar w:fldCharType="separate"/>
      </w:r>
      <w:r w:rsidR="009B48AB">
        <w:rPr>
          <w:noProof/>
          <w:sz w:val="20"/>
          <w:szCs w:val="20"/>
        </w:rPr>
        <w:t>13</w:t>
      </w:r>
      <w:r w:rsidRPr="004A52F7">
        <w:rPr>
          <w:noProof/>
          <w:sz w:val="20"/>
          <w:szCs w:val="20"/>
        </w:rPr>
        <w:fldChar w:fldCharType="end"/>
      </w:r>
    </w:p>
    <w:p w14:paraId="4B75BE03" w14:textId="28A9CB7B" w:rsidR="0032537D" w:rsidRPr="004A52F7" w:rsidRDefault="0032537D" w:rsidP="0032537D">
      <w:pPr>
        <w:pStyle w:val="Kazaloslik"/>
        <w:tabs>
          <w:tab w:val="right" w:leader="dot" w:pos="9016"/>
        </w:tabs>
        <w:rPr>
          <w:noProof/>
          <w:sz w:val="20"/>
          <w:szCs w:val="20"/>
        </w:rPr>
      </w:pPr>
      <w:r w:rsidRPr="004A52F7">
        <w:rPr>
          <w:rFonts w:ascii="Arial" w:hAnsi="Arial" w:cs="Arial"/>
          <w:b/>
          <w:bCs/>
          <w:noProof/>
          <w:sz w:val="20"/>
          <w:szCs w:val="20"/>
        </w:rPr>
        <w:t>Slika 7:</w:t>
      </w:r>
      <w:r w:rsidRPr="004A52F7">
        <w:rPr>
          <w:rFonts w:ascii="Arial" w:hAnsi="Arial" w:cs="Arial"/>
          <w:noProof/>
          <w:sz w:val="20"/>
          <w:szCs w:val="20"/>
        </w:rPr>
        <w:t xml:space="preserve"> Gibanje potniških kilometrov po vrstah prevoza za leta 2005 in 2011−2020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_Toc112840956 \h </w:instrText>
      </w:r>
      <w:r w:rsidRPr="004A52F7">
        <w:rPr>
          <w:noProof/>
          <w:sz w:val="20"/>
          <w:szCs w:val="20"/>
        </w:rPr>
      </w:r>
      <w:r w:rsidRPr="004A52F7">
        <w:rPr>
          <w:noProof/>
          <w:sz w:val="20"/>
          <w:szCs w:val="20"/>
        </w:rPr>
        <w:fldChar w:fldCharType="separate"/>
      </w:r>
      <w:r w:rsidR="009B48AB">
        <w:rPr>
          <w:noProof/>
          <w:sz w:val="20"/>
          <w:szCs w:val="20"/>
        </w:rPr>
        <w:t>13</w:t>
      </w:r>
      <w:r w:rsidRPr="004A52F7">
        <w:rPr>
          <w:noProof/>
          <w:sz w:val="20"/>
          <w:szCs w:val="20"/>
        </w:rPr>
        <w:fldChar w:fldCharType="end"/>
      </w:r>
    </w:p>
    <w:p w14:paraId="7F0758EB" w14:textId="55E4E24B" w:rsidR="0032537D" w:rsidRPr="004A52F7" w:rsidRDefault="0032537D" w:rsidP="000D0CC3">
      <w:pPr>
        <w:pStyle w:val="Kazaloslik"/>
        <w:tabs>
          <w:tab w:val="right" w:leader="dot" w:pos="9016"/>
        </w:tabs>
        <w:spacing w:before="120" w:after="120"/>
        <w:rPr>
          <w:noProof/>
          <w:sz w:val="20"/>
          <w:szCs w:val="20"/>
        </w:rPr>
      </w:pPr>
      <w:r w:rsidRPr="004A52F7">
        <w:rPr>
          <w:rFonts w:ascii="Arial" w:hAnsi="Arial" w:cs="Arial"/>
          <w:b/>
          <w:bCs/>
          <w:noProof/>
          <w:sz w:val="20"/>
          <w:szCs w:val="20"/>
        </w:rPr>
        <w:t xml:space="preserve">Slika 8: </w:t>
      </w:r>
      <w:r w:rsidRPr="004A52F7">
        <w:rPr>
          <w:rFonts w:ascii="Arial" w:hAnsi="Arial" w:cs="Arial"/>
          <w:noProof/>
          <w:sz w:val="20"/>
          <w:szCs w:val="20"/>
        </w:rPr>
        <w:t>Gibanje tonskih kilometrov za cestni in železniški blagovni prevoz za leta 2005 in 2011−2020 (Vir: SURS,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_Toc112840957 \h </w:instrText>
      </w:r>
      <w:r w:rsidRPr="004A52F7">
        <w:rPr>
          <w:noProof/>
          <w:sz w:val="20"/>
          <w:szCs w:val="20"/>
        </w:rPr>
      </w:r>
      <w:r w:rsidRPr="004A52F7">
        <w:rPr>
          <w:noProof/>
          <w:sz w:val="20"/>
          <w:szCs w:val="20"/>
        </w:rPr>
        <w:fldChar w:fldCharType="separate"/>
      </w:r>
      <w:r w:rsidR="009B48AB">
        <w:rPr>
          <w:noProof/>
          <w:sz w:val="20"/>
          <w:szCs w:val="20"/>
        </w:rPr>
        <w:t>14</w:t>
      </w:r>
      <w:r w:rsidRPr="004A52F7">
        <w:rPr>
          <w:noProof/>
          <w:sz w:val="20"/>
          <w:szCs w:val="20"/>
        </w:rPr>
        <w:fldChar w:fldCharType="end"/>
      </w:r>
    </w:p>
    <w:p w14:paraId="57EB3BC9" w14:textId="0DEA09DE" w:rsidR="0032537D" w:rsidRPr="004A52F7" w:rsidRDefault="0032537D" w:rsidP="0032537D">
      <w:pPr>
        <w:pStyle w:val="Kazaloslik"/>
        <w:tabs>
          <w:tab w:val="right" w:leader="dot" w:pos="9016"/>
        </w:tabs>
        <w:rPr>
          <w:noProof/>
          <w:sz w:val="20"/>
          <w:szCs w:val="20"/>
        </w:rPr>
      </w:pPr>
      <w:r w:rsidRPr="004A52F7">
        <w:rPr>
          <w:rFonts w:ascii="Arial" w:hAnsi="Arial" w:cs="Arial"/>
          <w:b/>
          <w:bCs/>
          <w:noProof/>
          <w:sz w:val="20"/>
          <w:szCs w:val="20"/>
        </w:rPr>
        <w:t xml:space="preserve">Slika 9: </w:t>
      </w:r>
      <w:r w:rsidRPr="004A52F7">
        <w:rPr>
          <w:rFonts w:ascii="Arial" w:hAnsi="Arial" w:cs="Arial"/>
          <w:noProof/>
          <w:sz w:val="20"/>
          <w:szCs w:val="20"/>
        </w:rPr>
        <w:t>Kumulativno zmanjšanje emisije CO2 z ukrepi v javnem sektorju v obdobju 2011</w:t>
      </w:r>
      <w:r w:rsidR="001843A0">
        <w:rPr>
          <w:rFonts w:ascii="Arial" w:hAnsi="Arial" w:cs="Arial"/>
          <w:noProof/>
          <w:sz w:val="20"/>
          <w:szCs w:val="20"/>
        </w:rPr>
        <w:t>–</w:t>
      </w:r>
      <w:r w:rsidRPr="004A52F7">
        <w:rPr>
          <w:rFonts w:ascii="Arial" w:hAnsi="Arial" w:cs="Arial"/>
          <w:noProof/>
          <w:sz w:val="20"/>
          <w:szCs w:val="20"/>
        </w:rPr>
        <w:t>2020 in njegove ciljne vrednosti do leta 2020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_Toc112840958 \h </w:instrText>
      </w:r>
      <w:r w:rsidRPr="004A52F7">
        <w:rPr>
          <w:noProof/>
          <w:sz w:val="20"/>
          <w:szCs w:val="20"/>
        </w:rPr>
      </w:r>
      <w:r w:rsidRPr="004A52F7">
        <w:rPr>
          <w:noProof/>
          <w:sz w:val="20"/>
          <w:szCs w:val="20"/>
        </w:rPr>
        <w:fldChar w:fldCharType="separate"/>
      </w:r>
      <w:r w:rsidR="009B48AB">
        <w:rPr>
          <w:noProof/>
          <w:sz w:val="20"/>
          <w:szCs w:val="20"/>
        </w:rPr>
        <w:t>16</w:t>
      </w:r>
      <w:r w:rsidRPr="004A52F7">
        <w:rPr>
          <w:noProof/>
          <w:sz w:val="20"/>
          <w:szCs w:val="20"/>
        </w:rPr>
        <w:fldChar w:fldCharType="end"/>
      </w:r>
    </w:p>
    <w:p w14:paraId="76617724" w14:textId="66893F72" w:rsidR="0032537D" w:rsidRPr="004A52F7" w:rsidRDefault="0032537D" w:rsidP="000D0CC3">
      <w:pPr>
        <w:pStyle w:val="Kazaloslik"/>
        <w:tabs>
          <w:tab w:val="right" w:leader="dot" w:pos="9016"/>
        </w:tabs>
        <w:spacing w:before="120" w:after="120"/>
        <w:rPr>
          <w:noProof/>
          <w:sz w:val="20"/>
          <w:szCs w:val="20"/>
        </w:rPr>
      </w:pPr>
      <w:r w:rsidRPr="004A52F7">
        <w:rPr>
          <w:rFonts w:ascii="Arial" w:hAnsi="Arial" w:cs="Arial"/>
          <w:b/>
          <w:bCs/>
          <w:noProof/>
          <w:sz w:val="20"/>
          <w:szCs w:val="20"/>
        </w:rPr>
        <w:t>Slika 10:</w:t>
      </w:r>
      <w:r w:rsidRPr="004A52F7">
        <w:rPr>
          <w:rFonts w:ascii="Arial" w:hAnsi="Arial" w:cs="Arial"/>
          <w:noProof/>
          <w:sz w:val="20"/>
          <w:szCs w:val="20"/>
        </w:rPr>
        <w:t xml:space="preserve"> Kumulativno zmanjšanje emisije CO2 zaradi izvajanja ukrepov URE in izrabe OVE v  stanovanjskem sektorju leta 2005 in v obdobju 2010</w:t>
      </w:r>
      <w:r w:rsidR="001843A0">
        <w:rPr>
          <w:rFonts w:ascii="Arial" w:hAnsi="Arial" w:cs="Arial"/>
          <w:noProof/>
          <w:sz w:val="20"/>
          <w:szCs w:val="20"/>
        </w:rPr>
        <w:t>–</w:t>
      </w:r>
      <w:r w:rsidRPr="004A52F7">
        <w:rPr>
          <w:rFonts w:ascii="Arial" w:hAnsi="Arial" w:cs="Arial"/>
          <w:noProof/>
          <w:sz w:val="20"/>
          <w:szCs w:val="20"/>
        </w:rPr>
        <w:t>2020 ter njegove ciljne vrednosti do leta 2020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_Toc112840959 \h </w:instrText>
      </w:r>
      <w:r w:rsidRPr="004A52F7">
        <w:rPr>
          <w:noProof/>
          <w:sz w:val="20"/>
          <w:szCs w:val="20"/>
        </w:rPr>
      </w:r>
      <w:r w:rsidRPr="004A52F7">
        <w:rPr>
          <w:noProof/>
          <w:sz w:val="20"/>
          <w:szCs w:val="20"/>
        </w:rPr>
        <w:fldChar w:fldCharType="separate"/>
      </w:r>
      <w:r w:rsidR="009B48AB">
        <w:rPr>
          <w:noProof/>
          <w:sz w:val="20"/>
          <w:szCs w:val="20"/>
        </w:rPr>
        <w:t>16</w:t>
      </w:r>
      <w:r w:rsidRPr="004A52F7">
        <w:rPr>
          <w:noProof/>
          <w:sz w:val="20"/>
          <w:szCs w:val="20"/>
        </w:rPr>
        <w:fldChar w:fldCharType="end"/>
      </w:r>
    </w:p>
    <w:p w14:paraId="14249A37" w14:textId="73EDA878" w:rsidR="0032537D" w:rsidRPr="004A52F7" w:rsidRDefault="0032537D" w:rsidP="0032537D">
      <w:pPr>
        <w:pStyle w:val="Kazaloslik"/>
        <w:tabs>
          <w:tab w:val="right" w:leader="dot" w:pos="9016"/>
        </w:tabs>
        <w:rPr>
          <w:noProof/>
          <w:sz w:val="20"/>
          <w:szCs w:val="20"/>
        </w:rPr>
      </w:pPr>
      <w:r w:rsidRPr="004A52F7">
        <w:rPr>
          <w:rFonts w:ascii="Arial" w:hAnsi="Arial" w:cs="Arial"/>
          <w:b/>
          <w:bCs/>
          <w:noProof/>
          <w:sz w:val="20"/>
          <w:szCs w:val="20"/>
        </w:rPr>
        <w:t>Slika 11:</w:t>
      </w:r>
      <w:r w:rsidRPr="004A52F7">
        <w:rPr>
          <w:rFonts w:ascii="Arial" w:hAnsi="Arial" w:cs="Arial"/>
          <w:noProof/>
          <w:sz w:val="20"/>
          <w:szCs w:val="20"/>
        </w:rPr>
        <w:t xml:space="preserve"> Emisijska produktivnost v Sloveniji in EU v obdobju 2005−2020 (Vir: ARSO, SURS,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_Toc112840960 \h </w:instrText>
      </w:r>
      <w:r w:rsidRPr="004A52F7">
        <w:rPr>
          <w:noProof/>
          <w:sz w:val="20"/>
          <w:szCs w:val="20"/>
        </w:rPr>
      </w:r>
      <w:r w:rsidRPr="004A52F7">
        <w:rPr>
          <w:noProof/>
          <w:sz w:val="20"/>
          <w:szCs w:val="20"/>
        </w:rPr>
        <w:fldChar w:fldCharType="separate"/>
      </w:r>
      <w:r w:rsidR="009B48AB">
        <w:rPr>
          <w:noProof/>
          <w:sz w:val="20"/>
          <w:szCs w:val="20"/>
        </w:rPr>
        <w:t>18</w:t>
      </w:r>
      <w:r w:rsidRPr="004A52F7">
        <w:rPr>
          <w:noProof/>
          <w:sz w:val="20"/>
          <w:szCs w:val="20"/>
        </w:rPr>
        <w:fldChar w:fldCharType="end"/>
      </w:r>
    </w:p>
    <w:p w14:paraId="5B3CE674" w14:textId="5F94CEC5" w:rsidR="0032537D" w:rsidRPr="004A52F7" w:rsidRDefault="0032537D" w:rsidP="000D0CC3">
      <w:pPr>
        <w:pStyle w:val="Kazaloslik"/>
        <w:tabs>
          <w:tab w:val="right" w:leader="dot" w:pos="9016"/>
        </w:tabs>
        <w:spacing w:before="120" w:after="120"/>
        <w:rPr>
          <w:noProof/>
          <w:sz w:val="20"/>
          <w:szCs w:val="20"/>
        </w:rPr>
      </w:pPr>
      <w:r w:rsidRPr="004A52F7">
        <w:rPr>
          <w:rFonts w:ascii="Arial" w:hAnsi="Arial" w:cs="Arial"/>
          <w:b/>
          <w:bCs/>
          <w:noProof/>
          <w:sz w:val="20"/>
          <w:szCs w:val="20"/>
        </w:rPr>
        <w:t>Slika 12:</w:t>
      </w:r>
      <w:r w:rsidRPr="004A52F7">
        <w:rPr>
          <w:rFonts w:ascii="Arial" w:hAnsi="Arial" w:cs="Arial"/>
          <w:noProof/>
          <w:sz w:val="20"/>
          <w:szCs w:val="20"/>
        </w:rPr>
        <w:t xml:space="preserve"> Implicitna stopnja obdavčitve energije v Sloveniji in v EU (Vir: Eurostat,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_Toc112840961 \h </w:instrText>
      </w:r>
      <w:r w:rsidRPr="004A52F7">
        <w:rPr>
          <w:noProof/>
          <w:sz w:val="20"/>
          <w:szCs w:val="20"/>
        </w:rPr>
      </w:r>
      <w:r w:rsidRPr="004A52F7">
        <w:rPr>
          <w:noProof/>
          <w:sz w:val="20"/>
          <w:szCs w:val="20"/>
        </w:rPr>
        <w:fldChar w:fldCharType="separate"/>
      </w:r>
      <w:r w:rsidR="009B48AB">
        <w:rPr>
          <w:noProof/>
          <w:sz w:val="20"/>
          <w:szCs w:val="20"/>
        </w:rPr>
        <w:t>18</w:t>
      </w:r>
      <w:r w:rsidRPr="004A52F7">
        <w:rPr>
          <w:noProof/>
          <w:sz w:val="20"/>
          <w:szCs w:val="20"/>
        </w:rPr>
        <w:fldChar w:fldCharType="end"/>
      </w:r>
    </w:p>
    <w:p w14:paraId="4A61CC01" w14:textId="61A2B91E" w:rsidR="0032537D" w:rsidRPr="004A52F7" w:rsidRDefault="0032537D" w:rsidP="0032537D">
      <w:pPr>
        <w:pStyle w:val="Kazaloslik"/>
        <w:tabs>
          <w:tab w:val="right" w:leader="dot" w:pos="9016"/>
        </w:tabs>
        <w:rPr>
          <w:noProof/>
          <w:sz w:val="20"/>
          <w:szCs w:val="20"/>
        </w:rPr>
      </w:pPr>
      <w:r w:rsidRPr="004A52F7">
        <w:rPr>
          <w:rFonts w:ascii="Arial" w:hAnsi="Arial" w:cs="Arial"/>
          <w:b/>
          <w:bCs/>
          <w:noProof/>
          <w:sz w:val="20"/>
          <w:szCs w:val="20"/>
        </w:rPr>
        <w:t xml:space="preserve">Slika 13: </w:t>
      </w:r>
      <w:r w:rsidRPr="004A52F7">
        <w:rPr>
          <w:rFonts w:ascii="Arial" w:hAnsi="Arial" w:cs="Arial"/>
          <w:noProof/>
          <w:sz w:val="20"/>
          <w:szCs w:val="20"/>
        </w:rPr>
        <w:t>Struktura spodbud, ki so v nasprotju s cilji zmanjševanja emisij TGP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_Toc112840962 \h </w:instrText>
      </w:r>
      <w:r w:rsidRPr="004A52F7">
        <w:rPr>
          <w:noProof/>
          <w:sz w:val="20"/>
          <w:szCs w:val="20"/>
        </w:rPr>
      </w:r>
      <w:r w:rsidRPr="004A52F7">
        <w:rPr>
          <w:noProof/>
          <w:sz w:val="20"/>
          <w:szCs w:val="20"/>
        </w:rPr>
        <w:fldChar w:fldCharType="separate"/>
      </w:r>
      <w:r w:rsidR="009B48AB">
        <w:rPr>
          <w:noProof/>
          <w:sz w:val="20"/>
          <w:szCs w:val="20"/>
        </w:rPr>
        <w:t>19</w:t>
      </w:r>
      <w:r w:rsidRPr="004A52F7">
        <w:rPr>
          <w:noProof/>
          <w:sz w:val="20"/>
          <w:szCs w:val="20"/>
        </w:rPr>
        <w:fldChar w:fldCharType="end"/>
      </w:r>
    </w:p>
    <w:p w14:paraId="24DC105E" w14:textId="59BB30D8" w:rsidR="0032537D" w:rsidRPr="004A52F7" w:rsidRDefault="0032537D" w:rsidP="00DE4468">
      <w:pPr>
        <w:pStyle w:val="Kazaloslik"/>
        <w:tabs>
          <w:tab w:val="right" w:leader="dot" w:pos="9016"/>
        </w:tabs>
        <w:spacing w:before="120" w:after="120"/>
        <w:rPr>
          <w:noProof/>
          <w:sz w:val="20"/>
          <w:szCs w:val="20"/>
        </w:rPr>
      </w:pPr>
      <w:r w:rsidRPr="004A52F7">
        <w:rPr>
          <w:rFonts w:ascii="Arial" w:hAnsi="Arial" w:cs="Arial"/>
          <w:b/>
          <w:bCs/>
          <w:noProof/>
          <w:sz w:val="20"/>
          <w:szCs w:val="20"/>
        </w:rPr>
        <w:t xml:space="preserve">Slika 14: </w:t>
      </w:r>
      <w:r w:rsidRPr="004A52F7">
        <w:rPr>
          <w:rFonts w:ascii="Arial" w:hAnsi="Arial" w:cs="Arial"/>
          <w:noProof/>
          <w:sz w:val="20"/>
          <w:szCs w:val="20"/>
        </w:rPr>
        <w:t>Izplačane nepovratne spodbude za ukrepe zmanjševanja emisij TGP po sektorjih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_Toc112840963 \h </w:instrText>
      </w:r>
      <w:r w:rsidRPr="004A52F7">
        <w:rPr>
          <w:noProof/>
          <w:sz w:val="20"/>
          <w:szCs w:val="20"/>
        </w:rPr>
      </w:r>
      <w:r w:rsidRPr="004A52F7">
        <w:rPr>
          <w:noProof/>
          <w:sz w:val="20"/>
          <w:szCs w:val="20"/>
        </w:rPr>
        <w:fldChar w:fldCharType="separate"/>
      </w:r>
      <w:r w:rsidR="009B48AB">
        <w:rPr>
          <w:noProof/>
          <w:sz w:val="20"/>
          <w:szCs w:val="20"/>
        </w:rPr>
        <w:t>57</w:t>
      </w:r>
      <w:r w:rsidRPr="004A52F7">
        <w:rPr>
          <w:noProof/>
          <w:sz w:val="20"/>
          <w:szCs w:val="20"/>
        </w:rPr>
        <w:fldChar w:fldCharType="end"/>
      </w:r>
    </w:p>
    <w:p w14:paraId="296C9CFF" w14:textId="3A53E24A" w:rsidR="0032537D" w:rsidRPr="004A52F7" w:rsidRDefault="0032537D" w:rsidP="0032537D">
      <w:pPr>
        <w:pStyle w:val="Kazaloslik"/>
        <w:tabs>
          <w:tab w:val="right" w:leader="dot" w:pos="9016"/>
        </w:tabs>
        <w:spacing w:after="120"/>
        <w:rPr>
          <w:noProof/>
          <w:sz w:val="20"/>
          <w:szCs w:val="20"/>
        </w:rPr>
      </w:pPr>
      <w:r w:rsidRPr="004A52F7">
        <w:rPr>
          <w:rFonts w:ascii="Arial" w:hAnsi="Arial" w:cs="Arial"/>
          <w:b/>
          <w:bCs/>
          <w:noProof/>
          <w:sz w:val="20"/>
          <w:szCs w:val="20"/>
        </w:rPr>
        <w:t xml:space="preserve">Slika 15: </w:t>
      </w:r>
      <w:r w:rsidRPr="004A52F7">
        <w:rPr>
          <w:rFonts w:ascii="Arial" w:hAnsi="Arial" w:cs="Arial"/>
          <w:noProof/>
          <w:sz w:val="20"/>
          <w:szCs w:val="20"/>
        </w:rPr>
        <w:t>Finančna sredstva za ukrepe zmanjševanja emisij TGP v obdobju 2014</w:t>
      </w:r>
      <w:r w:rsidR="00684BF8">
        <w:rPr>
          <w:rFonts w:ascii="Arial" w:hAnsi="Arial" w:cs="Arial"/>
          <w:noProof/>
          <w:sz w:val="20"/>
          <w:szCs w:val="20"/>
        </w:rPr>
        <w:t>–</w:t>
      </w:r>
      <w:r w:rsidRPr="004A52F7">
        <w:rPr>
          <w:rFonts w:ascii="Arial" w:hAnsi="Arial" w:cs="Arial"/>
          <w:noProof/>
          <w:sz w:val="20"/>
          <w:szCs w:val="20"/>
        </w:rPr>
        <w:t>2021 po virih sredstev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_Toc112840964 \h </w:instrText>
      </w:r>
      <w:r w:rsidRPr="004A52F7">
        <w:rPr>
          <w:noProof/>
          <w:sz w:val="20"/>
          <w:szCs w:val="20"/>
        </w:rPr>
      </w:r>
      <w:r w:rsidRPr="004A52F7">
        <w:rPr>
          <w:noProof/>
          <w:sz w:val="20"/>
          <w:szCs w:val="20"/>
        </w:rPr>
        <w:fldChar w:fldCharType="separate"/>
      </w:r>
      <w:r w:rsidR="009B48AB">
        <w:rPr>
          <w:noProof/>
          <w:sz w:val="20"/>
          <w:szCs w:val="20"/>
        </w:rPr>
        <w:t>57</w:t>
      </w:r>
      <w:r w:rsidRPr="004A52F7">
        <w:rPr>
          <w:noProof/>
          <w:sz w:val="20"/>
          <w:szCs w:val="20"/>
        </w:rPr>
        <w:fldChar w:fldCharType="end"/>
      </w:r>
    </w:p>
    <w:p w14:paraId="46CFBAFA" w14:textId="1CA9E0CC" w:rsidR="0032537D" w:rsidRPr="004A52F7" w:rsidRDefault="0032537D" w:rsidP="0032537D">
      <w:pPr>
        <w:pStyle w:val="Kazaloslik"/>
        <w:tabs>
          <w:tab w:val="right" w:leader="dot" w:pos="9016"/>
        </w:tabs>
        <w:rPr>
          <w:rFonts w:eastAsiaTheme="minorEastAsia"/>
          <w:noProof/>
          <w:sz w:val="20"/>
          <w:szCs w:val="20"/>
          <w:lang w:eastAsia="sl-SI"/>
        </w:rPr>
      </w:pPr>
      <w:r w:rsidRPr="004A52F7">
        <w:rPr>
          <w:rFonts w:ascii="Arial" w:hAnsi="Arial" w:cs="Arial"/>
          <w:b/>
          <w:bCs/>
          <w:noProof/>
          <w:sz w:val="20"/>
          <w:szCs w:val="20"/>
        </w:rPr>
        <w:t>Slika 16:</w:t>
      </w:r>
      <w:r w:rsidRPr="004A52F7">
        <w:rPr>
          <w:rFonts w:ascii="Arial" w:hAnsi="Arial" w:cs="Arial"/>
          <w:noProof/>
          <w:sz w:val="20"/>
          <w:szCs w:val="20"/>
        </w:rPr>
        <w:t xml:space="preserve"> Investicije in nepovratne finančne spodbude za ukrepe zmanjševanja emisij TGP ter učinki na zmanjšanje emisij TGP v gospodinjstvih, javnem sektorju, gospodarstvu in prometu (Vir: IJS-CEU)</w:t>
      </w:r>
      <w:r w:rsidRPr="004A52F7">
        <w:rPr>
          <w:noProof/>
          <w:sz w:val="20"/>
          <w:szCs w:val="20"/>
        </w:rPr>
        <w:tab/>
      </w:r>
      <w:r w:rsidRPr="004A52F7">
        <w:rPr>
          <w:noProof/>
          <w:sz w:val="20"/>
          <w:szCs w:val="20"/>
        </w:rPr>
        <w:fldChar w:fldCharType="begin"/>
      </w:r>
      <w:r w:rsidRPr="004A52F7">
        <w:rPr>
          <w:noProof/>
          <w:sz w:val="20"/>
          <w:szCs w:val="20"/>
        </w:rPr>
        <w:instrText xml:space="preserve"> PAGEREF _Toc112840965 \h </w:instrText>
      </w:r>
      <w:r w:rsidRPr="004A52F7">
        <w:rPr>
          <w:noProof/>
          <w:sz w:val="20"/>
          <w:szCs w:val="20"/>
        </w:rPr>
      </w:r>
      <w:r w:rsidRPr="004A52F7">
        <w:rPr>
          <w:noProof/>
          <w:sz w:val="20"/>
          <w:szCs w:val="20"/>
        </w:rPr>
        <w:fldChar w:fldCharType="separate"/>
      </w:r>
      <w:r w:rsidR="009B48AB">
        <w:rPr>
          <w:noProof/>
          <w:sz w:val="20"/>
          <w:szCs w:val="20"/>
        </w:rPr>
        <w:t>58</w:t>
      </w:r>
      <w:r w:rsidRPr="004A52F7">
        <w:rPr>
          <w:noProof/>
          <w:sz w:val="20"/>
          <w:szCs w:val="20"/>
        </w:rPr>
        <w:fldChar w:fldCharType="end"/>
      </w:r>
    </w:p>
    <w:p w14:paraId="6E51F18A" w14:textId="67237B15" w:rsidR="00727490" w:rsidRDefault="0032537D" w:rsidP="00333542">
      <w:pPr>
        <w:spacing w:after="0" w:line="240" w:lineRule="auto"/>
        <w:rPr>
          <w:rFonts w:ascii="Arial" w:hAnsi="Arial" w:cs="Arial"/>
        </w:rPr>
      </w:pPr>
      <w:r w:rsidRPr="004A52F7">
        <w:rPr>
          <w:rFonts w:ascii="Arial" w:hAnsi="Arial" w:cs="Arial"/>
          <w:sz w:val="20"/>
          <w:szCs w:val="20"/>
        </w:rPr>
        <w:fldChar w:fldCharType="end"/>
      </w:r>
    </w:p>
    <w:p w14:paraId="77566271" w14:textId="77777777" w:rsidR="004A52F7" w:rsidRDefault="004A52F7" w:rsidP="004A52F7">
      <w:pPr>
        <w:spacing w:after="0" w:line="240" w:lineRule="auto"/>
        <w:rPr>
          <w:rFonts w:ascii="Arial" w:hAnsi="Arial" w:cs="Arial"/>
          <w:b/>
          <w:bCs/>
          <w:sz w:val="28"/>
          <w:szCs w:val="28"/>
        </w:rPr>
      </w:pPr>
    </w:p>
    <w:p w14:paraId="460536C0" w14:textId="77777777" w:rsidR="004A52F7" w:rsidRDefault="004A52F7" w:rsidP="004A52F7">
      <w:pPr>
        <w:spacing w:after="0" w:line="240" w:lineRule="auto"/>
        <w:rPr>
          <w:rFonts w:ascii="Arial" w:hAnsi="Arial" w:cs="Arial"/>
          <w:b/>
          <w:bCs/>
          <w:sz w:val="28"/>
          <w:szCs w:val="28"/>
        </w:rPr>
      </w:pPr>
    </w:p>
    <w:p w14:paraId="6E525F24" w14:textId="3F1CFD9C" w:rsidR="004A52F7" w:rsidRPr="004A52F7" w:rsidRDefault="004A52F7" w:rsidP="004A52F7">
      <w:pPr>
        <w:spacing w:after="0" w:line="240" w:lineRule="auto"/>
        <w:rPr>
          <w:rFonts w:ascii="Arial" w:hAnsi="Arial" w:cs="Arial"/>
          <w:b/>
          <w:bCs/>
          <w:sz w:val="26"/>
          <w:szCs w:val="26"/>
        </w:rPr>
      </w:pPr>
      <w:r w:rsidRPr="004A52F7">
        <w:rPr>
          <w:rFonts w:ascii="Arial" w:hAnsi="Arial" w:cs="Arial"/>
          <w:b/>
          <w:bCs/>
          <w:sz w:val="26"/>
          <w:szCs w:val="26"/>
        </w:rPr>
        <w:t xml:space="preserve">Kazalo </w:t>
      </w:r>
      <w:r w:rsidR="00684BF8">
        <w:rPr>
          <w:rFonts w:ascii="Arial" w:hAnsi="Arial" w:cs="Arial"/>
          <w:b/>
          <w:bCs/>
          <w:sz w:val="26"/>
          <w:szCs w:val="26"/>
        </w:rPr>
        <w:t>preglednic</w:t>
      </w:r>
      <w:r w:rsidRPr="004A52F7">
        <w:rPr>
          <w:rFonts w:ascii="Arial" w:hAnsi="Arial" w:cs="Arial"/>
          <w:b/>
          <w:bCs/>
          <w:sz w:val="26"/>
          <w:szCs w:val="26"/>
        </w:rPr>
        <w:t>:</w:t>
      </w:r>
    </w:p>
    <w:p w14:paraId="16D11654" w14:textId="77777777" w:rsidR="004A52F7" w:rsidRPr="004A52F7" w:rsidRDefault="004A52F7">
      <w:pPr>
        <w:pStyle w:val="Kazaloslik"/>
        <w:tabs>
          <w:tab w:val="right" w:leader="dot" w:pos="9016"/>
        </w:tabs>
        <w:rPr>
          <w:rFonts w:ascii="Arial" w:hAnsi="Arial" w:cs="Arial"/>
          <w:sz w:val="20"/>
          <w:szCs w:val="20"/>
        </w:rPr>
      </w:pPr>
    </w:p>
    <w:p w14:paraId="2939115A" w14:textId="563A2383" w:rsidR="004A52F7" w:rsidRPr="004A52F7" w:rsidRDefault="004A52F7">
      <w:pPr>
        <w:pStyle w:val="Kazaloslik"/>
        <w:tabs>
          <w:tab w:val="right" w:leader="dot" w:pos="9016"/>
        </w:tabs>
        <w:rPr>
          <w:rFonts w:eastAsiaTheme="minorEastAsia"/>
          <w:noProof/>
          <w:sz w:val="20"/>
          <w:szCs w:val="20"/>
          <w:lang w:eastAsia="sl-SI"/>
        </w:rPr>
      </w:pPr>
      <w:r w:rsidRPr="004A52F7">
        <w:rPr>
          <w:rFonts w:ascii="Arial" w:hAnsi="Arial" w:cs="Arial"/>
          <w:sz w:val="20"/>
          <w:szCs w:val="20"/>
        </w:rPr>
        <w:fldChar w:fldCharType="begin"/>
      </w:r>
      <w:r w:rsidRPr="004A52F7">
        <w:rPr>
          <w:rFonts w:ascii="Arial" w:hAnsi="Arial" w:cs="Arial"/>
          <w:sz w:val="20"/>
          <w:szCs w:val="20"/>
        </w:rPr>
        <w:instrText xml:space="preserve"> TOC \c "Tabela" </w:instrText>
      </w:r>
      <w:r w:rsidRPr="004A52F7">
        <w:rPr>
          <w:rFonts w:ascii="Arial" w:hAnsi="Arial" w:cs="Arial"/>
          <w:sz w:val="20"/>
          <w:szCs w:val="20"/>
        </w:rPr>
        <w:fldChar w:fldCharType="separate"/>
      </w:r>
      <w:r w:rsidR="00684BF8">
        <w:rPr>
          <w:rFonts w:ascii="Arial" w:hAnsi="Arial" w:cs="Arial"/>
          <w:b/>
          <w:bCs/>
          <w:noProof/>
          <w:sz w:val="20"/>
          <w:szCs w:val="20"/>
        </w:rPr>
        <w:t>Preglednica</w:t>
      </w:r>
      <w:r w:rsidRPr="004A52F7">
        <w:rPr>
          <w:rFonts w:ascii="Arial" w:hAnsi="Arial" w:cs="Arial"/>
          <w:b/>
          <w:bCs/>
          <w:noProof/>
          <w:sz w:val="20"/>
          <w:szCs w:val="20"/>
        </w:rPr>
        <w:t xml:space="preserve"> 1:</w:t>
      </w:r>
      <w:r w:rsidRPr="004A52F7">
        <w:rPr>
          <w:rFonts w:ascii="Arial" w:hAnsi="Arial" w:cs="Arial"/>
          <w:noProof/>
          <w:sz w:val="20"/>
          <w:szCs w:val="20"/>
        </w:rPr>
        <w:t xml:space="preserve"> Zastavljeni neETS cilji</w:t>
      </w:r>
      <w:r w:rsidRPr="004A52F7">
        <w:rPr>
          <w:noProof/>
          <w:sz w:val="20"/>
          <w:szCs w:val="20"/>
        </w:rPr>
        <w:tab/>
      </w:r>
      <w:r w:rsidRPr="004A52F7">
        <w:rPr>
          <w:noProof/>
          <w:sz w:val="20"/>
          <w:szCs w:val="20"/>
        </w:rPr>
        <w:fldChar w:fldCharType="begin"/>
      </w:r>
      <w:r w:rsidRPr="004A52F7">
        <w:rPr>
          <w:noProof/>
          <w:sz w:val="20"/>
          <w:szCs w:val="20"/>
        </w:rPr>
        <w:instrText xml:space="preserve"> PAGEREF _Toc112842029 \h </w:instrText>
      </w:r>
      <w:r w:rsidRPr="004A52F7">
        <w:rPr>
          <w:noProof/>
          <w:sz w:val="20"/>
          <w:szCs w:val="20"/>
        </w:rPr>
      </w:r>
      <w:r w:rsidRPr="004A52F7">
        <w:rPr>
          <w:noProof/>
          <w:sz w:val="20"/>
          <w:szCs w:val="20"/>
        </w:rPr>
        <w:fldChar w:fldCharType="separate"/>
      </w:r>
      <w:r w:rsidR="009B48AB">
        <w:rPr>
          <w:noProof/>
          <w:sz w:val="20"/>
          <w:szCs w:val="20"/>
        </w:rPr>
        <w:t>5</w:t>
      </w:r>
      <w:r w:rsidRPr="004A52F7">
        <w:rPr>
          <w:noProof/>
          <w:sz w:val="20"/>
          <w:szCs w:val="20"/>
        </w:rPr>
        <w:fldChar w:fldCharType="end"/>
      </w:r>
    </w:p>
    <w:p w14:paraId="0D5B6D95" w14:textId="036F25BC" w:rsidR="004A52F7" w:rsidRPr="004A52F7" w:rsidRDefault="00684BF8" w:rsidP="004A52F7">
      <w:pPr>
        <w:pStyle w:val="Kazaloslik"/>
        <w:tabs>
          <w:tab w:val="right" w:leader="dot" w:pos="9016"/>
        </w:tabs>
        <w:spacing w:before="120" w:after="120"/>
        <w:rPr>
          <w:rFonts w:eastAsiaTheme="minorEastAsia"/>
          <w:noProof/>
          <w:sz w:val="20"/>
          <w:szCs w:val="20"/>
          <w:lang w:eastAsia="sl-SI"/>
        </w:rPr>
      </w:pPr>
      <w:r>
        <w:rPr>
          <w:rFonts w:ascii="Arial" w:hAnsi="Arial" w:cs="Arial"/>
          <w:b/>
          <w:bCs/>
          <w:noProof/>
          <w:sz w:val="20"/>
          <w:szCs w:val="20"/>
        </w:rPr>
        <w:t>Preglednica</w:t>
      </w:r>
      <w:r w:rsidR="004A52F7" w:rsidRPr="004A52F7">
        <w:rPr>
          <w:rFonts w:ascii="Arial" w:hAnsi="Arial" w:cs="Arial"/>
          <w:b/>
          <w:bCs/>
          <w:noProof/>
          <w:sz w:val="20"/>
          <w:szCs w:val="20"/>
        </w:rPr>
        <w:t xml:space="preserve"> 2:</w:t>
      </w:r>
      <w:r w:rsidR="004A52F7" w:rsidRPr="004A52F7">
        <w:rPr>
          <w:rFonts w:ascii="Arial" w:hAnsi="Arial" w:cs="Arial"/>
          <w:noProof/>
          <w:sz w:val="20"/>
          <w:szCs w:val="20"/>
        </w:rPr>
        <w:t xml:space="preserve"> Kratkoročne projekcije emisij TGP v neETS (</w:t>
      </w:r>
      <w:r w:rsidR="00930529">
        <w:rPr>
          <w:rFonts w:ascii="Arial" w:hAnsi="Arial" w:cs="Arial"/>
          <w:noProof/>
          <w:sz w:val="20"/>
          <w:szCs w:val="20"/>
        </w:rPr>
        <w:t>V</w:t>
      </w:r>
      <w:r w:rsidR="004A52F7" w:rsidRPr="004A52F7">
        <w:rPr>
          <w:rFonts w:ascii="Arial" w:hAnsi="Arial" w:cs="Arial"/>
          <w:noProof/>
          <w:sz w:val="20"/>
          <w:szCs w:val="20"/>
        </w:rPr>
        <w:t>ir: IJS-CEU, ARSO)</w:t>
      </w:r>
      <w:r w:rsidR="004A52F7" w:rsidRPr="004A52F7">
        <w:rPr>
          <w:noProof/>
          <w:sz w:val="20"/>
          <w:szCs w:val="20"/>
        </w:rPr>
        <w:tab/>
      </w:r>
      <w:r w:rsidR="004A52F7" w:rsidRPr="004A52F7">
        <w:rPr>
          <w:noProof/>
          <w:sz w:val="20"/>
          <w:szCs w:val="20"/>
        </w:rPr>
        <w:fldChar w:fldCharType="begin"/>
      </w:r>
      <w:r w:rsidR="004A52F7" w:rsidRPr="004A52F7">
        <w:rPr>
          <w:noProof/>
          <w:sz w:val="20"/>
          <w:szCs w:val="20"/>
        </w:rPr>
        <w:instrText xml:space="preserve"> PAGEREF _Toc112842030 \h </w:instrText>
      </w:r>
      <w:r w:rsidR="004A52F7" w:rsidRPr="004A52F7">
        <w:rPr>
          <w:noProof/>
          <w:sz w:val="20"/>
          <w:szCs w:val="20"/>
        </w:rPr>
      </w:r>
      <w:r w:rsidR="004A52F7" w:rsidRPr="004A52F7">
        <w:rPr>
          <w:noProof/>
          <w:sz w:val="20"/>
          <w:szCs w:val="20"/>
        </w:rPr>
        <w:fldChar w:fldCharType="separate"/>
      </w:r>
      <w:r w:rsidR="009B48AB">
        <w:rPr>
          <w:noProof/>
          <w:sz w:val="20"/>
          <w:szCs w:val="20"/>
        </w:rPr>
        <w:t>6</w:t>
      </w:r>
      <w:r w:rsidR="004A52F7" w:rsidRPr="004A52F7">
        <w:rPr>
          <w:noProof/>
          <w:sz w:val="20"/>
          <w:szCs w:val="20"/>
        </w:rPr>
        <w:fldChar w:fldCharType="end"/>
      </w:r>
    </w:p>
    <w:p w14:paraId="0787B656" w14:textId="5A074528" w:rsidR="004A52F7" w:rsidRPr="004A52F7" w:rsidRDefault="00684BF8" w:rsidP="004A52F7">
      <w:pPr>
        <w:pStyle w:val="Kazaloslik"/>
        <w:tabs>
          <w:tab w:val="right" w:leader="dot" w:pos="9016"/>
        </w:tabs>
        <w:spacing w:before="120" w:after="120"/>
        <w:rPr>
          <w:rFonts w:eastAsiaTheme="minorEastAsia"/>
          <w:noProof/>
          <w:sz w:val="20"/>
          <w:szCs w:val="20"/>
          <w:lang w:eastAsia="sl-SI"/>
        </w:rPr>
      </w:pPr>
      <w:r>
        <w:rPr>
          <w:rFonts w:ascii="Arial" w:hAnsi="Arial" w:cs="Arial"/>
          <w:b/>
          <w:bCs/>
          <w:noProof/>
          <w:sz w:val="20"/>
          <w:szCs w:val="20"/>
        </w:rPr>
        <w:t>Preglednica</w:t>
      </w:r>
      <w:r w:rsidR="004A52F7" w:rsidRPr="004A52F7">
        <w:rPr>
          <w:rFonts w:ascii="Arial" w:hAnsi="Arial" w:cs="Arial"/>
          <w:b/>
          <w:bCs/>
          <w:noProof/>
          <w:sz w:val="20"/>
          <w:szCs w:val="20"/>
        </w:rPr>
        <w:t xml:space="preserve"> 3: </w:t>
      </w:r>
      <w:r w:rsidR="004A52F7" w:rsidRPr="004A52F7">
        <w:rPr>
          <w:rFonts w:ascii="Arial" w:hAnsi="Arial" w:cs="Arial"/>
          <w:noProof/>
          <w:sz w:val="20"/>
          <w:szCs w:val="20"/>
        </w:rPr>
        <w:t>Doseganje indikativnih sektorskih ciljev zmanjšanja emisij TGP, ki si jih je Slovenija zastavila z OP TGP 2020</w:t>
      </w:r>
      <w:r>
        <w:rPr>
          <w:rFonts w:ascii="Arial" w:hAnsi="Arial" w:cs="Arial"/>
          <w:noProof/>
          <w:sz w:val="20"/>
          <w:szCs w:val="20"/>
        </w:rPr>
        <w:t>,</w:t>
      </w:r>
      <w:r w:rsidR="004A52F7" w:rsidRPr="004A52F7">
        <w:rPr>
          <w:rFonts w:ascii="Arial" w:hAnsi="Arial" w:cs="Arial"/>
          <w:noProof/>
          <w:sz w:val="20"/>
          <w:szCs w:val="20"/>
        </w:rPr>
        <w:t xml:space="preserve"> in doseganje cilja po Odločbi 406/2009/ES</w:t>
      </w:r>
      <w:r w:rsidR="004A52F7" w:rsidRPr="004A52F7">
        <w:rPr>
          <w:noProof/>
          <w:sz w:val="20"/>
          <w:szCs w:val="20"/>
        </w:rPr>
        <w:tab/>
      </w:r>
      <w:r w:rsidR="004A52F7" w:rsidRPr="004A52F7">
        <w:rPr>
          <w:noProof/>
          <w:sz w:val="20"/>
          <w:szCs w:val="20"/>
        </w:rPr>
        <w:fldChar w:fldCharType="begin"/>
      </w:r>
      <w:r w:rsidR="004A52F7" w:rsidRPr="004A52F7">
        <w:rPr>
          <w:noProof/>
          <w:sz w:val="20"/>
          <w:szCs w:val="20"/>
        </w:rPr>
        <w:instrText xml:space="preserve"> PAGEREF _Toc112842031 \h </w:instrText>
      </w:r>
      <w:r w:rsidR="004A52F7" w:rsidRPr="004A52F7">
        <w:rPr>
          <w:noProof/>
          <w:sz w:val="20"/>
          <w:szCs w:val="20"/>
        </w:rPr>
      </w:r>
      <w:r w:rsidR="004A52F7" w:rsidRPr="004A52F7">
        <w:rPr>
          <w:noProof/>
          <w:sz w:val="20"/>
          <w:szCs w:val="20"/>
        </w:rPr>
        <w:fldChar w:fldCharType="separate"/>
      </w:r>
      <w:r w:rsidR="009B48AB">
        <w:rPr>
          <w:noProof/>
          <w:sz w:val="20"/>
          <w:szCs w:val="20"/>
        </w:rPr>
        <w:t>10</w:t>
      </w:r>
      <w:r w:rsidR="004A52F7" w:rsidRPr="004A52F7">
        <w:rPr>
          <w:noProof/>
          <w:sz w:val="20"/>
          <w:szCs w:val="20"/>
        </w:rPr>
        <w:fldChar w:fldCharType="end"/>
      </w:r>
    </w:p>
    <w:p w14:paraId="7C6AC679" w14:textId="63F501A5" w:rsidR="004A52F7" w:rsidRPr="004A52F7" w:rsidRDefault="00684BF8">
      <w:pPr>
        <w:pStyle w:val="Kazaloslik"/>
        <w:tabs>
          <w:tab w:val="right" w:leader="dot" w:pos="9016"/>
        </w:tabs>
        <w:rPr>
          <w:rFonts w:eastAsiaTheme="minorEastAsia"/>
          <w:noProof/>
          <w:sz w:val="20"/>
          <w:szCs w:val="20"/>
          <w:lang w:eastAsia="sl-SI"/>
        </w:rPr>
      </w:pPr>
      <w:r>
        <w:rPr>
          <w:rFonts w:ascii="Arial" w:hAnsi="Arial" w:cs="Arial"/>
          <w:b/>
          <w:bCs/>
          <w:noProof/>
          <w:sz w:val="20"/>
          <w:szCs w:val="20"/>
        </w:rPr>
        <w:t>Preglednica</w:t>
      </w:r>
      <w:r w:rsidR="004A52F7" w:rsidRPr="004A52F7">
        <w:rPr>
          <w:rFonts w:ascii="Arial" w:hAnsi="Arial" w:cs="Arial"/>
          <w:b/>
          <w:bCs/>
          <w:noProof/>
          <w:sz w:val="20"/>
          <w:szCs w:val="20"/>
        </w:rPr>
        <w:t xml:space="preserve"> 4:</w:t>
      </w:r>
      <w:r w:rsidR="004A52F7" w:rsidRPr="004A52F7">
        <w:rPr>
          <w:rFonts w:ascii="Arial" w:hAnsi="Arial" w:cs="Arial"/>
          <w:noProof/>
          <w:sz w:val="20"/>
          <w:szCs w:val="20"/>
        </w:rPr>
        <w:t xml:space="preserve"> Viri sredstev in njihovi učinki</w:t>
      </w:r>
      <w:r w:rsidR="004A52F7" w:rsidRPr="004A52F7">
        <w:rPr>
          <w:noProof/>
          <w:sz w:val="20"/>
          <w:szCs w:val="20"/>
        </w:rPr>
        <w:tab/>
      </w:r>
      <w:r w:rsidR="004A52F7" w:rsidRPr="004A52F7">
        <w:rPr>
          <w:noProof/>
          <w:sz w:val="20"/>
          <w:szCs w:val="20"/>
        </w:rPr>
        <w:fldChar w:fldCharType="begin"/>
      </w:r>
      <w:r w:rsidR="004A52F7" w:rsidRPr="004A52F7">
        <w:rPr>
          <w:noProof/>
          <w:sz w:val="20"/>
          <w:szCs w:val="20"/>
        </w:rPr>
        <w:instrText xml:space="preserve"> PAGEREF _Toc112842032 \h </w:instrText>
      </w:r>
      <w:r w:rsidR="004A52F7" w:rsidRPr="004A52F7">
        <w:rPr>
          <w:noProof/>
          <w:sz w:val="20"/>
          <w:szCs w:val="20"/>
        </w:rPr>
      </w:r>
      <w:r w:rsidR="004A52F7" w:rsidRPr="004A52F7">
        <w:rPr>
          <w:noProof/>
          <w:sz w:val="20"/>
          <w:szCs w:val="20"/>
        </w:rPr>
        <w:fldChar w:fldCharType="separate"/>
      </w:r>
      <w:r w:rsidR="009B48AB">
        <w:rPr>
          <w:noProof/>
          <w:sz w:val="20"/>
          <w:szCs w:val="20"/>
        </w:rPr>
        <w:t>56</w:t>
      </w:r>
      <w:r w:rsidR="004A52F7" w:rsidRPr="004A52F7">
        <w:rPr>
          <w:noProof/>
          <w:sz w:val="20"/>
          <w:szCs w:val="20"/>
        </w:rPr>
        <w:fldChar w:fldCharType="end"/>
      </w:r>
    </w:p>
    <w:p w14:paraId="5735CC70" w14:textId="274D09DE" w:rsidR="000D4370" w:rsidRDefault="004A52F7" w:rsidP="00333542">
      <w:pPr>
        <w:spacing w:after="0" w:line="240" w:lineRule="auto"/>
        <w:rPr>
          <w:rFonts w:ascii="Arial" w:hAnsi="Arial" w:cs="Arial"/>
        </w:rPr>
      </w:pPr>
      <w:r w:rsidRPr="004A52F7">
        <w:rPr>
          <w:rFonts w:ascii="Arial" w:hAnsi="Arial" w:cs="Arial"/>
          <w:sz w:val="20"/>
          <w:szCs w:val="20"/>
        </w:rPr>
        <w:fldChar w:fldCharType="end"/>
      </w:r>
    </w:p>
    <w:p w14:paraId="0B4B1771" w14:textId="02773558" w:rsidR="001777EC" w:rsidRPr="00900F8E" w:rsidRDefault="00C36C31" w:rsidP="00EE0384">
      <w:pPr>
        <w:pStyle w:val="Naslov1"/>
        <w:spacing w:before="9000"/>
        <w:rPr>
          <w:rFonts w:ascii="Arial" w:hAnsi="Arial" w:cs="Arial"/>
          <w:color w:val="auto"/>
        </w:rPr>
      </w:pPr>
      <w:bookmarkStart w:id="1" w:name="_Toc120166925"/>
      <w:r w:rsidRPr="00900F8E">
        <w:rPr>
          <w:rFonts w:ascii="Arial" w:hAnsi="Arial" w:cs="Arial"/>
          <w:color w:val="auto"/>
        </w:rPr>
        <w:lastRenderedPageBreak/>
        <w:t xml:space="preserve">1 </w:t>
      </w:r>
      <w:r w:rsidR="00046A9C" w:rsidRPr="00900F8E">
        <w:rPr>
          <w:rFonts w:ascii="Arial" w:hAnsi="Arial" w:cs="Arial"/>
          <w:color w:val="auto"/>
        </w:rPr>
        <w:t>K</w:t>
      </w:r>
      <w:r w:rsidRPr="00900F8E">
        <w:rPr>
          <w:rFonts w:ascii="Arial" w:hAnsi="Arial" w:cs="Arial"/>
          <w:color w:val="auto"/>
        </w:rPr>
        <w:t>ljučne ugotovitve</w:t>
      </w:r>
      <w:bookmarkEnd w:id="1"/>
    </w:p>
    <w:p w14:paraId="5ACF0F10" w14:textId="77777777" w:rsidR="00CB0887" w:rsidRPr="00900F8E" w:rsidRDefault="00CB0887" w:rsidP="008B355C">
      <w:pPr>
        <w:spacing w:after="0" w:line="240" w:lineRule="auto"/>
        <w:jc w:val="both"/>
        <w:rPr>
          <w:rFonts w:ascii="Arial" w:hAnsi="Arial" w:cs="Arial"/>
        </w:rPr>
      </w:pPr>
    </w:p>
    <w:p w14:paraId="58388460" w14:textId="0E159B62" w:rsidR="00C36C31" w:rsidRPr="00900F8E" w:rsidRDefault="006937A6" w:rsidP="008B355C">
      <w:pPr>
        <w:spacing w:after="0" w:line="240" w:lineRule="auto"/>
        <w:jc w:val="both"/>
        <w:rPr>
          <w:rFonts w:ascii="Arial" w:hAnsi="Arial" w:cs="Arial"/>
        </w:rPr>
      </w:pPr>
      <w:r w:rsidRPr="00900F8E">
        <w:rPr>
          <w:rFonts w:ascii="Arial" w:hAnsi="Arial" w:cs="Arial"/>
        </w:rPr>
        <w:t>Peto</w:t>
      </w:r>
      <w:r w:rsidR="00CB0887" w:rsidRPr="00900F8E">
        <w:rPr>
          <w:rFonts w:ascii="Arial" w:hAnsi="Arial" w:cs="Arial"/>
        </w:rPr>
        <w:t xml:space="preserve"> poročilo o izvajanju Operativnega programa ukrepov zmanjšanja emisij toplogrednih plinov do leta 2020 (v nadaljnjem besedilu</w:t>
      </w:r>
      <w:r w:rsidR="00987F7F" w:rsidRPr="00900F8E">
        <w:rPr>
          <w:rFonts w:ascii="Arial" w:hAnsi="Arial" w:cs="Arial"/>
        </w:rPr>
        <w:t>:</w:t>
      </w:r>
      <w:r w:rsidR="00CB0887" w:rsidRPr="00900F8E">
        <w:rPr>
          <w:rFonts w:ascii="Arial" w:hAnsi="Arial" w:cs="Arial"/>
        </w:rPr>
        <w:t xml:space="preserve"> OP TGP 2020) podaja </w:t>
      </w:r>
      <w:r w:rsidRPr="00900F8E">
        <w:rPr>
          <w:rFonts w:ascii="Arial" w:hAnsi="Arial" w:cs="Arial"/>
        </w:rPr>
        <w:t xml:space="preserve">za sektorje, ki niso vključeni v sistem trgovanja z emisijskimi pravicami (v </w:t>
      </w:r>
      <w:r w:rsidR="00930529">
        <w:rPr>
          <w:rFonts w:ascii="Arial" w:hAnsi="Arial" w:cs="Arial"/>
        </w:rPr>
        <w:t>nadaljnjem besedilu</w:t>
      </w:r>
      <w:r w:rsidRPr="00900F8E">
        <w:rPr>
          <w:rFonts w:ascii="Arial" w:hAnsi="Arial" w:cs="Arial"/>
        </w:rPr>
        <w:t xml:space="preserve">: </w:t>
      </w:r>
      <w:r w:rsidR="00920F43" w:rsidRPr="00900F8E">
        <w:rPr>
          <w:rFonts w:ascii="Arial" w:hAnsi="Arial" w:cs="Arial"/>
        </w:rPr>
        <w:t>neETS</w:t>
      </w:r>
      <w:r w:rsidRPr="00900F8E">
        <w:rPr>
          <w:rFonts w:ascii="Arial" w:hAnsi="Arial" w:cs="Arial"/>
        </w:rPr>
        <w:t xml:space="preserve"> sektorji), </w:t>
      </w:r>
      <w:r w:rsidR="00CB0887" w:rsidRPr="00900F8E">
        <w:rPr>
          <w:rFonts w:ascii="Arial" w:hAnsi="Arial" w:cs="Arial"/>
        </w:rPr>
        <w:t>oceno d</w:t>
      </w:r>
      <w:r w:rsidR="001022FF" w:rsidRPr="00900F8E">
        <w:rPr>
          <w:rFonts w:ascii="Arial" w:hAnsi="Arial" w:cs="Arial"/>
        </w:rPr>
        <w:t>o</w:t>
      </w:r>
      <w:r w:rsidR="00CB0887" w:rsidRPr="00900F8E">
        <w:rPr>
          <w:rFonts w:ascii="Arial" w:hAnsi="Arial" w:cs="Arial"/>
        </w:rPr>
        <w:t xml:space="preserve">seganja </w:t>
      </w:r>
      <w:r w:rsidR="001022FF" w:rsidRPr="00900F8E">
        <w:rPr>
          <w:rFonts w:ascii="Arial" w:hAnsi="Arial" w:cs="Arial"/>
        </w:rPr>
        <w:t xml:space="preserve">emisijskih </w:t>
      </w:r>
      <w:r w:rsidR="00CB0887" w:rsidRPr="00900F8E">
        <w:rPr>
          <w:rFonts w:ascii="Arial" w:hAnsi="Arial" w:cs="Arial"/>
        </w:rPr>
        <w:t>ciljev</w:t>
      </w:r>
      <w:r w:rsidR="002021D6">
        <w:rPr>
          <w:rFonts w:ascii="Arial" w:hAnsi="Arial" w:cs="Arial"/>
        </w:rPr>
        <w:t xml:space="preserve"> za leti 2019 in 2020</w:t>
      </w:r>
      <w:r w:rsidRPr="00900F8E">
        <w:rPr>
          <w:rFonts w:ascii="Arial" w:hAnsi="Arial" w:cs="Arial"/>
        </w:rPr>
        <w:t>, analizo glavnih kazalcev izvajanja OP TGP 2020,</w:t>
      </w:r>
      <w:r w:rsidR="00CB0887" w:rsidRPr="00900F8E">
        <w:rPr>
          <w:rFonts w:ascii="Arial" w:hAnsi="Arial" w:cs="Arial"/>
        </w:rPr>
        <w:t xml:space="preserve"> pregled izvajanja</w:t>
      </w:r>
      <w:r w:rsidR="00E576EF" w:rsidRPr="00900F8E">
        <w:rPr>
          <w:rFonts w:ascii="Arial" w:hAnsi="Arial" w:cs="Arial"/>
        </w:rPr>
        <w:t xml:space="preserve"> in financiranja</w:t>
      </w:r>
      <w:r w:rsidR="00CB0887" w:rsidRPr="00900F8E">
        <w:rPr>
          <w:rFonts w:ascii="Arial" w:hAnsi="Arial" w:cs="Arial"/>
        </w:rPr>
        <w:t xml:space="preserve"> ukrepov</w:t>
      </w:r>
      <w:r w:rsidR="002021D6">
        <w:rPr>
          <w:rFonts w:ascii="Arial" w:hAnsi="Arial" w:cs="Arial"/>
        </w:rPr>
        <w:t xml:space="preserve"> za leti 2020 in 2021</w:t>
      </w:r>
      <w:r w:rsidRPr="00900F8E">
        <w:rPr>
          <w:rFonts w:ascii="Arial" w:hAnsi="Arial" w:cs="Arial"/>
        </w:rPr>
        <w:t xml:space="preserve"> </w:t>
      </w:r>
      <w:r w:rsidR="00E576EF" w:rsidRPr="00900F8E">
        <w:rPr>
          <w:rFonts w:ascii="Arial" w:hAnsi="Arial" w:cs="Arial"/>
        </w:rPr>
        <w:t>ter</w:t>
      </w:r>
      <w:r w:rsidRPr="00900F8E">
        <w:rPr>
          <w:rFonts w:ascii="Arial" w:hAnsi="Arial" w:cs="Arial"/>
        </w:rPr>
        <w:t xml:space="preserve"> priporočila po sektorjih.</w:t>
      </w:r>
      <w:r w:rsidR="001022FF" w:rsidRPr="00900F8E">
        <w:rPr>
          <w:rFonts w:ascii="Arial" w:hAnsi="Arial" w:cs="Arial"/>
        </w:rPr>
        <w:t xml:space="preserve"> </w:t>
      </w:r>
      <w:r w:rsidR="00FA25E6" w:rsidRPr="00900F8E">
        <w:rPr>
          <w:rFonts w:ascii="Arial" w:hAnsi="Arial" w:cs="Arial"/>
        </w:rPr>
        <w:t xml:space="preserve">Poročilo </w:t>
      </w:r>
      <w:r w:rsidR="00CE62F4">
        <w:rPr>
          <w:rFonts w:ascii="Arial" w:hAnsi="Arial" w:cs="Arial"/>
        </w:rPr>
        <w:t>povzema</w:t>
      </w:r>
      <w:r w:rsidR="003C17CF" w:rsidRPr="00900F8E">
        <w:rPr>
          <w:rFonts w:ascii="Arial" w:hAnsi="Arial" w:cs="Arial"/>
        </w:rPr>
        <w:t xml:space="preserve"> Podnebn</w:t>
      </w:r>
      <w:r w:rsidR="00CE62F4">
        <w:rPr>
          <w:rFonts w:ascii="Arial" w:hAnsi="Arial" w:cs="Arial"/>
        </w:rPr>
        <w:t>o</w:t>
      </w:r>
      <w:r w:rsidR="003C17CF" w:rsidRPr="00900F8E">
        <w:rPr>
          <w:rFonts w:ascii="Arial" w:hAnsi="Arial" w:cs="Arial"/>
        </w:rPr>
        <w:t xml:space="preserve"> ogledal</w:t>
      </w:r>
      <w:r w:rsidR="00CE62F4">
        <w:rPr>
          <w:rFonts w:ascii="Arial" w:hAnsi="Arial" w:cs="Arial"/>
        </w:rPr>
        <w:t>o</w:t>
      </w:r>
      <w:r w:rsidR="003C17CF" w:rsidRPr="00900F8E">
        <w:rPr>
          <w:rFonts w:ascii="Arial" w:hAnsi="Arial" w:cs="Arial"/>
        </w:rPr>
        <w:t xml:space="preserve"> 20</w:t>
      </w:r>
      <w:r w:rsidRPr="00900F8E">
        <w:rPr>
          <w:rFonts w:ascii="Arial" w:hAnsi="Arial" w:cs="Arial"/>
        </w:rPr>
        <w:t>21</w:t>
      </w:r>
      <w:r w:rsidR="009E2FB3" w:rsidRPr="00900F8E">
        <w:rPr>
          <w:rFonts w:ascii="Arial" w:hAnsi="Arial" w:cs="Arial"/>
        </w:rPr>
        <w:t xml:space="preserve"> in Podnebn</w:t>
      </w:r>
      <w:r w:rsidR="00CE62F4">
        <w:rPr>
          <w:rFonts w:ascii="Arial" w:hAnsi="Arial" w:cs="Arial"/>
        </w:rPr>
        <w:t>o</w:t>
      </w:r>
      <w:r w:rsidR="009E2FB3" w:rsidRPr="00900F8E">
        <w:rPr>
          <w:rFonts w:ascii="Arial" w:hAnsi="Arial" w:cs="Arial"/>
        </w:rPr>
        <w:t xml:space="preserve"> ogledal</w:t>
      </w:r>
      <w:r w:rsidR="00CE62F4">
        <w:rPr>
          <w:rFonts w:ascii="Arial" w:hAnsi="Arial" w:cs="Arial"/>
        </w:rPr>
        <w:t>o</w:t>
      </w:r>
      <w:r w:rsidR="009E2FB3" w:rsidRPr="00900F8E">
        <w:rPr>
          <w:rFonts w:ascii="Arial" w:hAnsi="Arial" w:cs="Arial"/>
        </w:rPr>
        <w:t xml:space="preserve"> 2022</w:t>
      </w:r>
      <w:r w:rsidR="00B63C1B" w:rsidRPr="00900F8E">
        <w:rPr>
          <w:rStyle w:val="Sprotnaopomba-sklic"/>
          <w:rFonts w:ascii="Arial" w:hAnsi="Arial" w:cs="Arial"/>
        </w:rPr>
        <w:footnoteReference w:id="1"/>
      </w:r>
      <w:r w:rsidRPr="00900F8E">
        <w:rPr>
          <w:rFonts w:ascii="Arial" w:hAnsi="Arial" w:cs="Arial"/>
        </w:rPr>
        <w:t xml:space="preserve">, ki so </w:t>
      </w:r>
      <w:r w:rsidR="009E2FB3" w:rsidRPr="00900F8E">
        <w:rPr>
          <w:rFonts w:ascii="Arial" w:hAnsi="Arial" w:cs="Arial"/>
        </w:rPr>
        <w:t>ju</w:t>
      </w:r>
      <w:r w:rsidRPr="00900F8E">
        <w:rPr>
          <w:rFonts w:ascii="Arial" w:hAnsi="Arial" w:cs="Arial"/>
        </w:rPr>
        <w:t xml:space="preserve"> pripravili na Institutu »Jožef Stefan«</w:t>
      </w:r>
      <w:r w:rsidR="000D5D06" w:rsidRPr="00900F8E">
        <w:rPr>
          <w:rFonts w:ascii="Arial" w:hAnsi="Arial" w:cs="Arial"/>
        </w:rPr>
        <w:t xml:space="preserve"> (v </w:t>
      </w:r>
      <w:r w:rsidR="00930529">
        <w:rPr>
          <w:rFonts w:ascii="Arial" w:hAnsi="Arial" w:cs="Arial"/>
        </w:rPr>
        <w:t>nadaljnjem besedilu</w:t>
      </w:r>
      <w:r w:rsidR="000D5D06" w:rsidRPr="00900F8E">
        <w:rPr>
          <w:rFonts w:ascii="Arial" w:hAnsi="Arial" w:cs="Arial"/>
        </w:rPr>
        <w:t>: IJS)</w:t>
      </w:r>
      <w:r w:rsidRPr="00900F8E">
        <w:rPr>
          <w:rFonts w:ascii="Arial" w:hAnsi="Arial" w:cs="Arial"/>
        </w:rPr>
        <w:t>, Centru za energetsko učinkovitost</w:t>
      </w:r>
      <w:r w:rsidR="000D5D06" w:rsidRPr="00900F8E">
        <w:rPr>
          <w:rFonts w:ascii="Arial" w:hAnsi="Arial" w:cs="Arial"/>
        </w:rPr>
        <w:t xml:space="preserve"> (v </w:t>
      </w:r>
      <w:r w:rsidR="00930529">
        <w:rPr>
          <w:rFonts w:ascii="Arial" w:hAnsi="Arial" w:cs="Arial"/>
        </w:rPr>
        <w:t>nadaljnjem besedilu</w:t>
      </w:r>
      <w:r w:rsidR="000D5D06" w:rsidRPr="00900F8E">
        <w:rPr>
          <w:rFonts w:ascii="Arial" w:hAnsi="Arial" w:cs="Arial"/>
        </w:rPr>
        <w:t>: CEU)</w:t>
      </w:r>
      <w:r w:rsidRPr="00900F8E">
        <w:rPr>
          <w:rFonts w:ascii="Arial" w:hAnsi="Arial" w:cs="Arial"/>
        </w:rPr>
        <w:t>, v sodelovanju s PNZ svetovanje projektiranje, Kmetijskim inštitutom Slovenije in Gozdarskim inštitutom Slovenije. Metodologija za pripravo Podnebn</w:t>
      </w:r>
      <w:r w:rsidR="009E2FB3" w:rsidRPr="00900F8E">
        <w:rPr>
          <w:rFonts w:ascii="Arial" w:hAnsi="Arial" w:cs="Arial"/>
        </w:rPr>
        <w:t>ih</w:t>
      </w:r>
      <w:r w:rsidRPr="00900F8E">
        <w:rPr>
          <w:rFonts w:ascii="Arial" w:hAnsi="Arial" w:cs="Arial"/>
        </w:rPr>
        <w:t xml:space="preserve"> ogledal je bila razvita v sklopu projekta LIFE </w:t>
      </w:r>
      <w:r w:rsidR="00014AB5" w:rsidRPr="00900F8E">
        <w:rPr>
          <w:rFonts w:ascii="Arial" w:hAnsi="Arial" w:cs="Arial"/>
        </w:rPr>
        <w:t>Podnebna pot 2050</w:t>
      </w:r>
      <w:r w:rsidR="002C6881" w:rsidRPr="00900F8E">
        <w:rPr>
          <w:rStyle w:val="Sprotnaopomba-sklic"/>
          <w:rFonts w:ascii="Arial" w:hAnsi="Arial" w:cs="Arial"/>
        </w:rPr>
        <w:footnoteReference w:id="2"/>
      </w:r>
      <w:r w:rsidR="00014AB5" w:rsidRPr="00900F8E">
        <w:rPr>
          <w:rFonts w:ascii="Arial" w:hAnsi="Arial" w:cs="Arial"/>
        </w:rPr>
        <w:t>, ki ga sofinancira Ministrstvo za okolje in prostor</w:t>
      </w:r>
      <w:r w:rsidR="00080BC4">
        <w:rPr>
          <w:rFonts w:ascii="Arial" w:hAnsi="Arial" w:cs="Arial"/>
        </w:rPr>
        <w:t xml:space="preserve"> Republike Slovenije</w:t>
      </w:r>
      <w:r w:rsidR="00E82BFD" w:rsidRPr="00900F8E">
        <w:rPr>
          <w:rFonts w:ascii="Arial" w:hAnsi="Arial" w:cs="Arial"/>
        </w:rPr>
        <w:t xml:space="preserve"> (v </w:t>
      </w:r>
      <w:r w:rsidR="00930529">
        <w:rPr>
          <w:rFonts w:ascii="Arial" w:hAnsi="Arial" w:cs="Arial"/>
        </w:rPr>
        <w:t>nadaljnjem besedilu</w:t>
      </w:r>
      <w:r w:rsidR="00E82BFD" w:rsidRPr="00900F8E">
        <w:rPr>
          <w:rFonts w:ascii="Arial" w:hAnsi="Arial" w:cs="Arial"/>
        </w:rPr>
        <w:t>: MOP)</w:t>
      </w:r>
      <w:r w:rsidR="00014AB5" w:rsidRPr="00900F8E">
        <w:rPr>
          <w:rFonts w:ascii="Arial" w:hAnsi="Arial" w:cs="Arial"/>
        </w:rPr>
        <w:t xml:space="preserve">. </w:t>
      </w:r>
    </w:p>
    <w:p w14:paraId="0B3B41BA" w14:textId="655601EA" w:rsidR="008B4E54" w:rsidRPr="00900F8E" w:rsidRDefault="008B4E54" w:rsidP="008B355C">
      <w:pPr>
        <w:spacing w:after="0" w:line="240" w:lineRule="auto"/>
        <w:jc w:val="both"/>
        <w:rPr>
          <w:rFonts w:ascii="Arial" w:hAnsi="Arial" w:cs="Arial"/>
        </w:rPr>
      </w:pPr>
    </w:p>
    <w:p w14:paraId="1D63E2DB" w14:textId="2DACE8D5" w:rsidR="007917BF" w:rsidRPr="00900F8E" w:rsidRDefault="007917BF" w:rsidP="00587F42">
      <w:pPr>
        <w:spacing w:after="0" w:line="240" w:lineRule="auto"/>
        <w:jc w:val="both"/>
        <w:rPr>
          <w:rFonts w:ascii="Arial" w:hAnsi="Arial" w:cs="Arial"/>
          <w:bCs/>
        </w:rPr>
      </w:pPr>
      <w:r w:rsidRPr="00900F8E">
        <w:rPr>
          <w:rFonts w:ascii="Arial" w:hAnsi="Arial" w:cs="Arial"/>
        </w:rPr>
        <w:t>Peto</w:t>
      </w:r>
      <w:r w:rsidR="00435993" w:rsidRPr="00900F8E">
        <w:rPr>
          <w:rFonts w:ascii="Arial" w:hAnsi="Arial" w:cs="Arial"/>
        </w:rPr>
        <w:t xml:space="preserve"> poročilo o izvajanju OP TGP 2020 kaže, da </w:t>
      </w:r>
      <w:r w:rsidR="00DF241C" w:rsidRPr="00900F8E">
        <w:rPr>
          <w:rFonts w:ascii="Arial" w:hAnsi="Arial" w:cs="Arial"/>
        </w:rPr>
        <w:t xml:space="preserve">je </w:t>
      </w:r>
      <w:r w:rsidR="00435993" w:rsidRPr="00900F8E">
        <w:rPr>
          <w:rFonts w:ascii="Arial" w:hAnsi="Arial" w:cs="Arial"/>
        </w:rPr>
        <w:t xml:space="preserve">Slovenija </w:t>
      </w:r>
      <w:r w:rsidR="00566AAB" w:rsidRPr="00900F8E">
        <w:rPr>
          <w:rFonts w:ascii="Arial" w:hAnsi="Arial" w:cs="Arial"/>
        </w:rPr>
        <w:t>v let</w:t>
      </w:r>
      <w:r w:rsidRPr="00900F8E">
        <w:rPr>
          <w:rFonts w:ascii="Arial" w:hAnsi="Arial" w:cs="Arial"/>
        </w:rPr>
        <w:t>u</w:t>
      </w:r>
      <w:r w:rsidR="00FD0193" w:rsidRPr="00900F8E">
        <w:rPr>
          <w:rFonts w:ascii="Arial" w:hAnsi="Arial" w:cs="Arial"/>
        </w:rPr>
        <w:t xml:space="preserve"> 20</w:t>
      </w:r>
      <w:r w:rsidR="00BD477F" w:rsidRPr="00900F8E">
        <w:rPr>
          <w:rFonts w:ascii="Arial" w:hAnsi="Arial" w:cs="Arial"/>
        </w:rPr>
        <w:t>20</w:t>
      </w:r>
      <w:r w:rsidRPr="00900F8E">
        <w:rPr>
          <w:rFonts w:ascii="Arial" w:hAnsi="Arial" w:cs="Arial"/>
        </w:rPr>
        <w:t xml:space="preserve"> </w:t>
      </w:r>
      <w:r w:rsidR="00435993" w:rsidRPr="00900F8E">
        <w:rPr>
          <w:rFonts w:ascii="Arial" w:hAnsi="Arial" w:cs="Arial"/>
        </w:rPr>
        <w:t>svoje obveznosti po Odločbi 406/2009/ES</w:t>
      </w:r>
      <w:r w:rsidR="00281F3A" w:rsidRPr="00900F8E">
        <w:rPr>
          <w:rStyle w:val="Sprotnaopomba-sklic"/>
          <w:rFonts w:ascii="Arial" w:hAnsi="Arial" w:cs="Arial"/>
        </w:rPr>
        <w:footnoteReference w:id="3"/>
      </w:r>
      <w:r w:rsidR="00435993" w:rsidRPr="00900F8E">
        <w:rPr>
          <w:rFonts w:ascii="Arial" w:hAnsi="Arial" w:cs="Arial"/>
        </w:rPr>
        <w:t xml:space="preserve"> izpoln</w:t>
      </w:r>
      <w:r w:rsidR="00DF241C" w:rsidRPr="00900F8E">
        <w:rPr>
          <w:rFonts w:ascii="Arial" w:hAnsi="Arial" w:cs="Arial"/>
        </w:rPr>
        <w:t>ila</w:t>
      </w:r>
      <w:r w:rsidR="00435993" w:rsidRPr="00900F8E">
        <w:rPr>
          <w:rFonts w:ascii="Arial" w:hAnsi="Arial" w:cs="Arial"/>
        </w:rPr>
        <w:t xml:space="preserve">. </w:t>
      </w:r>
      <w:r w:rsidR="001A1A3D" w:rsidRPr="00900F8E">
        <w:rPr>
          <w:rFonts w:ascii="Arial" w:hAnsi="Arial" w:cs="Arial"/>
        </w:rPr>
        <w:t>O</w:t>
      </w:r>
      <w:r w:rsidR="00BA26D2" w:rsidRPr="00900F8E">
        <w:rPr>
          <w:rFonts w:ascii="Arial" w:hAnsi="Arial" w:cs="Arial"/>
        </w:rPr>
        <w:t>menjen</w:t>
      </w:r>
      <w:r w:rsidR="001A1A3D" w:rsidRPr="00900F8E">
        <w:rPr>
          <w:rFonts w:ascii="Arial" w:hAnsi="Arial" w:cs="Arial"/>
        </w:rPr>
        <w:t>a</w:t>
      </w:r>
      <w:r w:rsidR="00BA26D2" w:rsidRPr="00900F8E">
        <w:rPr>
          <w:rFonts w:ascii="Arial" w:hAnsi="Arial" w:cs="Arial"/>
        </w:rPr>
        <w:t xml:space="preserve"> odločb</w:t>
      </w:r>
      <w:r w:rsidR="001A1A3D" w:rsidRPr="00900F8E">
        <w:rPr>
          <w:rFonts w:ascii="Arial" w:hAnsi="Arial" w:cs="Arial"/>
        </w:rPr>
        <w:t>a</w:t>
      </w:r>
      <w:r w:rsidR="00BA26D2" w:rsidRPr="00900F8E">
        <w:rPr>
          <w:rFonts w:ascii="Arial" w:hAnsi="Arial" w:cs="Arial"/>
        </w:rPr>
        <w:t xml:space="preserve"> Slovenijo obvezuje, da emisije toplogrednih plinov </w:t>
      </w:r>
      <w:r w:rsidR="001A1A3D" w:rsidRPr="00900F8E">
        <w:rPr>
          <w:rFonts w:ascii="Arial" w:hAnsi="Arial" w:cs="Arial"/>
        </w:rPr>
        <w:t xml:space="preserve">(v </w:t>
      </w:r>
      <w:r w:rsidR="00930529">
        <w:rPr>
          <w:rFonts w:ascii="Arial" w:hAnsi="Arial" w:cs="Arial"/>
        </w:rPr>
        <w:t>nadaljnjem besedilu</w:t>
      </w:r>
      <w:r w:rsidR="001A1A3D" w:rsidRPr="00900F8E">
        <w:rPr>
          <w:rFonts w:ascii="Arial" w:hAnsi="Arial" w:cs="Arial"/>
        </w:rPr>
        <w:t xml:space="preserve">: TGP) </w:t>
      </w:r>
      <w:r w:rsidR="00BA26D2" w:rsidRPr="00900F8E">
        <w:rPr>
          <w:rFonts w:ascii="Arial" w:hAnsi="Arial" w:cs="Arial"/>
        </w:rPr>
        <w:t xml:space="preserve">v </w:t>
      </w:r>
      <w:r w:rsidR="00920F43" w:rsidRPr="00900F8E">
        <w:rPr>
          <w:rFonts w:ascii="Arial" w:hAnsi="Arial" w:cs="Arial"/>
        </w:rPr>
        <w:t>neETS</w:t>
      </w:r>
      <w:r w:rsidR="00BA26D2" w:rsidRPr="00900F8E">
        <w:rPr>
          <w:rFonts w:ascii="Arial" w:hAnsi="Arial" w:cs="Arial"/>
        </w:rPr>
        <w:t xml:space="preserve"> sektorjih </w:t>
      </w:r>
      <w:r w:rsidR="001A1A3D" w:rsidRPr="00900F8E">
        <w:rPr>
          <w:rFonts w:ascii="Arial" w:hAnsi="Arial" w:cs="Arial"/>
        </w:rPr>
        <w:t>do leta 2020 ne poveča za več kot 4 % glede na leto 2005.</w:t>
      </w:r>
      <w:r w:rsidR="00BA26D2" w:rsidRPr="00900F8E">
        <w:rPr>
          <w:rFonts w:ascii="Arial" w:hAnsi="Arial" w:cs="Arial"/>
        </w:rPr>
        <w:t xml:space="preserve"> </w:t>
      </w:r>
      <w:r w:rsidR="00DF241C" w:rsidRPr="00900F8E">
        <w:rPr>
          <w:rFonts w:ascii="Arial" w:hAnsi="Arial" w:cs="Arial"/>
        </w:rPr>
        <w:t>V obdobju 2005</w:t>
      </w:r>
      <w:r w:rsidR="00137910">
        <w:rPr>
          <w:rFonts w:ascii="Arial" w:hAnsi="Arial" w:cs="Arial"/>
        </w:rPr>
        <w:t>–</w:t>
      </w:r>
      <w:r w:rsidR="00DF241C" w:rsidRPr="00900F8E">
        <w:rPr>
          <w:rFonts w:ascii="Arial" w:hAnsi="Arial" w:cs="Arial"/>
        </w:rPr>
        <w:t>20</w:t>
      </w:r>
      <w:r w:rsidR="00D15E76" w:rsidRPr="00900F8E">
        <w:rPr>
          <w:rFonts w:ascii="Arial" w:hAnsi="Arial" w:cs="Arial"/>
        </w:rPr>
        <w:t>20</w:t>
      </w:r>
      <w:r w:rsidR="00DF241C" w:rsidRPr="00900F8E">
        <w:rPr>
          <w:rFonts w:ascii="Arial" w:hAnsi="Arial" w:cs="Arial"/>
        </w:rPr>
        <w:t xml:space="preserve"> so se </w:t>
      </w:r>
      <w:r w:rsidR="00DF241C" w:rsidRPr="00900F8E">
        <w:rPr>
          <w:rFonts w:ascii="Arial" w:hAnsi="Arial" w:cs="Arial"/>
          <w:bCs/>
        </w:rPr>
        <w:t xml:space="preserve">skupne </w:t>
      </w:r>
      <w:r w:rsidR="00920F43" w:rsidRPr="00900F8E">
        <w:rPr>
          <w:rFonts w:ascii="Arial" w:hAnsi="Arial" w:cs="Arial"/>
          <w:bCs/>
        </w:rPr>
        <w:t>neETS</w:t>
      </w:r>
      <w:r w:rsidR="00DF241C" w:rsidRPr="00900F8E">
        <w:rPr>
          <w:rFonts w:ascii="Arial" w:hAnsi="Arial" w:cs="Arial"/>
          <w:bCs/>
        </w:rPr>
        <w:t xml:space="preserve"> emisije</w:t>
      </w:r>
      <w:r w:rsidR="00FE0289" w:rsidRPr="00900F8E">
        <w:rPr>
          <w:rFonts w:ascii="Arial" w:hAnsi="Arial" w:cs="Arial"/>
          <w:bCs/>
        </w:rPr>
        <w:t xml:space="preserve"> TGP</w:t>
      </w:r>
      <w:r w:rsidR="00DF241C" w:rsidRPr="00900F8E">
        <w:rPr>
          <w:rFonts w:ascii="Arial" w:hAnsi="Arial" w:cs="Arial"/>
          <w:bCs/>
        </w:rPr>
        <w:t xml:space="preserve"> zmanjšale za </w:t>
      </w:r>
      <w:r w:rsidR="00D15E76" w:rsidRPr="00900F8E">
        <w:rPr>
          <w:rFonts w:ascii="Arial" w:hAnsi="Arial" w:cs="Arial"/>
          <w:bCs/>
        </w:rPr>
        <w:t>16,7</w:t>
      </w:r>
      <w:r w:rsidR="006506FE" w:rsidRPr="00900F8E">
        <w:rPr>
          <w:rFonts w:ascii="Arial" w:hAnsi="Arial" w:cs="Arial"/>
          <w:bCs/>
        </w:rPr>
        <w:t xml:space="preserve"> </w:t>
      </w:r>
      <w:r w:rsidR="00DF241C" w:rsidRPr="00900F8E">
        <w:rPr>
          <w:rFonts w:ascii="Arial" w:hAnsi="Arial" w:cs="Arial"/>
          <w:bCs/>
        </w:rPr>
        <w:t>%</w:t>
      </w:r>
      <w:r w:rsidR="00D15E76" w:rsidRPr="00900F8E">
        <w:rPr>
          <w:rFonts w:ascii="Arial" w:hAnsi="Arial" w:cs="Arial"/>
          <w:bCs/>
        </w:rPr>
        <w:t>.</w:t>
      </w:r>
      <w:r w:rsidR="00E33EC6" w:rsidRPr="00900F8E">
        <w:rPr>
          <w:rFonts w:ascii="Arial" w:hAnsi="Arial" w:cs="Arial"/>
          <w:bCs/>
        </w:rPr>
        <w:t xml:space="preserve">  </w:t>
      </w:r>
    </w:p>
    <w:p w14:paraId="0FC5EDDB" w14:textId="67FDEC64" w:rsidR="00482CB5" w:rsidRPr="00900F8E" w:rsidRDefault="00482CB5" w:rsidP="008B355C">
      <w:pPr>
        <w:spacing w:after="0" w:line="240" w:lineRule="auto"/>
        <w:jc w:val="both"/>
        <w:rPr>
          <w:rFonts w:ascii="Arial" w:hAnsi="Arial" w:cs="Arial"/>
          <w:bCs/>
        </w:rPr>
      </w:pPr>
    </w:p>
    <w:p w14:paraId="4720F097" w14:textId="2A997090" w:rsidR="00A9292B" w:rsidRDefault="00903CBB" w:rsidP="00340185">
      <w:pPr>
        <w:spacing w:after="0" w:line="240" w:lineRule="auto"/>
        <w:jc w:val="both"/>
        <w:rPr>
          <w:rFonts w:ascii="Arial" w:hAnsi="Arial" w:cs="Arial"/>
        </w:rPr>
      </w:pPr>
      <w:r w:rsidRPr="00900F8E">
        <w:rPr>
          <w:rFonts w:ascii="Arial" w:hAnsi="Arial" w:cs="Arial"/>
        </w:rPr>
        <w:t>Za obdobje 2021</w:t>
      </w:r>
      <w:r w:rsidR="00137910">
        <w:rPr>
          <w:rFonts w:ascii="Arial" w:hAnsi="Arial" w:cs="Arial"/>
        </w:rPr>
        <w:t>–</w:t>
      </w:r>
      <w:r w:rsidRPr="00900F8E">
        <w:rPr>
          <w:rFonts w:ascii="Arial" w:hAnsi="Arial" w:cs="Arial"/>
        </w:rPr>
        <w:t xml:space="preserve">2030 cilje zmanjšanja emisij </w:t>
      </w:r>
      <w:r w:rsidR="00FE0289" w:rsidRPr="00900F8E">
        <w:rPr>
          <w:rFonts w:ascii="Arial" w:hAnsi="Arial" w:cs="Arial"/>
        </w:rPr>
        <w:t xml:space="preserve">TGP </w:t>
      </w:r>
      <w:r w:rsidRPr="00900F8E">
        <w:rPr>
          <w:rFonts w:ascii="Arial" w:hAnsi="Arial" w:cs="Arial"/>
        </w:rPr>
        <w:t xml:space="preserve">v </w:t>
      </w:r>
      <w:r w:rsidR="00D03F13" w:rsidRPr="00900F8E">
        <w:rPr>
          <w:rFonts w:ascii="Arial" w:hAnsi="Arial" w:cs="Arial"/>
        </w:rPr>
        <w:t xml:space="preserve">neETS </w:t>
      </w:r>
      <w:r w:rsidRPr="00900F8E">
        <w:rPr>
          <w:rFonts w:ascii="Arial" w:hAnsi="Arial" w:cs="Arial"/>
        </w:rPr>
        <w:t>sektorjih določa Uredba o delitvi bremen</w:t>
      </w:r>
      <w:r w:rsidR="00D03F13" w:rsidRPr="00900F8E">
        <w:rPr>
          <w:rStyle w:val="Sprotnaopomba-sklic"/>
          <w:rFonts w:ascii="Arial" w:hAnsi="Arial" w:cs="Arial"/>
        </w:rPr>
        <w:footnoteReference w:id="4"/>
      </w:r>
      <w:r w:rsidRPr="00900F8E">
        <w:rPr>
          <w:rFonts w:ascii="Arial" w:hAnsi="Arial" w:cs="Arial"/>
        </w:rPr>
        <w:t xml:space="preserve">, ki Slovenijo obvezuje, da bo emisije </w:t>
      </w:r>
      <w:r w:rsidR="00EC06D4" w:rsidRPr="00900F8E">
        <w:rPr>
          <w:rFonts w:ascii="Arial" w:hAnsi="Arial" w:cs="Arial"/>
        </w:rPr>
        <w:t xml:space="preserve">TGP </w:t>
      </w:r>
      <w:r w:rsidRPr="00900F8E">
        <w:rPr>
          <w:rFonts w:ascii="Arial" w:hAnsi="Arial" w:cs="Arial"/>
        </w:rPr>
        <w:t>v teh sektorjih zmanjšala za 15 % glede na leto 2005. Slovenija si je v Celovitem nacionaln</w:t>
      </w:r>
      <w:r w:rsidR="00FE0289" w:rsidRPr="00900F8E">
        <w:rPr>
          <w:rFonts w:ascii="Arial" w:hAnsi="Arial" w:cs="Arial"/>
        </w:rPr>
        <w:t>em</w:t>
      </w:r>
      <w:r w:rsidRPr="00900F8E">
        <w:rPr>
          <w:rFonts w:ascii="Arial" w:hAnsi="Arial" w:cs="Arial"/>
        </w:rPr>
        <w:t xml:space="preserve"> energetskem podnebnem načrtu (</w:t>
      </w:r>
      <w:r w:rsidR="00D03F13" w:rsidRPr="00900F8E">
        <w:rPr>
          <w:rFonts w:ascii="Arial" w:hAnsi="Arial" w:cs="Arial"/>
        </w:rPr>
        <w:t xml:space="preserve">v </w:t>
      </w:r>
      <w:r w:rsidR="00930529">
        <w:rPr>
          <w:rFonts w:ascii="Arial" w:hAnsi="Arial" w:cs="Arial"/>
        </w:rPr>
        <w:t>nadaljnjem besedilu</w:t>
      </w:r>
      <w:r w:rsidR="00D03F13" w:rsidRPr="00900F8E">
        <w:rPr>
          <w:rFonts w:ascii="Arial" w:hAnsi="Arial" w:cs="Arial"/>
        </w:rPr>
        <w:t xml:space="preserve">: </w:t>
      </w:r>
      <w:r w:rsidRPr="00900F8E">
        <w:rPr>
          <w:rFonts w:ascii="Arial" w:hAnsi="Arial" w:cs="Arial"/>
        </w:rPr>
        <w:t>NEPN), sprejetem v začetku leta 2020, zastavila še strožji cilj, in sicer 20</w:t>
      </w:r>
      <w:r w:rsidR="00137910">
        <w:rPr>
          <w:rFonts w:ascii="Arial" w:hAnsi="Arial" w:cs="Arial"/>
        </w:rPr>
        <w:t>-</w:t>
      </w:r>
      <w:r w:rsidRPr="00900F8E">
        <w:rPr>
          <w:rFonts w:ascii="Arial" w:hAnsi="Arial" w:cs="Arial"/>
        </w:rPr>
        <w:t>% zmanjšanje emisij</w:t>
      </w:r>
      <w:r w:rsidR="00FE0289" w:rsidRPr="00900F8E">
        <w:rPr>
          <w:rFonts w:ascii="Arial" w:hAnsi="Arial" w:cs="Arial"/>
        </w:rPr>
        <w:t xml:space="preserve"> TGP</w:t>
      </w:r>
      <w:r w:rsidRPr="00900F8E">
        <w:rPr>
          <w:rFonts w:ascii="Arial" w:hAnsi="Arial" w:cs="Arial"/>
        </w:rPr>
        <w:t xml:space="preserve"> v omenjenih sektorjih. </w:t>
      </w:r>
      <w:r w:rsidR="00D03F13" w:rsidRPr="00900F8E">
        <w:rPr>
          <w:rFonts w:ascii="Arial" w:hAnsi="Arial" w:cs="Arial"/>
        </w:rPr>
        <w:t>Dodatno</w:t>
      </w:r>
      <w:r w:rsidRPr="00900F8E">
        <w:rPr>
          <w:rFonts w:ascii="Arial" w:hAnsi="Arial" w:cs="Arial"/>
        </w:rPr>
        <w:t xml:space="preserve"> pa bo, </w:t>
      </w:r>
      <w:r w:rsidR="00EB58A6" w:rsidRPr="00900F8E">
        <w:rPr>
          <w:rFonts w:ascii="Arial" w:hAnsi="Arial" w:cs="Arial"/>
        </w:rPr>
        <w:t>ko bo</w:t>
      </w:r>
      <w:r w:rsidRPr="00900F8E">
        <w:rPr>
          <w:rFonts w:ascii="Arial" w:hAnsi="Arial" w:cs="Arial"/>
        </w:rPr>
        <w:t xml:space="preserve"> sprejet predlog </w:t>
      </w:r>
      <w:r w:rsidR="00D03F13" w:rsidRPr="00900F8E">
        <w:rPr>
          <w:rFonts w:ascii="Arial" w:hAnsi="Arial" w:cs="Arial"/>
        </w:rPr>
        <w:t xml:space="preserve">revizije Uredbe o delitvi bremen </w:t>
      </w:r>
      <w:r w:rsidRPr="00900F8E">
        <w:rPr>
          <w:rFonts w:ascii="Arial" w:hAnsi="Arial" w:cs="Arial"/>
        </w:rPr>
        <w:t>v okviru paketa Pripravljeni na 55</w:t>
      </w:r>
      <w:r w:rsidR="00136A78" w:rsidRPr="00900F8E">
        <w:rPr>
          <w:rFonts w:ascii="Arial" w:hAnsi="Arial" w:cs="Arial"/>
        </w:rPr>
        <w:t xml:space="preserve"> (v </w:t>
      </w:r>
      <w:r w:rsidR="00930529">
        <w:rPr>
          <w:rFonts w:ascii="Arial" w:hAnsi="Arial" w:cs="Arial"/>
        </w:rPr>
        <w:t>nadaljnjem besedilu</w:t>
      </w:r>
      <w:r w:rsidR="00136A78" w:rsidRPr="00900F8E">
        <w:rPr>
          <w:rFonts w:ascii="Arial" w:hAnsi="Arial" w:cs="Arial"/>
        </w:rPr>
        <w:t>: FF55</w:t>
      </w:r>
      <w:r w:rsidR="007D0FE7">
        <w:rPr>
          <w:rStyle w:val="Sprotnaopomba-sklic"/>
          <w:rFonts w:ascii="Arial" w:hAnsi="Arial" w:cs="Arial"/>
        </w:rPr>
        <w:footnoteReference w:id="5"/>
      </w:r>
      <w:r w:rsidR="00136A78" w:rsidRPr="00900F8E">
        <w:rPr>
          <w:rFonts w:ascii="Arial" w:hAnsi="Arial" w:cs="Arial"/>
        </w:rPr>
        <w:t>)</w:t>
      </w:r>
      <w:r w:rsidRPr="00900F8E">
        <w:rPr>
          <w:rFonts w:ascii="Arial" w:hAnsi="Arial" w:cs="Arial"/>
        </w:rPr>
        <w:t xml:space="preserve">, treba </w:t>
      </w:r>
      <w:r w:rsidR="00137910">
        <w:rPr>
          <w:rFonts w:ascii="Arial" w:hAnsi="Arial" w:cs="Arial"/>
        </w:rPr>
        <w:t>slediti</w:t>
      </w:r>
      <w:r w:rsidR="00137910" w:rsidRPr="00900F8E">
        <w:rPr>
          <w:rFonts w:ascii="Arial" w:hAnsi="Arial" w:cs="Arial"/>
        </w:rPr>
        <w:t xml:space="preserve"> </w:t>
      </w:r>
      <w:r w:rsidR="00DA040A" w:rsidRPr="00900F8E">
        <w:rPr>
          <w:rFonts w:ascii="Arial" w:hAnsi="Arial" w:cs="Arial"/>
        </w:rPr>
        <w:t>cilj</w:t>
      </w:r>
      <w:r w:rsidR="00137910">
        <w:rPr>
          <w:rFonts w:ascii="Arial" w:hAnsi="Arial" w:cs="Arial"/>
        </w:rPr>
        <w:t>u</w:t>
      </w:r>
      <w:r w:rsidR="00FE0289" w:rsidRPr="00900F8E">
        <w:rPr>
          <w:rFonts w:ascii="Arial" w:hAnsi="Arial" w:cs="Arial"/>
        </w:rPr>
        <w:t xml:space="preserve"> zmanjšanja emisij TGP za</w:t>
      </w:r>
      <w:r w:rsidR="00DA040A" w:rsidRPr="00900F8E">
        <w:rPr>
          <w:rFonts w:ascii="Arial" w:hAnsi="Arial" w:cs="Arial"/>
        </w:rPr>
        <w:t xml:space="preserve"> 27 %</w:t>
      </w:r>
      <w:r w:rsidRPr="00900F8E">
        <w:rPr>
          <w:rFonts w:ascii="Arial" w:hAnsi="Arial" w:cs="Arial"/>
        </w:rPr>
        <w:t xml:space="preserve">. </w:t>
      </w:r>
    </w:p>
    <w:p w14:paraId="727E7F80" w14:textId="77777777" w:rsidR="00A9292B" w:rsidRDefault="00A9292B" w:rsidP="00340185">
      <w:pPr>
        <w:spacing w:after="0" w:line="240" w:lineRule="auto"/>
        <w:jc w:val="both"/>
        <w:rPr>
          <w:rFonts w:ascii="Arial" w:hAnsi="Arial" w:cs="Arial"/>
        </w:rPr>
      </w:pPr>
    </w:p>
    <w:p w14:paraId="5BD88D7B" w14:textId="5B800C18" w:rsidR="00E511E3" w:rsidRPr="00900F8E" w:rsidRDefault="00DA040A" w:rsidP="00340185">
      <w:pPr>
        <w:spacing w:after="0" w:line="240" w:lineRule="auto"/>
        <w:jc w:val="both"/>
        <w:rPr>
          <w:rFonts w:ascii="Arial" w:hAnsi="Arial" w:cs="Arial"/>
          <w:b/>
          <w:bCs/>
        </w:rPr>
      </w:pPr>
      <w:r w:rsidRPr="00900F8E">
        <w:rPr>
          <w:rFonts w:ascii="Arial" w:hAnsi="Arial" w:cs="Arial"/>
          <w:b/>
          <w:bCs/>
        </w:rPr>
        <w:t>Trenutno doseganje cilja ne pomeni dolgoročnega obvladovanja emisij</w:t>
      </w:r>
      <w:r w:rsidR="009A23F3" w:rsidRPr="00900F8E">
        <w:rPr>
          <w:rFonts w:ascii="Arial" w:hAnsi="Arial" w:cs="Arial"/>
          <w:b/>
          <w:bCs/>
        </w:rPr>
        <w:t xml:space="preserve"> (</w:t>
      </w:r>
      <w:r w:rsidR="00684BF8">
        <w:rPr>
          <w:rFonts w:ascii="Arial" w:hAnsi="Arial" w:cs="Arial"/>
          <w:b/>
          <w:bCs/>
        </w:rPr>
        <w:t>preglednica</w:t>
      </w:r>
      <w:r w:rsidR="009A23F3" w:rsidRPr="00900F8E">
        <w:rPr>
          <w:rFonts w:ascii="Arial" w:hAnsi="Arial" w:cs="Arial"/>
          <w:b/>
          <w:bCs/>
        </w:rPr>
        <w:t xml:space="preserve"> 1)</w:t>
      </w:r>
      <w:r w:rsidR="00E511E3" w:rsidRPr="00900F8E">
        <w:rPr>
          <w:rFonts w:ascii="Arial" w:hAnsi="Arial" w:cs="Arial"/>
          <w:b/>
          <w:bCs/>
        </w:rPr>
        <w:t xml:space="preserve">, </w:t>
      </w:r>
      <w:r w:rsidR="00952EE0" w:rsidRPr="00900F8E">
        <w:rPr>
          <w:rFonts w:ascii="Arial" w:hAnsi="Arial" w:cs="Arial"/>
          <w:b/>
          <w:bCs/>
        </w:rPr>
        <w:t xml:space="preserve">zato je </w:t>
      </w:r>
      <w:r w:rsidR="00E511E3" w:rsidRPr="00900F8E">
        <w:rPr>
          <w:rFonts w:ascii="Arial" w:hAnsi="Arial" w:cs="Arial"/>
          <w:b/>
          <w:bCs/>
        </w:rPr>
        <w:t xml:space="preserve">treba </w:t>
      </w:r>
      <w:r w:rsidR="00263D6A" w:rsidRPr="00900F8E">
        <w:rPr>
          <w:rFonts w:ascii="Arial" w:hAnsi="Arial" w:cs="Arial"/>
          <w:b/>
          <w:bCs/>
        </w:rPr>
        <w:t>prizadevanja za zmanjšanje emisij TGP na nacionalni ravni okrepiti in obravnavati prednostno</w:t>
      </w:r>
      <w:r w:rsidR="00952EE0" w:rsidRPr="00900F8E">
        <w:rPr>
          <w:rFonts w:ascii="Arial" w:hAnsi="Arial" w:cs="Arial"/>
          <w:b/>
          <w:bCs/>
        </w:rPr>
        <w:t xml:space="preserve">. </w:t>
      </w:r>
      <w:r w:rsidR="00EB58A6" w:rsidRPr="00900F8E">
        <w:rPr>
          <w:rFonts w:ascii="Arial" w:hAnsi="Arial" w:cs="Arial"/>
          <w:b/>
          <w:bCs/>
        </w:rPr>
        <w:t xml:space="preserve">Naloge </w:t>
      </w:r>
      <w:r w:rsidR="00A67B6D">
        <w:rPr>
          <w:rFonts w:ascii="Arial" w:hAnsi="Arial" w:cs="Arial"/>
          <w:b/>
          <w:bCs/>
        </w:rPr>
        <w:t xml:space="preserve">za dosego cilja </w:t>
      </w:r>
      <w:r w:rsidR="00EB58A6" w:rsidRPr="00900F8E">
        <w:rPr>
          <w:rFonts w:ascii="Arial" w:hAnsi="Arial" w:cs="Arial"/>
          <w:b/>
          <w:bCs/>
        </w:rPr>
        <w:t>so obsežne in zahtevne, kar zahteva ustrezne in okrepljene kadrovske vire v vseh sektorjih in njihovo učinkovito koordinacijo.</w:t>
      </w:r>
      <w:r w:rsidR="00CD5F28">
        <w:rPr>
          <w:rFonts w:ascii="Arial" w:hAnsi="Arial" w:cs="Arial"/>
          <w:b/>
          <w:bCs/>
        </w:rPr>
        <w:t xml:space="preserve"> </w:t>
      </w:r>
      <w:r w:rsidR="00335BB7">
        <w:rPr>
          <w:rFonts w:ascii="Arial" w:hAnsi="Arial" w:cs="Arial"/>
          <w:b/>
          <w:bCs/>
        </w:rPr>
        <w:t xml:space="preserve">Zagotoviti je treba pospešeno izvajanje že načrtovanih ukrepov za zmanjšanje emisij TGP, rabe energije in povečevanje izrabe OVE, </w:t>
      </w:r>
      <w:r w:rsidR="00CD5F28">
        <w:rPr>
          <w:rFonts w:ascii="Arial" w:hAnsi="Arial" w:cs="Arial"/>
          <w:b/>
          <w:bCs/>
        </w:rPr>
        <w:t xml:space="preserve">nadgraditi spremljanje izvajanja podnebno-energetskih ukrepov </w:t>
      </w:r>
      <w:r w:rsidR="00335BB7">
        <w:rPr>
          <w:rFonts w:ascii="Arial" w:hAnsi="Arial" w:cs="Arial"/>
          <w:b/>
          <w:bCs/>
        </w:rPr>
        <w:t>ter preprečiti</w:t>
      </w:r>
      <w:r w:rsidR="00DB1716">
        <w:rPr>
          <w:rFonts w:ascii="Arial" w:hAnsi="Arial" w:cs="Arial"/>
          <w:b/>
          <w:bCs/>
        </w:rPr>
        <w:t xml:space="preserve">, da se finančne spodbude </w:t>
      </w:r>
      <w:r w:rsidR="00DB1716" w:rsidRPr="00335BB7">
        <w:rPr>
          <w:rFonts w:ascii="Arial" w:hAnsi="Arial" w:cs="Arial"/>
          <w:b/>
          <w:bCs/>
        </w:rPr>
        <w:t xml:space="preserve">za izvajanje podnebnih naložb </w:t>
      </w:r>
      <w:r w:rsidR="00DB1716">
        <w:rPr>
          <w:rFonts w:ascii="Arial" w:hAnsi="Arial" w:cs="Arial"/>
          <w:b/>
          <w:bCs/>
        </w:rPr>
        <w:t xml:space="preserve">izvajajo </w:t>
      </w:r>
      <w:r w:rsidR="00D87CF4">
        <w:rPr>
          <w:rFonts w:ascii="Arial" w:hAnsi="Arial" w:cs="Arial"/>
          <w:b/>
          <w:bCs/>
        </w:rPr>
        <w:t xml:space="preserve">necelovito, </w:t>
      </w:r>
      <w:r w:rsidR="00DB1716">
        <w:rPr>
          <w:rFonts w:ascii="Arial" w:hAnsi="Arial" w:cs="Arial"/>
          <w:b/>
          <w:bCs/>
        </w:rPr>
        <w:t>neučinkovito, nestalno, neenakomerno, koncentrirano le v posameznih obdobjih.</w:t>
      </w:r>
    </w:p>
    <w:p w14:paraId="28490A9F" w14:textId="3B51AC9E" w:rsidR="00986556" w:rsidRPr="00900F8E" w:rsidRDefault="00986556" w:rsidP="00340185">
      <w:pPr>
        <w:spacing w:after="0" w:line="240" w:lineRule="auto"/>
        <w:jc w:val="both"/>
        <w:rPr>
          <w:rFonts w:ascii="Arial" w:hAnsi="Arial" w:cs="Arial"/>
          <w:b/>
          <w:bCs/>
        </w:rPr>
      </w:pPr>
    </w:p>
    <w:p w14:paraId="47580E07" w14:textId="053EFB81" w:rsidR="00F8522C" w:rsidRPr="00900F8E" w:rsidRDefault="00F8522C" w:rsidP="00340185">
      <w:pPr>
        <w:spacing w:after="0" w:line="240" w:lineRule="auto"/>
        <w:jc w:val="both"/>
        <w:rPr>
          <w:rFonts w:ascii="Arial" w:hAnsi="Arial" w:cs="Arial"/>
          <w:b/>
          <w:bCs/>
        </w:rPr>
      </w:pPr>
    </w:p>
    <w:p w14:paraId="3AA71455" w14:textId="36C3D9AB" w:rsidR="005F7C0A" w:rsidRPr="00900F8E" w:rsidRDefault="005F7C0A" w:rsidP="00340185">
      <w:pPr>
        <w:spacing w:after="0" w:line="240" w:lineRule="auto"/>
        <w:jc w:val="both"/>
        <w:rPr>
          <w:rFonts w:ascii="Arial" w:hAnsi="Arial" w:cs="Arial"/>
          <w:b/>
          <w:bCs/>
        </w:rPr>
      </w:pPr>
    </w:p>
    <w:p w14:paraId="12825854" w14:textId="7E3643C9" w:rsidR="005F7C0A" w:rsidRDefault="005F7C0A" w:rsidP="00340185">
      <w:pPr>
        <w:spacing w:after="0" w:line="240" w:lineRule="auto"/>
        <w:jc w:val="both"/>
        <w:rPr>
          <w:rFonts w:ascii="Arial" w:hAnsi="Arial" w:cs="Arial"/>
          <w:b/>
          <w:bCs/>
        </w:rPr>
      </w:pPr>
    </w:p>
    <w:p w14:paraId="02D36A89" w14:textId="77777777" w:rsidR="00900F8E" w:rsidRPr="00900F8E" w:rsidRDefault="00900F8E" w:rsidP="00340185">
      <w:pPr>
        <w:spacing w:after="0" w:line="240" w:lineRule="auto"/>
        <w:jc w:val="both"/>
        <w:rPr>
          <w:rFonts w:ascii="Arial" w:hAnsi="Arial" w:cs="Arial"/>
          <w:b/>
          <w:bCs/>
        </w:rPr>
      </w:pPr>
    </w:p>
    <w:p w14:paraId="215B1FCA" w14:textId="357E54D9" w:rsidR="000D0CC3" w:rsidRPr="000D0CC3" w:rsidRDefault="00684BF8" w:rsidP="000D0CC3">
      <w:pPr>
        <w:pStyle w:val="Napis"/>
        <w:keepNext/>
        <w:rPr>
          <w:rFonts w:ascii="Arial" w:hAnsi="Arial" w:cs="Arial"/>
          <w:b/>
          <w:bCs/>
          <w:i w:val="0"/>
          <w:iCs w:val="0"/>
          <w:color w:val="auto"/>
          <w:sz w:val="22"/>
          <w:szCs w:val="22"/>
        </w:rPr>
      </w:pPr>
      <w:bookmarkStart w:id="2" w:name="_Toc112842029"/>
      <w:r>
        <w:rPr>
          <w:rFonts w:ascii="Arial" w:hAnsi="Arial" w:cs="Arial"/>
          <w:b/>
          <w:bCs/>
          <w:i w:val="0"/>
          <w:iCs w:val="0"/>
          <w:color w:val="auto"/>
          <w:sz w:val="22"/>
          <w:szCs w:val="22"/>
        </w:rPr>
        <w:lastRenderedPageBreak/>
        <w:t>Preglednica</w:t>
      </w:r>
      <w:r w:rsidR="000D0CC3" w:rsidRPr="000D0CC3">
        <w:rPr>
          <w:rFonts w:ascii="Arial" w:hAnsi="Arial" w:cs="Arial"/>
          <w:b/>
          <w:bCs/>
          <w:i w:val="0"/>
          <w:iCs w:val="0"/>
          <w:color w:val="auto"/>
          <w:sz w:val="22"/>
          <w:szCs w:val="22"/>
        </w:rPr>
        <w:t xml:space="preserve"> </w:t>
      </w:r>
      <w:r w:rsidR="000D0CC3" w:rsidRPr="000D0CC3">
        <w:rPr>
          <w:rFonts w:ascii="Arial" w:hAnsi="Arial" w:cs="Arial"/>
          <w:b/>
          <w:bCs/>
          <w:i w:val="0"/>
          <w:iCs w:val="0"/>
          <w:color w:val="auto"/>
          <w:sz w:val="22"/>
          <w:szCs w:val="22"/>
        </w:rPr>
        <w:fldChar w:fldCharType="begin"/>
      </w:r>
      <w:r w:rsidR="000D0CC3" w:rsidRPr="000D0CC3">
        <w:rPr>
          <w:rFonts w:ascii="Arial" w:hAnsi="Arial" w:cs="Arial"/>
          <w:b/>
          <w:bCs/>
          <w:i w:val="0"/>
          <w:iCs w:val="0"/>
          <w:color w:val="auto"/>
          <w:sz w:val="22"/>
          <w:szCs w:val="22"/>
        </w:rPr>
        <w:instrText xml:space="preserve"> SEQ Tabela \* ARABIC </w:instrText>
      </w:r>
      <w:r w:rsidR="000D0CC3" w:rsidRPr="000D0CC3">
        <w:rPr>
          <w:rFonts w:ascii="Arial" w:hAnsi="Arial" w:cs="Arial"/>
          <w:b/>
          <w:bCs/>
          <w:i w:val="0"/>
          <w:iCs w:val="0"/>
          <w:color w:val="auto"/>
          <w:sz w:val="22"/>
          <w:szCs w:val="22"/>
        </w:rPr>
        <w:fldChar w:fldCharType="separate"/>
      </w:r>
      <w:r w:rsidR="009B48AB">
        <w:rPr>
          <w:rFonts w:ascii="Arial" w:hAnsi="Arial" w:cs="Arial"/>
          <w:b/>
          <w:bCs/>
          <w:i w:val="0"/>
          <w:iCs w:val="0"/>
          <w:noProof/>
          <w:color w:val="auto"/>
          <w:sz w:val="22"/>
          <w:szCs w:val="22"/>
        </w:rPr>
        <w:t>1</w:t>
      </w:r>
      <w:r w:rsidR="000D0CC3" w:rsidRPr="000D0CC3">
        <w:rPr>
          <w:rFonts w:ascii="Arial" w:hAnsi="Arial" w:cs="Arial"/>
          <w:b/>
          <w:bCs/>
          <w:i w:val="0"/>
          <w:iCs w:val="0"/>
          <w:color w:val="auto"/>
          <w:sz w:val="22"/>
          <w:szCs w:val="22"/>
        </w:rPr>
        <w:fldChar w:fldCharType="end"/>
      </w:r>
      <w:r w:rsidR="000D0CC3" w:rsidRPr="000D0CC3">
        <w:rPr>
          <w:rFonts w:ascii="Arial" w:hAnsi="Arial" w:cs="Arial"/>
          <w:b/>
          <w:bCs/>
          <w:i w:val="0"/>
          <w:iCs w:val="0"/>
          <w:color w:val="auto"/>
          <w:sz w:val="22"/>
          <w:szCs w:val="22"/>
        </w:rPr>
        <w:t xml:space="preserve">: Zastavljeni </w:t>
      </w:r>
      <w:r w:rsidR="001D6649">
        <w:rPr>
          <w:rFonts w:ascii="Arial" w:hAnsi="Arial" w:cs="Arial"/>
          <w:b/>
          <w:bCs/>
          <w:i w:val="0"/>
          <w:iCs w:val="0"/>
          <w:color w:val="auto"/>
          <w:sz w:val="22"/>
          <w:szCs w:val="22"/>
        </w:rPr>
        <w:t xml:space="preserve">cilji </w:t>
      </w:r>
      <w:r w:rsidR="000D0CC3" w:rsidRPr="000D0CC3">
        <w:rPr>
          <w:rFonts w:ascii="Arial" w:hAnsi="Arial" w:cs="Arial"/>
          <w:b/>
          <w:bCs/>
          <w:i w:val="0"/>
          <w:iCs w:val="0"/>
          <w:color w:val="auto"/>
          <w:sz w:val="22"/>
          <w:szCs w:val="22"/>
        </w:rPr>
        <w:t xml:space="preserve">neETS </w:t>
      </w:r>
      <w:bookmarkEnd w:id="2"/>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1455"/>
        <w:gridCol w:w="1417"/>
        <w:gridCol w:w="2410"/>
        <w:gridCol w:w="2551"/>
      </w:tblGrid>
      <w:tr w:rsidR="00986556" w:rsidRPr="00900F8E" w14:paraId="00C6A962" w14:textId="23FC4C48" w:rsidTr="00BF117A">
        <w:tc>
          <w:tcPr>
            <w:tcW w:w="1239" w:type="dxa"/>
            <w:tcBorders>
              <w:top w:val="nil"/>
              <w:left w:val="nil"/>
              <w:bottom w:val="single" w:sz="4" w:space="0" w:color="auto"/>
              <w:right w:val="single" w:sz="4" w:space="0" w:color="auto"/>
            </w:tcBorders>
            <w:shd w:val="clear" w:color="auto" w:fill="auto"/>
          </w:tcPr>
          <w:p w14:paraId="655D7B7C" w14:textId="77777777" w:rsidR="00986556" w:rsidRPr="00900F8E" w:rsidRDefault="00986556" w:rsidP="00B563BB">
            <w:pPr>
              <w:spacing w:after="0" w:line="260" w:lineRule="atLeast"/>
              <w:jc w:val="both"/>
              <w:rPr>
                <w:rFonts w:ascii="Arial" w:eastAsia="Times New Roman" w:hAnsi="Arial" w:cs="Arial"/>
                <w:b/>
                <w:bCs/>
                <w:sz w:val="18"/>
                <w:szCs w:val="18"/>
              </w:rPr>
            </w:pPr>
          </w:p>
        </w:tc>
        <w:tc>
          <w:tcPr>
            <w:tcW w:w="1455" w:type="dxa"/>
            <w:tcBorders>
              <w:left w:val="single" w:sz="4" w:space="0" w:color="auto"/>
            </w:tcBorders>
            <w:shd w:val="clear" w:color="auto" w:fill="E2EFD9" w:themeFill="accent6" w:themeFillTint="33"/>
          </w:tcPr>
          <w:p w14:paraId="20C0D0E1" w14:textId="40949633" w:rsidR="008505F2" w:rsidRPr="00900F8E" w:rsidRDefault="00986556" w:rsidP="00B563BB">
            <w:pP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 xml:space="preserve">Indikativni </w:t>
            </w:r>
            <w:r w:rsidR="001D6649">
              <w:rPr>
                <w:rFonts w:ascii="Arial" w:eastAsia="Times New Roman" w:hAnsi="Arial" w:cs="Arial"/>
                <w:b/>
                <w:bCs/>
                <w:sz w:val="18"/>
                <w:szCs w:val="18"/>
              </w:rPr>
              <w:t xml:space="preserve">cilji </w:t>
            </w:r>
            <w:r w:rsidRPr="00900F8E">
              <w:rPr>
                <w:rFonts w:ascii="Arial" w:eastAsia="Times New Roman" w:hAnsi="Arial" w:cs="Arial"/>
                <w:b/>
                <w:bCs/>
                <w:sz w:val="18"/>
                <w:szCs w:val="18"/>
              </w:rPr>
              <w:t xml:space="preserve">OP TGP </w:t>
            </w:r>
          </w:p>
          <w:p w14:paraId="351167DD" w14:textId="4FBD0049" w:rsidR="00986556" w:rsidRPr="00900F8E" w:rsidRDefault="00986556" w:rsidP="00B563BB">
            <w:pP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v 2020 (2005)</w:t>
            </w:r>
          </w:p>
        </w:tc>
        <w:tc>
          <w:tcPr>
            <w:tcW w:w="1417" w:type="dxa"/>
            <w:shd w:val="clear" w:color="auto" w:fill="E2EFD9" w:themeFill="accent6" w:themeFillTint="33"/>
          </w:tcPr>
          <w:p w14:paraId="77CA4CB8" w14:textId="77777777" w:rsidR="00986556" w:rsidRPr="00900F8E" w:rsidRDefault="00986556" w:rsidP="00B563BB">
            <w:pP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 xml:space="preserve">Dosežena sprememba </w:t>
            </w:r>
          </w:p>
          <w:p w14:paraId="26EE2678" w14:textId="1F530998" w:rsidR="00986556" w:rsidRPr="00900F8E" w:rsidRDefault="00986556" w:rsidP="00B563BB">
            <w:pP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2005</w:t>
            </w:r>
            <w:r w:rsidR="00DD3BAA">
              <w:rPr>
                <w:rFonts w:ascii="Arial" w:eastAsia="Times New Roman" w:hAnsi="Arial" w:cs="Arial"/>
                <w:b/>
                <w:bCs/>
                <w:sz w:val="18"/>
                <w:szCs w:val="18"/>
              </w:rPr>
              <w:t>–</w:t>
            </w:r>
            <w:r w:rsidRPr="00900F8E">
              <w:rPr>
                <w:rFonts w:ascii="Arial" w:eastAsia="Times New Roman" w:hAnsi="Arial" w:cs="Arial"/>
                <w:b/>
                <w:bCs/>
                <w:sz w:val="18"/>
                <w:szCs w:val="18"/>
              </w:rPr>
              <w:t>2020</w:t>
            </w:r>
          </w:p>
        </w:tc>
        <w:tc>
          <w:tcPr>
            <w:tcW w:w="2410" w:type="dxa"/>
            <w:shd w:val="clear" w:color="auto" w:fill="E2EFD9" w:themeFill="accent6" w:themeFillTint="33"/>
          </w:tcPr>
          <w:p w14:paraId="12DF1E9F" w14:textId="77777777" w:rsidR="001F1F33" w:rsidRPr="00900F8E" w:rsidRDefault="00986556" w:rsidP="00B563BB">
            <w:pPr>
              <w:pBdr>
                <w:left w:val="single" w:sz="4" w:space="4" w:color="auto"/>
              </w:pBd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 xml:space="preserve">Indikativni </w:t>
            </w:r>
          </w:p>
          <w:p w14:paraId="2A13AC12" w14:textId="59FAAA72" w:rsidR="008505F2" w:rsidRPr="00900F8E" w:rsidRDefault="001D6649" w:rsidP="001F1F33">
            <w:pPr>
              <w:pBdr>
                <w:left w:val="single" w:sz="4" w:space="4" w:color="auto"/>
              </w:pBdr>
              <w:spacing w:after="0" w:line="260" w:lineRule="atLeast"/>
              <w:jc w:val="center"/>
              <w:rPr>
                <w:rFonts w:ascii="Arial" w:eastAsia="Times New Roman" w:hAnsi="Arial" w:cs="Arial"/>
                <w:b/>
                <w:bCs/>
                <w:sz w:val="18"/>
                <w:szCs w:val="18"/>
              </w:rPr>
            </w:pPr>
            <w:r>
              <w:rPr>
                <w:rFonts w:ascii="Arial" w:eastAsia="Times New Roman" w:hAnsi="Arial" w:cs="Arial"/>
                <w:b/>
                <w:bCs/>
                <w:sz w:val="18"/>
                <w:szCs w:val="18"/>
              </w:rPr>
              <w:t xml:space="preserve">cilji </w:t>
            </w:r>
            <w:r w:rsidR="00986556" w:rsidRPr="00900F8E">
              <w:rPr>
                <w:rFonts w:ascii="Arial" w:eastAsia="Times New Roman" w:hAnsi="Arial" w:cs="Arial"/>
                <w:b/>
                <w:bCs/>
                <w:sz w:val="18"/>
                <w:szCs w:val="18"/>
              </w:rPr>
              <w:t xml:space="preserve">NEPN </w:t>
            </w:r>
          </w:p>
          <w:p w14:paraId="70414673" w14:textId="4F091266" w:rsidR="00986556" w:rsidRPr="00900F8E" w:rsidRDefault="00986556" w:rsidP="001F1F33">
            <w:pPr>
              <w:pBdr>
                <w:left w:val="single" w:sz="4" w:space="4" w:color="auto"/>
              </w:pBd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v 2030 (2005)</w:t>
            </w:r>
          </w:p>
        </w:tc>
        <w:tc>
          <w:tcPr>
            <w:tcW w:w="2551" w:type="dxa"/>
            <w:shd w:val="clear" w:color="auto" w:fill="E2EFD9" w:themeFill="accent6" w:themeFillTint="33"/>
          </w:tcPr>
          <w:p w14:paraId="232B5799" w14:textId="0069B049" w:rsidR="008505F2" w:rsidRPr="00900F8E" w:rsidRDefault="00A02675" w:rsidP="00B563BB">
            <w:pPr>
              <w:pBdr>
                <w:left w:val="single" w:sz="4" w:space="4" w:color="auto"/>
              </w:pBd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 xml:space="preserve">Strateški </w:t>
            </w:r>
            <w:r w:rsidR="001D6649">
              <w:rPr>
                <w:rFonts w:ascii="Arial" w:eastAsia="Times New Roman" w:hAnsi="Arial" w:cs="Arial"/>
                <w:b/>
                <w:bCs/>
                <w:sz w:val="18"/>
                <w:szCs w:val="18"/>
              </w:rPr>
              <w:t xml:space="preserve">cilji </w:t>
            </w:r>
            <w:r w:rsidRPr="00900F8E">
              <w:rPr>
                <w:rFonts w:ascii="Arial" w:eastAsia="Times New Roman" w:hAnsi="Arial" w:cs="Arial"/>
                <w:b/>
                <w:bCs/>
                <w:sz w:val="18"/>
                <w:szCs w:val="18"/>
              </w:rPr>
              <w:t>Re</w:t>
            </w:r>
            <w:r w:rsidR="007049B6" w:rsidRPr="00900F8E">
              <w:rPr>
                <w:rFonts w:ascii="Arial" w:eastAsia="Times New Roman" w:hAnsi="Arial" w:cs="Arial"/>
                <w:b/>
                <w:bCs/>
                <w:sz w:val="18"/>
                <w:szCs w:val="18"/>
              </w:rPr>
              <w:t>DPS</w:t>
            </w:r>
            <w:r w:rsidRPr="00900F8E">
              <w:rPr>
                <w:rFonts w:ascii="Arial" w:eastAsia="Times New Roman" w:hAnsi="Arial" w:cs="Arial"/>
                <w:b/>
                <w:bCs/>
                <w:sz w:val="18"/>
                <w:szCs w:val="18"/>
              </w:rPr>
              <w:t>50</w:t>
            </w:r>
            <w:r w:rsidRPr="00900F8E">
              <w:rPr>
                <w:rStyle w:val="Sprotnaopomba-sklic"/>
                <w:rFonts w:ascii="Arial" w:eastAsia="Times New Roman" w:hAnsi="Arial" w:cs="Arial"/>
                <w:b/>
                <w:bCs/>
                <w:sz w:val="18"/>
                <w:szCs w:val="18"/>
              </w:rPr>
              <w:footnoteReference w:id="6"/>
            </w:r>
            <w:r w:rsidRPr="00900F8E">
              <w:rPr>
                <w:rFonts w:ascii="Arial" w:eastAsia="Times New Roman" w:hAnsi="Arial" w:cs="Arial"/>
                <w:b/>
                <w:bCs/>
                <w:sz w:val="18"/>
                <w:szCs w:val="18"/>
              </w:rPr>
              <w:t xml:space="preserve"> </w:t>
            </w:r>
          </w:p>
          <w:p w14:paraId="2107349C" w14:textId="201A11D8" w:rsidR="00986556" w:rsidRPr="00900F8E" w:rsidRDefault="00A02675" w:rsidP="00B563BB">
            <w:pPr>
              <w:pBdr>
                <w:left w:val="single" w:sz="4" w:space="4" w:color="auto"/>
              </w:pBdr>
              <w:spacing w:after="0" w:line="260" w:lineRule="atLeast"/>
              <w:jc w:val="center"/>
              <w:rPr>
                <w:rFonts w:ascii="Arial" w:eastAsia="Times New Roman" w:hAnsi="Arial" w:cs="Arial"/>
                <w:b/>
                <w:bCs/>
                <w:sz w:val="18"/>
                <w:szCs w:val="18"/>
              </w:rPr>
            </w:pPr>
            <w:r w:rsidRPr="00900F8E">
              <w:rPr>
                <w:rFonts w:ascii="Arial" w:eastAsia="Times New Roman" w:hAnsi="Arial" w:cs="Arial"/>
                <w:b/>
                <w:bCs/>
                <w:sz w:val="18"/>
                <w:szCs w:val="18"/>
              </w:rPr>
              <w:t xml:space="preserve">v 2050 (2005) </w:t>
            </w:r>
          </w:p>
        </w:tc>
      </w:tr>
      <w:tr w:rsidR="00986556" w:rsidRPr="00900F8E" w14:paraId="552D56AD" w14:textId="2C79FEF8" w:rsidTr="00BF117A">
        <w:tc>
          <w:tcPr>
            <w:tcW w:w="1239" w:type="dxa"/>
            <w:tcBorders>
              <w:top w:val="single" w:sz="4" w:space="0" w:color="auto"/>
            </w:tcBorders>
            <w:shd w:val="clear" w:color="auto" w:fill="E2EFD9" w:themeFill="accent6" w:themeFillTint="33"/>
          </w:tcPr>
          <w:p w14:paraId="605CD317" w14:textId="77777777" w:rsidR="00986556" w:rsidRPr="00900F8E" w:rsidRDefault="00986556" w:rsidP="00B563BB">
            <w:pPr>
              <w:spacing w:before="60" w:after="20" w:line="260" w:lineRule="atLeast"/>
              <w:jc w:val="both"/>
              <w:rPr>
                <w:rFonts w:ascii="Arial" w:eastAsia="Times New Roman" w:hAnsi="Arial" w:cs="Arial"/>
                <w:b/>
                <w:bCs/>
                <w:sz w:val="18"/>
                <w:szCs w:val="18"/>
              </w:rPr>
            </w:pPr>
            <w:r w:rsidRPr="00900F8E">
              <w:rPr>
                <w:rFonts w:ascii="Arial" w:eastAsia="Times New Roman" w:hAnsi="Arial" w:cs="Arial"/>
                <w:b/>
                <w:bCs/>
                <w:sz w:val="18"/>
                <w:szCs w:val="18"/>
              </w:rPr>
              <w:t>Promet</w:t>
            </w:r>
          </w:p>
        </w:tc>
        <w:tc>
          <w:tcPr>
            <w:tcW w:w="1455" w:type="dxa"/>
            <w:shd w:val="clear" w:color="auto" w:fill="auto"/>
          </w:tcPr>
          <w:p w14:paraId="7BBF41F7" w14:textId="719C7DF7" w:rsidR="00986556" w:rsidRPr="00900F8E" w:rsidRDefault="00986556" w:rsidP="00B237EE">
            <w:pPr>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+27 %</w:t>
            </w:r>
          </w:p>
        </w:tc>
        <w:tc>
          <w:tcPr>
            <w:tcW w:w="1417" w:type="dxa"/>
            <w:shd w:val="clear" w:color="auto" w:fill="auto"/>
          </w:tcPr>
          <w:p w14:paraId="73529E02" w14:textId="1B995556" w:rsidR="00986556" w:rsidRPr="00900F8E" w:rsidRDefault="00986556" w:rsidP="00B237EE">
            <w:pPr>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+4,0 %</w:t>
            </w:r>
          </w:p>
        </w:tc>
        <w:tc>
          <w:tcPr>
            <w:tcW w:w="2410" w:type="dxa"/>
            <w:shd w:val="clear" w:color="auto" w:fill="auto"/>
          </w:tcPr>
          <w:p w14:paraId="6EAF7551" w14:textId="646B759E" w:rsidR="00986556" w:rsidRPr="00900F8E" w:rsidRDefault="00986556" w:rsidP="00B237EE">
            <w:pPr>
              <w:autoSpaceDE w:val="0"/>
              <w:autoSpaceDN w:val="0"/>
              <w:adjustRightInd w:val="0"/>
              <w:spacing w:before="20" w:after="20" w:line="240" w:lineRule="auto"/>
              <w:jc w:val="center"/>
              <w:rPr>
                <w:rFonts w:ascii="Arial" w:eastAsia="Calibri" w:hAnsi="Arial" w:cs="Arial"/>
                <w:color w:val="000000"/>
                <w:sz w:val="20"/>
                <w:szCs w:val="20"/>
              </w:rPr>
            </w:pPr>
            <w:r w:rsidRPr="00900F8E">
              <w:rPr>
                <w:rFonts w:ascii="Arial" w:eastAsia="Calibri" w:hAnsi="Arial" w:cs="Arial"/>
                <w:color w:val="000000"/>
                <w:sz w:val="20"/>
                <w:szCs w:val="20"/>
              </w:rPr>
              <w:t>+12 %</w:t>
            </w:r>
          </w:p>
        </w:tc>
        <w:tc>
          <w:tcPr>
            <w:tcW w:w="2551" w:type="dxa"/>
          </w:tcPr>
          <w:p w14:paraId="5F372FB5" w14:textId="321D8C85" w:rsidR="00986556" w:rsidRPr="00900F8E" w:rsidRDefault="00B237EE" w:rsidP="00C77124">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7049B6" w:rsidRPr="00900F8E">
              <w:rPr>
                <w:rFonts w:ascii="Arial" w:eastAsia="Calibri" w:hAnsi="Arial" w:cs="Arial"/>
                <w:color w:val="000000"/>
                <w:sz w:val="20"/>
                <w:szCs w:val="20"/>
              </w:rPr>
              <w:t>90</w:t>
            </w:r>
            <w:r w:rsidR="00C77124">
              <w:rPr>
                <w:rFonts w:ascii="Arial" w:eastAsia="Calibri" w:hAnsi="Arial" w:cs="Arial"/>
                <w:color w:val="000000"/>
                <w:sz w:val="20"/>
                <w:szCs w:val="20"/>
              </w:rPr>
              <w:t>–</w:t>
            </w:r>
            <w:r w:rsidR="007049B6" w:rsidRPr="00900F8E">
              <w:rPr>
                <w:rFonts w:ascii="Arial" w:eastAsia="Calibri" w:hAnsi="Arial" w:cs="Arial"/>
                <w:color w:val="000000"/>
                <w:sz w:val="20"/>
                <w:szCs w:val="20"/>
              </w:rPr>
              <w:t>99 %</w:t>
            </w:r>
          </w:p>
        </w:tc>
      </w:tr>
      <w:tr w:rsidR="00986556" w:rsidRPr="00900F8E" w14:paraId="31F48B56" w14:textId="632E14C2" w:rsidTr="00BF117A">
        <w:tc>
          <w:tcPr>
            <w:tcW w:w="1239" w:type="dxa"/>
            <w:shd w:val="clear" w:color="auto" w:fill="E2EFD9" w:themeFill="accent6" w:themeFillTint="33"/>
          </w:tcPr>
          <w:p w14:paraId="47631ADE" w14:textId="77777777" w:rsidR="00986556" w:rsidRPr="00900F8E" w:rsidRDefault="00986556" w:rsidP="00B563BB">
            <w:pPr>
              <w:spacing w:before="60" w:after="20" w:line="260" w:lineRule="atLeast"/>
              <w:jc w:val="both"/>
              <w:rPr>
                <w:rFonts w:ascii="Arial" w:eastAsia="Times New Roman" w:hAnsi="Arial" w:cs="Arial"/>
                <w:b/>
                <w:bCs/>
                <w:sz w:val="18"/>
                <w:szCs w:val="18"/>
              </w:rPr>
            </w:pPr>
            <w:r w:rsidRPr="00900F8E">
              <w:rPr>
                <w:rFonts w:ascii="Arial" w:eastAsia="Times New Roman" w:hAnsi="Arial" w:cs="Arial"/>
                <w:b/>
                <w:bCs/>
                <w:sz w:val="18"/>
                <w:szCs w:val="18"/>
              </w:rPr>
              <w:t>Kmetijstvo</w:t>
            </w:r>
          </w:p>
        </w:tc>
        <w:tc>
          <w:tcPr>
            <w:tcW w:w="1455" w:type="dxa"/>
            <w:shd w:val="clear" w:color="auto" w:fill="auto"/>
          </w:tcPr>
          <w:p w14:paraId="6DC39AB2" w14:textId="32A48596" w:rsidR="00986556" w:rsidRPr="00900F8E" w:rsidRDefault="00986556" w:rsidP="00B237EE">
            <w:pPr>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+5 %</w:t>
            </w:r>
          </w:p>
        </w:tc>
        <w:tc>
          <w:tcPr>
            <w:tcW w:w="1417" w:type="dxa"/>
            <w:shd w:val="clear" w:color="auto" w:fill="auto"/>
          </w:tcPr>
          <w:p w14:paraId="04128F0F" w14:textId="6CA598F7" w:rsidR="00986556" w:rsidRPr="00900F8E" w:rsidRDefault="00986556" w:rsidP="00B237EE">
            <w:pPr>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 xml:space="preserve"> +0,4 %</w:t>
            </w:r>
          </w:p>
        </w:tc>
        <w:tc>
          <w:tcPr>
            <w:tcW w:w="2410" w:type="dxa"/>
            <w:shd w:val="clear" w:color="auto" w:fill="auto"/>
          </w:tcPr>
          <w:p w14:paraId="17BBAB28" w14:textId="5EFBDDBA" w:rsidR="00986556" w:rsidRPr="00900F8E" w:rsidRDefault="00B237EE" w:rsidP="00B237EE">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986556" w:rsidRPr="00900F8E">
              <w:rPr>
                <w:rFonts w:ascii="Arial" w:eastAsia="Calibri" w:hAnsi="Arial" w:cs="Arial"/>
                <w:color w:val="000000"/>
                <w:sz w:val="20"/>
                <w:szCs w:val="20"/>
              </w:rPr>
              <w:t>1 %</w:t>
            </w:r>
          </w:p>
        </w:tc>
        <w:tc>
          <w:tcPr>
            <w:tcW w:w="2551" w:type="dxa"/>
          </w:tcPr>
          <w:p w14:paraId="79DF46CA" w14:textId="6ED11619" w:rsidR="00986556" w:rsidRPr="00900F8E" w:rsidRDefault="00B237EE" w:rsidP="00C77124">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1145FF" w:rsidRPr="00900F8E">
              <w:rPr>
                <w:rFonts w:ascii="Arial" w:eastAsia="Calibri" w:hAnsi="Arial" w:cs="Arial"/>
                <w:color w:val="000000"/>
                <w:sz w:val="20"/>
                <w:szCs w:val="20"/>
              </w:rPr>
              <w:t>5</w:t>
            </w:r>
            <w:r w:rsidR="00C77124">
              <w:rPr>
                <w:rFonts w:ascii="Arial" w:eastAsia="Calibri" w:hAnsi="Arial" w:cs="Arial"/>
                <w:color w:val="000000"/>
                <w:sz w:val="20"/>
                <w:szCs w:val="20"/>
              </w:rPr>
              <w:t>–</w:t>
            </w:r>
            <w:r w:rsidR="001145FF" w:rsidRPr="00900F8E">
              <w:rPr>
                <w:rFonts w:ascii="Arial" w:eastAsia="Calibri" w:hAnsi="Arial" w:cs="Arial"/>
                <w:color w:val="000000"/>
                <w:sz w:val="20"/>
                <w:szCs w:val="20"/>
              </w:rPr>
              <w:t>22 %</w:t>
            </w:r>
          </w:p>
        </w:tc>
      </w:tr>
      <w:tr w:rsidR="00986556" w:rsidRPr="00900F8E" w14:paraId="3F67C3F0" w14:textId="05ABBE4E" w:rsidTr="00BF117A">
        <w:tc>
          <w:tcPr>
            <w:tcW w:w="1239" w:type="dxa"/>
            <w:shd w:val="clear" w:color="auto" w:fill="E2EFD9" w:themeFill="accent6" w:themeFillTint="33"/>
          </w:tcPr>
          <w:p w14:paraId="0D9230FF" w14:textId="77777777" w:rsidR="00986556" w:rsidRPr="00900F8E" w:rsidRDefault="00986556" w:rsidP="00B563BB">
            <w:pPr>
              <w:spacing w:before="60" w:after="20" w:line="260" w:lineRule="atLeast"/>
              <w:jc w:val="both"/>
              <w:rPr>
                <w:rFonts w:ascii="Arial" w:eastAsia="Times New Roman" w:hAnsi="Arial" w:cs="Arial"/>
                <w:b/>
                <w:bCs/>
                <w:sz w:val="18"/>
                <w:szCs w:val="18"/>
              </w:rPr>
            </w:pPr>
            <w:r w:rsidRPr="00900F8E">
              <w:rPr>
                <w:rFonts w:ascii="Arial" w:eastAsia="Times New Roman" w:hAnsi="Arial" w:cs="Arial"/>
                <w:b/>
                <w:bCs/>
                <w:sz w:val="18"/>
                <w:szCs w:val="18"/>
              </w:rPr>
              <w:t>Široka raba</w:t>
            </w:r>
          </w:p>
        </w:tc>
        <w:tc>
          <w:tcPr>
            <w:tcW w:w="1455" w:type="dxa"/>
            <w:shd w:val="clear" w:color="auto" w:fill="auto"/>
          </w:tcPr>
          <w:p w14:paraId="6FF7028B" w14:textId="31C21B60" w:rsidR="00986556" w:rsidRPr="00900F8E" w:rsidRDefault="00B237EE" w:rsidP="00B237EE">
            <w:pPr>
              <w:spacing w:before="20" w:after="20" w:line="260" w:lineRule="atLeast"/>
              <w:jc w:val="center"/>
              <w:rPr>
                <w:rFonts w:ascii="Arial" w:eastAsia="Times New Roman" w:hAnsi="Arial" w:cs="Arial"/>
                <w:sz w:val="20"/>
                <w:szCs w:val="20"/>
              </w:rPr>
            </w:pPr>
            <w:r>
              <w:rPr>
                <w:rFonts w:ascii="Arial" w:eastAsia="Times New Roman" w:hAnsi="Arial" w:cs="Arial"/>
                <w:sz w:val="20"/>
                <w:szCs w:val="20"/>
              </w:rPr>
              <w:t>–</w:t>
            </w:r>
            <w:r w:rsidR="00986556" w:rsidRPr="00900F8E">
              <w:rPr>
                <w:rFonts w:ascii="Arial" w:eastAsia="Times New Roman" w:hAnsi="Arial" w:cs="Arial"/>
                <w:sz w:val="20"/>
                <w:szCs w:val="20"/>
              </w:rPr>
              <w:t>53 %</w:t>
            </w:r>
          </w:p>
        </w:tc>
        <w:tc>
          <w:tcPr>
            <w:tcW w:w="1417" w:type="dxa"/>
            <w:shd w:val="clear" w:color="auto" w:fill="auto"/>
          </w:tcPr>
          <w:p w14:paraId="72297200" w14:textId="040BD47E" w:rsidR="00986556" w:rsidRPr="00900F8E" w:rsidRDefault="00B237EE" w:rsidP="00B563BB">
            <w:pPr>
              <w:spacing w:before="20" w:after="20" w:line="260" w:lineRule="atLeast"/>
              <w:jc w:val="center"/>
              <w:rPr>
                <w:rFonts w:ascii="Arial" w:eastAsia="Times New Roman" w:hAnsi="Arial" w:cs="Arial"/>
                <w:sz w:val="20"/>
                <w:szCs w:val="20"/>
              </w:rPr>
            </w:pPr>
            <w:r>
              <w:rPr>
                <w:rFonts w:ascii="Arial" w:eastAsia="Times New Roman" w:hAnsi="Arial" w:cs="Arial"/>
                <w:sz w:val="20"/>
                <w:szCs w:val="20"/>
              </w:rPr>
              <w:t>–</w:t>
            </w:r>
            <w:r w:rsidR="00986556" w:rsidRPr="00900F8E">
              <w:rPr>
                <w:rFonts w:ascii="Arial" w:eastAsia="Times New Roman" w:hAnsi="Arial" w:cs="Arial"/>
                <w:sz w:val="20"/>
                <w:szCs w:val="20"/>
              </w:rPr>
              <w:t>50,3 %</w:t>
            </w:r>
          </w:p>
        </w:tc>
        <w:tc>
          <w:tcPr>
            <w:tcW w:w="2410" w:type="dxa"/>
            <w:shd w:val="clear" w:color="auto" w:fill="auto"/>
          </w:tcPr>
          <w:p w14:paraId="1AD8BF4F" w14:textId="394A4BA2" w:rsidR="00986556" w:rsidRPr="00900F8E" w:rsidRDefault="00B237EE" w:rsidP="00B563BB">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986556" w:rsidRPr="00900F8E">
              <w:rPr>
                <w:rFonts w:ascii="Arial" w:eastAsia="Calibri" w:hAnsi="Arial" w:cs="Arial"/>
                <w:color w:val="000000"/>
                <w:sz w:val="20"/>
                <w:szCs w:val="20"/>
              </w:rPr>
              <w:t>76 %</w:t>
            </w:r>
          </w:p>
        </w:tc>
        <w:tc>
          <w:tcPr>
            <w:tcW w:w="2551" w:type="dxa"/>
          </w:tcPr>
          <w:p w14:paraId="28B060D2" w14:textId="4080045B" w:rsidR="00986556" w:rsidRPr="00900F8E" w:rsidRDefault="00B237EE" w:rsidP="00C77124">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ED248B" w:rsidRPr="00900F8E">
              <w:rPr>
                <w:rFonts w:ascii="Arial" w:eastAsia="Calibri" w:hAnsi="Arial" w:cs="Arial"/>
                <w:color w:val="000000"/>
                <w:sz w:val="20"/>
                <w:szCs w:val="20"/>
              </w:rPr>
              <w:t>87</w:t>
            </w:r>
            <w:r w:rsidR="00C77124">
              <w:rPr>
                <w:rFonts w:ascii="Arial" w:eastAsia="Calibri" w:hAnsi="Arial" w:cs="Arial"/>
                <w:color w:val="000000"/>
                <w:sz w:val="20"/>
                <w:szCs w:val="20"/>
              </w:rPr>
              <w:t>–</w:t>
            </w:r>
            <w:r w:rsidR="00ED248B" w:rsidRPr="00900F8E">
              <w:rPr>
                <w:rFonts w:ascii="Arial" w:eastAsia="Calibri" w:hAnsi="Arial" w:cs="Arial"/>
                <w:color w:val="000000"/>
                <w:sz w:val="20"/>
                <w:szCs w:val="20"/>
              </w:rPr>
              <w:t>96 %</w:t>
            </w:r>
          </w:p>
        </w:tc>
      </w:tr>
      <w:tr w:rsidR="00986556" w:rsidRPr="00900F8E" w14:paraId="4BEDA825" w14:textId="117F31C2" w:rsidTr="00BF117A">
        <w:tc>
          <w:tcPr>
            <w:tcW w:w="1239" w:type="dxa"/>
            <w:shd w:val="clear" w:color="auto" w:fill="E2EFD9" w:themeFill="accent6" w:themeFillTint="33"/>
          </w:tcPr>
          <w:p w14:paraId="0AD4AC73" w14:textId="51E2D39F" w:rsidR="00986556" w:rsidRPr="00900F8E" w:rsidRDefault="00F61353" w:rsidP="00B563BB">
            <w:pPr>
              <w:spacing w:before="60" w:after="20" w:line="260" w:lineRule="atLeast"/>
              <w:jc w:val="both"/>
              <w:rPr>
                <w:rFonts w:ascii="Arial" w:eastAsia="Times New Roman" w:hAnsi="Arial" w:cs="Arial"/>
                <w:b/>
                <w:bCs/>
                <w:sz w:val="18"/>
                <w:szCs w:val="18"/>
              </w:rPr>
            </w:pPr>
            <w:r>
              <w:rPr>
                <w:rFonts w:ascii="Arial" w:eastAsia="Times New Roman" w:hAnsi="Arial" w:cs="Arial"/>
                <w:b/>
                <w:bCs/>
                <w:sz w:val="18"/>
                <w:szCs w:val="18"/>
              </w:rPr>
              <w:t>I</w:t>
            </w:r>
            <w:r w:rsidR="00986556" w:rsidRPr="00900F8E">
              <w:rPr>
                <w:rFonts w:ascii="Arial" w:eastAsia="Times New Roman" w:hAnsi="Arial" w:cs="Arial"/>
                <w:b/>
                <w:bCs/>
                <w:sz w:val="18"/>
                <w:szCs w:val="18"/>
              </w:rPr>
              <w:t>ndustrija</w:t>
            </w:r>
            <w:r>
              <w:rPr>
                <w:rFonts w:ascii="Arial" w:eastAsia="Times New Roman" w:hAnsi="Arial" w:cs="Arial"/>
                <w:b/>
                <w:bCs/>
                <w:sz w:val="18"/>
                <w:szCs w:val="18"/>
              </w:rPr>
              <w:t xml:space="preserve"> neETS</w:t>
            </w:r>
            <w:r w:rsidR="00986556" w:rsidRPr="00900F8E">
              <w:rPr>
                <w:rFonts w:ascii="Arial" w:eastAsia="Times New Roman" w:hAnsi="Arial" w:cs="Arial"/>
                <w:b/>
                <w:bCs/>
                <w:sz w:val="18"/>
                <w:szCs w:val="18"/>
              </w:rPr>
              <w:t xml:space="preserve"> </w:t>
            </w:r>
          </w:p>
        </w:tc>
        <w:tc>
          <w:tcPr>
            <w:tcW w:w="1455" w:type="dxa"/>
            <w:shd w:val="clear" w:color="auto" w:fill="auto"/>
          </w:tcPr>
          <w:p w14:paraId="414D0CEB" w14:textId="07C9E0EB" w:rsidR="00986556" w:rsidRPr="00900F8E" w:rsidRDefault="00B237EE" w:rsidP="00B237EE">
            <w:pPr>
              <w:spacing w:before="20" w:after="20" w:line="260" w:lineRule="atLeast"/>
              <w:jc w:val="center"/>
              <w:rPr>
                <w:rFonts w:ascii="Arial" w:eastAsia="Times New Roman" w:hAnsi="Arial" w:cs="Arial"/>
                <w:sz w:val="20"/>
                <w:szCs w:val="20"/>
              </w:rPr>
            </w:pPr>
            <w:r>
              <w:rPr>
                <w:rFonts w:ascii="Arial" w:eastAsia="Times New Roman" w:hAnsi="Arial" w:cs="Arial"/>
                <w:sz w:val="20"/>
                <w:szCs w:val="20"/>
              </w:rPr>
              <w:t>–</w:t>
            </w:r>
            <w:r w:rsidR="00986556" w:rsidRPr="00900F8E">
              <w:rPr>
                <w:rFonts w:ascii="Arial" w:eastAsia="Times New Roman" w:hAnsi="Arial" w:cs="Arial"/>
                <w:sz w:val="20"/>
                <w:szCs w:val="20"/>
              </w:rPr>
              <w:t>42 %</w:t>
            </w:r>
          </w:p>
        </w:tc>
        <w:tc>
          <w:tcPr>
            <w:tcW w:w="1417" w:type="dxa"/>
            <w:shd w:val="clear" w:color="auto" w:fill="auto"/>
          </w:tcPr>
          <w:p w14:paraId="43F577B3" w14:textId="5F018636" w:rsidR="00986556" w:rsidRPr="00900F8E" w:rsidRDefault="00B237EE" w:rsidP="00B237EE">
            <w:pPr>
              <w:spacing w:before="20" w:after="20" w:line="260" w:lineRule="atLeast"/>
              <w:jc w:val="center"/>
              <w:rPr>
                <w:rFonts w:ascii="Arial" w:eastAsia="Times New Roman" w:hAnsi="Arial" w:cs="Arial"/>
                <w:sz w:val="20"/>
                <w:szCs w:val="20"/>
                <w:vertAlign w:val="subscript"/>
              </w:rPr>
            </w:pPr>
            <w:r>
              <w:rPr>
                <w:rFonts w:ascii="Arial" w:eastAsia="Times New Roman" w:hAnsi="Arial" w:cs="Arial"/>
                <w:sz w:val="20"/>
                <w:szCs w:val="20"/>
              </w:rPr>
              <w:t>–</w:t>
            </w:r>
            <w:r w:rsidR="00986556" w:rsidRPr="00900F8E">
              <w:rPr>
                <w:rFonts w:ascii="Arial" w:eastAsia="Times New Roman" w:hAnsi="Arial" w:cs="Arial"/>
                <w:sz w:val="20"/>
                <w:szCs w:val="20"/>
              </w:rPr>
              <w:t>22,2 %</w:t>
            </w:r>
          </w:p>
        </w:tc>
        <w:tc>
          <w:tcPr>
            <w:tcW w:w="2410" w:type="dxa"/>
            <w:shd w:val="clear" w:color="auto" w:fill="auto"/>
          </w:tcPr>
          <w:p w14:paraId="40886A0B" w14:textId="41C80458" w:rsidR="00986556" w:rsidRPr="00900F8E" w:rsidRDefault="00B237EE" w:rsidP="00B237EE">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986556" w:rsidRPr="00900F8E">
              <w:rPr>
                <w:rFonts w:ascii="Arial" w:eastAsia="Calibri" w:hAnsi="Arial" w:cs="Arial"/>
                <w:color w:val="000000"/>
                <w:sz w:val="20"/>
                <w:szCs w:val="20"/>
              </w:rPr>
              <w:t>43 %</w:t>
            </w:r>
          </w:p>
        </w:tc>
        <w:tc>
          <w:tcPr>
            <w:tcW w:w="2551" w:type="dxa"/>
          </w:tcPr>
          <w:p w14:paraId="722010B4" w14:textId="77777777" w:rsidR="00986556" w:rsidRPr="00900F8E" w:rsidRDefault="00ED248B" w:rsidP="00ED248B">
            <w:pPr>
              <w:autoSpaceDE w:val="0"/>
              <w:autoSpaceDN w:val="0"/>
              <w:adjustRightInd w:val="0"/>
              <w:spacing w:before="20" w:after="20" w:line="240" w:lineRule="auto"/>
              <w:jc w:val="center"/>
              <w:rPr>
                <w:rFonts w:ascii="Arial" w:eastAsia="Calibri" w:hAnsi="Arial" w:cs="Arial"/>
                <w:color w:val="000000"/>
                <w:sz w:val="18"/>
                <w:szCs w:val="18"/>
              </w:rPr>
            </w:pPr>
            <w:r w:rsidRPr="00900F8E">
              <w:rPr>
                <w:rFonts w:ascii="Arial" w:eastAsia="Calibri" w:hAnsi="Arial" w:cs="Arial"/>
                <w:color w:val="000000"/>
                <w:sz w:val="18"/>
                <w:szCs w:val="18"/>
              </w:rPr>
              <w:t xml:space="preserve">določen je cilj za skupne emisije </w:t>
            </w:r>
            <w:r w:rsidR="00236180" w:rsidRPr="00900F8E">
              <w:rPr>
                <w:rFonts w:ascii="Arial" w:eastAsia="Calibri" w:hAnsi="Arial" w:cs="Arial"/>
                <w:color w:val="000000"/>
                <w:sz w:val="18"/>
                <w:szCs w:val="18"/>
              </w:rPr>
              <w:t xml:space="preserve">TGP v </w:t>
            </w:r>
            <w:r w:rsidRPr="00900F8E">
              <w:rPr>
                <w:rFonts w:ascii="Arial" w:eastAsia="Calibri" w:hAnsi="Arial" w:cs="Arial"/>
                <w:color w:val="000000"/>
                <w:sz w:val="18"/>
                <w:szCs w:val="18"/>
              </w:rPr>
              <w:t>industrij</w:t>
            </w:r>
            <w:r w:rsidR="00236180" w:rsidRPr="00900F8E">
              <w:rPr>
                <w:rFonts w:ascii="Arial" w:eastAsia="Calibri" w:hAnsi="Arial" w:cs="Arial"/>
                <w:color w:val="000000"/>
                <w:sz w:val="18"/>
                <w:szCs w:val="18"/>
              </w:rPr>
              <w:t>i</w:t>
            </w:r>
          </w:p>
          <w:p w14:paraId="57A48E4E" w14:textId="200CE7D2" w:rsidR="00870F43" w:rsidRPr="00900F8E" w:rsidRDefault="00870F43" w:rsidP="000A7404">
            <w:pPr>
              <w:autoSpaceDE w:val="0"/>
              <w:autoSpaceDN w:val="0"/>
              <w:adjustRightInd w:val="0"/>
              <w:spacing w:before="20" w:after="20" w:line="240" w:lineRule="auto"/>
              <w:jc w:val="center"/>
              <w:rPr>
                <w:rFonts w:ascii="Arial" w:eastAsia="Calibri" w:hAnsi="Arial" w:cs="Arial"/>
                <w:color w:val="000000"/>
                <w:sz w:val="18"/>
                <w:szCs w:val="18"/>
              </w:rPr>
            </w:pPr>
            <w:r w:rsidRPr="00900F8E">
              <w:rPr>
                <w:rFonts w:ascii="Arial" w:eastAsia="Calibri" w:hAnsi="Arial" w:cs="Arial"/>
                <w:color w:val="000000"/>
                <w:sz w:val="18"/>
                <w:szCs w:val="18"/>
              </w:rPr>
              <w:t>(</w:t>
            </w:r>
            <w:r w:rsidR="00B237EE">
              <w:rPr>
                <w:rFonts w:ascii="Arial" w:eastAsia="Calibri" w:hAnsi="Arial" w:cs="Arial"/>
                <w:color w:val="000000"/>
                <w:sz w:val="20"/>
                <w:szCs w:val="20"/>
              </w:rPr>
              <w:t>–</w:t>
            </w:r>
            <w:r w:rsidRPr="00900F8E">
              <w:rPr>
                <w:rFonts w:ascii="Arial" w:eastAsia="Calibri" w:hAnsi="Arial" w:cs="Arial"/>
                <w:color w:val="000000"/>
                <w:sz w:val="20"/>
                <w:szCs w:val="20"/>
              </w:rPr>
              <w:t>80</w:t>
            </w:r>
            <w:r w:rsidR="001A37FA">
              <w:rPr>
                <w:rFonts w:ascii="Arial" w:eastAsia="Calibri" w:hAnsi="Arial" w:cs="Arial"/>
                <w:color w:val="000000"/>
                <w:sz w:val="20"/>
                <w:szCs w:val="20"/>
              </w:rPr>
              <w:t>–</w:t>
            </w:r>
            <w:r w:rsidRPr="00900F8E">
              <w:rPr>
                <w:rFonts w:ascii="Arial" w:eastAsia="Calibri" w:hAnsi="Arial" w:cs="Arial"/>
                <w:color w:val="000000"/>
                <w:sz w:val="20"/>
                <w:szCs w:val="20"/>
              </w:rPr>
              <w:t>87 %</w:t>
            </w:r>
            <w:r w:rsidRPr="00900F8E">
              <w:rPr>
                <w:rFonts w:ascii="Arial" w:eastAsia="Calibri" w:hAnsi="Arial" w:cs="Arial"/>
                <w:color w:val="000000"/>
                <w:sz w:val="18"/>
                <w:szCs w:val="18"/>
              </w:rPr>
              <w:t>)</w:t>
            </w:r>
          </w:p>
        </w:tc>
      </w:tr>
      <w:tr w:rsidR="00986556" w:rsidRPr="00900F8E" w14:paraId="6F516323" w14:textId="5EF43454" w:rsidTr="00BF117A">
        <w:tc>
          <w:tcPr>
            <w:tcW w:w="1239" w:type="dxa"/>
            <w:shd w:val="clear" w:color="auto" w:fill="E2EFD9" w:themeFill="accent6" w:themeFillTint="33"/>
          </w:tcPr>
          <w:p w14:paraId="77585E11" w14:textId="3934DAEE" w:rsidR="00986556" w:rsidRPr="00900F8E" w:rsidRDefault="00F61353" w:rsidP="00B563BB">
            <w:pPr>
              <w:spacing w:before="60" w:after="20" w:line="260" w:lineRule="atLeast"/>
              <w:jc w:val="both"/>
              <w:rPr>
                <w:rFonts w:ascii="Arial" w:eastAsia="Times New Roman" w:hAnsi="Arial" w:cs="Arial"/>
                <w:b/>
                <w:bCs/>
                <w:sz w:val="18"/>
                <w:szCs w:val="18"/>
              </w:rPr>
            </w:pPr>
            <w:r>
              <w:rPr>
                <w:rFonts w:ascii="Arial" w:eastAsia="Times New Roman" w:hAnsi="Arial" w:cs="Arial"/>
                <w:b/>
                <w:bCs/>
                <w:sz w:val="18"/>
                <w:szCs w:val="18"/>
              </w:rPr>
              <w:t>E</w:t>
            </w:r>
            <w:r w:rsidR="00986556" w:rsidRPr="00900F8E">
              <w:rPr>
                <w:rFonts w:ascii="Arial" w:eastAsia="Times New Roman" w:hAnsi="Arial" w:cs="Arial"/>
                <w:b/>
                <w:bCs/>
                <w:sz w:val="18"/>
                <w:szCs w:val="18"/>
              </w:rPr>
              <w:t>nergetika</w:t>
            </w:r>
            <w:r>
              <w:rPr>
                <w:rFonts w:ascii="Arial" w:eastAsia="Times New Roman" w:hAnsi="Arial" w:cs="Arial"/>
                <w:b/>
                <w:bCs/>
                <w:sz w:val="18"/>
                <w:szCs w:val="18"/>
              </w:rPr>
              <w:t xml:space="preserve"> neETS</w:t>
            </w:r>
            <w:r w:rsidR="00986556" w:rsidRPr="00900F8E">
              <w:rPr>
                <w:rFonts w:ascii="Arial" w:eastAsia="Times New Roman" w:hAnsi="Arial" w:cs="Arial"/>
                <w:b/>
                <w:bCs/>
                <w:sz w:val="18"/>
                <w:szCs w:val="18"/>
              </w:rPr>
              <w:t xml:space="preserve"> </w:t>
            </w:r>
          </w:p>
        </w:tc>
        <w:tc>
          <w:tcPr>
            <w:tcW w:w="1455" w:type="dxa"/>
            <w:shd w:val="clear" w:color="auto" w:fill="auto"/>
          </w:tcPr>
          <w:p w14:paraId="51D28AAD" w14:textId="2A261711" w:rsidR="00986556" w:rsidRPr="00900F8E" w:rsidRDefault="00986556" w:rsidP="00B237EE">
            <w:pPr>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+6 %</w:t>
            </w:r>
          </w:p>
        </w:tc>
        <w:tc>
          <w:tcPr>
            <w:tcW w:w="1417" w:type="dxa"/>
            <w:shd w:val="clear" w:color="auto" w:fill="auto"/>
          </w:tcPr>
          <w:p w14:paraId="151EE4B8" w14:textId="15E0C854" w:rsidR="00986556" w:rsidRPr="00900F8E" w:rsidRDefault="00B237EE" w:rsidP="00B237EE">
            <w:pPr>
              <w:spacing w:before="20" w:after="20" w:line="260" w:lineRule="atLeast"/>
              <w:jc w:val="center"/>
              <w:rPr>
                <w:rFonts w:ascii="Arial" w:eastAsia="Times New Roman" w:hAnsi="Arial" w:cs="Arial"/>
                <w:sz w:val="20"/>
                <w:szCs w:val="20"/>
              </w:rPr>
            </w:pPr>
            <w:r>
              <w:rPr>
                <w:rFonts w:ascii="Arial" w:eastAsia="Times New Roman" w:hAnsi="Arial" w:cs="Arial"/>
                <w:sz w:val="20"/>
                <w:szCs w:val="20"/>
              </w:rPr>
              <w:t>–</w:t>
            </w:r>
            <w:r w:rsidR="00986556" w:rsidRPr="00900F8E">
              <w:rPr>
                <w:rFonts w:ascii="Arial" w:eastAsia="Times New Roman" w:hAnsi="Arial" w:cs="Arial"/>
                <w:sz w:val="20"/>
                <w:szCs w:val="20"/>
              </w:rPr>
              <w:t>14,7 %</w:t>
            </w:r>
          </w:p>
        </w:tc>
        <w:tc>
          <w:tcPr>
            <w:tcW w:w="2410" w:type="dxa"/>
            <w:shd w:val="clear" w:color="auto" w:fill="auto"/>
          </w:tcPr>
          <w:p w14:paraId="3FD4AC4B" w14:textId="11991E31" w:rsidR="00986556" w:rsidRPr="00900F8E" w:rsidRDefault="00FE6CA0" w:rsidP="00B237EE">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986556" w:rsidRPr="00900F8E">
              <w:rPr>
                <w:rFonts w:ascii="Arial" w:eastAsia="Calibri" w:hAnsi="Arial" w:cs="Arial"/>
                <w:color w:val="000000"/>
                <w:sz w:val="20"/>
                <w:szCs w:val="20"/>
              </w:rPr>
              <w:t>34 %</w:t>
            </w:r>
          </w:p>
        </w:tc>
        <w:tc>
          <w:tcPr>
            <w:tcW w:w="2551" w:type="dxa"/>
          </w:tcPr>
          <w:p w14:paraId="76051BB9" w14:textId="77777777" w:rsidR="00986556" w:rsidRPr="00900F8E" w:rsidRDefault="00ED248B" w:rsidP="00B563BB">
            <w:pPr>
              <w:autoSpaceDE w:val="0"/>
              <w:autoSpaceDN w:val="0"/>
              <w:adjustRightInd w:val="0"/>
              <w:spacing w:before="20" w:after="20" w:line="240" w:lineRule="auto"/>
              <w:jc w:val="center"/>
              <w:rPr>
                <w:rFonts w:ascii="Arial" w:eastAsia="Calibri" w:hAnsi="Arial" w:cs="Arial"/>
                <w:color w:val="000000"/>
                <w:sz w:val="18"/>
                <w:szCs w:val="18"/>
              </w:rPr>
            </w:pPr>
            <w:r w:rsidRPr="00900F8E">
              <w:rPr>
                <w:rFonts w:ascii="Arial" w:eastAsia="Calibri" w:hAnsi="Arial" w:cs="Arial"/>
                <w:color w:val="000000"/>
                <w:sz w:val="18"/>
                <w:szCs w:val="18"/>
              </w:rPr>
              <w:t>določen je cilj za skupne emisije</w:t>
            </w:r>
            <w:r w:rsidR="00236180" w:rsidRPr="00900F8E">
              <w:rPr>
                <w:rFonts w:ascii="Arial" w:eastAsia="Calibri" w:hAnsi="Arial" w:cs="Arial"/>
                <w:color w:val="000000"/>
                <w:sz w:val="18"/>
                <w:szCs w:val="18"/>
              </w:rPr>
              <w:t xml:space="preserve"> TGP v</w:t>
            </w:r>
            <w:r w:rsidRPr="00900F8E">
              <w:rPr>
                <w:rFonts w:ascii="Arial" w:eastAsia="Calibri" w:hAnsi="Arial" w:cs="Arial"/>
                <w:color w:val="000000"/>
                <w:sz w:val="18"/>
                <w:szCs w:val="18"/>
              </w:rPr>
              <w:t xml:space="preserve"> energetik</w:t>
            </w:r>
            <w:r w:rsidR="00236180" w:rsidRPr="00900F8E">
              <w:rPr>
                <w:rFonts w:ascii="Arial" w:eastAsia="Calibri" w:hAnsi="Arial" w:cs="Arial"/>
                <w:color w:val="000000"/>
                <w:sz w:val="18"/>
                <w:szCs w:val="18"/>
              </w:rPr>
              <w:t>i</w:t>
            </w:r>
          </w:p>
          <w:p w14:paraId="59886D3B" w14:textId="2C3461E0" w:rsidR="00870F43" w:rsidRPr="00900F8E" w:rsidRDefault="00870F43" w:rsidP="00C77124">
            <w:pPr>
              <w:autoSpaceDE w:val="0"/>
              <w:autoSpaceDN w:val="0"/>
              <w:adjustRightInd w:val="0"/>
              <w:spacing w:before="20" w:after="20" w:line="240" w:lineRule="auto"/>
              <w:jc w:val="center"/>
              <w:rPr>
                <w:rFonts w:ascii="Arial" w:eastAsia="Calibri" w:hAnsi="Arial" w:cs="Arial"/>
                <w:color w:val="000000"/>
                <w:sz w:val="18"/>
                <w:szCs w:val="18"/>
              </w:rPr>
            </w:pPr>
            <w:r w:rsidRPr="00900F8E">
              <w:rPr>
                <w:rFonts w:ascii="Arial" w:eastAsia="Calibri" w:hAnsi="Arial" w:cs="Arial"/>
                <w:color w:val="000000"/>
                <w:sz w:val="18"/>
                <w:szCs w:val="18"/>
              </w:rPr>
              <w:t>(</w:t>
            </w:r>
            <w:r w:rsidR="000852F0">
              <w:rPr>
                <w:rFonts w:ascii="Arial" w:eastAsia="Calibri" w:hAnsi="Arial" w:cs="Arial"/>
                <w:color w:val="000000"/>
                <w:sz w:val="20"/>
                <w:szCs w:val="20"/>
              </w:rPr>
              <w:t>–</w:t>
            </w:r>
            <w:r w:rsidRPr="00900F8E">
              <w:rPr>
                <w:rFonts w:ascii="Arial" w:eastAsia="Calibri" w:hAnsi="Arial" w:cs="Arial"/>
                <w:color w:val="000000"/>
                <w:sz w:val="20"/>
                <w:szCs w:val="20"/>
              </w:rPr>
              <w:t>90</w:t>
            </w:r>
            <w:r w:rsidR="00C77124">
              <w:rPr>
                <w:rFonts w:ascii="Arial" w:eastAsia="Calibri" w:hAnsi="Arial" w:cs="Arial"/>
                <w:color w:val="000000"/>
                <w:sz w:val="20"/>
                <w:szCs w:val="20"/>
              </w:rPr>
              <w:t>–</w:t>
            </w:r>
            <w:r w:rsidRPr="00900F8E">
              <w:rPr>
                <w:rFonts w:ascii="Arial" w:eastAsia="Calibri" w:hAnsi="Arial" w:cs="Arial"/>
                <w:color w:val="000000"/>
                <w:sz w:val="20"/>
                <w:szCs w:val="20"/>
              </w:rPr>
              <w:t>99 %</w:t>
            </w:r>
            <w:r w:rsidRPr="00900F8E">
              <w:rPr>
                <w:rFonts w:ascii="Arial" w:eastAsia="Calibri" w:hAnsi="Arial" w:cs="Arial"/>
                <w:color w:val="000000"/>
                <w:sz w:val="18"/>
                <w:szCs w:val="18"/>
              </w:rPr>
              <w:t>)</w:t>
            </w:r>
          </w:p>
        </w:tc>
      </w:tr>
      <w:tr w:rsidR="00986556" w:rsidRPr="00900F8E" w14:paraId="51B9F9E4" w14:textId="61D34DCB" w:rsidTr="00BF117A">
        <w:tc>
          <w:tcPr>
            <w:tcW w:w="1239" w:type="dxa"/>
            <w:shd w:val="clear" w:color="auto" w:fill="E2EFD9" w:themeFill="accent6" w:themeFillTint="33"/>
          </w:tcPr>
          <w:p w14:paraId="20551733" w14:textId="77777777" w:rsidR="00986556" w:rsidRPr="00900F8E" w:rsidRDefault="00986556" w:rsidP="00B563BB">
            <w:pPr>
              <w:spacing w:before="60" w:after="20" w:line="260" w:lineRule="atLeast"/>
              <w:jc w:val="both"/>
              <w:rPr>
                <w:rFonts w:ascii="Arial" w:eastAsia="Times New Roman" w:hAnsi="Arial" w:cs="Arial"/>
                <w:b/>
                <w:bCs/>
                <w:sz w:val="18"/>
                <w:szCs w:val="18"/>
              </w:rPr>
            </w:pPr>
            <w:r w:rsidRPr="00900F8E">
              <w:rPr>
                <w:rFonts w:ascii="Arial" w:eastAsia="Times New Roman" w:hAnsi="Arial" w:cs="Arial"/>
                <w:b/>
                <w:bCs/>
                <w:sz w:val="18"/>
                <w:szCs w:val="18"/>
              </w:rPr>
              <w:t>Odpadki</w:t>
            </w:r>
          </w:p>
        </w:tc>
        <w:tc>
          <w:tcPr>
            <w:tcW w:w="1455" w:type="dxa"/>
            <w:shd w:val="clear" w:color="auto" w:fill="auto"/>
          </w:tcPr>
          <w:p w14:paraId="561CAA15" w14:textId="1E185D16" w:rsidR="00986556" w:rsidRPr="00900F8E" w:rsidRDefault="00C77124" w:rsidP="00B659A9">
            <w:pPr>
              <w:spacing w:before="20" w:after="20" w:line="260" w:lineRule="atLeast"/>
              <w:jc w:val="center"/>
              <w:rPr>
                <w:rFonts w:ascii="Arial" w:eastAsia="Times New Roman" w:hAnsi="Arial" w:cs="Arial"/>
                <w:sz w:val="20"/>
                <w:szCs w:val="20"/>
              </w:rPr>
            </w:pPr>
            <w:r>
              <w:rPr>
                <w:rFonts w:ascii="Arial" w:eastAsia="Times New Roman" w:hAnsi="Arial" w:cs="Arial"/>
                <w:sz w:val="20"/>
                <w:szCs w:val="20"/>
              </w:rPr>
              <w:t>–</w:t>
            </w:r>
            <w:r w:rsidR="00986556" w:rsidRPr="00900F8E">
              <w:rPr>
                <w:rFonts w:ascii="Arial" w:eastAsia="Times New Roman" w:hAnsi="Arial" w:cs="Arial"/>
                <w:sz w:val="20"/>
                <w:szCs w:val="20"/>
              </w:rPr>
              <w:t>44 %</w:t>
            </w:r>
          </w:p>
        </w:tc>
        <w:tc>
          <w:tcPr>
            <w:tcW w:w="1417" w:type="dxa"/>
            <w:shd w:val="clear" w:color="auto" w:fill="auto"/>
          </w:tcPr>
          <w:p w14:paraId="24B5D7F3" w14:textId="53725428" w:rsidR="00986556" w:rsidRPr="00900F8E" w:rsidRDefault="00C77124" w:rsidP="00C77124">
            <w:pPr>
              <w:spacing w:before="20" w:after="20" w:line="260" w:lineRule="atLeast"/>
              <w:jc w:val="center"/>
              <w:rPr>
                <w:rFonts w:ascii="Arial" w:eastAsia="Times New Roman" w:hAnsi="Arial" w:cs="Arial"/>
                <w:sz w:val="20"/>
                <w:szCs w:val="20"/>
              </w:rPr>
            </w:pPr>
            <w:r>
              <w:rPr>
                <w:rFonts w:ascii="Arial" w:eastAsia="Times New Roman" w:hAnsi="Arial" w:cs="Arial"/>
                <w:sz w:val="20"/>
                <w:szCs w:val="20"/>
              </w:rPr>
              <w:t>–</w:t>
            </w:r>
            <w:r w:rsidR="00986556" w:rsidRPr="00900F8E">
              <w:rPr>
                <w:rFonts w:ascii="Arial" w:eastAsia="Times New Roman" w:hAnsi="Arial" w:cs="Arial"/>
                <w:sz w:val="20"/>
                <w:szCs w:val="20"/>
              </w:rPr>
              <w:t>45,9 %</w:t>
            </w:r>
          </w:p>
        </w:tc>
        <w:tc>
          <w:tcPr>
            <w:tcW w:w="2410" w:type="dxa"/>
            <w:shd w:val="clear" w:color="auto" w:fill="auto"/>
          </w:tcPr>
          <w:p w14:paraId="0035BFDA" w14:textId="589A19DA" w:rsidR="00986556" w:rsidRPr="00900F8E" w:rsidRDefault="00C77124" w:rsidP="00B237EE">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986556" w:rsidRPr="00900F8E">
              <w:rPr>
                <w:rFonts w:ascii="Arial" w:eastAsia="Calibri" w:hAnsi="Arial" w:cs="Arial"/>
                <w:color w:val="000000"/>
                <w:sz w:val="20"/>
                <w:szCs w:val="20"/>
              </w:rPr>
              <w:t>65 %</w:t>
            </w:r>
          </w:p>
        </w:tc>
        <w:tc>
          <w:tcPr>
            <w:tcW w:w="2551" w:type="dxa"/>
          </w:tcPr>
          <w:p w14:paraId="025C4B07" w14:textId="398B9426" w:rsidR="00986556" w:rsidRPr="00900F8E" w:rsidRDefault="000852F0" w:rsidP="00C77124">
            <w:pPr>
              <w:autoSpaceDE w:val="0"/>
              <w:autoSpaceDN w:val="0"/>
              <w:adjustRightInd w:val="0"/>
              <w:spacing w:before="20" w:after="20" w:line="240" w:lineRule="auto"/>
              <w:jc w:val="center"/>
              <w:rPr>
                <w:rFonts w:ascii="Arial" w:eastAsia="Calibri" w:hAnsi="Arial" w:cs="Arial"/>
                <w:color w:val="000000"/>
                <w:sz w:val="20"/>
                <w:szCs w:val="20"/>
              </w:rPr>
            </w:pPr>
            <w:r>
              <w:rPr>
                <w:rFonts w:ascii="Arial" w:eastAsia="Calibri" w:hAnsi="Arial" w:cs="Arial"/>
                <w:color w:val="000000"/>
                <w:sz w:val="20"/>
                <w:szCs w:val="20"/>
              </w:rPr>
              <w:t>–</w:t>
            </w:r>
            <w:r w:rsidR="00900B1E" w:rsidRPr="00900F8E">
              <w:rPr>
                <w:rFonts w:ascii="Arial" w:eastAsia="Calibri" w:hAnsi="Arial" w:cs="Arial"/>
                <w:color w:val="000000"/>
                <w:sz w:val="20"/>
                <w:szCs w:val="20"/>
              </w:rPr>
              <w:t>75</w:t>
            </w:r>
            <w:r w:rsidR="00C77124">
              <w:rPr>
                <w:rFonts w:ascii="Arial" w:eastAsia="Calibri" w:hAnsi="Arial" w:cs="Arial"/>
                <w:color w:val="000000"/>
                <w:sz w:val="20"/>
                <w:szCs w:val="20"/>
              </w:rPr>
              <w:t>–</w:t>
            </w:r>
            <w:r w:rsidR="00900B1E" w:rsidRPr="00900F8E">
              <w:rPr>
                <w:rFonts w:ascii="Arial" w:eastAsia="Calibri" w:hAnsi="Arial" w:cs="Arial"/>
                <w:color w:val="000000"/>
                <w:sz w:val="20"/>
                <w:szCs w:val="20"/>
              </w:rPr>
              <w:t>83 %</w:t>
            </w:r>
          </w:p>
        </w:tc>
      </w:tr>
      <w:tr w:rsidR="00986556" w:rsidRPr="00900F8E" w14:paraId="4D8BAC8C" w14:textId="29B6FCB3" w:rsidTr="00BF117A">
        <w:tc>
          <w:tcPr>
            <w:tcW w:w="1239" w:type="dxa"/>
            <w:shd w:val="clear" w:color="auto" w:fill="E2EFD9" w:themeFill="accent6" w:themeFillTint="33"/>
          </w:tcPr>
          <w:p w14:paraId="66B477B8" w14:textId="77777777" w:rsidR="00986556" w:rsidRPr="00900F8E" w:rsidRDefault="00986556" w:rsidP="00B563BB">
            <w:pPr>
              <w:spacing w:before="60" w:after="20" w:line="260" w:lineRule="atLeast"/>
              <w:jc w:val="both"/>
              <w:rPr>
                <w:rFonts w:ascii="Arial" w:eastAsia="Times New Roman" w:hAnsi="Arial" w:cs="Arial"/>
                <w:b/>
                <w:bCs/>
                <w:sz w:val="18"/>
                <w:szCs w:val="18"/>
              </w:rPr>
            </w:pPr>
            <w:r w:rsidRPr="00900F8E">
              <w:rPr>
                <w:rFonts w:ascii="Arial" w:eastAsia="Times New Roman" w:hAnsi="Arial" w:cs="Arial"/>
                <w:b/>
                <w:bCs/>
                <w:sz w:val="18"/>
                <w:szCs w:val="18"/>
              </w:rPr>
              <w:t>SKUPAJ</w:t>
            </w:r>
          </w:p>
        </w:tc>
        <w:tc>
          <w:tcPr>
            <w:tcW w:w="1455" w:type="dxa"/>
            <w:shd w:val="clear" w:color="auto" w:fill="E2EFD9" w:themeFill="accent6" w:themeFillTint="33"/>
          </w:tcPr>
          <w:p w14:paraId="4CF20EAB" w14:textId="3ABF4382" w:rsidR="00986556" w:rsidRPr="00900F8E" w:rsidRDefault="00986556" w:rsidP="00B237EE">
            <w:pPr>
              <w:spacing w:before="20" w:after="20" w:line="260" w:lineRule="atLeast"/>
              <w:jc w:val="center"/>
              <w:rPr>
                <w:rFonts w:ascii="Arial" w:eastAsia="Times New Roman" w:hAnsi="Arial" w:cs="Arial"/>
                <w:b/>
                <w:bCs/>
                <w:sz w:val="20"/>
                <w:szCs w:val="20"/>
              </w:rPr>
            </w:pPr>
            <w:r w:rsidRPr="00900F8E">
              <w:rPr>
                <w:rFonts w:ascii="Arial" w:eastAsia="Times New Roman" w:hAnsi="Arial" w:cs="Arial"/>
                <w:b/>
                <w:bCs/>
                <w:sz w:val="20"/>
                <w:szCs w:val="20"/>
              </w:rPr>
              <w:t>+4 %</w:t>
            </w:r>
          </w:p>
        </w:tc>
        <w:tc>
          <w:tcPr>
            <w:tcW w:w="1417" w:type="dxa"/>
            <w:shd w:val="clear" w:color="auto" w:fill="E2EFD9" w:themeFill="accent6" w:themeFillTint="33"/>
          </w:tcPr>
          <w:p w14:paraId="7D2990B5" w14:textId="1062E424" w:rsidR="00986556" w:rsidRPr="00900F8E" w:rsidRDefault="00C77124" w:rsidP="00B237EE">
            <w:pPr>
              <w:spacing w:before="20" w:after="20" w:line="260" w:lineRule="atLeast"/>
              <w:jc w:val="center"/>
              <w:rPr>
                <w:rFonts w:ascii="Arial" w:eastAsia="Times New Roman" w:hAnsi="Arial" w:cs="Arial"/>
                <w:b/>
                <w:bCs/>
                <w:sz w:val="20"/>
                <w:szCs w:val="20"/>
              </w:rPr>
            </w:pPr>
            <w:r>
              <w:rPr>
                <w:rFonts w:ascii="Arial" w:eastAsia="Times New Roman" w:hAnsi="Arial" w:cs="Arial"/>
                <w:b/>
                <w:bCs/>
                <w:sz w:val="20"/>
                <w:szCs w:val="20"/>
              </w:rPr>
              <w:t>–</w:t>
            </w:r>
            <w:r w:rsidR="00986556" w:rsidRPr="00900F8E">
              <w:rPr>
                <w:rFonts w:ascii="Arial" w:eastAsia="Times New Roman" w:hAnsi="Arial" w:cs="Arial"/>
                <w:b/>
                <w:bCs/>
                <w:sz w:val="20"/>
                <w:szCs w:val="20"/>
              </w:rPr>
              <w:t>16,7 %</w:t>
            </w:r>
          </w:p>
        </w:tc>
        <w:tc>
          <w:tcPr>
            <w:tcW w:w="2410" w:type="dxa"/>
            <w:shd w:val="clear" w:color="auto" w:fill="E2EFD9" w:themeFill="accent6" w:themeFillTint="33"/>
          </w:tcPr>
          <w:p w14:paraId="54373A39" w14:textId="1CE76DA1" w:rsidR="00986556" w:rsidRPr="00900F8E" w:rsidRDefault="00C77124" w:rsidP="00B563BB">
            <w:pPr>
              <w:spacing w:before="20" w:after="20" w:line="260" w:lineRule="atLeast"/>
              <w:jc w:val="center"/>
              <w:rPr>
                <w:rFonts w:ascii="Arial" w:eastAsia="Times New Roman" w:hAnsi="Arial" w:cs="Arial"/>
                <w:b/>
                <w:bCs/>
                <w:sz w:val="20"/>
                <w:szCs w:val="20"/>
              </w:rPr>
            </w:pPr>
            <w:r>
              <w:rPr>
                <w:rFonts w:ascii="Arial" w:eastAsia="Times New Roman" w:hAnsi="Arial" w:cs="Arial"/>
                <w:b/>
                <w:bCs/>
                <w:sz w:val="20"/>
                <w:szCs w:val="20"/>
              </w:rPr>
              <w:t>–</w:t>
            </w:r>
            <w:r w:rsidR="00986556" w:rsidRPr="007564B1">
              <w:rPr>
                <w:rFonts w:ascii="Arial" w:eastAsia="Times New Roman" w:hAnsi="Arial" w:cs="Arial"/>
                <w:b/>
                <w:bCs/>
                <w:sz w:val="20"/>
                <w:szCs w:val="20"/>
              </w:rPr>
              <w:t>2</w:t>
            </w:r>
            <w:r w:rsidR="0086789A">
              <w:rPr>
                <w:rFonts w:ascii="Arial" w:eastAsia="Times New Roman" w:hAnsi="Arial" w:cs="Arial"/>
                <w:b/>
                <w:bCs/>
                <w:sz w:val="20"/>
                <w:szCs w:val="20"/>
              </w:rPr>
              <w:t>0</w:t>
            </w:r>
            <w:r w:rsidR="00986556" w:rsidRPr="007564B1">
              <w:rPr>
                <w:rFonts w:ascii="Arial" w:eastAsia="Times New Roman" w:hAnsi="Arial" w:cs="Arial"/>
                <w:b/>
                <w:bCs/>
                <w:sz w:val="20"/>
                <w:szCs w:val="20"/>
              </w:rPr>
              <w:t xml:space="preserve"> %</w:t>
            </w:r>
            <w:r w:rsidR="007564B1">
              <w:rPr>
                <w:rStyle w:val="Sprotnaopomba-sklic"/>
                <w:rFonts w:ascii="Arial" w:eastAsia="Times New Roman" w:hAnsi="Arial" w:cs="Arial"/>
                <w:b/>
                <w:bCs/>
                <w:sz w:val="20"/>
                <w:szCs w:val="20"/>
              </w:rPr>
              <w:footnoteReference w:id="7"/>
            </w:r>
          </w:p>
          <w:p w14:paraId="65C180CF" w14:textId="756585EA" w:rsidR="00986556" w:rsidRPr="00900F8E" w:rsidRDefault="00986556" w:rsidP="00BF117A">
            <w:pPr>
              <w:spacing w:before="20" w:after="20" w:line="260" w:lineRule="atLeast"/>
              <w:jc w:val="center"/>
              <w:rPr>
                <w:rFonts w:ascii="Arial" w:eastAsia="Times New Roman" w:hAnsi="Arial" w:cs="Arial"/>
                <w:b/>
                <w:bCs/>
                <w:sz w:val="20"/>
                <w:szCs w:val="20"/>
              </w:rPr>
            </w:pPr>
            <w:r w:rsidRPr="00900F8E">
              <w:rPr>
                <w:rFonts w:ascii="Arial" w:eastAsia="Times New Roman" w:hAnsi="Arial" w:cs="Arial"/>
                <w:b/>
                <w:bCs/>
                <w:sz w:val="20"/>
                <w:szCs w:val="20"/>
              </w:rPr>
              <w:t>(FF55 ESR</w:t>
            </w:r>
            <w:r w:rsidR="00F2139B" w:rsidRPr="00900F8E">
              <w:rPr>
                <w:rStyle w:val="Sprotnaopomba-sklic"/>
                <w:rFonts w:ascii="Arial" w:eastAsia="Times New Roman" w:hAnsi="Arial" w:cs="Arial"/>
                <w:b/>
                <w:bCs/>
                <w:sz w:val="20"/>
                <w:szCs w:val="20"/>
              </w:rPr>
              <w:footnoteReference w:id="8"/>
            </w:r>
            <w:r w:rsidR="00B3684F" w:rsidRPr="00900F8E">
              <w:rPr>
                <w:rFonts w:ascii="Arial" w:eastAsia="Times New Roman" w:hAnsi="Arial" w:cs="Arial"/>
                <w:b/>
                <w:bCs/>
                <w:sz w:val="20"/>
                <w:szCs w:val="20"/>
              </w:rPr>
              <w:t>:</w:t>
            </w:r>
            <w:r w:rsidRPr="00900F8E">
              <w:rPr>
                <w:rFonts w:ascii="Arial" w:eastAsia="Times New Roman" w:hAnsi="Arial" w:cs="Arial"/>
                <w:b/>
                <w:bCs/>
                <w:sz w:val="20"/>
                <w:szCs w:val="20"/>
              </w:rPr>
              <w:t xml:space="preserve"> </w:t>
            </w:r>
            <w:r w:rsidR="001A37FA">
              <w:rPr>
                <w:rFonts w:ascii="Arial" w:eastAsia="Times New Roman" w:hAnsi="Arial" w:cs="Arial"/>
                <w:b/>
                <w:bCs/>
                <w:sz w:val="20"/>
                <w:szCs w:val="20"/>
              </w:rPr>
              <w:t>–</w:t>
            </w:r>
            <w:r w:rsidR="00E00F36" w:rsidRPr="00900F8E">
              <w:rPr>
                <w:rFonts w:ascii="Arial" w:eastAsia="Times New Roman" w:hAnsi="Arial" w:cs="Arial"/>
                <w:b/>
                <w:bCs/>
                <w:sz w:val="20"/>
                <w:szCs w:val="20"/>
              </w:rPr>
              <w:t>-</w:t>
            </w:r>
            <w:r w:rsidRPr="00900F8E">
              <w:rPr>
                <w:rFonts w:ascii="Arial" w:eastAsia="Times New Roman" w:hAnsi="Arial" w:cs="Arial"/>
                <w:b/>
                <w:bCs/>
                <w:sz w:val="20"/>
                <w:szCs w:val="20"/>
              </w:rPr>
              <w:t>27 %)</w:t>
            </w:r>
          </w:p>
        </w:tc>
        <w:tc>
          <w:tcPr>
            <w:tcW w:w="2551" w:type="dxa"/>
            <w:shd w:val="clear" w:color="auto" w:fill="E2EFD9" w:themeFill="accent6" w:themeFillTint="33"/>
          </w:tcPr>
          <w:p w14:paraId="1DCB5FEB" w14:textId="77777777" w:rsidR="00986556" w:rsidRPr="00900F8E" w:rsidRDefault="00870F43" w:rsidP="00630B7C">
            <w:pPr>
              <w:tabs>
                <w:tab w:val="left" w:pos="340"/>
              </w:tabs>
              <w:spacing w:after="0" w:line="260" w:lineRule="atLeast"/>
              <w:jc w:val="center"/>
              <w:rPr>
                <w:rFonts w:ascii="Arial" w:eastAsia="Calibri" w:hAnsi="Arial" w:cs="Arial"/>
                <w:color w:val="000000"/>
                <w:sz w:val="18"/>
                <w:szCs w:val="18"/>
              </w:rPr>
            </w:pPr>
            <w:r w:rsidRPr="00900F8E">
              <w:rPr>
                <w:rFonts w:ascii="Arial" w:eastAsia="Calibri" w:hAnsi="Arial" w:cs="Arial"/>
                <w:color w:val="000000"/>
                <w:sz w:val="18"/>
                <w:szCs w:val="18"/>
              </w:rPr>
              <w:t>določen je cilj za skupne emisije TGP</w:t>
            </w:r>
          </w:p>
          <w:p w14:paraId="6C09187F" w14:textId="79B5962D" w:rsidR="008C6A0E" w:rsidRPr="00900F8E" w:rsidRDefault="008C6A0E" w:rsidP="00630B7C">
            <w:pPr>
              <w:tabs>
                <w:tab w:val="left" w:pos="340"/>
              </w:tabs>
              <w:spacing w:after="0" w:line="260" w:lineRule="atLeast"/>
              <w:jc w:val="center"/>
              <w:rPr>
                <w:rFonts w:ascii="Arial" w:eastAsia="Times New Roman" w:hAnsi="Arial" w:cs="Arial"/>
                <w:sz w:val="20"/>
                <w:szCs w:val="20"/>
              </w:rPr>
            </w:pPr>
            <w:r w:rsidRPr="00900F8E">
              <w:rPr>
                <w:rFonts w:ascii="Arial" w:eastAsia="Times New Roman" w:hAnsi="Arial" w:cs="Arial"/>
                <w:sz w:val="18"/>
                <w:szCs w:val="18"/>
              </w:rPr>
              <w:t>(podnebna nevtralnost)</w:t>
            </w:r>
          </w:p>
        </w:tc>
      </w:tr>
      <w:tr w:rsidR="00A8736E" w:rsidRPr="00900F8E" w14:paraId="742EF95D" w14:textId="77777777" w:rsidTr="00BF117A">
        <w:tc>
          <w:tcPr>
            <w:tcW w:w="1239" w:type="dxa"/>
            <w:shd w:val="clear" w:color="auto" w:fill="E2EFD9" w:themeFill="accent6" w:themeFillTint="33"/>
          </w:tcPr>
          <w:p w14:paraId="77D3E337" w14:textId="47E459A3" w:rsidR="00A8736E" w:rsidRPr="00900F8E" w:rsidRDefault="00A8736E" w:rsidP="00B563BB">
            <w:pPr>
              <w:spacing w:before="60" w:after="20" w:line="260" w:lineRule="atLeast"/>
              <w:jc w:val="both"/>
              <w:rPr>
                <w:rFonts w:ascii="Arial" w:eastAsia="Times New Roman" w:hAnsi="Arial" w:cs="Arial"/>
                <w:b/>
                <w:bCs/>
                <w:sz w:val="18"/>
                <w:szCs w:val="18"/>
              </w:rPr>
            </w:pPr>
            <w:r w:rsidRPr="00900F8E">
              <w:rPr>
                <w:rFonts w:ascii="Arial" w:eastAsia="Times New Roman" w:hAnsi="Arial" w:cs="Arial"/>
                <w:b/>
                <w:bCs/>
                <w:sz w:val="18"/>
                <w:szCs w:val="18"/>
              </w:rPr>
              <w:t>LULUCF</w:t>
            </w:r>
          </w:p>
        </w:tc>
        <w:tc>
          <w:tcPr>
            <w:tcW w:w="1455" w:type="dxa"/>
            <w:shd w:val="clear" w:color="auto" w:fill="auto"/>
          </w:tcPr>
          <w:p w14:paraId="16C0BB1B" w14:textId="1347D360" w:rsidR="00A8736E" w:rsidRPr="00900F8E" w:rsidRDefault="00820BA4" w:rsidP="00B563BB">
            <w:pPr>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w:t>
            </w:r>
            <w:r w:rsidRPr="00900F8E">
              <w:rPr>
                <w:rStyle w:val="Sprotnaopomba-sklic"/>
                <w:rFonts w:ascii="Arial" w:eastAsia="Times New Roman" w:hAnsi="Arial" w:cs="Arial"/>
                <w:sz w:val="20"/>
                <w:szCs w:val="20"/>
              </w:rPr>
              <w:footnoteReference w:id="9"/>
            </w:r>
          </w:p>
        </w:tc>
        <w:tc>
          <w:tcPr>
            <w:tcW w:w="1417" w:type="dxa"/>
            <w:shd w:val="clear" w:color="auto" w:fill="auto"/>
          </w:tcPr>
          <w:p w14:paraId="7AD6B3AD" w14:textId="74CA3378" w:rsidR="00A8736E" w:rsidRPr="00900F8E" w:rsidRDefault="00C77124" w:rsidP="00B237EE">
            <w:pPr>
              <w:spacing w:before="20" w:after="20" w:line="260" w:lineRule="atLeast"/>
              <w:jc w:val="center"/>
              <w:rPr>
                <w:rFonts w:ascii="Arial" w:eastAsia="Times New Roman" w:hAnsi="Arial" w:cs="Arial"/>
                <w:sz w:val="20"/>
                <w:szCs w:val="20"/>
              </w:rPr>
            </w:pPr>
            <w:r>
              <w:rPr>
                <w:rFonts w:ascii="Arial" w:eastAsia="Times New Roman" w:hAnsi="Arial" w:cs="Arial"/>
                <w:sz w:val="20"/>
                <w:szCs w:val="20"/>
              </w:rPr>
              <w:t>–</w:t>
            </w:r>
            <w:r w:rsidR="00BE7D1F" w:rsidRPr="00900F8E">
              <w:rPr>
                <w:rFonts w:ascii="Arial" w:eastAsia="Times New Roman" w:hAnsi="Arial" w:cs="Arial"/>
                <w:sz w:val="20"/>
                <w:szCs w:val="20"/>
              </w:rPr>
              <w:t>34,3 %</w:t>
            </w:r>
          </w:p>
        </w:tc>
        <w:tc>
          <w:tcPr>
            <w:tcW w:w="2410" w:type="dxa"/>
            <w:shd w:val="clear" w:color="auto" w:fill="auto"/>
          </w:tcPr>
          <w:p w14:paraId="0760AA8E" w14:textId="77777777" w:rsidR="00BF117A" w:rsidRPr="00900F8E" w:rsidRDefault="00671E58" w:rsidP="00DA0939">
            <w:pPr>
              <w:spacing w:after="0" w:line="260" w:lineRule="atLeast"/>
              <w:jc w:val="center"/>
              <w:rPr>
                <w:rFonts w:ascii="Arial" w:eastAsia="Times New Roman" w:hAnsi="Arial" w:cs="Arial"/>
                <w:sz w:val="18"/>
                <w:szCs w:val="18"/>
              </w:rPr>
            </w:pPr>
            <w:r w:rsidRPr="00900F8E">
              <w:rPr>
                <w:rFonts w:ascii="Arial" w:eastAsia="Times New Roman" w:hAnsi="Arial" w:cs="Arial"/>
                <w:sz w:val="18"/>
                <w:szCs w:val="18"/>
              </w:rPr>
              <w:t>sektor ne proizvede</w:t>
            </w:r>
          </w:p>
          <w:p w14:paraId="154F7756" w14:textId="127AAD8D" w:rsidR="00A8736E" w:rsidRPr="00900F8E" w:rsidRDefault="00671E58" w:rsidP="00DA0939">
            <w:pPr>
              <w:spacing w:after="0" w:line="260" w:lineRule="atLeast"/>
              <w:jc w:val="center"/>
              <w:rPr>
                <w:rFonts w:ascii="Arial" w:eastAsia="Times New Roman" w:hAnsi="Arial" w:cs="Arial"/>
                <w:sz w:val="18"/>
                <w:szCs w:val="18"/>
              </w:rPr>
            </w:pPr>
            <w:r w:rsidRPr="00900F8E">
              <w:rPr>
                <w:rFonts w:ascii="Arial" w:eastAsia="Times New Roman" w:hAnsi="Arial" w:cs="Arial"/>
                <w:sz w:val="18"/>
                <w:szCs w:val="18"/>
              </w:rPr>
              <w:t xml:space="preserve"> neto emisij</w:t>
            </w:r>
          </w:p>
          <w:p w14:paraId="19B7EEE2" w14:textId="007EE26C" w:rsidR="00BE7D1F" w:rsidRPr="00900F8E" w:rsidRDefault="00BE7D1F" w:rsidP="00D52711">
            <w:pPr>
              <w:spacing w:after="0" w:line="260" w:lineRule="atLeast"/>
              <w:jc w:val="center"/>
              <w:rPr>
                <w:rFonts w:ascii="Arial" w:eastAsia="Times New Roman" w:hAnsi="Arial" w:cs="Arial"/>
                <w:sz w:val="18"/>
                <w:szCs w:val="18"/>
              </w:rPr>
            </w:pPr>
            <w:r w:rsidRPr="00900F8E">
              <w:rPr>
                <w:rFonts w:ascii="Arial" w:eastAsia="Times New Roman" w:hAnsi="Arial" w:cs="Arial"/>
                <w:sz w:val="18"/>
                <w:szCs w:val="18"/>
              </w:rPr>
              <w:t>(FF55 LULUCF</w:t>
            </w:r>
            <w:r w:rsidR="00F2139B" w:rsidRPr="00900F8E">
              <w:rPr>
                <w:rStyle w:val="Sprotnaopomba-sklic"/>
                <w:rFonts w:ascii="Arial" w:eastAsia="Times New Roman" w:hAnsi="Arial" w:cs="Arial"/>
                <w:sz w:val="18"/>
                <w:szCs w:val="18"/>
              </w:rPr>
              <w:footnoteReference w:id="10"/>
            </w:r>
            <w:r w:rsidR="00B3684F" w:rsidRPr="00900F8E">
              <w:rPr>
                <w:rFonts w:ascii="Arial" w:eastAsia="Times New Roman" w:hAnsi="Arial" w:cs="Arial"/>
                <w:sz w:val="18"/>
                <w:szCs w:val="18"/>
              </w:rPr>
              <w:t>:</w:t>
            </w:r>
            <w:r w:rsidRPr="00900F8E">
              <w:rPr>
                <w:rFonts w:ascii="Arial" w:eastAsia="Times New Roman" w:hAnsi="Arial" w:cs="Arial"/>
                <w:sz w:val="18"/>
                <w:szCs w:val="18"/>
              </w:rPr>
              <w:t xml:space="preserve"> </w:t>
            </w:r>
            <w:r w:rsidR="00D52711" w:rsidRPr="00900F8E">
              <w:rPr>
                <w:rFonts w:ascii="Arial" w:eastAsia="Times New Roman" w:hAnsi="Arial" w:cs="Arial"/>
                <w:sz w:val="18"/>
                <w:szCs w:val="18"/>
              </w:rPr>
              <w:t xml:space="preserve">ponor v višini </w:t>
            </w:r>
            <w:r w:rsidRPr="00900F8E">
              <w:rPr>
                <w:rFonts w:ascii="Arial" w:eastAsia="Times New Roman" w:hAnsi="Arial" w:cs="Arial"/>
                <w:sz w:val="18"/>
                <w:szCs w:val="18"/>
              </w:rPr>
              <w:t>146 kt</w:t>
            </w:r>
            <w:r w:rsidR="00F15480" w:rsidRPr="00900F8E">
              <w:rPr>
                <w:rFonts w:ascii="Arial" w:eastAsia="Times New Roman" w:hAnsi="Arial" w:cs="Arial"/>
                <w:sz w:val="18"/>
                <w:szCs w:val="18"/>
              </w:rPr>
              <w:t xml:space="preserve"> ekv. CO</w:t>
            </w:r>
            <w:r w:rsidR="00F15480" w:rsidRPr="00900F8E">
              <w:rPr>
                <w:rFonts w:ascii="Arial" w:eastAsia="Times New Roman" w:hAnsi="Arial" w:cs="Arial"/>
                <w:sz w:val="18"/>
                <w:szCs w:val="18"/>
                <w:vertAlign w:val="subscript"/>
              </w:rPr>
              <w:t>2</w:t>
            </w:r>
            <w:r w:rsidRPr="00900F8E">
              <w:rPr>
                <w:rFonts w:ascii="Arial" w:eastAsia="Times New Roman" w:hAnsi="Arial" w:cs="Arial"/>
                <w:sz w:val="18"/>
                <w:szCs w:val="18"/>
              </w:rPr>
              <w:t>)</w:t>
            </w:r>
          </w:p>
        </w:tc>
        <w:tc>
          <w:tcPr>
            <w:tcW w:w="2551" w:type="dxa"/>
            <w:shd w:val="clear" w:color="auto" w:fill="auto"/>
          </w:tcPr>
          <w:p w14:paraId="708638EA" w14:textId="52A09E45" w:rsidR="00D52711" w:rsidRPr="00900F8E" w:rsidRDefault="00D52711" w:rsidP="00AD2378">
            <w:pPr>
              <w:tabs>
                <w:tab w:val="left" w:pos="340"/>
              </w:tabs>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ponor v višini</w:t>
            </w:r>
            <w:r w:rsidR="00A3052C" w:rsidRPr="00900F8E">
              <w:rPr>
                <w:rFonts w:ascii="Arial" w:eastAsia="Times New Roman" w:hAnsi="Arial" w:cs="Arial"/>
                <w:sz w:val="20"/>
                <w:szCs w:val="20"/>
              </w:rPr>
              <w:t xml:space="preserve"> </w:t>
            </w:r>
          </w:p>
          <w:p w14:paraId="40541178" w14:textId="6B0236EE" w:rsidR="00A8736E" w:rsidRPr="00900F8E" w:rsidRDefault="00A8736E" w:rsidP="00AD2378">
            <w:pPr>
              <w:tabs>
                <w:tab w:val="left" w:pos="340"/>
              </w:tabs>
              <w:spacing w:before="20" w:after="20" w:line="260" w:lineRule="atLeast"/>
              <w:jc w:val="center"/>
              <w:rPr>
                <w:rFonts w:ascii="Arial" w:eastAsia="Times New Roman" w:hAnsi="Arial" w:cs="Arial"/>
                <w:sz w:val="20"/>
                <w:szCs w:val="20"/>
              </w:rPr>
            </w:pPr>
            <w:r w:rsidRPr="00900F8E">
              <w:rPr>
                <w:rFonts w:ascii="Arial" w:eastAsia="Times New Roman" w:hAnsi="Arial" w:cs="Arial"/>
                <w:sz w:val="20"/>
                <w:szCs w:val="20"/>
              </w:rPr>
              <w:t>2.500 kt</w:t>
            </w:r>
            <w:r w:rsidR="00F15480" w:rsidRPr="00900F8E">
              <w:rPr>
                <w:rFonts w:ascii="Arial" w:eastAsia="Times New Roman" w:hAnsi="Arial" w:cs="Arial"/>
                <w:sz w:val="20"/>
                <w:szCs w:val="20"/>
              </w:rPr>
              <w:t xml:space="preserve"> ekv. CO</w:t>
            </w:r>
            <w:r w:rsidR="00F15480" w:rsidRPr="00900F8E">
              <w:rPr>
                <w:rFonts w:ascii="Arial" w:eastAsia="Times New Roman" w:hAnsi="Arial" w:cs="Arial"/>
                <w:sz w:val="20"/>
                <w:szCs w:val="20"/>
                <w:vertAlign w:val="subscript"/>
              </w:rPr>
              <w:t>2</w:t>
            </w:r>
          </w:p>
        </w:tc>
      </w:tr>
    </w:tbl>
    <w:p w14:paraId="09B76A8D" w14:textId="1DBBACE7" w:rsidR="005F090C" w:rsidRPr="00900F8E" w:rsidRDefault="005F090C" w:rsidP="00794155">
      <w:pPr>
        <w:pStyle w:val="Naslov1"/>
        <w:spacing w:before="0"/>
        <w:rPr>
          <w:rFonts w:ascii="Arial" w:hAnsi="Arial" w:cs="Arial"/>
          <w:color w:val="auto"/>
        </w:rPr>
      </w:pPr>
    </w:p>
    <w:p w14:paraId="43E4D75C" w14:textId="77777777" w:rsidR="00F8522C" w:rsidRPr="00900F8E" w:rsidRDefault="00F8522C" w:rsidP="00F8522C">
      <w:pPr>
        <w:rPr>
          <w:rFonts w:ascii="Arial" w:hAnsi="Arial" w:cs="Arial"/>
        </w:rPr>
      </w:pPr>
    </w:p>
    <w:p w14:paraId="7DF5583A" w14:textId="3CD670F0" w:rsidR="005805B6" w:rsidRPr="00900F8E" w:rsidRDefault="005805B6" w:rsidP="00794155">
      <w:pPr>
        <w:pStyle w:val="Naslov1"/>
        <w:spacing w:before="0"/>
        <w:rPr>
          <w:rFonts w:ascii="Arial" w:hAnsi="Arial" w:cs="Arial"/>
          <w:color w:val="auto"/>
        </w:rPr>
      </w:pPr>
      <w:bookmarkStart w:id="3" w:name="_Toc120166926"/>
      <w:r w:rsidRPr="00900F8E">
        <w:rPr>
          <w:rFonts w:ascii="Arial" w:hAnsi="Arial" w:cs="Arial"/>
          <w:color w:val="auto"/>
        </w:rPr>
        <w:t>1.1 Kratkoročni model za spremljanje emisij v tekočem letu</w:t>
      </w:r>
      <w:bookmarkEnd w:id="3"/>
    </w:p>
    <w:p w14:paraId="1500D1ED" w14:textId="77777777" w:rsidR="00596A97" w:rsidRPr="00900F8E" w:rsidRDefault="00596A97" w:rsidP="00227A36">
      <w:pPr>
        <w:rPr>
          <w:rFonts w:ascii="Arial" w:hAnsi="Arial" w:cs="Arial"/>
        </w:rPr>
      </w:pPr>
    </w:p>
    <w:p w14:paraId="73858389" w14:textId="0B375865" w:rsidR="00227A36" w:rsidRPr="00900F8E" w:rsidRDefault="00596A97" w:rsidP="001013CF">
      <w:pPr>
        <w:jc w:val="both"/>
        <w:rPr>
          <w:rFonts w:ascii="Arial" w:hAnsi="Arial" w:cs="Arial"/>
        </w:rPr>
      </w:pPr>
      <w:r w:rsidRPr="00900F8E">
        <w:rPr>
          <w:rFonts w:ascii="Arial" w:hAnsi="Arial" w:cs="Arial"/>
        </w:rPr>
        <w:t xml:space="preserve">Uradni podatki o emisijah TGP so dostopni </w:t>
      </w:r>
      <w:r w:rsidR="001013CF" w:rsidRPr="00900F8E">
        <w:rPr>
          <w:rFonts w:ascii="Arial" w:hAnsi="Arial" w:cs="Arial"/>
        </w:rPr>
        <w:t xml:space="preserve">v letu </w:t>
      </w:r>
      <w:r w:rsidRPr="00900F8E">
        <w:rPr>
          <w:rFonts w:ascii="Arial" w:hAnsi="Arial" w:cs="Arial"/>
        </w:rPr>
        <w:t xml:space="preserve">t + 2, </w:t>
      </w:r>
      <w:r w:rsidR="001A37FA">
        <w:rPr>
          <w:rFonts w:ascii="Arial" w:hAnsi="Arial" w:cs="Arial"/>
        </w:rPr>
        <w:t>pri čemer</w:t>
      </w:r>
      <w:r w:rsidR="001A37FA" w:rsidRPr="00900F8E">
        <w:rPr>
          <w:rFonts w:ascii="Arial" w:hAnsi="Arial" w:cs="Arial"/>
        </w:rPr>
        <w:t xml:space="preserve"> </w:t>
      </w:r>
      <w:r w:rsidRPr="00900F8E">
        <w:rPr>
          <w:rFonts w:ascii="Arial" w:hAnsi="Arial" w:cs="Arial"/>
        </w:rPr>
        <w:t xml:space="preserve">t </w:t>
      </w:r>
      <w:r w:rsidR="00B659A9">
        <w:rPr>
          <w:rFonts w:ascii="Arial" w:hAnsi="Arial" w:cs="Arial"/>
        </w:rPr>
        <w:t>pomeni</w:t>
      </w:r>
      <w:r w:rsidR="00B659A9" w:rsidRPr="00900F8E">
        <w:rPr>
          <w:rFonts w:ascii="Arial" w:hAnsi="Arial" w:cs="Arial"/>
        </w:rPr>
        <w:t xml:space="preserve"> </w:t>
      </w:r>
      <w:r w:rsidRPr="00900F8E">
        <w:rPr>
          <w:rFonts w:ascii="Arial" w:hAnsi="Arial" w:cs="Arial"/>
        </w:rPr>
        <w:t xml:space="preserve">tekoče leto. </w:t>
      </w:r>
      <w:r w:rsidR="00EC53CA" w:rsidRPr="00900F8E">
        <w:rPr>
          <w:rFonts w:ascii="Arial" w:hAnsi="Arial" w:cs="Arial"/>
        </w:rPr>
        <w:t>Z</w:t>
      </w:r>
      <w:r w:rsidR="00C77124">
        <w:rPr>
          <w:rFonts w:ascii="Arial" w:hAnsi="Arial" w:cs="Arial"/>
        </w:rPr>
        <w:t>a</w:t>
      </w:r>
      <w:r w:rsidR="00EC53CA" w:rsidRPr="00900F8E">
        <w:rPr>
          <w:rFonts w:ascii="Arial" w:hAnsi="Arial" w:cs="Arial"/>
        </w:rPr>
        <w:t xml:space="preserve"> učinkovitejše</w:t>
      </w:r>
      <w:r w:rsidR="00AC7A43" w:rsidRPr="00900F8E">
        <w:rPr>
          <w:rFonts w:ascii="Arial" w:hAnsi="Arial" w:cs="Arial"/>
        </w:rPr>
        <w:t xml:space="preserve"> in predčasn</w:t>
      </w:r>
      <w:r w:rsidR="00C77124">
        <w:rPr>
          <w:rFonts w:ascii="Arial" w:hAnsi="Arial" w:cs="Arial"/>
        </w:rPr>
        <w:t>o</w:t>
      </w:r>
      <w:r w:rsidR="00EC53CA" w:rsidRPr="00900F8E">
        <w:rPr>
          <w:rFonts w:ascii="Arial" w:hAnsi="Arial" w:cs="Arial"/>
        </w:rPr>
        <w:t xml:space="preserve"> </w:t>
      </w:r>
      <w:r w:rsidR="00651BE7">
        <w:rPr>
          <w:rFonts w:ascii="Arial" w:hAnsi="Arial" w:cs="Arial"/>
        </w:rPr>
        <w:t>sprotn</w:t>
      </w:r>
      <w:r w:rsidR="00C77124">
        <w:rPr>
          <w:rFonts w:ascii="Arial" w:hAnsi="Arial" w:cs="Arial"/>
        </w:rPr>
        <w:t>o</w:t>
      </w:r>
      <w:r w:rsidR="00651BE7">
        <w:rPr>
          <w:rFonts w:ascii="Arial" w:hAnsi="Arial" w:cs="Arial"/>
        </w:rPr>
        <w:t xml:space="preserve"> </w:t>
      </w:r>
      <w:r w:rsidR="00EC53CA" w:rsidRPr="00900F8E">
        <w:rPr>
          <w:rFonts w:ascii="Arial" w:hAnsi="Arial" w:cs="Arial"/>
        </w:rPr>
        <w:t>spremljanj</w:t>
      </w:r>
      <w:r w:rsidR="00C77124">
        <w:rPr>
          <w:rFonts w:ascii="Arial" w:hAnsi="Arial" w:cs="Arial"/>
        </w:rPr>
        <w:t>e</w:t>
      </w:r>
      <w:r w:rsidR="00EC53CA" w:rsidRPr="00900F8E">
        <w:rPr>
          <w:rFonts w:ascii="Arial" w:hAnsi="Arial" w:cs="Arial"/>
        </w:rPr>
        <w:t xml:space="preserve"> emisij TGP</w:t>
      </w:r>
      <w:r w:rsidRPr="00900F8E">
        <w:rPr>
          <w:rFonts w:ascii="Arial" w:hAnsi="Arial" w:cs="Arial"/>
        </w:rPr>
        <w:t xml:space="preserve"> </w:t>
      </w:r>
      <w:r w:rsidR="001013CF" w:rsidRPr="00900F8E">
        <w:rPr>
          <w:rFonts w:ascii="Arial" w:hAnsi="Arial" w:cs="Arial"/>
        </w:rPr>
        <w:t>so na IJS-CEU</w:t>
      </w:r>
      <w:r w:rsidR="003D15A7" w:rsidRPr="00900F8E">
        <w:rPr>
          <w:rFonts w:ascii="Arial" w:hAnsi="Arial" w:cs="Arial"/>
        </w:rPr>
        <w:t xml:space="preserve"> </w:t>
      </w:r>
      <w:r w:rsidR="001013CF" w:rsidRPr="00900F8E">
        <w:rPr>
          <w:rFonts w:ascii="Arial" w:hAnsi="Arial" w:cs="Arial"/>
        </w:rPr>
        <w:t>razvili Kratkoročni model za spremljanje emisij v tekočem letu</w:t>
      </w:r>
      <w:r w:rsidR="003D15A7" w:rsidRPr="00900F8E">
        <w:rPr>
          <w:rStyle w:val="Sprotnaopomba-sklic"/>
          <w:rFonts w:ascii="Arial" w:hAnsi="Arial" w:cs="Arial"/>
        </w:rPr>
        <w:footnoteReference w:id="11"/>
      </w:r>
      <w:r w:rsidR="003D15A7" w:rsidRPr="00900F8E">
        <w:rPr>
          <w:rFonts w:ascii="Arial" w:hAnsi="Arial" w:cs="Arial"/>
        </w:rPr>
        <w:t xml:space="preserve"> </w:t>
      </w:r>
      <w:r w:rsidR="008212D1" w:rsidRPr="00900F8E">
        <w:rPr>
          <w:rFonts w:ascii="Arial" w:hAnsi="Arial" w:cs="Arial"/>
        </w:rPr>
        <w:t xml:space="preserve">(v </w:t>
      </w:r>
      <w:r w:rsidR="00930529">
        <w:rPr>
          <w:rFonts w:ascii="Arial" w:hAnsi="Arial" w:cs="Arial"/>
        </w:rPr>
        <w:t>nadaljnjem besedilu</w:t>
      </w:r>
      <w:r w:rsidR="008212D1" w:rsidRPr="00900F8E">
        <w:rPr>
          <w:rFonts w:ascii="Arial" w:hAnsi="Arial" w:cs="Arial"/>
        </w:rPr>
        <w:t>: model)</w:t>
      </w:r>
      <w:r w:rsidR="001013CF" w:rsidRPr="00900F8E">
        <w:rPr>
          <w:rFonts w:ascii="Arial" w:hAnsi="Arial" w:cs="Arial"/>
        </w:rPr>
        <w:t xml:space="preserve">. </w:t>
      </w:r>
      <w:r w:rsidR="003D15A7" w:rsidRPr="00900F8E">
        <w:rPr>
          <w:rFonts w:ascii="Arial" w:hAnsi="Arial" w:cs="Arial"/>
        </w:rPr>
        <w:t>Rezultati modela so predstavljeni v nadaljevanju.</w:t>
      </w:r>
      <w:r w:rsidR="00A71B35" w:rsidRPr="00900F8E">
        <w:rPr>
          <w:rFonts w:ascii="Arial" w:hAnsi="Arial" w:cs="Arial"/>
        </w:rPr>
        <w:t xml:space="preserve"> </w:t>
      </w:r>
    </w:p>
    <w:p w14:paraId="03867829" w14:textId="4A2BC1B0" w:rsidR="00005DD3" w:rsidRDefault="008212D1" w:rsidP="00005DD3">
      <w:pPr>
        <w:jc w:val="both"/>
        <w:rPr>
          <w:rFonts w:ascii="Arial" w:hAnsi="Arial" w:cs="Arial"/>
        </w:rPr>
      </w:pPr>
      <w:r w:rsidRPr="00900F8E">
        <w:rPr>
          <w:rFonts w:ascii="Arial" w:hAnsi="Arial" w:cs="Arial"/>
        </w:rPr>
        <w:t>Grob</w:t>
      </w:r>
      <w:r w:rsidR="00651BE7">
        <w:rPr>
          <w:rFonts w:ascii="Arial" w:hAnsi="Arial" w:cs="Arial"/>
        </w:rPr>
        <w:t>o</w:t>
      </w:r>
      <w:r w:rsidRPr="00900F8E">
        <w:rPr>
          <w:rFonts w:ascii="Arial" w:hAnsi="Arial" w:cs="Arial"/>
        </w:rPr>
        <w:t xml:space="preserve"> ocen</w:t>
      </w:r>
      <w:r w:rsidR="00651BE7">
        <w:rPr>
          <w:rFonts w:ascii="Arial" w:hAnsi="Arial" w:cs="Arial"/>
        </w:rPr>
        <w:t>o</w:t>
      </w:r>
      <w:r w:rsidRPr="00900F8E">
        <w:rPr>
          <w:rFonts w:ascii="Arial" w:hAnsi="Arial" w:cs="Arial"/>
        </w:rPr>
        <w:t xml:space="preserve"> trendov emisij TGP je </w:t>
      </w:r>
      <w:r w:rsidR="00C77124">
        <w:rPr>
          <w:rFonts w:ascii="Arial" w:hAnsi="Arial" w:cs="Arial"/>
        </w:rPr>
        <w:t xml:space="preserve">mogoče </w:t>
      </w:r>
      <w:r w:rsidR="00651BE7">
        <w:rPr>
          <w:rFonts w:ascii="Arial" w:hAnsi="Arial" w:cs="Arial"/>
        </w:rPr>
        <w:t>določiti</w:t>
      </w:r>
      <w:r w:rsidRPr="00900F8E">
        <w:rPr>
          <w:rFonts w:ascii="Arial" w:hAnsi="Arial" w:cs="Arial"/>
        </w:rPr>
        <w:t xml:space="preserve"> z</w:t>
      </w:r>
      <w:r w:rsidR="00AC7A43" w:rsidRPr="00900F8E">
        <w:rPr>
          <w:rFonts w:ascii="Arial" w:hAnsi="Arial" w:cs="Arial"/>
        </w:rPr>
        <w:t xml:space="preserve"> indeksn</w:t>
      </w:r>
      <w:r w:rsidRPr="00900F8E">
        <w:rPr>
          <w:rFonts w:ascii="Arial" w:hAnsi="Arial" w:cs="Arial"/>
        </w:rPr>
        <w:t>o</w:t>
      </w:r>
      <w:r w:rsidR="00AC7A43" w:rsidRPr="00900F8E">
        <w:rPr>
          <w:rFonts w:ascii="Arial" w:hAnsi="Arial" w:cs="Arial"/>
        </w:rPr>
        <w:t xml:space="preserve"> dekompozicijsk</w:t>
      </w:r>
      <w:r w:rsidRPr="00900F8E">
        <w:rPr>
          <w:rFonts w:ascii="Arial" w:hAnsi="Arial" w:cs="Arial"/>
        </w:rPr>
        <w:t>o</w:t>
      </w:r>
      <w:r w:rsidR="00AC7A43" w:rsidRPr="00900F8E">
        <w:rPr>
          <w:rFonts w:ascii="Arial" w:hAnsi="Arial" w:cs="Arial"/>
        </w:rPr>
        <w:t xml:space="preserve"> analiz</w:t>
      </w:r>
      <w:r w:rsidRPr="00900F8E">
        <w:rPr>
          <w:rFonts w:ascii="Arial" w:hAnsi="Arial" w:cs="Arial"/>
        </w:rPr>
        <w:t>o</w:t>
      </w:r>
      <w:r w:rsidR="00CF5F3D" w:rsidRPr="00900F8E">
        <w:rPr>
          <w:rFonts w:ascii="Arial" w:hAnsi="Arial" w:cs="Arial"/>
        </w:rPr>
        <w:t xml:space="preserve">. </w:t>
      </w:r>
      <w:r w:rsidR="008142B9" w:rsidRPr="00900F8E">
        <w:rPr>
          <w:rFonts w:ascii="Arial" w:hAnsi="Arial" w:cs="Arial"/>
        </w:rPr>
        <w:t>Z</w:t>
      </w:r>
      <w:r w:rsidR="00CF5F3D" w:rsidRPr="00900F8E">
        <w:rPr>
          <w:rFonts w:ascii="Arial" w:hAnsi="Arial" w:cs="Arial"/>
        </w:rPr>
        <w:t xml:space="preserve"> analiz</w:t>
      </w:r>
      <w:r w:rsidR="008142B9" w:rsidRPr="00900F8E">
        <w:rPr>
          <w:rFonts w:ascii="Arial" w:hAnsi="Arial" w:cs="Arial"/>
        </w:rPr>
        <w:t>o</w:t>
      </w:r>
      <w:r w:rsidR="00CF5F3D" w:rsidRPr="00900F8E">
        <w:rPr>
          <w:rFonts w:ascii="Arial" w:hAnsi="Arial" w:cs="Arial"/>
        </w:rPr>
        <w:t xml:space="preserve"> preteklih emisij</w:t>
      </w:r>
      <w:r w:rsidR="008142B9" w:rsidRPr="00900F8E">
        <w:rPr>
          <w:rFonts w:ascii="Arial" w:hAnsi="Arial" w:cs="Arial"/>
        </w:rPr>
        <w:t xml:space="preserve"> TGP</w:t>
      </w:r>
      <w:r w:rsidR="00CF5F3D" w:rsidRPr="00900F8E">
        <w:rPr>
          <w:rFonts w:ascii="Arial" w:hAnsi="Arial" w:cs="Arial"/>
        </w:rPr>
        <w:t xml:space="preserve"> je bil pridobljen vpogled v glavne dejavnike, ki so vplivali na gibanje emisij v preteklosti, nato pa </w:t>
      </w:r>
      <w:r w:rsidR="00930529">
        <w:rPr>
          <w:rFonts w:ascii="Arial" w:hAnsi="Arial" w:cs="Arial"/>
        </w:rPr>
        <w:t xml:space="preserve">so </w:t>
      </w:r>
      <w:r w:rsidR="00CF5F3D" w:rsidRPr="00900F8E">
        <w:rPr>
          <w:rFonts w:ascii="Arial" w:hAnsi="Arial" w:cs="Arial"/>
        </w:rPr>
        <w:t>se rezultat</w:t>
      </w:r>
      <w:r w:rsidR="00930529">
        <w:rPr>
          <w:rFonts w:ascii="Arial" w:hAnsi="Arial" w:cs="Arial"/>
        </w:rPr>
        <w:t>i</w:t>
      </w:r>
      <w:r w:rsidR="00CF5F3D" w:rsidRPr="00900F8E">
        <w:rPr>
          <w:rFonts w:ascii="Arial" w:hAnsi="Arial" w:cs="Arial"/>
        </w:rPr>
        <w:t xml:space="preserve"> primerjal</w:t>
      </w:r>
      <w:r w:rsidR="00930529">
        <w:rPr>
          <w:rFonts w:ascii="Arial" w:hAnsi="Arial" w:cs="Arial"/>
        </w:rPr>
        <w:t>i</w:t>
      </w:r>
      <w:r w:rsidR="00CF5F3D" w:rsidRPr="00900F8E">
        <w:rPr>
          <w:rFonts w:ascii="Arial" w:hAnsi="Arial" w:cs="Arial"/>
        </w:rPr>
        <w:t xml:space="preserve"> </w:t>
      </w:r>
      <w:r w:rsidR="00005DD3" w:rsidRPr="00900F8E">
        <w:rPr>
          <w:rFonts w:ascii="Arial" w:hAnsi="Arial" w:cs="Arial"/>
        </w:rPr>
        <w:t>s kazalniki, ki se uporabljajo za spremljanje izvajanj</w:t>
      </w:r>
      <w:r w:rsidR="003D15A7" w:rsidRPr="00900F8E">
        <w:rPr>
          <w:rFonts w:ascii="Arial" w:hAnsi="Arial" w:cs="Arial"/>
        </w:rPr>
        <w:t>a</w:t>
      </w:r>
      <w:r w:rsidR="00005DD3" w:rsidRPr="00900F8E">
        <w:rPr>
          <w:rFonts w:ascii="Arial" w:hAnsi="Arial" w:cs="Arial"/>
        </w:rPr>
        <w:t xml:space="preserve"> ukrepov v </w:t>
      </w:r>
      <w:r w:rsidR="00CF5F3D" w:rsidRPr="00900F8E">
        <w:rPr>
          <w:rFonts w:ascii="Arial" w:hAnsi="Arial" w:cs="Arial"/>
        </w:rPr>
        <w:t>P</w:t>
      </w:r>
      <w:r w:rsidR="00005DD3" w:rsidRPr="00900F8E">
        <w:rPr>
          <w:rFonts w:ascii="Arial" w:hAnsi="Arial" w:cs="Arial"/>
        </w:rPr>
        <w:t>odnebnem ogledalu</w:t>
      </w:r>
      <w:r w:rsidR="00CF5F3D" w:rsidRPr="00900F8E">
        <w:rPr>
          <w:rFonts w:ascii="Arial" w:hAnsi="Arial" w:cs="Arial"/>
        </w:rPr>
        <w:t>.</w:t>
      </w:r>
      <w:r w:rsidR="008142B9" w:rsidRPr="00900F8E">
        <w:rPr>
          <w:rFonts w:ascii="Arial" w:hAnsi="Arial" w:cs="Arial"/>
        </w:rPr>
        <w:t xml:space="preserve"> Sledila je časovna analiza scenarija DUA SNP, ki je bil uporabljen v NEPN in ReDPS50 s ciljem pridobit</w:t>
      </w:r>
      <w:r w:rsidR="001A37FA">
        <w:rPr>
          <w:rFonts w:ascii="Arial" w:hAnsi="Arial" w:cs="Arial"/>
        </w:rPr>
        <w:t>i</w:t>
      </w:r>
      <w:r w:rsidR="008142B9" w:rsidRPr="00900F8E">
        <w:rPr>
          <w:rFonts w:ascii="Arial" w:hAnsi="Arial" w:cs="Arial"/>
        </w:rPr>
        <w:t xml:space="preserve"> vpogled v potrebno gibanje vplivnih faktorjev za dosego </w:t>
      </w:r>
      <w:r w:rsidR="001A37FA">
        <w:rPr>
          <w:rFonts w:ascii="Arial" w:hAnsi="Arial" w:cs="Arial"/>
        </w:rPr>
        <w:t xml:space="preserve">ciljev </w:t>
      </w:r>
      <w:r w:rsidR="00920F43" w:rsidRPr="00900F8E">
        <w:rPr>
          <w:rFonts w:ascii="Arial" w:hAnsi="Arial" w:cs="Arial"/>
        </w:rPr>
        <w:t>neETS</w:t>
      </w:r>
      <w:r w:rsidR="008142B9" w:rsidRPr="00900F8E">
        <w:rPr>
          <w:rFonts w:ascii="Arial" w:hAnsi="Arial" w:cs="Arial"/>
        </w:rPr>
        <w:t>.</w:t>
      </w:r>
    </w:p>
    <w:p w14:paraId="575373AC" w14:textId="77777777" w:rsidR="00F6593B" w:rsidRPr="00900F8E" w:rsidRDefault="00F6593B" w:rsidP="00005DD3">
      <w:pPr>
        <w:jc w:val="both"/>
        <w:rPr>
          <w:rFonts w:ascii="Arial" w:hAnsi="Arial" w:cs="Arial"/>
        </w:rPr>
      </w:pPr>
    </w:p>
    <w:p w14:paraId="58BC795C" w14:textId="522C6113" w:rsidR="00005DD3" w:rsidRPr="00900F8E" w:rsidRDefault="00CE6BBB" w:rsidP="00005DD3">
      <w:pPr>
        <w:jc w:val="both"/>
        <w:rPr>
          <w:rFonts w:ascii="Arial" w:hAnsi="Arial" w:cs="Arial"/>
          <w:highlight w:val="yellow"/>
        </w:rPr>
      </w:pPr>
      <w:r w:rsidRPr="00900F8E">
        <w:rPr>
          <w:rFonts w:ascii="Arial" w:hAnsi="Arial" w:cs="Arial"/>
        </w:rPr>
        <w:t>Rezultati kratkoročnih projekcij emisij TGP za let</w:t>
      </w:r>
      <w:r w:rsidR="00930529">
        <w:rPr>
          <w:rFonts w:ascii="Arial" w:hAnsi="Arial" w:cs="Arial"/>
        </w:rPr>
        <w:t>i</w:t>
      </w:r>
      <w:r w:rsidRPr="00900F8E">
        <w:rPr>
          <w:rFonts w:ascii="Arial" w:hAnsi="Arial" w:cs="Arial"/>
        </w:rPr>
        <w:t xml:space="preserve"> 2021 in 2022 so prikazani v </w:t>
      </w:r>
      <w:r w:rsidR="00930529">
        <w:rPr>
          <w:rFonts w:ascii="Arial" w:hAnsi="Arial" w:cs="Arial"/>
        </w:rPr>
        <w:t>preglednici</w:t>
      </w:r>
      <w:r w:rsidR="00930529" w:rsidRPr="00900F8E">
        <w:rPr>
          <w:rFonts w:ascii="Arial" w:hAnsi="Arial" w:cs="Arial"/>
        </w:rPr>
        <w:t xml:space="preserve"> </w:t>
      </w:r>
      <w:r w:rsidRPr="00900F8E">
        <w:rPr>
          <w:rFonts w:ascii="Arial" w:hAnsi="Arial" w:cs="Arial"/>
        </w:rPr>
        <w:t>2.</w:t>
      </w:r>
    </w:p>
    <w:p w14:paraId="532F4951" w14:textId="6FAC306E" w:rsidR="000D0CC3" w:rsidRPr="000D0CC3" w:rsidRDefault="00684BF8" w:rsidP="000D0CC3">
      <w:pPr>
        <w:pStyle w:val="Napis"/>
        <w:keepNext/>
        <w:rPr>
          <w:rFonts w:ascii="Arial" w:hAnsi="Arial" w:cs="Arial"/>
          <w:b/>
          <w:bCs/>
          <w:i w:val="0"/>
          <w:iCs w:val="0"/>
          <w:color w:val="auto"/>
          <w:sz w:val="22"/>
          <w:szCs w:val="22"/>
        </w:rPr>
      </w:pPr>
      <w:bookmarkStart w:id="4" w:name="_Toc112842030"/>
      <w:r>
        <w:rPr>
          <w:rFonts w:ascii="Arial" w:hAnsi="Arial" w:cs="Arial"/>
          <w:b/>
          <w:bCs/>
          <w:i w:val="0"/>
          <w:iCs w:val="0"/>
          <w:color w:val="auto"/>
          <w:sz w:val="22"/>
          <w:szCs w:val="22"/>
        </w:rPr>
        <w:t>Preglednica</w:t>
      </w:r>
      <w:r w:rsidR="000D0CC3" w:rsidRPr="000D0CC3">
        <w:rPr>
          <w:rFonts w:ascii="Arial" w:hAnsi="Arial" w:cs="Arial"/>
          <w:b/>
          <w:bCs/>
          <w:i w:val="0"/>
          <w:iCs w:val="0"/>
          <w:color w:val="auto"/>
          <w:sz w:val="22"/>
          <w:szCs w:val="22"/>
        </w:rPr>
        <w:t xml:space="preserve"> </w:t>
      </w:r>
      <w:r w:rsidR="000D0CC3" w:rsidRPr="000D0CC3">
        <w:rPr>
          <w:rFonts w:ascii="Arial" w:hAnsi="Arial" w:cs="Arial"/>
          <w:b/>
          <w:bCs/>
          <w:i w:val="0"/>
          <w:iCs w:val="0"/>
          <w:color w:val="auto"/>
          <w:sz w:val="22"/>
          <w:szCs w:val="22"/>
        </w:rPr>
        <w:fldChar w:fldCharType="begin"/>
      </w:r>
      <w:r w:rsidR="000D0CC3" w:rsidRPr="000D0CC3">
        <w:rPr>
          <w:rFonts w:ascii="Arial" w:hAnsi="Arial" w:cs="Arial"/>
          <w:b/>
          <w:bCs/>
          <w:i w:val="0"/>
          <w:iCs w:val="0"/>
          <w:color w:val="auto"/>
          <w:sz w:val="22"/>
          <w:szCs w:val="22"/>
        </w:rPr>
        <w:instrText xml:space="preserve"> SEQ Tabela \* ARABIC </w:instrText>
      </w:r>
      <w:r w:rsidR="000D0CC3" w:rsidRPr="000D0CC3">
        <w:rPr>
          <w:rFonts w:ascii="Arial" w:hAnsi="Arial" w:cs="Arial"/>
          <w:b/>
          <w:bCs/>
          <w:i w:val="0"/>
          <w:iCs w:val="0"/>
          <w:color w:val="auto"/>
          <w:sz w:val="22"/>
          <w:szCs w:val="22"/>
        </w:rPr>
        <w:fldChar w:fldCharType="separate"/>
      </w:r>
      <w:r w:rsidR="009B48AB">
        <w:rPr>
          <w:rFonts w:ascii="Arial" w:hAnsi="Arial" w:cs="Arial"/>
          <w:b/>
          <w:bCs/>
          <w:i w:val="0"/>
          <w:iCs w:val="0"/>
          <w:noProof/>
          <w:color w:val="auto"/>
          <w:sz w:val="22"/>
          <w:szCs w:val="22"/>
        </w:rPr>
        <w:t>2</w:t>
      </w:r>
      <w:r w:rsidR="000D0CC3" w:rsidRPr="000D0CC3">
        <w:rPr>
          <w:rFonts w:ascii="Arial" w:hAnsi="Arial" w:cs="Arial"/>
          <w:b/>
          <w:bCs/>
          <w:i w:val="0"/>
          <w:iCs w:val="0"/>
          <w:color w:val="auto"/>
          <w:sz w:val="22"/>
          <w:szCs w:val="22"/>
        </w:rPr>
        <w:fldChar w:fldCharType="end"/>
      </w:r>
      <w:r w:rsidR="000D0CC3" w:rsidRPr="000D0CC3">
        <w:rPr>
          <w:rFonts w:ascii="Arial" w:hAnsi="Arial" w:cs="Arial"/>
          <w:b/>
          <w:bCs/>
          <w:i w:val="0"/>
          <w:iCs w:val="0"/>
          <w:color w:val="auto"/>
          <w:sz w:val="22"/>
          <w:szCs w:val="22"/>
        </w:rPr>
        <w:t>: Kratkoročne projekcije emisij TGP v neETS (</w:t>
      </w:r>
      <w:r w:rsidR="0076295C">
        <w:rPr>
          <w:rFonts w:ascii="Arial" w:hAnsi="Arial" w:cs="Arial"/>
          <w:b/>
          <w:bCs/>
          <w:i w:val="0"/>
          <w:iCs w:val="0"/>
          <w:color w:val="auto"/>
          <w:sz w:val="22"/>
          <w:szCs w:val="22"/>
        </w:rPr>
        <w:t>V</w:t>
      </w:r>
      <w:r w:rsidR="000D0CC3" w:rsidRPr="000D0CC3">
        <w:rPr>
          <w:rFonts w:ascii="Arial" w:hAnsi="Arial" w:cs="Arial"/>
          <w:b/>
          <w:bCs/>
          <w:i w:val="0"/>
          <w:iCs w:val="0"/>
          <w:color w:val="auto"/>
          <w:sz w:val="22"/>
          <w:szCs w:val="22"/>
        </w:rPr>
        <w:t>ir: IJS-CEU, ARSO)</w:t>
      </w:r>
      <w:bookmarkEnd w:id="4"/>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120"/>
        <w:gridCol w:w="1120"/>
        <w:gridCol w:w="1120"/>
        <w:gridCol w:w="960"/>
        <w:gridCol w:w="960"/>
      </w:tblGrid>
      <w:tr w:rsidR="00005DD3" w:rsidRPr="00900F8E" w14:paraId="7E1EE724" w14:textId="77777777" w:rsidTr="007562F8">
        <w:trPr>
          <w:trHeight w:val="315"/>
        </w:trPr>
        <w:tc>
          <w:tcPr>
            <w:tcW w:w="3823" w:type="dxa"/>
            <w:shd w:val="clear" w:color="auto" w:fill="D0CECE" w:themeFill="background2" w:themeFillShade="E6"/>
            <w:noWrap/>
            <w:vAlign w:val="bottom"/>
            <w:hideMark/>
          </w:tcPr>
          <w:p w14:paraId="09DF62A7" w14:textId="20FD3969" w:rsidR="00005DD3" w:rsidRPr="00900F8E" w:rsidRDefault="00005DD3" w:rsidP="00005DD3">
            <w:pPr>
              <w:keepNext/>
              <w:keepLines/>
              <w:spacing w:after="0" w:line="240" w:lineRule="auto"/>
              <w:rPr>
                <w:rFonts w:ascii="Arial" w:eastAsia="Times New Roman" w:hAnsi="Arial" w:cs="Arial"/>
                <w:b/>
                <w:bCs/>
                <w:color w:val="000000"/>
                <w:lang w:eastAsia="sl-SI"/>
              </w:rPr>
            </w:pPr>
            <w:r w:rsidRPr="00900F8E">
              <w:rPr>
                <w:rFonts w:ascii="Arial" w:eastAsia="Times New Roman" w:hAnsi="Arial" w:cs="Arial"/>
                <w:b/>
                <w:bCs/>
                <w:color w:val="000000"/>
                <w:lang w:eastAsia="sl-SI"/>
              </w:rPr>
              <w:t>[kt</w:t>
            </w:r>
            <w:r w:rsidR="00F15480" w:rsidRPr="00900F8E">
              <w:rPr>
                <w:rFonts w:ascii="Arial" w:eastAsia="Times New Roman" w:hAnsi="Arial" w:cs="Arial"/>
                <w:b/>
                <w:bCs/>
                <w:color w:val="000000"/>
                <w:lang w:eastAsia="sl-SI"/>
              </w:rPr>
              <w:t xml:space="preserve"> ekv. CO</w:t>
            </w:r>
            <w:r w:rsidR="00F15480" w:rsidRPr="00900F8E">
              <w:rPr>
                <w:rFonts w:ascii="Arial" w:eastAsia="Times New Roman" w:hAnsi="Arial" w:cs="Arial"/>
                <w:b/>
                <w:bCs/>
                <w:color w:val="000000"/>
                <w:vertAlign w:val="subscript"/>
                <w:lang w:eastAsia="sl-SI"/>
              </w:rPr>
              <w:t>2</w:t>
            </w:r>
            <w:r w:rsidRPr="00900F8E">
              <w:rPr>
                <w:rFonts w:ascii="Arial" w:eastAsia="Times New Roman" w:hAnsi="Arial" w:cs="Arial"/>
                <w:b/>
                <w:bCs/>
                <w:color w:val="000000"/>
                <w:lang w:eastAsia="sl-SI"/>
              </w:rPr>
              <w:t>]</w:t>
            </w:r>
          </w:p>
        </w:tc>
        <w:tc>
          <w:tcPr>
            <w:tcW w:w="1120" w:type="dxa"/>
            <w:shd w:val="clear" w:color="auto" w:fill="D0CECE" w:themeFill="background2" w:themeFillShade="E6"/>
            <w:noWrap/>
            <w:vAlign w:val="bottom"/>
            <w:hideMark/>
          </w:tcPr>
          <w:p w14:paraId="59D85B8F"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Times New Roman" w:hAnsi="Arial" w:cs="Arial"/>
                <w:b/>
                <w:bCs/>
                <w:lang w:eastAsia="sl-SI"/>
              </w:rPr>
              <w:t>2018</w:t>
            </w:r>
          </w:p>
        </w:tc>
        <w:tc>
          <w:tcPr>
            <w:tcW w:w="1120" w:type="dxa"/>
            <w:shd w:val="clear" w:color="auto" w:fill="D0CECE" w:themeFill="background2" w:themeFillShade="E6"/>
            <w:noWrap/>
            <w:vAlign w:val="bottom"/>
            <w:hideMark/>
          </w:tcPr>
          <w:p w14:paraId="5C3D744F"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Times New Roman" w:hAnsi="Arial" w:cs="Arial"/>
                <w:b/>
                <w:bCs/>
                <w:lang w:eastAsia="sl-SI"/>
              </w:rPr>
              <w:t>2019</w:t>
            </w:r>
          </w:p>
        </w:tc>
        <w:tc>
          <w:tcPr>
            <w:tcW w:w="1120" w:type="dxa"/>
            <w:shd w:val="clear" w:color="auto" w:fill="D0CECE" w:themeFill="background2" w:themeFillShade="E6"/>
            <w:noWrap/>
            <w:vAlign w:val="bottom"/>
            <w:hideMark/>
          </w:tcPr>
          <w:p w14:paraId="3CA3E21A"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Times New Roman" w:hAnsi="Arial" w:cs="Arial"/>
                <w:b/>
                <w:bCs/>
                <w:lang w:eastAsia="sl-SI"/>
              </w:rPr>
              <w:t>2020</w:t>
            </w:r>
          </w:p>
        </w:tc>
        <w:tc>
          <w:tcPr>
            <w:tcW w:w="960" w:type="dxa"/>
            <w:shd w:val="clear" w:color="auto" w:fill="D0CECE" w:themeFill="background2" w:themeFillShade="E6"/>
            <w:noWrap/>
            <w:vAlign w:val="bottom"/>
            <w:hideMark/>
          </w:tcPr>
          <w:p w14:paraId="7625CC65"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Times New Roman" w:hAnsi="Arial" w:cs="Arial"/>
                <w:b/>
                <w:bCs/>
                <w:lang w:eastAsia="sl-SI"/>
              </w:rPr>
              <w:t>2021</w:t>
            </w:r>
          </w:p>
        </w:tc>
        <w:tc>
          <w:tcPr>
            <w:tcW w:w="960" w:type="dxa"/>
            <w:shd w:val="clear" w:color="auto" w:fill="D0CECE" w:themeFill="background2" w:themeFillShade="E6"/>
            <w:noWrap/>
            <w:vAlign w:val="bottom"/>
            <w:hideMark/>
          </w:tcPr>
          <w:p w14:paraId="231F2D70"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Times New Roman" w:hAnsi="Arial" w:cs="Arial"/>
                <w:b/>
                <w:bCs/>
                <w:lang w:eastAsia="sl-SI"/>
              </w:rPr>
              <w:t>2022</w:t>
            </w:r>
          </w:p>
        </w:tc>
      </w:tr>
      <w:tr w:rsidR="00005DD3" w:rsidRPr="00900F8E" w14:paraId="13D1B805" w14:textId="77777777" w:rsidTr="007562F8">
        <w:trPr>
          <w:trHeight w:val="300"/>
        </w:trPr>
        <w:tc>
          <w:tcPr>
            <w:tcW w:w="3823" w:type="dxa"/>
            <w:shd w:val="clear" w:color="auto" w:fill="auto"/>
            <w:vAlign w:val="bottom"/>
            <w:hideMark/>
          </w:tcPr>
          <w:p w14:paraId="350779FC" w14:textId="1092AC69" w:rsidR="00005DD3" w:rsidRPr="00900F8E" w:rsidRDefault="00005DD3" w:rsidP="00005DD3">
            <w:pPr>
              <w:keepNext/>
              <w:keepLines/>
              <w:spacing w:after="0" w:line="240" w:lineRule="auto"/>
              <w:rPr>
                <w:rFonts w:ascii="Arial" w:eastAsia="Times New Roman" w:hAnsi="Arial" w:cs="Arial"/>
                <w:lang w:eastAsia="sl-SI"/>
              </w:rPr>
            </w:pPr>
            <w:r w:rsidRPr="00900F8E">
              <w:rPr>
                <w:rFonts w:ascii="Arial" w:eastAsia="Calibri" w:hAnsi="Arial" w:cs="Arial"/>
              </w:rPr>
              <w:t xml:space="preserve">Transformacije + </w:t>
            </w:r>
            <w:r w:rsidR="00780F4B" w:rsidRPr="00900F8E">
              <w:rPr>
                <w:rFonts w:ascii="Arial" w:eastAsia="Calibri" w:hAnsi="Arial" w:cs="Arial"/>
              </w:rPr>
              <w:t>u</w:t>
            </w:r>
            <w:r w:rsidRPr="00900F8E">
              <w:rPr>
                <w:rFonts w:ascii="Arial" w:eastAsia="Calibri" w:hAnsi="Arial" w:cs="Arial"/>
              </w:rPr>
              <w:t>bežne emisije</w:t>
            </w:r>
          </w:p>
        </w:tc>
        <w:tc>
          <w:tcPr>
            <w:tcW w:w="1120" w:type="dxa"/>
            <w:shd w:val="clear" w:color="auto" w:fill="auto"/>
            <w:noWrap/>
            <w:vAlign w:val="bottom"/>
            <w:hideMark/>
          </w:tcPr>
          <w:p w14:paraId="7ADF8246"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552,5</w:t>
            </w:r>
          </w:p>
        </w:tc>
        <w:tc>
          <w:tcPr>
            <w:tcW w:w="1120" w:type="dxa"/>
            <w:shd w:val="clear" w:color="auto" w:fill="auto"/>
            <w:noWrap/>
            <w:vAlign w:val="bottom"/>
            <w:hideMark/>
          </w:tcPr>
          <w:p w14:paraId="6B95AD70"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536,7</w:t>
            </w:r>
          </w:p>
        </w:tc>
        <w:tc>
          <w:tcPr>
            <w:tcW w:w="1120" w:type="dxa"/>
            <w:shd w:val="clear" w:color="auto" w:fill="auto"/>
            <w:noWrap/>
            <w:vAlign w:val="bottom"/>
            <w:hideMark/>
          </w:tcPr>
          <w:p w14:paraId="682BA52F"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536,0</w:t>
            </w:r>
          </w:p>
        </w:tc>
        <w:tc>
          <w:tcPr>
            <w:tcW w:w="960" w:type="dxa"/>
            <w:shd w:val="clear" w:color="auto" w:fill="FFFFFF" w:themeFill="background1"/>
            <w:noWrap/>
            <w:vAlign w:val="bottom"/>
            <w:hideMark/>
          </w:tcPr>
          <w:p w14:paraId="6D6CF3E2"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536</w:t>
            </w:r>
          </w:p>
        </w:tc>
        <w:tc>
          <w:tcPr>
            <w:tcW w:w="960" w:type="dxa"/>
            <w:shd w:val="clear" w:color="auto" w:fill="FFFFFF" w:themeFill="background1"/>
            <w:noWrap/>
            <w:vAlign w:val="bottom"/>
            <w:hideMark/>
          </w:tcPr>
          <w:p w14:paraId="07D50FF4"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536</w:t>
            </w:r>
          </w:p>
        </w:tc>
      </w:tr>
      <w:tr w:rsidR="00005DD3" w:rsidRPr="00900F8E" w14:paraId="0BE18841" w14:textId="77777777" w:rsidTr="003847F4">
        <w:trPr>
          <w:trHeight w:val="300"/>
        </w:trPr>
        <w:tc>
          <w:tcPr>
            <w:tcW w:w="3823" w:type="dxa"/>
            <w:shd w:val="clear" w:color="auto" w:fill="auto"/>
            <w:vAlign w:val="bottom"/>
            <w:hideMark/>
          </w:tcPr>
          <w:p w14:paraId="158BE83E" w14:textId="27D2A418" w:rsidR="00005DD3" w:rsidRPr="00900F8E" w:rsidRDefault="00005DD3" w:rsidP="00005DD3">
            <w:pPr>
              <w:keepNext/>
              <w:keepLines/>
              <w:spacing w:after="0" w:line="240" w:lineRule="auto"/>
              <w:rPr>
                <w:rFonts w:ascii="Arial" w:eastAsia="Times New Roman" w:hAnsi="Arial" w:cs="Arial"/>
                <w:lang w:eastAsia="sl-SI"/>
              </w:rPr>
            </w:pPr>
            <w:r w:rsidRPr="00900F8E">
              <w:rPr>
                <w:rFonts w:ascii="Arial" w:eastAsia="Calibri" w:hAnsi="Arial" w:cs="Arial"/>
              </w:rPr>
              <w:t>Ind. in gradb</w:t>
            </w:r>
            <w:r w:rsidR="00780F4B" w:rsidRPr="00900F8E">
              <w:rPr>
                <w:rFonts w:ascii="Arial" w:eastAsia="Calibri" w:hAnsi="Arial" w:cs="Arial"/>
              </w:rPr>
              <w:t>eništvo</w:t>
            </w:r>
            <w:r w:rsidRPr="00900F8E">
              <w:rPr>
                <w:rFonts w:ascii="Arial" w:eastAsia="Calibri" w:hAnsi="Arial" w:cs="Arial"/>
              </w:rPr>
              <w:t xml:space="preserve"> (raba goriv)</w:t>
            </w:r>
          </w:p>
        </w:tc>
        <w:tc>
          <w:tcPr>
            <w:tcW w:w="1120" w:type="dxa"/>
            <w:shd w:val="clear" w:color="auto" w:fill="auto"/>
            <w:noWrap/>
            <w:vAlign w:val="bottom"/>
            <w:hideMark/>
          </w:tcPr>
          <w:p w14:paraId="33595848"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709,2</w:t>
            </w:r>
          </w:p>
        </w:tc>
        <w:tc>
          <w:tcPr>
            <w:tcW w:w="1120" w:type="dxa"/>
            <w:shd w:val="clear" w:color="auto" w:fill="auto"/>
            <w:noWrap/>
            <w:vAlign w:val="bottom"/>
            <w:hideMark/>
          </w:tcPr>
          <w:p w14:paraId="059CA01F"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684,0</w:t>
            </w:r>
          </w:p>
        </w:tc>
        <w:tc>
          <w:tcPr>
            <w:tcW w:w="1120" w:type="dxa"/>
            <w:shd w:val="clear" w:color="auto" w:fill="auto"/>
            <w:noWrap/>
            <w:vAlign w:val="bottom"/>
            <w:hideMark/>
          </w:tcPr>
          <w:p w14:paraId="64B77032"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689,6</w:t>
            </w:r>
          </w:p>
        </w:tc>
        <w:tc>
          <w:tcPr>
            <w:tcW w:w="960" w:type="dxa"/>
            <w:shd w:val="clear" w:color="auto" w:fill="FFFFFF" w:themeFill="background1"/>
            <w:noWrap/>
            <w:vAlign w:val="bottom"/>
            <w:hideMark/>
          </w:tcPr>
          <w:p w14:paraId="6C580B13"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714</w:t>
            </w:r>
          </w:p>
        </w:tc>
        <w:tc>
          <w:tcPr>
            <w:tcW w:w="960" w:type="dxa"/>
            <w:shd w:val="clear" w:color="auto" w:fill="FFF2CC" w:themeFill="accent4" w:themeFillTint="33"/>
            <w:noWrap/>
            <w:vAlign w:val="bottom"/>
            <w:hideMark/>
          </w:tcPr>
          <w:p w14:paraId="08ADBABD"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737</w:t>
            </w:r>
          </w:p>
        </w:tc>
      </w:tr>
      <w:tr w:rsidR="00005DD3" w:rsidRPr="00900F8E" w14:paraId="74EF0151" w14:textId="77777777" w:rsidTr="008E130D">
        <w:trPr>
          <w:trHeight w:val="300"/>
        </w:trPr>
        <w:tc>
          <w:tcPr>
            <w:tcW w:w="3823" w:type="dxa"/>
            <w:shd w:val="clear" w:color="auto" w:fill="auto"/>
            <w:noWrap/>
            <w:vAlign w:val="bottom"/>
            <w:hideMark/>
          </w:tcPr>
          <w:p w14:paraId="6634E3CD" w14:textId="77777777" w:rsidR="00005DD3" w:rsidRPr="00900F8E" w:rsidRDefault="00005DD3" w:rsidP="00005DD3">
            <w:pPr>
              <w:keepNext/>
              <w:keepLines/>
              <w:spacing w:after="0" w:line="240" w:lineRule="auto"/>
              <w:rPr>
                <w:rFonts w:ascii="Arial" w:eastAsia="Times New Roman" w:hAnsi="Arial" w:cs="Arial"/>
                <w:color w:val="000000"/>
                <w:lang w:eastAsia="sl-SI"/>
              </w:rPr>
            </w:pPr>
            <w:r w:rsidRPr="00900F8E">
              <w:rPr>
                <w:rFonts w:ascii="Arial" w:eastAsia="Calibri" w:hAnsi="Arial" w:cs="Arial"/>
                <w:color w:val="000000"/>
              </w:rPr>
              <w:t>Promet</w:t>
            </w:r>
          </w:p>
        </w:tc>
        <w:tc>
          <w:tcPr>
            <w:tcW w:w="1120" w:type="dxa"/>
            <w:shd w:val="clear" w:color="auto" w:fill="auto"/>
            <w:noWrap/>
            <w:vAlign w:val="bottom"/>
            <w:hideMark/>
          </w:tcPr>
          <w:p w14:paraId="16142689"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5.835,0</w:t>
            </w:r>
          </w:p>
        </w:tc>
        <w:tc>
          <w:tcPr>
            <w:tcW w:w="1120" w:type="dxa"/>
            <w:shd w:val="clear" w:color="auto" w:fill="auto"/>
            <w:noWrap/>
            <w:vAlign w:val="bottom"/>
            <w:hideMark/>
          </w:tcPr>
          <w:p w14:paraId="1E17214D"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5.625,0</w:t>
            </w:r>
          </w:p>
        </w:tc>
        <w:tc>
          <w:tcPr>
            <w:tcW w:w="1120" w:type="dxa"/>
            <w:shd w:val="clear" w:color="auto" w:fill="auto"/>
            <w:noWrap/>
            <w:vAlign w:val="bottom"/>
            <w:hideMark/>
          </w:tcPr>
          <w:p w14:paraId="78653E0B"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4.575,5</w:t>
            </w:r>
          </w:p>
        </w:tc>
        <w:tc>
          <w:tcPr>
            <w:tcW w:w="960" w:type="dxa"/>
            <w:shd w:val="clear" w:color="auto" w:fill="auto"/>
            <w:noWrap/>
            <w:vAlign w:val="bottom"/>
            <w:hideMark/>
          </w:tcPr>
          <w:p w14:paraId="5F0A193D" w14:textId="69A69730" w:rsidR="00005DD3" w:rsidRPr="00900F8E" w:rsidRDefault="008E130D"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4.912</w:t>
            </w:r>
          </w:p>
        </w:tc>
        <w:tc>
          <w:tcPr>
            <w:tcW w:w="960" w:type="dxa"/>
            <w:shd w:val="clear" w:color="auto" w:fill="FFF2CC" w:themeFill="accent4" w:themeFillTint="33"/>
            <w:noWrap/>
            <w:vAlign w:val="bottom"/>
            <w:hideMark/>
          </w:tcPr>
          <w:p w14:paraId="21773312" w14:textId="3A526A37" w:rsidR="00005DD3" w:rsidRPr="00900F8E" w:rsidRDefault="000A2508" w:rsidP="00005DD3">
            <w:pPr>
              <w:keepNext/>
              <w:keepLines/>
              <w:spacing w:after="0" w:line="240" w:lineRule="auto"/>
              <w:jc w:val="right"/>
              <w:rPr>
                <w:rFonts w:ascii="Arial" w:eastAsia="Times New Roman" w:hAnsi="Arial" w:cs="Arial"/>
                <w:color w:val="000000"/>
                <w:lang w:eastAsia="sl-SI"/>
              </w:rPr>
            </w:pPr>
            <w:r>
              <w:rPr>
                <w:rFonts w:ascii="Arial" w:eastAsia="Calibri" w:hAnsi="Arial" w:cs="Arial"/>
                <w:color w:val="000000"/>
              </w:rPr>
              <w:t>6</w:t>
            </w:r>
            <w:r w:rsidR="00005DD3" w:rsidRPr="00900F8E">
              <w:rPr>
                <w:rFonts w:ascii="Arial" w:eastAsia="Calibri" w:hAnsi="Arial" w:cs="Arial"/>
                <w:color w:val="000000"/>
              </w:rPr>
              <w:t>.</w:t>
            </w:r>
            <w:r>
              <w:rPr>
                <w:rFonts w:ascii="Arial" w:eastAsia="Calibri" w:hAnsi="Arial" w:cs="Arial"/>
                <w:color w:val="000000"/>
              </w:rPr>
              <w:t>327</w:t>
            </w:r>
          </w:p>
        </w:tc>
      </w:tr>
      <w:tr w:rsidR="00005DD3" w:rsidRPr="00900F8E" w14:paraId="10AC2BCE" w14:textId="77777777" w:rsidTr="003847F4">
        <w:trPr>
          <w:trHeight w:val="300"/>
        </w:trPr>
        <w:tc>
          <w:tcPr>
            <w:tcW w:w="3823" w:type="dxa"/>
            <w:shd w:val="clear" w:color="auto" w:fill="auto"/>
            <w:vAlign w:val="bottom"/>
            <w:hideMark/>
          </w:tcPr>
          <w:p w14:paraId="10128115" w14:textId="339DECBD" w:rsidR="00005DD3" w:rsidRPr="00900F8E" w:rsidRDefault="00005DD3" w:rsidP="00005DD3">
            <w:pPr>
              <w:keepNext/>
              <w:keepLines/>
              <w:spacing w:after="0" w:line="240" w:lineRule="auto"/>
              <w:rPr>
                <w:rFonts w:ascii="Arial" w:eastAsia="Times New Roman" w:hAnsi="Arial" w:cs="Arial"/>
                <w:lang w:eastAsia="sl-SI"/>
              </w:rPr>
            </w:pPr>
            <w:r w:rsidRPr="00900F8E">
              <w:rPr>
                <w:rFonts w:ascii="Arial" w:eastAsia="Calibri" w:hAnsi="Arial" w:cs="Arial"/>
              </w:rPr>
              <w:t>Široka raba</w:t>
            </w:r>
            <w:r w:rsidR="006C3EE0" w:rsidRPr="00900F8E">
              <w:rPr>
                <w:rFonts w:ascii="Arial" w:eastAsia="Calibri" w:hAnsi="Arial" w:cs="Arial"/>
              </w:rPr>
              <w:t xml:space="preserve"> (glej naslednje tri vrstice)</w:t>
            </w:r>
          </w:p>
        </w:tc>
        <w:tc>
          <w:tcPr>
            <w:tcW w:w="1120" w:type="dxa"/>
            <w:shd w:val="clear" w:color="auto" w:fill="auto"/>
            <w:noWrap/>
            <w:vAlign w:val="bottom"/>
            <w:hideMark/>
          </w:tcPr>
          <w:p w14:paraId="30EEB176"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1.361,4</w:t>
            </w:r>
          </w:p>
        </w:tc>
        <w:tc>
          <w:tcPr>
            <w:tcW w:w="1120" w:type="dxa"/>
            <w:shd w:val="clear" w:color="auto" w:fill="auto"/>
            <w:noWrap/>
            <w:vAlign w:val="bottom"/>
            <w:hideMark/>
          </w:tcPr>
          <w:p w14:paraId="501AC37F"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1.347,8</w:t>
            </w:r>
          </w:p>
        </w:tc>
        <w:tc>
          <w:tcPr>
            <w:tcW w:w="1120" w:type="dxa"/>
            <w:shd w:val="clear" w:color="auto" w:fill="auto"/>
            <w:noWrap/>
            <w:vAlign w:val="bottom"/>
            <w:hideMark/>
          </w:tcPr>
          <w:p w14:paraId="2DCAD1DA"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1.349,6</w:t>
            </w:r>
          </w:p>
        </w:tc>
        <w:tc>
          <w:tcPr>
            <w:tcW w:w="960" w:type="dxa"/>
            <w:shd w:val="clear" w:color="auto" w:fill="FFFFFF" w:themeFill="background1"/>
            <w:noWrap/>
            <w:vAlign w:val="bottom"/>
            <w:hideMark/>
          </w:tcPr>
          <w:p w14:paraId="58E1758E"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1.281</w:t>
            </w:r>
          </w:p>
        </w:tc>
        <w:tc>
          <w:tcPr>
            <w:tcW w:w="960" w:type="dxa"/>
            <w:shd w:val="clear" w:color="auto" w:fill="FFF2CC" w:themeFill="accent4" w:themeFillTint="33"/>
            <w:noWrap/>
            <w:vAlign w:val="bottom"/>
            <w:hideMark/>
          </w:tcPr>
          <w:p w14:paraId="5C67AEDD" w14:textId="4AA750F0"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1.4</w:t>
            </w:r>
            <w:r w:rsidR="00573A98" w:rsidRPr="00900F8E">
              <w:rPr>
                <w:rFonts w:ascii="Arial" w:eastAsia="Calibri" w:hAnsi="Arial" w:cs="Arial"/>
                <w:color w:val="000000"/>
              </w:rPr>
              <w:t>1</w:t>
            </w:r>
            <w:r w:rsidR="000A2508">
              <w:rPr>
                <w:rFonts w:ascii="Arial" w:eastAsia="Calibri" w:hAnsi="Arial" w:cs="Arial"/>
                <w:color w:val="000000"/>
              </w:rPr>
              <w:t>5</w:t>
            </w:r>
          </w:p>
        </w:tc>
      </w:tr>
      <w:tr w:rsidR="00005DD3" w:rsidRPr="00900F8E" w14:paraId="7365E590" w14:textId="77777777" w:rsidTr="00C25CC6">
        <w:trPr>
          <w:trHeight w:val="300"/>
        </w:trPr>
        <w:tc>
          <w:tcPr>
            <w:tcW w:w="3823" w:type="dxa"/>
            <w:shd w:val="clear" w:color="auto" w:fill="auto"/>
            <w:vAlign w:val="bottom"/>
            <w:hideMark/>
          </w:tcPr>
          <w:p w14:paraId="3819374F" w14:textId="77777777" w:rsidR="00005DD3" w:rsidRPr="00900F8E" w:rsidRDefault="00005DD3" w:rsidP="00005DD3">
            <w:pPr>
              <w:keepNext/>
              <w:keepLines/>
              <w:spacing w:after="0" w:line="240" w:lineRule="auto"/>
              <w:rPr>
                <w:rFonts w:ascii="Arial" w:eastAsia="Times New Roman" w:hAnsi="Arial" w:cs="Arial"/>
                <w:sz w:val="18"/>
                <w:szCs w:val="18"/>
                <w:lang w:eastAsia="sl-SI"/>
              </w:rPr>
            </w:pPr>
            <w:r w:rsidRPr="00900F8E">
              <w:rPr>
                <w:rFonts w:ascii="Arial" w:eastAsia="Calibri" w:hAnsi="Arial" w:cs="Arial"/>
                <w:sz w:val="18"/>
                <w:szCs w:val="18"/>
              </w:rPr>
              <w:t>Storitve</w:t>
            </w:r>
          </w:p>
        </w:tc>
        <w:tc>
          <w:tcPr>
            <w:tcW w:w="1120" w:type="dxa"/>
            <w:shd w:val="clear" w:color="auto" w:fill="auto"/>
            <w:noWrap/>
            <w:vAlign w:val="bottom"/>
            <w:hideMark/>
          </w:tcPr>
          <w:p w14:paraId="3A6B9164"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331,1</w:t>
            </w:r>
          </w:p>
        </w:tc>
        <w:tc>
          <w:tcPr>
            <w:tcW w:w="1120" w:type="dxa"/>
            <w:shd w:val="clear" w:color="auto" w:fill="auto"/>
            <w:noWrap/>
            <w:vAlign w:val="bottom"/>
            <w:hideMark/>
          </w:tcPr>
          <w:p w14:paraId="4BB56BF0"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342,0</w:t>
            </w:r>
          </w:p>
        </w:tc>
        <w:tc>
          <w:tcPr>
            <w:tcW w:w="1120" w:type="dxa"/>
            <w:shd w:val="clear" w:color="auto" w:fill="auto"/>
            <w:noWrap/>
            <w:vAlign w:val="bottom"/>
            <w:hideMark/>
          </w:tcPr>
          <w:p w14:paraId="09FAC263"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336,0</w:t>
            </w:r>
          </w:p>
        </w:tc>
        <w:tc>
          <w:tcPr>
            <w:tcW w:w="960" w:type="dxa"/>
            <w:shd w:val="clear" w:color="auto" w:fill="FFFFFF" w:themeFill="background1"/>
            <w:noWrap/>
            <w:vAlign w:val="bottom"/>
            <w:hideMark/>
          </w:tcPr>
          <w:p w14:paraId="74000E87"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328</w:t>
            </w:r>
          </w:p>
        </w:tc>
        <w:tc>
          <w:tcPr>
            <w:tcW w:w="960" w:type="dxa"/>
            <w:shd w:val="clear" w:color="auto" w:fill="auto"/>
            <w:noWrap/>
            <w:vAlign w:val="bottom"/>
            <w:hideMark/>
          </w:tcPr>
          <w:p w14:paraId="413A4495" w14:textId="0DC7C085"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3</w:t>
            </w:r>
            <w:r w:rsidR="00573A98" w:rsidRPr="00900F8E">
              <w:rPr>
                <w:rFonts w:ascii="Arial" w:eastAsia="Calibri" w:hAnsi="Arial" w:cs="Arial"/>
                <w:color w:val="000000"/>
                <w:sz w:val="18"/>
                <w:szCs w:val="18"/>
              </w:rPr>
              <w:t>6</w:t>
            </w:r>
            <w:r w:rsidR="000A2508">
              <w:rPr>
                <w:rFonts w:ascii="Arial" w:eastAsia="Calibri" w:hAnsi="Arial" w:cs="Arial"/>
                <w:color w:val="000000"/>
                <w:sz w:val="18"/>
                <w:szCs w:val="18"/>
              </w:rPr>
              <w:t>8</w:t>
            </w:r>
          </w:p>
        </w:tc>
      </w:tr>
      <w:tr w:rsidR="00005DD3" w:rsidRPr="00900F8E" w14:paraId="19C430E0" w14:textId="77777777" w:rsidTr="00C25CC6">
        <w:trPr>
          <w:trHeight w:val="300"/>
        </w:trPr>
        <w:tc>
          <w:tcPr>
            <w:tcW w:w="3823" w:type="dxa"/>
            <w:shd w:val="clear" w:color="auto" w:fill="auto"/>
            <w:noWrap/>
            <w:vAlign w:val="bottom"/>
            <w:hideMark/>
          </w:tcPr>
          <w:p w14:paraId="2724B28F" w14:textId="77777777" w:rsidR="00005DD3" w:rsidRPr="00900F8E" w:rsidRDefault="00005DD3" w:rsidP="00005DD3">
            <w:pPr>
              <w:keepNext/>
              <w:keepLines/>
              <w:spacing w:after="0" w:line="240" w:lineRule="auto"/>
              <w:rPr>
                <w:rFonts w:ascii="Arial" w:eastAsia="Times New Roman" w:hAnsi="Arial" w:cs="Arial"/>
                <w:b/>
                <w:bCs/>
                <w:sz w:val="18"/>
                <w:szCs w:val="18"/>
                <w:lang w:eastAsia="sl-SI"/>
              </w:rPr>
            </w:pPr>
            <w:r w:rsidRPr="00900F8E">
              <w:rPr>
                <w:rFonts w:ascii="Arial" w:eastAsia="Calibri" w:hAnsi="Arial" w:cs="Arial"/>
                <w:sz w:val="18"/>
                <w:szCs w:val="18"/>
              </w:rPr>
              <w:t>Gospodinjstva</w:t>
            </w:r>
          </w:p>
        </w:tc>
        <w:tc>
          <w:tcPr>
            <w:tcW w:w="1120" w:type="dxa"/>
            <w:shd w:val="clear" w:color="auto" w:fill="auto"/>
            <w:noWrap/>
            <w:vAlign w:val="bottom"/>
            <w:hideMark/>
          </w:tcPr>
          <w:p w14:paraId="45E2EB7F" w14:textId="77777777" w:rsidR="00005DD3" w:rsidRPr="00900F8E" w:rsidRDefault="00005DD3" w:rsidP="00005DD3">
            <w:pPr>
              <w:keepNext/>
              <w:keepLines/>
              <w:spacing w:after="0" w:line="240" w:lineRule="auto"/>
              <w:jc w:val="right"/>
              <w:rPr>
                <w:rFonts w:ascii="Arial" w:eastAsia="Times New Roman" w:hAnsi="Arial" w:cs="Arial"/>
                <w:b/>
                <w:bCs/>
                <w:sz w:val="18"/>
                <w:szCs w:val="18"/>
                <w:lang w:eastAsia="sl-SI"/>
              </w:rPr>
            </w:pPr>
            <w:r w:rsidRPr="00900F8E">
              <w:rPr>
                <w:rFonts w:ascii="Arial" w:eastAsia="Calibri" w:hAnsi="Arial" w:cs="Arial"/>
                <w:color w:val="000000"/>
                <w:sz w:val="18"/>
                <w:szCs w:val="18"/>
              </w:rPr>
              <w:t>790,5</w:t>
            </w:r>
          </w:p>
        </w:tc>
        <w:tc>
          <w:tcPr>
            <w:tcW w:w="1120" w:type="dxa"/>
            <w:shd w:val="clear" w:color="auto" w:fill="auto"/>
            <w:noWrap/>
            <w:vAlign w:val="bottom"/>
            <w:hideMark/>
          </w:tcPr>
          <w:p w14:paraId="2D712EEB" w14:textId="77777777" w:rsidR="00005DD3" w:rsidRPr="00900F8E" w:rsidRDefault="00005DD3" w:rsidP="00005DD3">
            <w:pPr>
              <w:keepNext/>
              <w:keepLines/>
              <w:spacing w:after="0" w:line="240" w:lineRule="auto"/>
              <w:jc w:val="right"/>
              <w:rPr>
                <w:rFonts w:ascii="Arial" w:eastAsia="Times New Roman" w:hAnsi="Arial" w:cs="Arial"/>
                <w:b/>
                <w:bCs/>
                <w:sz w:val="18"/>
                <w:szCs w:val="18"/>
                <w:lang w:eastAsia="sl-SI"/>
              </w:rPr>
            </w:pPr>
            <w:r w:rsidRPr="00900F8E">
              <w:rPr>
                <w:rFonts w:ascii="Arial" w:eastAsia="Calibri" w:hAnsi="Arial" w:cs="Arial"/>
                <w:color w:val="000000"/>
                <w:sz w:val="18"/>
                <w:szCs w:val="18"/>
              </w:rPr>
              <w:t>768,5</w:t>
            </w:r>
          </w:p>
        </w:tc>
        <w:tc>
          <w:tcPr>
            <w:tcW w:w="1120" w:type="dxa"/>
            <w:shd w:val="clear" w:color="auto" w:fill="auto"/>
            <w:noWrap/>
            <w:vAlign w:val="bottom"/>
            <w:hideMark/>
          </w:tcPr>
          <w:p w14:paraId="6A21C7A8" w14:textId="77777777" w:rsidR="00005DD3" w:rsidRPr="00900F8E" w:rsidRDefault="00005DD3" w:rsidP="00005DD3">
            <w:pPr>
              <w:keepNext/>
              <w:keepLines/>
              <w:spacing w:after="0" w:line="240" w:lineRule="auto"/>
              <w:jc w:val="right"/>
              <w:rPr>
                <w:rFonts w:ascii="Arial" w:eastAsia="Times New Roman" w:hAnsi="Arial" w:cs="Arial"/>
                <w:b/>
                <w:bCs/>
                <w:sz w:val="18"/>
                <w:szCs w:val="18"/>
                <w:lang w:eastAsia="sl-SI"/>
              </w:rPr>
            </w:pPr>
            <w:r w:rsidRPr="00900F8E">
              <w:rPr>
                <w:rFonts w:ascii="Arial" w:eastAsia="Calibri" w:hAnsi="Arial" w:cs="Arial"/>
                <w:color w:val="000000"/>
                <w:sz w:val="18"/>
                <w:szCs w:val="18"/>
              </w:rPr>
              <w:t>781,4</w:t>
            </w:r>
          </w:p>
        </w:tc>
        <w:tc>
          <w:tcPr>
            <w:tcW w:w="960" w:type="dxa"/>
            <w:shd w:val="clear" w:color="auto" w:fill="FFFFFF" w:themeFill="background1"/>
            <w:noWrap/>
            <w:vAlign w:val="bottom"/>
            <w:hideMark/>
          </w:tcPr>
          <w:p w14:paraId="2CF57384" w14:textId="77777777" w:rsidR="00005DD3" w:rsidRPr="00900F8E" w:rsidRDefault="00005DD3" w:rsidP="00005DD3">
            <w:pPr>
              <w:keepNext/>
              <w:keepLines/>
              <w:spacing w:after="0" w:line="240" w:lineRule="auto"/>
              <w:jc w:val="right"/>
              <w:rPr>
                <w:rFonts w:ascii="Arial" w:eastAsia="Times New Roman" w:hAnsi="Arial" w:cs="Arial"/>
                <w:b/>
                <w:bCs/>
                <w:sz w:val="18"/>
                <w:szCs w:val="18"/>
                <w:lang w:eastAsia="sl-SI"/>
              </w:rPr>
            </w:pPr>
            <w:r w:rsidRPr="00900F8E">
              <w:rPr>
                <w:rFonts w:ascii="Arial" w:eastAsia="Calibri" w:hAnsi="Arial" w:cs="Arial"/>
                <w:color w:val="000000"/>
                <w:sz w:val="18"/>
                <w:szCs w:val="18"/>
              </w:rPr>
              <w:t>721</w:t>
            </w:r>
          </w:p>
        </w:tc>
        <w:tc>
          <w:tcPr>
            <w:tcW w:w="960" w:type="dxa"/>
            <w:shd w:val="clear" w:color="auto" w:fill="auto"/>
            <w:noWrap/>
            <w:vAlign w:val="bottom"/>
            <w:hideMark/>
          </w:tcPr>
          <w:p w14:paraId="5F5D4F9D" w14:textId="5AC3406C" w:rsidR="00005DD3" w:rsidRPr="00900F8E" w:rsidRDefault="00005DD3" w:rsidP="00005DD3">
            <w:pPr>
              <w:keepNext/>
              <w:keepLines/>
              <w:spacing w:after="0" w:line="240" w:lineRule="auto"/>
              <w:jc w:val="right"/>
              <w:rPr>
                <w:rFonts w:ascii="Arial" w:eastAsia="Times New Roman" w:hAnsi="Arial" w:cs="Arial"/>
                <w:sz w:val="18"/>
                <w:szCs w:val="18"/>
                <w:lang w:eastAsia="sl-SI"/>
              </w:rPr>
            </w:pPr>
            <w:r w:rsidRPr="00900F8E">
              <w:rPr>
                <w:rFonts w:ascii="Arial" w:eastAsia="Calibri" w:hAnsi="Arial" w:cs="Arial"/>
                <w:color w:val="000000"/>
                <w:sz w:val="18"/>
                <w:szCs w:val="18"/>
              </w:rPr>
              <w:t>8</w:t>
            </w:r>
            <w:r w:rsidR="00573A98" w:rsidRPr="00900F8E">
              <w:rPr>
                <w:rFonts w:ascii="Arial" w:eastAsia="Calibri" w:hAnsi="Arial" w:cs="Arial"/>
                <w:color w:val="000000"/>
                <w:sz w:val="18"/>
                <w:szCs w:val="18"/>
              </w:rPr>
              <w:t>1</w:t>
            </w:r>
            <w:r w:rsidR="000A2508">
              <w:rPr>
                <w:rFonts w:ascii="Arial" w:eastAsia="Calibri" w:hAnsi="Arial" w:cs="Arial"/>
                <w:color w:val="000000"/>
                <w:sz w:val="18"/>
                <w:szCs w:val="18"/>
              </w:rPr>
              <w:t>5</w:t>
            </w:r>
          </w:p>
        </w:tc>
      </w:tr>
      <w:tr w:rsidR="00005DD3" w:rsidRPr="00900F8E" w14:paraId="41DD37E5" w14:textId="77777777" w:rsidTr="007562F8">
        <w:trPr>
          <w:trHeight w:val="300"/>
        </w:trPr>
        <w:tc>
          <w:tcPr>
            <w:tcW w:w="3823" w:type="dxa"/>
            <w:shd w:val="clear" w:color="auto" w:fill="auto"/>
            <w:noWrap/>
            <w:vAlign w:val="bottom"/>
            <w:hideMark/>
          </w:tcPr>
          <w:p w14:paraId="1693B800" w14:textId="332F507C" w:rsidR="00005DD3" w:rsidRPr="00900F8E" w:rsidRDefault="00005DD3" w:rsidP="00005DD3">
            <w:pPr>
              <w:keepNext/>
              <w:keepLines/>
              <w:spacing w:after="0" w:line="240" w:lineRule="auto"/>
              <w:rPr>
                <w:rFonts w:ascii="Arial" w:eastAsia="Times New Roman" w:hAnsi="Arial" w:cs="Arial"/>
                <w:sz w:val="18"/>
                <w:szCs w:val="18"/>
                <w:lang w:eastAsia="sl-SI"/>
              </w:rPr>
            </w:pPr>
            <w:r w:rsidRPr="00900F8E">
              <w:rPr>
                <w:rFonts w:ascii="Arial" w:eastAsia="Calibri" w:hAnsi="Arial" w:cs="Arial"/>
                <w:sz w:val="18"/>
                <w:szCs w:val="18"/>
              </w:rPr>
              <w:t>Kmetijstvo</w:t>
            </w:r>
            <w:r w:rsidR="00780F4B" w:rsidRPr="00900F8E">
              <w:rPr>
                <w:rFonts w:ascii="Arial" w:eastAsia="Calibri" w:hAnsi="Arial" w:cs="Arial"/>
                <w:sz w:val="18"/>
                <w:szCs w:val="18"/>
              </w:rPr>
              <w:t xml:space="preserve"> (raba goriv)</w:t>
            </w:r>
          </w:p>
        </w:tc>
        <w:tc>
          <w:tcPr>
            <w:tcW w:w="1120" w:type="dxa"/>
            <w:shd w:val="clear" w:color="auto" w:fill="auto"/>
            <w:noWrap/>
            <w:vAlign w:val="bottom"/>
            <w:hideMark/>
          </w:tcPr>
          <w:p w14:paraId="3C069B70"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239,8</w:t>
            </w:r>
          </w:p>
        </w:tc>
        <w:tc>
          <w:tcPr>
            <w:tcW w:w="1120" w:type="dxa"/>
            <w:shd w:val="clear" w:color="auto" w:fill="auto"/>
            <w:noWrap/>
            <w:vAlign w:val="bottom"/>
            <w:hideMark/>
          </w:tcPr>
          <w:p w14:paraId="6485DD72"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237,3</w:t>
            </w:r>
          </w:p>
        </w:tc>
        <w:tc>
          <w:tcPr>
            <w:tcW w:w="1120" w:type="dxa"/>
            <w:shd w:val="clear" w:color="auto" w:fill="auto"/>
            <w:noWrap/>
            <w:vAlign w:val="bottom"/>
            <w:hideMark/>
          </w:tcPr>
          <w:p w14:paraId="7E8D3C5F"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232,3</w:t>
            </w:r>
          </w:p>
        </w:tc>
        <w:tc>
          <w:tcPr>
            <w:tcW w:w="960" w:type="dxa"/>
            <w:shd w:val="clear" w:color="auto" w:fill="FFFFFF" w:themeFill="background1"/>
            <w:noWrap/>
            <w:vAlign w:val="bottom"/>
            <w:hideMark/>
          </w:tcPr>
          <w:p w14:paraId="0B52002D"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232</w:t>
            </w:r>
          </w:p>
        </w:tc>
        <w:tc>
          <w:tcPr>
            <w:tcW w:w="960" w:type="dxa"/>
            <w:shd w:val="clear" w:color="auto" w:fill="FFFFFF" w:themeFill="background1"/>
            <w:noWrap/>
            <w:vAlign w:val="bottom"/>
            <w:hideMark/>
          </w:tcPr>
          <w:p w14:paraId="63DD74F8" w14:textId="77777777" w:rsidR="00005DD3" w:rsidRPr="00900F8E" w:rsidRDefault="00005DD3" w:rsidP="00005DD3">
            <w:pPr>
              <w:keepNext/>
              <w:keepLines/>
              <w:spacing w:after="0" w:line="240" w:lineRule="auto"/>
              <w:jc w:val="right"/>
              <w:rPr>
                <w:rFonts w:ascii="Arial" w:eastAsia="Times New Roman" w:hAnsi="Arial" w:cs="Arial"/>
                <w:color w:val="000000"/>
                <w:sz w:val="18"/>
                <w:szCs w:val="18"/>
                <w:lang w:eastAsia="sl-SI"/>
              </w:rPr>
            </w:pPr>
            <w:r w:rsidRPr="00900F8E">
              <w:rPr>
                <w:rFonts w:ascii="Arial" w:eastAsia="Calibri" w:hAnsi="Arial" w:cs="Arial"/>
                <w:color w:val="000000"/>
                <w:sz w:val="18"/>
                <w:szCs w:val="18"/>
              </w:rPr>
              <w:t>232</w:t>
            </w:r>
          </w:p>
        </w:tc>
      </w:tr>
      <w:tr w:rsidR="00005DD3" w:rsidRPr="00900F8E" w14:paraId="32F215A2" w14:textId="77777777" w:rsidTr="007562F8">
        <w:trPr>
          <w:trHeight w:val="300"/>
        </w:trPr>
        <w:tc>
          <w:tcPr>
            <w:tcW w:w="3823" w:type="dxa"/>
            <w:shd w:val="clear" w:color="auto" w:fill="auto"/>
            <w:noWrap/>
            <w:vAlign w:val="bottom"/>
            <w:hideMark/>
          </w:tcPr>
          <w:p w14:paraId="5EB611F3" w14:textId="77777777" w:rsidR="00005DD3" w:rsidRPr="00900F8E" w:rsidRDefault="00005DD3" w:rsidP="00005DD3">
            <w:pPr>
              <w:keepNext/>
              <w:keepLines/>
              <w:spacing w:after="0" w:line="240" w:lineRule="auto"/>
              <w:rPr>
                <w:rFonts w:ascii="Arial" w:eastAsia="Times New Roman" w:hAnsi="Arial" w:cs="Arial"/>
                <w:color w:val="000000"/>
                <w:lang w:eastAsia="sl-SI"/>
              </w:rPr>
            </w:pPr>
            <w:r w:rsidRPr="00900F8E">
              <w:rPr>
                <w:rFonts w:ascii="Arial" w:eastAsia="Calibri" w:hAnsi="Arial" w:cs="Arial"/>
              </w:rPr>
              <w:t>Ostalo</w:t>
            </w:r>
          </w:p>
        </w:tc>
        <w:tc>
          <w:tcPr>
            <w:tcW w:w="1120" w:type="dxa"/>
            <w:shd w:val="clear" w:color="auto" w:fill="auto"/>
            <w:noWrap/>
            <w:vAlign w:val="bottom"/>
            <w:hideMark/>
          </w:tcPr>
          <w:p w14:paraId="09DB753E"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3,9</w:t>
            </w:r>
          </w:p>
        </w:tc>
        <w:tc>
          <w:tcPr>
            <w:tcW w:w="1120" w:type="dxa"/>
            <w:shd w:val="clear" w:color="auto" w:fill="auto"/>
            <w:noWrap/>
            <w:vAlign w:val="bottom"/>
            <w:hideMark/>
          </w:tcPr>
          <w:p w14:paraId="432D7675"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4,0</w:t>
            </w:r>
          </w:p>
        </w:tc>
        <w:tc>
          <w:tcPr>
            <w:tcW w:w="1120" w:type="dxa"/>
            <w:shd w:val="clear" w:color="auto" w:fill="auto"/>
            <w:noWrap/>
            <w:vAlign w:val="bottom"/>
            <w:hideMark/>
          </w:tcPr>
          <w:p w14:paraId="4226436A"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3,2</w:t>
            </w:r>
          </w:p>
        </w:tc>
        <w:tc>
          <w:tcPr>
            <w:tcW w:w="960" w:type="dxa"/>
            <w:shd w:val="clear" w:color="auto" w:fill="FFFFFF" w:themeFill="background1"/>
            <w:noWrap/>
            <w:vAlign w:val="bottom"/>
            <w:hideMark/>
          </w:tcPr>
          <w:p w14:paraId="50F51C56"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3</w:t>
            </w:r>
          </w:p>
        </w:tc>
        <w:tc>
          <w:tcPr>
            <w:tcW w:w="960" w:type="dxa"/>
            <w:shd w:val="clear" w:color="auto" w:fill="FFFFFF" w:themeFill="background1"/>
            <w:noWrap/>
            <w:vAlign w:val="bottom"/>
            <w:hideMark/>
          </w:tcPr>
          <w:p w14:paraId="664CFF7C"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3</w:t>
            </w:r>
          </w:p>
        </w:tc>
      </w:tr>
      <w:tr w:rsidR="00005DD3" w:rsidRPr="00900F8E" w14:paraId="199588FE" w14:textId="77777777" w:rsidTr="007562F8">
        <w:trPr>
          <w:trHeight w:val="300"/>
        </w:trPr>
        <w:tc>
          <w:tcPr>
            <w:tcW w:w="3823" w:type="dxa"/>
            <w:shd w:val="clear" w:color="auto" w:fill="auto"/>
            <w:noWrap/>
            <w:vAlign w:val="bottom"/>
            <w:hideMark/>
          </w:tcPr>
          <w:p w14:paraId="31BBBE48" w14:textId="77777777" w:rsidR="00005DD3" w:rsidRPr="00900F8E" w:rsidRDefault="00005DD3" w:rsidP="00005DD3">
            <w:pPr>
              <w:keepNext/>
              <w:keepLines/>
              <w:spacing w:after="0" w:line="240" w:lineRule="auto"/>
              <w:rPr>
                <w:rFonts w:ascii="Arial" w:eastAsia="Times New Roman" w:hAnsi="Arial" w:cs="Arial"/>
                <w:b/>
                <w:bCs/>
                <w:lang w:eastAsia="sl-SI"/>
              </w:rPr>
            </w:pPr>
            <w:r w:rsidRPr="00900F8E">
              <w:rPr>
                <w:rFonts w:ascii="Arial" w:eastAsia="Calibri" w:hAnsi="Arial" w:cs="Arial"/>
                <w:color w:val="000000"/>
              </w:rPr>
              <w:t>Ind. procesi in uporaba topil</w:t>
            </w:r>
          </w:p>
        </w:tc>
        <w:tc>
          <w:tcPr>
            <w:tcW w:w="1120" w:type="dxa"/>
            <w:shd w:val="clear" w:color="auto" w:fill="auto"/>
            <w:noWrap/>
            <w:vAlign w:val="bottom"/>
            <w:hideMark/>
          </w:tcPr>
          <w:p w14:paraId="0A7F9FA9"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Calibri" w:hAnsi="Arial" w:cs="Arial"/>
                <w:color w:val="000000"/>
              </w:rPr>
              <w:t>468,2</w:t>
            </w:r>
          </w:p>
        </w:tc>
        <w:tc>
          <w:tcPr>
            <w:tcW w:w="1120" w:type="dxa"/>
            <w:shd w:val="clear" w:color="auto" w:fill="auto"/>
            <w:noWrap/>
            <w:vAlign w:val="bottom"/>
            <w:hideMark/>
          </w:tcPr>
          <w:p w14:paraId="5D1CBF27"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Calibri" w:hAnsi="Arial" w:cs="Arial"/>
                <w:color w:val="000000"/>
              </w:rPr>
              <w:t>476,0</w:t>
            </w:r>
          </w:p>
        </w:tc>
        <w:tc>
          <w:tcPr>
            <w:tcW w:w="1120" w:type="dxa"/>
            <w:shd w:val="clear" w:color="auto" w:fill="auto"/>
            <w:noWrap/>
            <w:vAlign w:val="bottom"/>
            <w:hideMark/>
          </w:tcPr>
          <w:p w14:paraId="32DE342E" w14:textId="77777777" w:rsidR="00005DD3" w:rsidRPr="00900F8E" w:rsidRDefault="00005DD3" w:rsidP="00005DD3">
            <w:pPr>
              <w:keepNext/>
              <w:keepLines/>
              <w:spacing w:after="0" w:line="240" w:lineRule="auto"/>
              <w:jc w:val="right"/>
              <w:rPr>
                <w:rFonts w:ascii="Arial" w:eastAsia="Times New Roman" w:hAnsi="Arial" w:cs="Arial"/>
                <w:b/>
                <w:bCs/>
                <w:lang w:eastAsia="sl-SI"/>
              </w:rPr>
            </w:pPr>
            <w:r w:rsidRPr="00900F8E">
              <w:rPr>
                <w:rFonts w:ascii="Arial" w:eastAsia="Calibri" w:hAnsi="Arial" w:cs="Arial"/>
                <w:color w:val="000000"/>
              </w:rPr>
              <w:t>471,5</w:t>
            </w:r>
          </w:p>
        </w:tc>
        <w:tc>
          <w:tcPr>
            <w:tcW w:w="960" w:type="dxa"/>
            <w:shd w:val="clear" w:color="auto" w:fill="FFFFFF" w:themeFill="background1"/>
            <w:noWrap/>
            <w:vAlign w:val="bottom"/>
            <w:hideMark/>
          </w:tcPr>
          <w:p w14:paraId="1184899A" w14:textId="77777777" w:rsidR="00005DD3" w:rsidRPr="00900F8E" w:rsidRDefault="00005DD3" w:rsidP="00005DD3">
            <w:pPr>
              <w:keepNext/>
              <w:keepLines/>
              <w:spacing w:after="0" w:line="240" w:lineRule="auto"/>
              <w:jc w:val="right"/>
              <w:rPr>
                <w:rFonts w:ascii="Arial" w:eastAsia="Times New Roman" w:hAnsi="Arial" w:cs="Arial"/>
                <w:b/>
                <w:color w:val="000000"/>
                <w:lang w:eastAsia="sl-SI"/>
              </w:rPr>
            </w:pPr>
            <w:r w:rsidRPr="00900F8E">
              <w:rPr>
                <w:rFonts w:ascii="Arial" w:eastAsia="Calibri" w:hAnsi="Arial" w:cs="Arial"/>
                <w:color w:val="000000"/>
              </w:rPr>
              <w:t>471</w:t>
            </w:r>
          </w:p>
        </w:tc>
        <w:tc>
          <w:tcPr>
            <w:tcW w:w="960" w:type="dxa"/>
            <w:shd w:val="clear" w:color="auto" w:fill="FFFFFF" w:themeFill="background1"/>
            <w:noWrap/>
            <w:vAlign w:val="bottom"/>
            <w:hideMark/>
          </w:tcPr>
          <w:p w14:paraId="249F97F6" w14:textId="77777777" w:rsidR="00005DD3" w:rsidRPr="00900F8E" w:rsidRDefault="00005DD3" w:rsidP="00005DD3">
            <w:pPr>
              <w:keepNext/>
              <w:keepLines/>
              <w:spacing w:after="0" w:line="240" w:lineRule="auto"/>
              <w:jc w:val="right"/>
              <w:rPr>
                <w:rFonts w:ascii="Arial" w:eastAsia="Times New Roman" w:hAnsi="Arial" w:cs="Arial"/>
                <w:b/>
                <w:color w:val="000000"/>
                <w:lang w:eastAsia="sl-SI"/>
              </w:rPr>
            </w:pPr>
            <w:r w:rsidRPr="00900F8E">
              <w:rPr>
                <w:rFonts w:ascii="Arial" w:eastAsia="Calibri" w:hAnsi="Arial" w:cs="Arial"/>
                <w:color w:val="000000"/>
              </w:rPr>
              <w:t>471</w:t>
            </w:r>
          </w:p>
        </w:tc>
      </w:tr>
      <w:tr w:rsidR="00005DD3" w:rsidRPr="00900F8E" w14:paraId="2597C17E" w14:textId="77777777" w:rsidTr="007562F8">
        <w:trPr>
          <w:trHeight w:val="300"/>
        </w:trPr>
        <w:tc>
          <w:tcPr>
            <w:tcW w:w="3823" w:type="dxa"/>
            <w:shd w:val="clear" w:color="auto" w:fill="auto"/>
            <w:noWrap/>
            <w:vAlign w:val="bottom"/>
            <w:hideMark/>
          </w:tcPr>
          <w:p w14:paraId="18B53CD6" w14:textId="77777777" w:rsidR="00005DD3" w:rsidRPr="00900F8E" w:rsidRDefault="00005DD3" w:rsidP="00005DD3">
            <w:pPr>
              <w:keepNext/>
              <w:keepLines/>
              <w:spacing w:after="0" w:line="240" w:lineRule="auto"/>
              <w:rPr>
                <w:rFonts w:ascii="Arial" w:eastAsia="Times New Roman" w:hAnsi="Arial" w:cs="Arial"/>
                <w:b/>
                <w:bCs/>
                <w:lang w:eastAsia="sl-SI"/>
              </w:rPr>
            </w:pPr>
            <w:r w:rsidRPr="00900F8E">
              <w:rPr>
                <w:rFonts w:ascii="Arial" w:eastAsia="Calibri" w:hAnsi="Arial" w:cs="Arial"/>
                <w:color w:val="000000"/>
              </w:rPr>
              <w:t>Kmetijstvo</w:t>
            </w:r>
          </w:p>
        </w:tc>
        <w:tc>
          <w:tcPr>
            <w:tcW w:w="1120" w:type="dxa"/>
            <w:shd w:val="clear" w:color="auto" w:fill="auto"/>
            <w:noWrap/>
            <w:vAlign w:val="bottom"/>
            <w:hideMark/>
          </w:tcPr>
          <w:p w14:paraId="7BEB98EF"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1.784,9</w:t>
            </w:r>
          </w:p>
        </w:tc>
        <w:tc>
          <w:tcPr>
            <w:tcW w:w="1120" w:type="dxa"/>
            <w:shd w:val="clear" w:color="auto" w:fill="auto"/>
            <w:noWrap/>
            <w:vAlign w:val="bottom"/>
            <w:hideMark/>
          </w:tcPr>
          <w:p w14:paraId="1856F5B3"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1.803,2</w:t>
            </w:r>
          </w:p>
        </w:tc>
        <w:tc>
          <w:tcPr>
            <w:tcW w:w="1120" w:type="dxa"/>
            <w:shd w:val="clear" w:color="auto" w:fill="auto"/>
            <w:noWrap/>
            <w:vAlign w:val="bottom"/>
            <w:hideMark/>
          </w:tcPr>
          <w:p w14:paraId="5B1C84A8"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1.806,9</w:t>
            </w:r>
          </w:p>
        </w:tc>
        <w:tc>
          <w:tcPr>
            <w:tcW w:w="960" w:type="dxa"/>
            <w:shd w:val="clear" w:color="auto" w:fill="FFFFFF" w:themeFill="background1"/>
            <w:noWrap/>
            <w:vAlign w:val="bottom"/>
            <w:hideMark/>
          </w:tcPr>
          <w:p w14:paraId="7019F672"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1.807</w:t>
            </w:r>
          </w:p>
        </w:tc>
        <w:tc>
          <w:tcPr>
            <w:tcW w:w="960" w:type="dxa"/>
            <w:shd w:val="clear" w:color="auto" w:fill="FFFFFF" w:themeFill="background1"/>
            <w:noWrap/>
            <w:vAlign w:val="bottom"/>
            <w:hideMark/>
          </w:tcPr>
          <w:p w14:paraId="2F107651"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1.807</w:t>
            </w:r>
          </w:p>
        </w:tc>
      </w:tr>
      <w:tr w:rsidR="00005DD3" w:rsidRPr="00900F8E" w14:paraId="7504882D" w14:textId="77777777" w:rsidTr="007562F8">
        <w:trPr>
          <w:trHeight w:val="300"/>
        </w:trPr>
        <w:tc>
          <w:tcPr>
            <w:tcW w:w="3823" w:type="dxa"/>
            <w:shd w:val="clear" w:color="auto" w:fill="auto"/>
            <w:noWrap/>
            <w:vAlign w:val="bottom"/>
            <w:hideMark/>
          </w:tcPr>
          <w:p w14:paraId="49E6BDDD" w14:textId="77777777" w:rsidR="00005DD3" w:rsidRPr="00900F8E" w:rsidRDefault="00005DD3" w:rsidP="00005DD3">
            <w:pPr>
              <w:keepNext/>
              <w:keepLines/>
              <w:spacing w:after="0" w:line="240" w:lineRule="auto"/>
              <w:rPr>
                <w:rFonts w:ascii="Arial" w:eastAsia="Times New Roman" w:hAnsi="Arial" w:cs="Arial"/>
                <w:b/>
                <w:bCs/>
                <w:lang w:eastAsia="sl-SI"/>
              </w:rPr>
            </w:pPr>
            <w:r w:rsidRPr="00900F8E">
              <w:rPr>
                <w:rFonts w:ascii="Arial" w:eastAsia="Calibri" w:hAnsi="Arial" w:cs="Arial"/>
                <w:color w:val="000000"/>
              </w:rPr>
              <w:t>Odpadki</w:t>
            </w:r>
          </w:p>
        </w:tc>
        <w:tc>
          <w:tcPr>
            <w:tcW w:w="1120" w:type="dxa"/>
            <w:shd w:val="clear" w:color="auto" w:fill="auto"/>
            <w:noWrap/>
            <w:vAlign w:val="bottom"/>
            <w:hideMark/>
          </w:tcPr>
          <w:p w14:paraId="340E9EE1" w14:textId="77777777" w:rsidR="00005DD3" w:rsidRPr="00900F8E" w:rsidRDefault="00005DD3" w:rsidP="00005DD3">
            <w:pPr>
              <w:keepNext/>
              <w:keepLines/>
              <w:spacing w:after="0" w:line="240" w:lineRule="auto"/>
              <w:jc w:val="right"/>
              <w:rPr>
                <w:rFonts w:ascii="Arial" w:eastAsia="Times New Roman" w:hAnsi="Arial" w:cs="Arial"/>
                <w:b/>
                <w:lang w:eastAsia="sl-SI"/>
              </w:rPr>
            </w:pPr>
            <w:r w:rsidRPr="00900F8E">
              <w:rPr>
                <w:rFonts w:ascii="Arial" w:eastAsia="Calibri" w:hAnsi="Arial" w:cs="Arial"/>
                <w:color w:val="000000"/>
              </w:rPr>
              <w:t>483,6</w:t>
            </w:r>
          </w:p>
        </w:tc>
        <w:tc>
          <w:tcPr>
            <w:tcW w:w="1120" w:type="dxa"/>
            <w:shd w:val="clear" w:color="auto" w:fill="auto"/>
            <w:noWrap/>
            <w:vAlign w:val="bottom"/>
            <w:hideMark/>
          </w:tcPr>
          <w:p w14:paraId="2FF1DE2E" w14:textId="77777777" w:rsidR="00005DD3" w:rsidRPr="00900F8E" w:rsidRDefault="00005DD3" w:rsidP="00005DD3">
            <w:pPr>
              <w:keepNext/>
              <w:keepLines/>
              <w:spacing w:after="0" w:line="240" w:lineRule="auto"/>
              <w:jc w:val="right"/>
              <w:rPr>
                <w:rFonts w:ascii="Arial" w:eastAsia="Times New Roman" w:hAnsi="Arial" w:cs="Arial"/>
                <w:b/>
                <w:lang w:eastAsia="sl-SI"/>
              </w:rPr>
            </w:pPr>
            <w:r w:rsidRPr="00900F8E">
              <w:rPr>
                <w:rFonts w:ascii="Arial" w:eastAsia="Calibri" w:hAnsi="Arial" w:cs="Arial"/>
                <w:color w:val="000000"/>
              </w:rPr>
              <w:t>474,3</w:t>
            </w:r>
          </w:p>
        </w:tc>
        <w:tc>
          <w:tcPr>
            <w:tcW w:w="1120" w:type="dxa"/>
            <w:shd w:val="clear" w:color="auto" w:fill="auto"/>
            <w:noWrap/>
            <w:vAlign w:val="bottom"/>
            <w:hideMark/>
          </w:tcPr>
          <w:p w14:paraId="6CE54647" w14:textId="77777777" w:rsidR="00005DD3" w:rsidRPr="00900F8E" w:rsidRDefault="00005DD3" w:rsidP="00005DD3">
            <w:pPr>
              <w:keepNext/>
              <w:keepLines/>
              <w:spacing w:after="0" w:line="240" w:lineRule="auto"/>
              <w:jc w:val="right"/>
              <w:rPr>
                <w:rFonts w:ascii="Arial" w:eastAsia="Times New Roman" w:hAnsi="Arial" w:cs="Arial"/>
                <w:b/>
                <w:lang w:eastAsia="sl-SI"/>
              </w:rPr>
            </w:pPr>
            <w:r w:rsidRPr="00900F8E">
              <w:rPr>
                <w:rFonts w:ascii="Arial" w:eastAsia="Calibri" w:hAnsi="Arial" w:cs="Arial"/>
                <w:color w:val="000000"/>
              </w:rPr>
              <w:t>451,4</w:t>
            </w:r>
          </w:p>
        </w:tc>
        <w:tc>
          <w:tcPr>
            <w:tcW w:w="960" w:type="dxa"/>
            <w:shd w:val="clear" w:color="auto" w:fill="FFFFFF" w:themeFill="background1"/>
            <w:noWrap/>
            <w:vAlign w:val="bottom"/>
            <w:hideMark/>
          </w:tcPr>
          <w:p w14:paraId="32C5FB25" w14:textId="77777777" w:rsidR="00005DD3" w:rsidRPr="00900F8E" w:rsidRDefault="00005DD3" w:rsidP="00005DD3">
            <w:pPr>
              <w:keepNext/>
              <w:keepLines/>
              <w:spacing w:after="0" w:line="240" w:lineRule="auto"/>
              <w:jc w:val="right"/>
              <w:rPr>
                <w:rFonts w:ascii="Arial" w:eastAsia="Times New Roman" w:hAnsi="Arial" w:cs="Arial"/>
                <w:b/>
                <w:lang w:eastAsia="sl-SI"/>
              </w:rPr>
            </w:pPr>
            <w:r w:rsidRPr="00900F8E">
              <w:rPr>
                <w:rFonts w:ascii="Arial" w:eastAsia="Calibri" w:hAnsi="Arial" w:cs="Arial"/>
                <w:color w:val="000000"/>
              </w:rPr>
              <w:t>433</w:t>
            </w:r>
          </w:p>
        </w:tc>
        <w:tc>
          <w:tcPr>
            <w:tcW w:w="960" w:type="dxa"/>
            <w:shd w:val="clear" w:color="auto" w:fill="FFFFFF" w:themeFill="background1"/>
            <w:noWrap/>
            <w:vAlign w:val="bottom"/>
            <w:hideMark/>
          </w:tcPr>
          <w:p w14:paraId="70407CE6" w14:textId="77777777" w:rsidR="00005DD3" w:rsidRPr="00900F8E" w:rsidRDefault="00005DD3" w:rsidP="00005DD3">
            <w:pPr>
              <w:keepNext/>
              <w:keepLines/>
              <w:spacing w:after="0" w:line="240" w:lineRule="auto"/>
              <w:jc w:val="right"/>
              <w:rPr>
                <w:rFonts w:ascii="Arial" w:eastAsia="Times New Roman" w:hAnsi="Arial" w:cs="Arial"/>
                <w:b/>
                <w:lang w:eastAsia="sl-SI"/>
              </w:rPr>
            </w:pPr>
            <w:r w:rsidRPr="00900F8E">
              <w:rPr>
                <w:rFonts w:ascii="Arial" w:eastAsia="Calibri" w:hAnsi="Arial" w:cs="Arial"/>
                <w:color w:val="000000"/>
              </w:rPr>
              <w:t>414</w:t>
            </w:r>
          </w:p>
        </w:tc>
      </w:tr>
      <w:tr w:rsidR="00005DD3" w:rsidRPr="00900F8E" w14:paraId="03A5370D" w14:textId="77777777" w:rsidTr="007562F8">
        <w:trPr>
          <w:trHeight w:val="300"/>
        </w:trPr>
        <w:tc>
          <w:tcPr>
            <w:tcW w:w="3823" w:type="dxa"/>
            <w:shd w:val="clear" w:color="auto" w:fill="auto"/>
            <w:noWrap/>
            <w:vAlign w:val="bottom"/>
            <w:hideMark/>
          </w:tcPr>
          <w:p w14:paraId="41AF1B99" w14:textId="3B8239A1" w:rsidR="00005DD3" w:rsidRPr="00900F8E" w:rsidRDefault="00486BEA" w:rsidP="00005DD3">
            <w:pPr>
              <w:keepNext/>
              <w:keepLines/>
              <w:spacing w:after="0" w:line="240" w:lineRule="auto"/>
              <w:rPr>
                <w:rFonts w:ascii="Arial" w:eastAsia="Times New Roman" w:hAnsi="Arial" w:cs="Arial"/>
                <w:color w:val="000000"/>
                <w:lang w:eastAsia="sl-SI"/>
              </w:rPr>
            </w:pPr>
            <w:r w:rsidRPr="00900F8E">
              <w:rPr>
                <w:rFonts w:ascii="Arial" w:eastAsia="Calibri" w:hAnsi="Arial" w:cs="Arial"/>
              </w:rPr>
              <w:t>Letalstvo</w:t>
            </w:r>
            <w:r w:rsidR="00005DD3" w:rsidRPr="00900F8E">
              <w:rPr>
                <w:rFonts w:ascii="Arial" w:eastAsia="Calibri" w:hAnsi="Arial" w:cs="Arial"/>
              </w:rPr>
              <w:t xml:space="preserve"> (1.A.3.a) </w:t>
            </w:r>
            <w:r w:rsidR="00B14DC7" w:rsidRPr="00900F8E">
              <w:rPr>
                <w:rFonts w:ascii="Arial" w:eastAsia="Calibri" w:hAnsi="Arial" w:cs="Arial"/>
              </w:rPr>
              <w:t>(</w:t>
            </w:r>
            <w:r w:rsidR="00005DD3" w:rsidRPr="00900F8E">
              <w:rPr>
                <w:rFonts w:ascii="Arial" w:eastAsia="Calibri" w:hAnsi="Arial" w:cs="Arial"/>
              </w:rPr>
              <w:t>izključ</w:t>
            </w:r>
            <w:r w:rsidR="00780F4B" w:rsidRPr="00900F8E">
              <w:rPr>
                <w:rFonts w:ascii="Arial" w:eastAsia="Calibri" w:hAnsi="Arial" w:cs="Arial"/>
              </w:rPr>
              <w:t>i</w:t>
            </w:r>
            <w:r w:rsidR="00005DD3" w:rsidRPr="00900F8E">
              <w:rPr>
                <w:rFonts w:ascii="Arial" w:eastAsia="Calibri" w:hAnsi="Arial" w:cs="Arial"/>
              </w:rPr>
              <w:t xml:space="preserve"> zaradi ETS</w:t>
            </w:r>
            <w:r w:rsidR="00B14DC7" w:rsidRPr="00900F8E">
              <w:rPr>
                <w:rFonts w:ascii="Arial" w:eastAsia="Calibri" w:hAnsi="Arial" w:cs="Arial"/>
              </w:rPr>
              <w:t>)</w:t>
            </w:r>
          </w:p>
        </w:tc>
        <w:tc>
          <w:tcPr>
            <w:tcW w:w="1120" w:type="dxa"/>
            <w:shd w:val="clear" w:color="auto" w:fill="auto"/>
            <w:vAlign w:val="bottom"/>
          </w:tcPr>
          <w:p w14:paraId="75C29A8A"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2,0</w:t>
            </w:r>
          </w:p>
        </w:tc>
        <w:tc>
          <w:tcPr>
            <w:tcW w:w="1120" w:type="dxa"/>
            <w:shd w:val="clear" w:color="auto" w:fill="auto"/>
            <w:noWrap/>
            <w:vAlign w:val="bottom"/>
            <w:hideMark/>
          </w:tcPr>
          <w:p w14:paraId="45AF97CB"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2,0</w:t>
            </w:r>
          </w:p>
        </w:tc>
        <w:tc>
          <w:tcPr>
            <w:tcW w:w="1120" w:type="dxa"/>
            <w:shd w:val="clear" w:color="auto" w:fill="auto"/>
            <w:noWrap/>
            <w:vAlign w:val="bottom"/>
            <w:hideMark/>
          </w:tcPr>
          <w:p w14:paraId="7C5F23BB" w14:textId="77777777" w:rsidR="00005DD3" w:rsidRPr="00900F8E" w:rsidRDefault="00005DD3" w:rsidP="00005DD3">
            <w:pPr>
              <w:keepNext/>
              <w:keepLines/>
              <w:spacing w:after="0" w:line="240" w:lineRule="auto"/>
              <w:jc w:val="right"/>
              <w:rPr>
                <w:rFonts w:ascii="Arial" w:eastAsia="Times New Roman" w:hAnsi="Arial" w:cs="Arial"/>
                <w:lang w:eastAsia="sl-SI"/>
              </w:rPr>
            </w:pPr>
            <w:r w:rsidRPr="00900F8E">
              <w:rPr>
                <w:rFonts w:ascii="Arial" w:eastAsia="Calibri" w:hAnsi="Arial" w:cs="Arial"/>
                <w:color w:val="000000"/>
              </w:rPr>
              <w:t>1,6</w:t>
            </w:r>
          </w:p>
        </w:tc>
        <w:tc>
          <w:tcPr>
            <w:tcW w:w="960" w:type="dxa"/>
            <w:shd w:val="clear" w:color="auto" w:fill="FFFFFF" w:themeFill="background1"/>
            <w:noWrap/>
            <w:vAlign w:val="bottom"/>
            <w:hideMark/>
          </w:tcPr>
          <w:p w14:paraId="68EAA6BB"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1,6</w:t>
            </w:r>
          </w:p>
        </w:tc>
        <w:tc>
          <w:tcPr>
            <w:tcW w:w="960" w:type="dxa"/>
            <w:shd w:val="clear" w:color="auto" w:fill="FFFFFF" w:themeFill="background1"/>
            <w:noWrap/>
            <w:vAlign w:val="bottom"/>
            <w:hideMark/>
          </w:tcPr>
          <w:p w14:paraId="0D0B400F" w14:textId="77777777" w:rsidR="00005DD3" w:rsidRPr="00900F8E" w:rsidRDefault="00005DD3" w:rsidP="00005DD3">
            <w:pPr>
              <w:keepNext/>
              <w:keepLines/>
              <w:spacing w:after="0" w:line="240" w:lineRule="auto"/>
              <w:jc w:val="right"/>
              <w:rPr>
                <w:rFonts w:ascii="Arial" w:eastAsia="Times New Roman" w:hAnsi="Arial" w:cs="Arial"/>
                <w:color w:val="000000"/>
                <w:lang w:eastAsia="sl-SI"/>
              </w:rPr>
            </w:pPr>
            <w:r w:rsidRPr="00900F8E">
              <w:rPr>
                <w:rFonts w:ascii="Arial" w:eastAsia="Calibri" w:hAnsi="Arial" w:cs="Arial"/>
                <w:color w:val="000000"/>
              </w:rPr>
              <w:t>1,6</w:t>
            </w:r>
          </w:p>
        </w:tc>
      </w:tr>
      <w:tr w:rsidR="00005DD3" w:rsidRPr="00900F8E" w14:paraId="305EF4D2" w14:textId="77777777" w:rsidTr="00486BEA">
        <w:trPr>
          <w:trHeight w:val="300"/>
        </w:trPr>
        <w:tc>
          <w:tcPr>
            <w:tcW w:w="3823" w:type="dxa"/>
            <w:shd w:val="clear" w:color="auto" w:fill="D0CECE" w:themeFill="background2" w:themeFillShade="E6"/>
            <w:noWrap/>
            <w:vAlign w:val="bottom"/>
            <w:hideMark/>
          </w:tcPr>
          <w:p w14:paraId="743D98A7" w14:textId="1693238B" w:rsidR="00005DD3" w:rsidRPr="00900F8E" w:rsidRDefault="00005DD3" w:rsidP="00005DD3">
            <w:pPr>
              <w:spacing w:after="0" w:line="240" w:lineRule="auto"/>
              <w:rPr>
                <w:rFonts w:ascii="Arial" w:eastAsia="Times New Roman" w:hAnsi="Arial" w:cs="Arial"/>
                <w:color w:val="000000"/>
                <w:lang w:eastAsia="sl-SI"/>
              </w:rPr>
            </w:pPr>
            <w:r w:rsidRPr="00900F8E">
              <w:rPr>
                <w:rFonts w:ascii="Arial" w:eastAsia="Calibri" w:hAnsi="Arial" w:cs="Arial"/>
                <w:b/>
                <w:bCs/>
              </w:rPr>
              <w:t xml:space="preserve">SKUPAJ </w:t>
            </w:r>
          </w:p>
        </w:tc>
        <w:tc>
          <w:tcPr>
            <w:tcW w:w="1120" w:type="dxa"/>
            <w:shd w:val="clear" w:color="auto" w:fill="D0CECE" w:themeFill="background2" w:themeFillShade="E6"/>
            <w:noWrap/>
            <w:vAlign w:val="bottom"/>
            <w:hideMark/>
          </w:tcPr>
          <w:p w14:paraId="7A1641F0" w14:textId="77777777" w:rsidR="00005DD3" w:rsidRPr="00900F8E" w:rsidRDefault="00005DD3" w:rsidP="00005DD3">
            <w:pPr>
              <w:spacing w:after="0" w:line="240" w:lineRule="auto"/>
              <w:jc w:val="right"/>
              <w:rPr>
                <w:rFonts w:ascii="Arial" w:eastAsia="Times New Roman" w:hAnsi="Arial" w:cs="Arial"/>
                <w:color w:val="000000"/>
                <w:lang w:eastAsia="sl-SI"/>
              </w:rPr>
            </w:pPr>
            <w:r w:rsidRPr="00900F8E">
              <w:rPr>
                <w:rFonts w:ascii="Arial" w:eastAsia="Calibri" w:hAnsi="Arial" w:cs="Arial"/>
                <w:b/>
                <w:bCs/>
                <w:color w:val="000000"/>
              </w:rPr>
              <w:t>11.197</w:t>
            </w:r>
          </w:p>
        </w:tc>
        <w:tc>
          <w:tcPr>
            <w:tcW w:w="1120" w:type="dxa"/>
            <w:shd w:val="clear" w:color="auto" w:fill="D0CECE" w:themeFill="background2" w:themeFillShade="E6"/>
            <w:noWrap/>
            <w:vAlign w:val="bottom"/>
            <w:hideMark/>
          </w:tcPr>
          <w:p w14:paraId="42EC9D62" w14:textId="77777777" w:rsidR="00005DD3" w:rsidRPr="00900F8E" w:rsidRDefault="00005DD3" w:rsidP="00005DD3">
            <w:pPr>
              <w:spacing w:after="0" w:line="240" w:lineRule="auto"/>
              <w:jc w:val="right"/>
              <w:rPr>
                <w:rFonts w:ascii="Arial" w:eastAsia="Times New Roman" w:hAnsi="Arial" w:cs="Arial"/>
                <w:lang w:eastAsia="sl-SI"/>
              </w:rPr>
            </w:pPr>
            <w:r w:rsidRPr="00900F8E">
              <w:rPr>
                <w:rFonts w:ascii="Arial" w:eastAsia="Calibri" w:hAnsi="Arial" w:cs="Arial"/>
                <w:b/>
                <w:bCs/>
                <w:color w:val="000000"/>
              </w:rPr>
              <w:t>10.949</w:t>
            </w:r>
          </w:p>
        </w:tc>
        <w:tc>
          <w:tcPr>
            <w:tcW w:w="1120" w:type="dxa"/>
            <w:shd w:val="clear" w:color="auto" w:fill="D0CECE" w:themeFill="background2" w:themeFillShade="E6"/>
            <w:noWrap/>
            <w:vAlign w:val="bottom"/>
            <w:hideMark/>
          </w:tcPr>
          <w:p w14:paraId="0A5E828F" w14:textId="77777777" w:rsidR="00005DD3" w:rsidRPr="00900F8E" w:rsidRDefault="00005DD3" w:rsidP="00005DD3">
            <w:pPr>
              <w:spacing w:after="0" w:line="240" w:lineRule="auto"/>
              <w:jc w:val="right"/>
              <w:rPr>
                <w:rFonts w:ascii="Arial" w:eastAsia="Times New Roman" w:hAnsi="Arial" w:cs="Arial"/>
                <w:lang w:eastAsia="sl-SI"/>
              </w:rPr>
            </w:pPr>
            <w:r w:rsidRPr="00900F8E">
              <w:rPr>
                <w:rFonts w:ascii="Arial" w:eastAsia="Calibri" w:hAnsi="Arial" w:cs="Arial"/>
                <w:b/>
                <w:bCs/>
                <w:color w:val="000000"/>
              </w:rPr>
              <w:t>9.882</w:t>
            </w:r>
          </w:p>
        </w:tc>
        <w:tc>
          <w:tcPr>
            <w:tcW w:w="960" w:type="dxa"/>
            <w:shd w:val="clear" w:color="auto" w:fill="D0CECE" w:themeFill="background2" w:themeFillShade="E6"/>
            <w:noWrap/>
            <w:vAlign w:val="bottom"/>
            <w:hideMark/>
          </w:tcPr>
          <w:p w14:paraId="66C36623" w14:textId="6559B400" w:rsidR="00005DD3" w:rsidRPr="00900F8E" w:rsidRDefault="00005DD3" w:rsidP="00005DD3">
            <w:pPr>
              <w:spacing w:after="0" w:line="240" w:lineRule="auto"/>
              <w:jc w:val="right"/>
              <w:rPr>
                <w:rFonts w:ascii="Arial" w:eastAsia="Times New Roman" w:hAnsi="Arial" w:cs="Arial"/>
                <w:color w:val="000000"/>
                <w:lang w:eastAsia="sl-SI"/>
              </w:rPr>
            </w:pPr>
            <w:r w:rsidRPr="00900F8E">
              <w:rPr>
                <w:rFonts w:ascii="Arial" w:eastAsia="Calibri" w:hAnsi="Arial" w:cs="Arial"/>
                <w:b/>
                <w:bCs/>
                <w:color w:val="000000"/>
              </w:rPr>
              <w:t>10.</w:t>
            </w:r>
            <w:r w:rsidR="008D0776" w:rsidRPr="00900F8E">
              <w:rPr>
                <w:rFonts w:ascii="Arial" w:eastAsia="Calibri" w:hAnsi="Arial" w:cs="Arial"/>
                <w:b/>
                <w:bCs/>
                <w:color w:val="000000"/>
              </w:rPr>
              <w:t>156</w:t>
            </w:r>
          </w:p>
        </w:tc>
        <w:tc>
          <w:tcPr>
            <w:tcW w:w="960" w:type="dxa"/>
            <w:shd w:val="clear" w:color="auto" w:fill="D0CECE" w:themeFill="background2" w:themeFillShade="E6"/>
            <w:noWrap/>
            <w:vAlign w:val="bottom"/>
            <w:hideMark/>
          </w:tcPr>
          <w:p w14:paraId="713243C6" w14:textId="15F2E9E8" w:rsidR="00005DD3" w:rsidRPr="00900F8E" w:rsidRDefault="00005DD3" w:rsidP="00005DD3">
            <w:pPr>
              <w:spacing w:after="0" w:line="240" w:lineRule="auto"/>
              <w:jc w:val="right"/>
              <w:rPr>
                <w:rFonts w:ascii="Arial" w:eastAsia="Times New Roman" w:hAnsi="Arial" w:cs="Arial"/>
                <w:color w:val="000000"/>
                <w:lang w:eastAsia="sl-SI"/>
              </w:rPr>
            </w:pPr>
            <w:r w:rsidRPr="00900F8E">
              <w:rPr>
                <w:rFonts w:ascii="Arial" w:eastAsia="Calibri" w:hAnsi="Arial" w:cs="Arial"/>
                <w:b/>
                <w:bCs/>
                <w:color w:val="000000"/>
              </w:rPr>
              <w:t>11.</w:t>
            </w:r>
            <w:r w:rsidR="000A2508">
              <w:rPr>
                <w:rFonts w:ascii="Arial" w:eastAsia="Calibri" w:hAnsi="Arial" w:cs="Arial"/>
                <w:b/>
                <w:bCs/>
                <w:color w:val="000000"/>
              </w:rPr>
              <w:t>7</w:t>
            </w:r>
            <w:r w:rsidR="00761F32">
              <w:rPr>
                <w:rFonts w:ascii="Arial" w:eastAsia="Calibri" w:hAnsi="Arial" w:cs="Arial"/>
                <w:b/>
                <w:bCs/>
                <w:color w:val="000000"/>
              </w:rPr>
              <w:t>09</w:t>
            </w:r>
          </w:p>
        </w:tc>
      </w:tr>
      <w:tr w:rsidR="00005DD3" w:rsidRPr="00900F8E" w14:paraId="2600E8E2" w14:textId="77777777" w:rsidTr="00640804">
        <w:trPr>
          <w:trHeight w:val="300"/>
        </w:trPr>
        <w:tc>
          <w:tcPr>
            <w:tcW w:w="3823" w:type="dxa"/>
            <w:shd w:val="clear" w:color="auto" w:fill="auto"/>
            <w:noWrap/>
            <w:vAlign w:val="bottom"/>
            <w:hideMark/>
          </w:tcPr>
          <w:p w14:paraId="45E2F9B9" w14:textId="73E34AD6" w:rsidR="00005DD3" w:rsidRPr="00900F8E" w:rsidRDefault="00005DD3" w:rsidP="00005DD3">
            <w:pPr>
              <w:spacing w:after="0" w:line="240" w:lineRule="auto"/>
              <w:rPr>
                <w:rFonts w:ascii="Arial" w:eastAsia="Times New Roman" w:hAnsi="Arial" w:cs="Arial"/>
                <w:b/>
                <w:bCs/>
                <w:color w:val="000000"/>
                <w:lang w:eastAsia="sl-SI"/>
              </w:rPr>
            </w:pPr>
            <w:r w:rsidRPr="00900F8E">
              <w:rPr>
                <w:rFonts w:ascii="Arial" w:eastAsia="Calibri" w:hAnsi="Arial" w:cs="Arial"/>
                <w:b/>
                <w:bCs/>
                <w:color w:val="000000"/>
              </w:rPr>
              <w:t>Letni cilji (</w:t>
            </w:r>
            <w:r w:rsidR="00E05A93" w:rsidRPr="00900F8E">
              <w:rPr>
                <w:rFonts w:ascii="Arial" w:eastAsia="Calibri" w:hAnsi="Arial" w:cs="Arial"/>
                <w:b/>
                <w:bCs/>
                <w:color w:val="000000"/>
              </w:rPr>
              <w:t>Sklep</w:t>
            </w:r>
            <w:r w:rsidRPr="00900F8E">
              <w:rPr>
                <w:rFonts w:ascii="Arial" w:eastAsia="Calibri" w:hAnsi="Arial" w:cs="Arial"/>
                <w:b/>
                <w:bCs/>
                <w:color w:val="000000"/>
              </w:rPr>
              <w:t xml:space="preserve"> </w:t>
            </w:r>
            <w:r w:rsidR="00C863C3" w:rsidRPr="00900F8E">
              <w:rPr>
                <w:rFonts w:ascii="Arial" w:eastAsia="Calibri" w:hAnsi="Arial" w:cs="Arial"/>
                <w:b/>
                <w:bCs/>
                <w:color w:val="000000"/>
              </w:rPr>
              <w:t xml:space="preserve">(EU) </w:t>
            </w:r>
            <w:r w:rsidRPr="00900F8E">
              <w:rPr>
                <w:rFonts w:ascii="Arial" w:eastAsia="Calibri" w:hAnsi="Arial" w:cs="Arial"/>
                <w:b/>
                <w:bCs/>
                <w:color w:val="000000"/>
              </w:rPr>
              <w:t>2020/2126</w:t>
            </w:r>
            <w:r w:rsidR="00CE6BBB" w:rsidRPr="00900F8E">
              <w:rPr>
                <w:rStyle w:val="Sprotnaopomba-sklic"/>
                <w:rFonts w:ascii="Arial" w:eastAsia="Calibri" w:hAnsi="Arial" w:cs="Arial"/>
                <w:b/>
                <w:bCs/>
                <w:color w:val="000000"/>
              </w:rPr>
              <w:footnoteReference w:id="12"/>
            </w:r>
            <w:r w:rsidRPr="00900F8E">
              <w:rPr>
                <w:rFonts w:ascii="Arial" w:eastAsia="Calibri" w:hAnsi="Arial" w:cs="Arial"/>
                <w:b/>
                <w:bCs/>
                <w:color w:val="000000"/>
              </w:rPr>
              <w:t>) (GWP AR5)</w:t>
            </w:r>
            <w:r w:rsidR="00486BEA" w:rsidRPr="00900F8E">
              <w:rPr>
                <w:rFonts w:ascii="Arial" w:eastAsia="Calibri" w:hAnsi="Arial" w:cs="Arial"/>
                <w:b/>
                <w:bCs/>
                <w:color w:val="000000"/>
              </w:rPr>
              <w:t xml:space="preserve"> – enak predlogu FF55</w:t>
            </w:r>
          </w:p>
        </w:tc>
        <w:tc>
          <w:tcPr>
            <w:tcW w:w="1120" w:type="dxa"/>
            <w:shd w:val="clear" w:color="auto" w:fill="auto"/>
            <w:noWrap/>
            <w:vAlign w:val="bottom"/>
            <w:hideMark/>
          </w:tcPr>
          <w:p w14:paraId="2F931B74" w14:textId="77777777" w:rsidR="00005DD3" w:rsidRPr="00900F8E" w:rsidRDefault="00005DD3" w:rsidP="00005DD3">
            <w:pPr>
              <w:spacing w:after="0" w:line="240" w:lineRule="auto"/>
              <w:jc w:val="right"/>
              <w:rPr>
                <w:rFonts w:ascii="Arial" w:eastAsia="Times New Roman" w:hAnsi="Arial" w:cs="Arial"/>
                <w:b/>
                <w:bCs/>
                <w:color w:val="000000"/>
                <w:lang w:eastAsia="sl-SI"/>
              </w:rPr>
            </w:pPr>
          </w:p>
        </w:tc>
        <w:tc>
          <w:tcPr>
            <w:tcW w:w="1120" w:type="dxa"/>
            <w:shd w:val="clear" w:color="auto" w:fill="auto"/>
            <w:noWrap/>
            <w:vAlign w:val="bottom"/>
            <w:hideMark/>
          </w:tcPr>
          <w:p w14:paraId="39910489" w14:textId="77777777" w:rsidR="00005DD3" w:rsidRPr="00900F8E" w:rsidRDefault="00005DD3" w:rsidP="00005DD3">
            <w:pPr>
              <w:spacing w:after="0" w:line="240" w:lineRule="auto"/>
              <w:jc w:val="right"/>
              <w:rPr>
                <w:rFonts w:ascii="Arial" w:eastAsia="Times New Roman" w:hAnsi="Arial" w:cs="Arial"/>
                <w:b/>
                <w:bCs/>
                <w:lang w:eastAsia="sl-SI"/>
              </w:rPr>
            </w:pPr>
          </w:p>
        </w:tc>
        <w:tc>
          <w:tcPr>
            <w:tcW w:w="1120" w:type="dxa"/>
            <w:shd w:val="clear" w:color="auto" w:fill="auto"/>
            <w:noWrap/>
            <w:vAlign w:val="bottom"/>
            <w:hideMark/>
          </w:tcPr>
          <w:p w14:paraId="0B67DBFB" w14:textId="77777777" w:rsidR="00005DD3" w:rsidRPr="00900F8E" w:rsidRDefault="00005DD3" w:rsidP="00005DD3">
            <w:pPr>
              <w:spacing w:after="0" w:line="240" w:lineRule="auto"/>
              <w:jc w:val="right"/>
              <w:rPr>
                <w:rFonts w:ascii="Arial" w:eastAsia="Times New Roman" w:hAnsi="Arial" w:cs="Arial"/>
                <w:b/>
                <w:bCs/>
                <w:lang w:eastAsia="sl-SI"/>
              </w:rPr>
            </w:pPr>
          </w:p>
        </w:tc>
        <w:tc>
          <w:tcPr>
            <w:tcW w:w="960" w:type="dxa"/>
            <w:shd w:val="clear" w:color="auto" w:fill="auto"/>
            <w:noWrap/>
            <w:vAlign w:val="bottom"/>
            <w:hideMark/>
          </w:tcPr>
          <w:p w14:paraId="2A6EE85A" w14:textId="77777777" w:rsidR="00005DD3" w:rsidRPr="00900F8E" w:rsidRDefault="00005DD3" w:rsidP="00005DD3">
            <w:pPr>
              <w:spacing w:after="0" w:line="240" w:lineRule="auto"/>
              <w:jc w:val="right"/>
              <w:rPr>
                <w:rFonts w:ascii="Arial" w:eastAsia="Times New Roman" w:hAnsi="Arial" w:cs="Arial"/>
                <w:b/>
                <w:bCs/>
                <w:color w:val="000000"/>
                <w:lang w:eastAsia="sl-SI"/>
              </w:rPr>
            </w:pPr>
            <w:r w:rsidRPr="00900F8E">
              <w:rPr>
                <w:rFonts w:ascii="Arial" w:eastAsia="Calibri" w:hAnsi="Arial" w:cs="Arial"/>
                <w:b/>
                <w:bCs/>
                <w:color w:val="000000"/>
              </w:rPr>
              <w:t>11.403</w:t>
            </w:r>
          </w:p>
        </w:tc>
        <w:tc>
          <w:tcPr>
            <w:tcW w:w="960" w:type="dxa"/>
            <w:shd w:val="clear" w:color="auto" w:fill="auto"/>
            <w:noWrap/>
            <w:vAlign w:val="bottom"/>
            <w:hideMark/>
          </w:tcPr>
          <w:p w14:paraId="7BD49910" w14:textId="77777777" w:rsidR="00005DD3" w:rsidRPr="00900F8E" w:rsidRDefault="00005DD3" w:rsidP="00005DD3">
            <w:pPr>
              <w:spacing w:after="0" w:line="240" w:lineRule="auto"/>
              <w:jc w:val="right"/>
              <w:rPr>
                <w:rFonts w:ascii="Arial" w:eastAsia="Times New Roman" w:hAnsi="Arial" w:cs="Arial"/>
                <w:b/>
                <w:bCs/>
                <w:color w:val="000000"/>
                <w:lang w:eastAsia="sl-SI"/>
              </w:rPr>
            </w:pPr>
            <w:r w:rsidRPr="00900F8E">
              <w:rPr>
                <w:rFonts w:ascii="Arial" w:eastAsia="Calibri" w:hAnsi="Arial" w:cs="Arial"/>
                <w:b/>
                <w:bCs/>
                <w:color w:val="000000"/>
              </w:rPr>
              <w:t>11.108</w:t>
            </w:r>
          </w:p>
        </w:tc>
      </w:tr>
      <w:tr w:rsidR="00005DD3" w:rsidRPr="00900F8E" w14:paraId="33D1B74B" w14:textId="77777777" w:rsidTr="00294321">
        <w:trPr>
          <w:trHeight w:val="300"/>
        </w:trPr>
        <w:tc>
          <w:tcPr>
            <w:tcW w:w="3823" w:type="dxa"/>
            <w:shd w:val="clear" w:color="auto" w:fill="FFF2CC" w:themeFill="accent4" w:themeFillTint="33"/>
            <w:noWrap/>
            <w:vAlign w:val="bottom"/>
          </w:tcPr>
          <w:p w14:paraId="2C1673CA" w14:textId="77777777" w:rsidR="00005DD3" w:rsidRPr="00900F8E" w:rsidRDefault="00005DD3" w:rsidP="00005DD3">
            <w:pPr>
              <w:spacing w:after="0" w:line="240" w:lineRule="auto"/>
              <w:rPr>
                <w:rFonts w:ascii="Arial" w:eastAsia="Times New Roman" w:hAnsi="Arial" w:cs="Arial"/>
                <w:b/>
                <w:bCs/>
                <w:color w:val="000000"/>
                <w:lang w:eastAsia="sl-SI"/>
              </w:rPr>
            </w:pPr>
            <w:r w:rsidRPr="00900F8E">
              <w:rPr>
                <w:rFonts w:ascii="Arial" w:eastAsia="Calibri" w:hAnsi="Arial" w:cs="Arial"/>
                <w:b/>
                <w:bCs/>
                <w:color w:val="000000"/>
              </w:rPr>
              <w:t>Odstopanje od cilja</w:t>
            </w:r>
          </w:p>
        </w:tc>
        <w:tc>
          <w:tcPr>
            <w:tcW w:w="1120" w:type="dxa"/>
            <w:shd w:val="clear" w:color="auto" w:fill="FFF2CC" w:themeFill="accent4" w:themeFillTint="33"/>
            <w:noWrap/>
            <w:vAlign w:val="bottom"/>
          </w:tcPr>
          <w:p w14:paraId="7464E086" w14:textId="77777777" w:rsidR="00005DD3" w:rsidRPr="00900F8E" w:rsidRDefault="00005DD3" w:rsidP="00005DD3">
            <w:pPr>
              <w:spacing w:after="0" w:line="240" w:lineRule="auto"/>
              <w:jc w:val="right"/>
              <w:rPr>
                <w:rFonts w:ascii="Arial" w:eastAsia="Times New Roman" w:hAnsi="Arial" w:cs="Arial"/>
                <w:b/>
                <w:bCs/>
                <w:color w:val="000000"/>
                <w:lang w:eastAsia="sl-SI"/>
              </w:rPr>
            </w:pPr>
          </w:p>
        </w:tc>
        <w:tc>
          <w:tcPr>
            <w:tcW w:w="1120" w:type="dxa"/>
            <w:shd w:val="clear" w:color="auto" w:fill="FFF2CC" w:themeFill="accent4" w:themeFillTint="33"/>
            <w:noWrap/>
            <w:vAlign w:val="bottom"/>
          </w:tcPr>
          <w:p w14:paraId="5D067435" w14:textId="77777777" w:rsidR="00005DD3" w:rsidRPr="00900F8E" w:rsidRDefault="00005DD3" w:rsidP="00005DD3">
            <w:pPr>
              <w:spacing w:after="0" w:line="240" w:lineRule="auto"/>
              <w:jc w:val="right"/>
              <w:rPr>
                <w:rFonts w:ascii="Arial" w:eastAsia="Times New Roman" w:hAnsi="Arial" w:cs="Arial"/>
                <w:b/>
                <w:bCs/>
                <w:lang w:eastAsia="sl-SI"/>
              </w:rPr>
            </w:pPr>
          </w:p>
        </w:tc>
        <w:tc>
          <w:tcPr>
            <w:tcW w:w="1120" w:type="dxa"/>
            <w:shd w:val="clear" w:color="auto" w:fill="FFF2CC" w:themeFill="accent4" w:themeFillTint="33"/>
            <w:noWrap/>
            <w:vAlign w:val="bottom"/>
          </w:tcPr>
          <w:p w14:paraId="5BA4F516" w14:textId="77777777" w:rsidR="00005DD3" w:rsidRPr="00900F8E" w:rsidRDefault="00005DD3" w:rsidP="00005DD3">
            <w:pPr>
              <w:spacing w:after="0" w:line="240" w:lineRule="auto"/>
              <w:jc w:val="right"/>
              <w:rPr>
                <w:rFonts w:ascii="Arial" w:eastAsia="Times New Roman" w:hAnsi="Arial" w:cs="Arial"/>
                <w:b/>
                <w:bCs/>
                <w:lang w:eastAsia="sl-SI"/>
              </w:rPr>
            </w:pPr>
          </w:p>
        </w:tc>
        <w:tc>
          <w:tcPr>
            <w:tcW w:w="960" w:type="dxa"/>
            <w:shd w:val="clear" w:color="auto" w:fill="FFF2CC" w:themeFill="accent4" w:themeFillTint="33"/>
            <w:noWrap/>
            <w:vAlign w:val="bottom"/>
          </w:tcPr>
          <w:p w14:paraId="625B330B" w14:textId="2823B2FC" w:rsidR="00005DD3" w:rsidRPr="00900F8E" w:rsidRDefault="0076295C" w:rsidP="00005DD3">
            <w:pPr>
              <w:spacing w:after="0" w:line="240" w:lineRule="auto"/>
              <w:jc w:val="right"/>
              <w:rPr>
                <w:rFonts w:ascii="Arial" w:eastAsia="Calibri" w:hAnsi="Arial" w:cs="Arial"/>
                <w:b/>
                <w:bCs/>
                <w:color w:val="000000"/>
              </w:rPr>
            </w:pPr>
            <w:r>
              <w:rPr>
                <w:rFonts w:ascii="Arial" w:eastAsia="Calibri" w:hAnsi="Arial" w:cs="Arial"/>
                <w:b/>
                <w:bCs/>
                <w:color w:val="000000"/>
              </w:rPr>
              <w:t>–</w:t>
            </w:r>
            <w:r w:rsidR="008D0776" w:rsidRPr="00900F8E">
              <w:rPr>
                <w:rFonts w:ascii="Arial" w:eastAsia="Calibri" w:hAnsi="Arial" w:cs="Arial"/>
                <w:b/>
                <w:bCs/>
                <w:color w:val="000000"/>
              </w:rPr>
              <w:t>1.247</w:t>
            </w:r>
          </w:p>
        </w:tc>
        <w:tc>
          <w:tcPr>
            <w:tcW w:w="960" w:type="dxa"/>
            <w:shd w:val="clear" w:color="auto" w:fill="F7CAAC" w:themeFill="accent2" w:themeFillTint="66"/>
            <w:noWrap/>
            <w:vAlign w:val="bottom"/>
          </w:tcPr>
          <w:p w14:paraId="5FC215F8" w14:textId="72924129" w:rsidR="00005DD3" w:rsidRPr="00900F8E" w:rsidRDefault="00D5561F" w:rsidP="00005DD3">
            <w:pPr>
              <w:spacing w:after="0" w:line="240" w:lineRule="auto"/>
              <w:jc w:val="right"/>
              <w:rPr>
                <w:rFonts w:ascii="Arial" w:eastAsia="Calibri" w:hAnsi="Arial" w:cs="Arial"/>
                <w:b/>
                <w:bCs/>
                <w:color w:val="000000"/>
              </w:rPr>
            </w:pPr>
            <w:r w:rsidRPr="00900F8E">
              <w:rPr>
                <w:rFonts w:ascii="Arial" w:eastAsia="Calibri" w:hAnsi="Arial" w:cs="Arial"/>
                <w:b/>
                <w:bCs/>
                <w:color w:val="000000"/>
              </w:rPr>
              <w:t>+</w:t>
            </w:r>
            <w:r w:rsidR="008957A8">
              <w:rPr>
                <w:rFonts w:ascii="Arial" w:eastAsia="Calibri" w:hAnsi="Arial" w:cs="Arial"/>
                <w:b/>
                <w:bCs/>
                <w:color w:val="000000"/>
              </w:rPr>
              <w:t>602</w:t>
            </w:r>
          </w:p>
        </w:tc>
      </w:tr>
      <w:tr w:rsidR="00005DD3" w:rsidRPr="00900F8E" w14:paraId="6088F42C" w14:textId="77777777" w:rsidTr="00010594">
        <w:trPr>
          <w:trHeight w:val="300"/>
        </w:trPr>
        <w:tc>
          <w:tcPr>
            <w:tcW w:w="3823" w:type="dxa"/>
            <w:shd w:val="clear" w:color="auto" w:fill="auto"/>
            <w:noWrap/>
            <w:vAlign w:val="bottom"/>
          </w:tcPr>
          <w:p w14:paraId="0F7176D1" w14:textId="5104B219" w:rsidR="00005DD3" w:rsidRPr="00900F8E" w:rsidRDefault="001704C3" w:rsidP="00005DD3">
            <w:pPr>
              <w:spacing w:after="0" w:line="240" w:lineRule="auto"/>
              <w:rPr>
                <w:rFonts w:ascii="Arial" w:eastAsia="Calibri" w:hAnsi="Arial" w:cs="Arial"/>
                <w:color w:val="000000"/>
              </w:rPr>
            </w:pPr>
            <w:r w:rsidRPr="00900F8E">
              <w:rPr>
                <w:rFonts w:ascii="Arial" w:eastAsia="Calibri" w:hAnsi="Arial" w:cs="Arial"/>
                <w:color w:val="000000"/>
              </w:rPr>
              <w:t>S</w:t>
            </w:r>
            <w:r w:rsidR="00556234" w:rsidRPr="00900F8E">
              <w:rPr>
                <w:rFonts w:ascii="Arial" w:eastAsia="Calibri" w:hAnsi="Arial" w:cs="Arial"/>
                <w:color w:val="000000"/>
              </w:rPr>
              <w:t xml:space="preserve">kupni </w:t>
            </w:r>
            <w:r w:rsidR="00294321" w:rsidRPr="00900F8E">
              <w:rPr>
                <w:rFonts w:ascii="Arial" w:eastAsia="Calibri" w:hAnsi="Arial" w:cs="Arial"/>
                <w:color w:val="000000"/>
              </w:rPr>
              <w:t>presežek enot AEA</w:t>
            </w:r>
            <w:r w:rsidR="0098584F" w:rsidRPr="00900F8E">
              <w:rPr>
                <w:rStyle w:val="Sprotnaopomba-sklic"/>
                <w:rFonts w:ascii="Arial" w:eastAsia="Calibri" w:hAnsi="Arial" w:cs="Arial"/>
                <w:color w:val="000000"/>
              </w:rPr>
              <w:footnoteReference w:id="13"/>
            </w:r>
          </w:p>
        </w:tc>
        <w:tc>
          <w:tcPr>
            <w:tcW w:w="1120" w:type="dxa"/>
            <w:shd w:val="clear" w:color="auto" w:fill="auto"/>
            <w:noWrap/>
            <w:vAlign w:val="bottom"/>
          </w:tcPr>
          <w:p w14:paraId="0EE7D6BE" w14:textId="77777777" w:rsidR="00005DD3" w:rsidRPr="00900F8E" w:rsidRDefault="00005DD3" w:rsidP="00005DD3">
            <w:pPr>
              <w:spacing w:after="0" w:line="240" w:lineRule="auto"/>
              <w:jc w:val="right"/>
              <w:rPr>
                <w:rFonts w:ascii="Arial" w:eastAsia="Times New Roman" w:hAnsi="Arial" w:cs="Arial"/>
                <w:color w:val="000000"/>
                <w:lang w:eastAsia="sl-SI"/>
              </w:rPr>
            </w:pPr>
          </w:p>
        </w:tc>
        <w:tc>
          <w:tcPr>
            <w:tcW w:w="1120" w:type="dxa"/>
            <w:shd w:val="clear" w:color="auto" w:fill="auto"/>
            <w:noWrap/>
            <w:vAlign w:val="bottom"/>
          </w:tcPr>
          <w:p w14:paraId="6F25EDF1" w14:textId="77777777" w:rsidR="00005DD3" w:rsidRPr="00900F8E" w:rsidRDefault="00005DD3" w:rsidP="00005DD3">
            <w:pPr>
              <w:spacing w:after="0" w:line="240" w:lineRule="auto"/>
              <w:jc w:val="right"/>
              <w:rPr>
                <w:rFonts w:ascii="Arial" w:eastAsia="Times New Roman" w:hAnsi="Arial" w:cs="Arial"/>
                <w:lang w:eastAsia="sl-SI"/>
              </w:rPr>
            </w:pPr>
          </w:p>
        </w:tc>
        <w:tc>
          <w:tcPr>
            <w:tcW w:w="1120" w:type="dxa"/>
            <w:shd w:val="clear" w:color="auto" w:fill="auto"/>
            <w:noWrap/>
            <w:vAlign w:val="bottom"/>
          </w:tcPr>
          <w:p w14:paraId="1D263C3A" w14:textId="77777777" w:rsidR="00005DD3" w:rsidRPr="00900F8E" w:rsidRDefault="00005DD3" w:rsidP="00005DD3">
            <w:pPr>
              <w:spacing w:after="0" w:line="240" w:lineRule="auto"/>
              <w:jc w:val="right"/>
              <w:rPr>
                <w:rFonts w:ascii="Arial" w:eastAsia="Times New Roman" w:hAnsi="Arial" w:cs="Arial"/>
                <w:lang w:eastAsia="sl-SI"/>
              </w:rPr>
            </w:pPr>
          </w:p>
        </w:tc>
        <w:tc>
          <w:tcPr>
            <w:tcW w:w="960" w:type="dxa"/>
            <w:shd w:val="clear" w:color="auto" w:fill="FFFFFF" w:themeFill="background1"/>
            <w:noWrap/>
            <w:vAlign w:val="bottom"/>
          </w:tcPr>
          <w:p w14:paraId="5EE13258" w14:textId="7C962C8F" w:rsidR="00005DD3" w:rsidRPr="00900F8E" w:rsidRDefault="0076295C" w:rsidP="00005DD3">
            <w:pPr>
              <w:spacing w:after="0" w:line="240" w:lineRule="auto"/>
              <w:jc w:val="right"/>
              <w:rPr>
                <w:rFonts w:ascii="Arial" w:eastAsia="Calibri" w:hAnsi="Arial" w:cs="Arial"/>
                <w:color w:val="000000"/>
              </w:rPr>
            </w:pPr>
            <w:r>
              <w:rPr>
                <w:rFonts w:ascii="Arial" w:eastAsia="Calibri" w:hAnsi="Arial" w:cs="Arial"/>
                <w:color w:val="000000"/>
              </w:rPr>
              <w:t>–</w:t>
            </w:r>
            <w:r w:rsidR="008D0776" w:rsidRPr="00900F8E">
              <w:rPr>
                <w:rFonts w:ascii="Arial" w:eastAsia="Calibri" w:hAnsi="Arial" w:cs="Arial"/>
                <w:color w:val="000000"/>
              </w:rPr>
              <w:t>1.247</w:t>
            </w:r>
          </w:p>
        </w:tc>
        <w:tc>
          <w:tcPr>
            <w:tcW w:w="960" w:type="dxa"/>
            <w:shd w:val="clear" w:color="auto" w:fill="FFE599" w:themeFill="accent4" w:themeFillTint="66"/>
            <w:noWrap/>
            <w:vAlign w:val="bottom"/>
          </w:tcPr>
          <w:p w14:paraId="0055396E" w14:textId="283860F0" w:rsidR="00005DD3" w:rsidRPr="00900F8E" w:rsidRDefault="0076295C" w:rsidP="00005DD3">
            <w:pPr>
              <w:spacing w:after="0" w:line="240" w:lineRule="auto"/>
              <w:jc w:val="right"/>
              <w:rPr>
                <w:rFonts w:ascii="Arial" w:eastAsia="Calibri" w:hAnsi="Arial" w:cs="Arial"/>
                <w:color w:val="000000"/>
              </w:rPr>
            </w:pPr>
            <w:r>
              <w:rPr>
                <w:rFonts w:ascii="Arial" w:eastAsia="Calibri" w:hAnsi="Arial" w:cs="Arial"/>
                <w:color w:val="000000"/>
              </w:rPr>
              <w:t>–</w:t>
            </w:r>
            <w:r w:rsidR="008957A8">
              <w:rPr>
                <w:rFonts w:ascii="Arial" w:eastAsia="Calibri" w:hAnsi="Arial" w:cs="Arial"/>
                <w:color w:val="000000"/>
              </w:rPr>
              <w:t>646</w:t>
            </w:r>
          </w:p>
        </w:tc>
      </w:tr>
    </w:tbl>
    <w:p w14:paraId="62AA607E" w14:textId="3D44BC35" w:rsidR="00227A36" w:rsidRPr="00900F8E" w:rsidRDefault="00227A36" w:rsidP="001013CF">
      <w:pPr>
        <w:jc w:val="both"/>
        <w:rPr>
          <w:rFonts w:ascii="Arial" w:hAnsi="Arial" w:cs="Arial"/>
        </w:rPr>
      </w:pPr>
    </w:p>
    <w:p w14:paraId="31A61AC7" w14:textId="77777777" w:rsidR="00F6593B" w:rsidRDefault="00F6593B" w:rsidP="00005DD3">
      <w:pPr>
        <w:jc w:val="both"/>
        <w:rPr>
          <w:rFonts w:ascii="Arial" w:hAnsi="Arial" w:cs="Arial"/>
        </w:rPr>
      </w:pPr>
    </w:p>
    <w:p w14:paraId="1C1C171D" w14:textId="15EB9BC0" w:rsidR="00A04A2A" w:rsidRPr="00900F8E" w:rsidRDefault="00A04A2A" w:rsidP="00005DD3">
      <w:pPr>
        <w:jc w:val="both"/>
        <w:rPr>
          <w:rFonts w:ascii="Arial" w:hAnsi="Arial" w:cs="Arial"/>
        </w:rPr>
      </w:pPr>
      <w:r w:rsidRPr="00900F8E">
        <w:rPr>
          <w:rFonts w:ascii="Arial" w:hAnsi="Arial" w:cs="Arial"/>
        </w:rPr>
        <w:t>V letu 2021 so bile</w:t>
      </w:r>
      <w:r w:rsidR="00005DD3" w:rsidRPr="00900F8E">
        <w:rPr>
          <w:rFonts w:ascii="Arial" w:hAnsi="Arial" w:cs="Arial"/>
        </w:rPr>
        <w:t xml:space="preserve"> emisije</w:t>
      </w:r>
      <w:r w:rsidR="009B500A" w:rsidRPr="00900F8E">
        <w:rPr>
          <w:rFonts w:ascii="Arial" w:hAnsi="Arial" w:cs="Arial"/>
        </w:rPr>
        <w:t xml:space="preserve"> TGP</w:t>
      </w:r>
      <w:r w:rsidR="00005DD3" w:rsidRPr="00900F8E">
        <w:rPr>
          <w:rFonts w:ascii="Arial" w:hAnsi="Arial" w:cs="Arial"/>
        </w:rPr>
        <w:t xml:space="preserve"> višje kot leta 2020</w:t>
      </w:r>
      <w:r w:rsidRPr="00900F8E">
        <w:rPr>
          <w:rFonts w:ascii="Arial" w:hAnsi="Arial" w:cs="Arial"/>
        </w:rPr>
        <w:t xml:space="preserve">, vendar le </w:t>
      </w:r>
      <w:r w:rsidR="00486BEA" w:rsidRPr="00900F8E">
        <w:rPr>
          <w:rFonts w:ascii="Arial" w:hAnsi="Arial" w:cs="Arial"/>
        </w:rPr>
        <w:t>z</w:t>
      </w:r>
      <w:r w:rsidRPr="00900F8E">
        <w:rPr>
          <w:rFonts w:ascii="Arial" w:hAnsi="Arial" w:cs="Arial"/>
        </w:rPr>
        <w:t xml:space="preserve">a </w:t>
      </w:r>
      <w:r w:rsidR="00BA7622" w:rsidRPr="00900F8E">
        <w:rPr>
          <w:rFonts w:ascii="Arial" w:hAnsi="Arial" w:cs="Arial"/>
        </w:rPr>
        <w:t>3</w:t>
      </w:r>
      <w:r w:rsidR="0076295C">
        <w:rPr>
          <w:rFonts w:ascii="Arial" w:hAnsi="Arial" w:cs="Arial"/>
        </w:rPr>
        <w:t> </w:t>
      </w:r>
      <w:r w:rsidRPr="00900F8E">
        <w:rPr>
          <w:rFonts w:ascii="Arial" w:hAnsi="Arial" w:cs="Arial"/>
        </w:rPr>
        <w:t>%</w:t>
      </w:r>
      <w:r w:rsidR="009B500A" w:rsidRPr="00900F8E">
        <w:rPr>
          <w:rFonts w:ascii="Arial" w:hAnsi="Arial" w:cs="Arial"/>
        </w:rPr>
        <w:t>.</w:t>
      </w:r>
      <w:r w:rsidR="00005DD3" w:rsidRPr="00900F8E">
        <w:rPr>
          <w:rFonts w:ascii="Arial" w:hAnsi="Arial" w:cs="Arial"/>
        </w:rPr>
        <w:t xml:space="preserve"> </w:t>
      </w:r>
      <w:r w:rsidR="00E05A93" w:rsidRPr="00900F8E">
        <w:rPr>
          <w:rFonts w:ascii="Arial" w:hAnsi="Arial" w:cs="Arial"/>
        </w:rPr>
        <w:t>V primerjavi z</w:t>
      </w:r>
      <w:r w:rsidR="00CE6BBB" w:rsidRPr="00900F8E">
        <w:rPr>
          <w:rFonts w:ascii="Arial" w:hAnsi="Arial" w:cs="Arial"/>
        </w:rPr>
        <w:t xml:space="preserve"> letnim</w:t>
      </w:r>
      <w:r w:rsidR="00E05A93" w:rsidRPr="00900F8E">
        <w:rPr>
          <w:rFonts w:ascii="Arial" w:hAnsi="Arial" w:cs="Arial"/>
        </w:rPr>
        <w:t xml:space="preserve"> ciljem</w:t>
      </w:r>
      <w:r w:rsidR="00CE6BBB" w:rsidRPr="00900F8E">
        <w:rPr>
          <w:rFonts w:ascii="Arial" w:hAnsi="Arial" w:cs="Arial"/>
        </w:rPr>
        <w:t xml:space="preserve">, določenim s Sklepom (EU) </w:t>
      </w:r>
      <w:r w:rsidR="00005DD3" w:rsidRPr="00900F8E">
        <w:rPr>
          <w:rFonts w:ascii="Arial" w:hAnsi="Arial" w:cs="Arial"/>
        </w:rPr>
        <w:t>2020/2126</w:t>
      </w:r>
      <w:r w:rsidR="00CE6BBB" w:rsidRPr="00900F8E">
        <w:rPr>
          <w:rFonts w:ascii="Arial" w:hAnsi="Arial" w:cs="Arial"/>
        </w:rPr>
        <w:t>,</w:t>
      </w:r>
      <w:r w:rsidR="00005DD3" w:rsidRPr="00900F8E">
        <w:rPr>
          <w:rFonts w:ascii="Arial" w:hAnsi="Arial" w:cs="Arial"/>
        </w:rPr>
        <w:t xml:space="preserve"> so bile emisije</w:t>
      </w:r>
      <w:r w:rsidR="00CE6BBB" w:rsidRPr="00900F8E">
        <w:rPr>
          <w:rFonts w:ascii="Arial" w:hAnsi="Arial" w:cs="Arial"/>
        </w:rPr>
        <w:t xml:space="preserve"> TGP</w:t>
      </w:r>
      <w:r w:rsidR="00005DD3" w:rsidRPr="00900F8E">
        <w:rPr>
          <w:rFonts w:ascii="Arial" w:hAnsi="Arial" w:cs="Arial"/>
        </w:rPr>
        <w:t xml:space="preserve"> nižje za </w:t>
      </w:r>
      <w:r w:rsidR="00E37783" w:rsidRPr="00900F8E">
        <w:rPr>
          <w:rFonts w:ascii="Arial" w:hAnsi="Arial" w:cs="Arial"/>
        </w:rPr>
        <w:t>1.247</w:t>
      </w:r>
      <w:r w:rsidR="00005DD3" w:rsidRPr="00900F8E">
        <w:rPr>
          <w:rFonts w:ascii="Arial" w:hAnsi="Arial" w:cs="Arial"/>
        </w:rPr>
        <w:t xml:space="preserve"> kt </w:t>
      </w:r>
      <w:r w:rsidR="00F15480" w:rsidRPr="00900F8E">
        <w:rPr>
          <w:rFonts w:ascii="Arial" w:hAnsi="Arial" w:cs="Arial"/>
        </w:rPr>
        <w:t xml:space="preserve">ekv. </w:t>
      </w:r>
      <w:r w:rsidR="00005DD3" w:rsidRPr="00900F8E">
        <w:rPr>
          <w:rFonts w:ascii="Arial" w:hAnsi="Arial" w:cs="Arial"/>
        </w:rPr>
        <w:t>CO</w:t>
      </w:r>
      <w:r w:rsidR="00005DD3" w:rsidRPr="00900F8E">
        <w:rPr>
          <w:rFonts w:ascii="Arial" w:hAnsi="Arial" w:cs="Arial"/>
          <w:vertAlign w:val="subscript"/>
        </w:rPr>
        <w:t>2</w:t>
      </w:r>
      <w:r w:rsidR="00F15480" w:rsidRPr="00900F8E">
        <w:rPr>
          <w:rFonts w:ascii="Arial" w:hAnsi="Arial" w:cs="Arial"/>
        </w:rPr>
        <w:t>.</w:t>
      </w:r>
      <w:r w:rsidR="00005DD3" w:rsidRPr="00900F8E">
        <w:rPr>
          <w:rFonts w:ascii="Arial" w:hAnsi="Arial" w:cs="Arial"/>
        </w:rPr>
        <w:t xml:space="preserve"> </w:t>
      </w:r>
    </w:p>
    <w:p w14:paraId="683A63DB" w14:textId="0AC2CFF2" w:rsidR="00B04133" w:rsidRPr="009B5863" w:rsidRDefault="00CE6BBB" w:rsidP="00005DD3">
      <w:pPr>
        <w:jc w:val="both"/>
        <w:rPr>
          <w:rFonts w:ascii="Arial" w:hAnsi="Arial" w:cs="Arial"/>
          <w:b/>
          <w:bCs/>
          <w:u w:val="single"/>
        </w:rPr>
      </w:pPr>
      <w:r w:rsidRPr="00900F8E">
        <w:rPr>
          <w:rFonts w:ascii="Arial" w:hAnsi="Arial" w:cs="Arial"/>
        </w:rPr>
        <w:t>Leta 2022</w:t>
      </w:r>
      <w:r w:rsidR="00A04A2A" w:rsidRPr="00900F8E">
        <w:rPr>
          <w:rFonts w:ascii="Arial" w:hAnsi="Arial" w:cs="Arial"/>
        </w:rPr>
        <w:t xml:space="preserve"> </w:t>
      </w:r>
      <w:r w:rsidR="00A03ADD">
        <w:rPr>
          <w:rFonts w:ascii="Arial" w:hAnsi="Arial" w:cs="Arial"/>
        </w:rPr>
        <w:t xml:space="preserve">pa </w:t>
      </w:r>
      <w:r w:rsidR="0029047C">
        <w:rPr>
          <w:rFonts w:ascii="Arial" w:hAnsi="Arial" w:cs="Arial"/>
        </w:rPr>
        <w:t xml:space="preserve">so </w:t>
      </w:r>
      <w:r w:rsidR="00A03ADD">
        <w:rPr>
          <w:rFonts w:ascii="Arial" w:hAnsi="Arial" w:cs="Arial"/>
        </w:rPr>
        <w:t xml:space="preserve">predvsem zaradi velike rasti emisij TGP v prometu </w:t>
      </w:r>
      <w:r w:rsidR="00A04A2A" w:rsidRPr="00900F8E">
        <w:rPr>
          <w:rFonts w:ascii="Arial" w:hAnsi="Arial" w:cs="Arial"/>
        </w:rPr>
        <w:t>emisije TGP ocenjene na 11.</w:t>
      </w:r>
      <w:r w:rsidR="00F51C1C">
        <w:rPr>
          <w:rFonts w:ascii="Arial" w:hAnsi="Arial" w:cs="Arial"/>
        </w:rPr>
        <w:t>709</w:t>
      </w:r>
      <w:r w:rsidR="00A04A2A" w:rsidRPr="00900F8E">
        <w:rPr>
          <w:rFonts w:ascii="Arial" w:hAnsi="Arial" w:cs="Arial"/>
        </w:rPr>
        <w:t xml:space="preserve"> kt</w:t>
      </w:r>
      <w:r w:rsidR="00F15480" w:rsidRPr="00900F8E">
        <w:rPr>
          <w:rFonts w:ascii="Arial" w:hAnsi="Arial" w:cs="Arial"/>
        </w:rPr>
        <w:t xml:space="preserve"> ekv</w:t>
      </w:r>
      <w:r w:rsidR="00B030C5">
        <w:rPr>
          <w:rFonts w:ascii="Arial" w:hAnsi="Arial" w:cs="Arial"/>
        </w:rPr>
        <w:t>.</w:t>
      </w:r>
      <w:r w:rsidR="0029047C">
        <w:rPr>
          <w:rStyle w:val="Sprotnaopomba-sklic"/>
          <w:rFonts w:ascii="Arial" w:hAnsi="Arial" w:cs="Arial"/>
        </w:rPr>
        <w:footnoteReference w:id="14"/>
      </w:r>
      <w:r w:rsidR="00F15480" w:rsidRPr="00900F8E">
        <w:rPr>
          <w:rFonts w:ascii="Arial" w:hAnsi="Arial" w:cs="Arial"/>
        </w:rPr>
        <w:t xml:space="preserve"> CO</w:t>
      </w:r>
      <w:r w:rsidR="00F15480" w:rsidRPr="00900F8E">
        <w:rPr>
          <w:rFonts w:ascii="Arial" w:hAnsi="Arial" w:cs="Arial"/>
          <w:vertAlign w:val="subscript"/>
        </w:rPr>
        <w:t>2</w:t>
      </w:r>
      <w:r w:rsidR="00A04A2A" w:rsidRPr="00900F8E">
        <w:rPr>
          <w:rFonts w:ascii="Arial" w:hAnsi="Arial" w:cs="Arial"/>
        </w:rPr>
        <w:t xml:space="preserve">, kar </w:t>
      </w:r>
      <w:r w:rsidR="00714320" w:rsidRPr="00900F8E">
        <w:rPr>
          <w:rFonts w:ascii="Arial" w:hAnsi="Arial" w:cs="Arial"/>
        </w:rPr>
        <w:t>je v</w:t>
      </w:r>
      <w:r w:rsidR="00A04A2A" w:rsidRPr="00900F8E">
        <w:rPr>
          <w:rFonts w:ascii="Arial" w:hAnsi="Arial" w:cs="Arial"/>
        </w:rPr>
        <w:t xml:space="preserve"> primerjavi z letom 2021 višje za </w:t>
      </w:r>
      <w:r w:rsidR="00E37783" w:rsidRPr="00900F8E">
        <w:rPr>
          <w:rFonts w:ascii="Arial" w:hAnsi="Arial" w:cs="Arial"/>
        </w:rPr>
        <w:t>1</w:t>
      </w:r>
      <w:r w:rsidR="00F51C1C">
        <w:rPr>
          <w:rFonts w:ascii="Arial" w:hAnsi="Arial" w:cs="Arial"/>
        </w:rPr>
        <w:t>5</w:t>
      </w:r>
      <w:r w:rsidR="0076295C">
        <w:rPr>
          <w:rFonts w:ascii="Arial" w:hAnsi="Arial" w:cs="Arial"/>
        </w:rPr>
        <w:t> </w:t>
      </w:r>
      <w:r w:rsidR="00A04A2A" w:rsidRPr="00900F8E">
        <w:rPr>
          <w:rFonts w:ascii="Arial" w:hAnsi="Arial" w:cs="Arial"/>
        </w:rPr>
        <w:t>%</w:t>
      </w:r>
      <w:r w:rsidR="00103270" w:rsidRPr="00900F8E">
        <w:rPr>
          <w:rFonts w:ascii="Arial" w:hAnsi="Arial" w:cs="Arial"/>
        </w:rPr>
        <w:t>. T</w:t>
      </w:r>
      <w:r w:rsidR="002F3F5A" w:rsidRPr="00900F8E">
        <w:rPr>
          <w:rFonts w:ascii="Arial" w:hAnsi="Arial" w:cs="Arial"/>
        </w:rPr>
        <w:t xml:space="preserve">o pomeni, da </w:t>
      </w:r>
      <w:r w:rsidR="002F3F5A" w:rsidRPr="009B5863">
        <w:rPr>
          <w:rFonts w:ascii="Arial" w:hAnsi="Arial" w:cs="Arial"/>
          <w:u w:val="single"/>
        </w:rPr>
        <w:t>so</w:t>
      </w:r>
      <w:r w:rsidR="0098035A" w:rsidRPr="009B5863">
        <w:rPr>
          <w:rFonts w:ascii="Arial" w:hAnsi="Arial" w:cs="Arial"/>
          <w:u w:val="single"/>
        </w:rPr>
        <w:t xml:space="preserve"> </w:t>
      </w:r>
      <w:r w:rsidR="0098035A" w:rsidRPr="009B5863">
        <w:rPr>
          <w:rFonts w:ascii="Arial" w:hAnsi="Arial" w:cs="Arial"/>
          <w:b/>
          <w:bCs/>
          <w:u w:val="single"/>
        </w:rPr>
        <w:t>leta 2022</w:t>
      </w:r>
      <w:r w:rsidR="002F3F5A" w:rsidRPr="009B5863">
        <w:rPr>
          <w:rFonts w:ascii="Arial" w:hAnsi="Arial" w:cs="Arial"/>
          <w:b/>
          <w:bCs/>
          <w:u w:val="single"/>
        </w:rPr>
        <w:t xml:space="preserve"> </w:t>
      </w:r>
      <w:r w:rsidR="0098035A" w:rsidRPr="009B5863">
        <w:rPr>
          <w:rFonts w:ascii="Arial" w:hAnsi="Arial" w:cs="Arial"/>
          <w:b/>
          <w:bCs/>
          <w:u w:val="single"/>
        </w:rPr>
        <w:t>neETS</w:t>
      </w:r>
      <w:r w:rsidR="0098035A" w:rsidRPr="009B5863">
        <w:rPr>
          <w:rFonts w:ascii="Arial" w:hAnsi="Arial" w:cs="Arial"/>
          <w:u w:val="single"/>
        </w:rPr>
        <w:t xml:space="preserve"> </w:t>
      </w:r>
      <w:r w:rsidR="002F3F5A" w:rsidRPr="009B5863">
        <w:rPr>
          <w:rFonts w:ascii="Arial" w:hAnsi="Arial" w:cs="Arial"/>
          <w:b/>
          <w:bCs/>
          <w:u w:val="single"/>
        </w:rPr>
        <w:t>emisije TGP v primerjavi z letnim ciljem, določenim s Sklepom (EU) 2020/2126,</w:t>
      </w:r>
      <w:r w:rsidR="002F3F5A" w:rsidRPr="00A82C1E">
        <w:rPr>
          <w:rFonts w:ascii="Arial" w:hAnsi="Arial" w:cs="Arial"/>
          <w:b/>
          <w:bCs/>
          <w:u w:val="single"/>
        </w:rPr>
        <w:t xml:space="preserve"> </w:t>
      </w:r>
      <w:r w:rsidR="002F3F5A" w:rsidRPr="00900F8E">
        <w:rPr>
          <w:rFonts w:ascii="Arial" w:hAnsi="Arial" w:cs="Arial"/>
          <w:b/>
          <w:bCs/>
          <w:u w:val="single"/>
        </w:rPr>
        <w:t xml:space="preserve">višje za </w:t>
      </w:r>
      <w:r w:rsidR="00F51C1C">
        <w:rPr>
          <w:rFonts w:ascii="Arial" w:hAnsi="Arial" w:cs="Arial"/>
          <w:b/>
          <w:bCs/>
          <w:u w:val="single"/>
        </w:rPr>
        <w:t>602</w:t>
      </w:r>
      <w:r w:rsidR="002F3F5A" w:rsidRPr="00900F8E">
        <w:rPr>
          <w:rFonts w:ascii="Arial" w:hAnsi="Arial" w:cs="Arial"/>
          <w:b/>
          <w:bCs/>
          <w:u w:val="single"/>
        </w:rPr>
        <w:t xml:space="preserve"> kt </w:t>
      </w:r>
      <w:r w:rsidR="00F15480" w:rsidRPr="00900F8E">
        <w:rPr>
          <w:rFonts w:ascii="Arial" w:hAnsi="Arial" w:cs="Arial"/>
          <w:b/>
          <w:bCs/>
          <w:u w:val="single"/>
        </w:rPr>
        <w:t>ekv.</w:t>
      </w:r>
      <w:r w:rsidR="00F15480" w:rsidRPr="00900F8E">
        <w:rPr>
          <w:rFonts w:ascii="Arial" w:hAnsi="Arial" w:cs="Arial"/>
          <w:u w:val="single"/>
        </w:rPr>
        <w:t xml:space="preserve"> </w:t>
      </w:r>
      <w:r w:rsidR="002F3F5A" w:rsidRPr="00900F8E">
        <w:rPr>
          <w:rFonts w:ascii="Arial" w:hAnsi="Arial" w:cs="Arial"/>
          <w:b/>
          <w:bCs/>
          <w:u w:val="single"/>
        </w:rPr>
        <w:t>CO</w:t>
      </w:r>
      <w:r w:rsidR="002F3F5A" w:rsidRPr="00900F8E">
        <w:rPr>
          <w:rFonts w:ascii="Arial" w:hAnsi="Arial" w:cs="Arial"/>
          <w:b/>
          <w:bCs/>
          <w:u w:val="single"/>
          <w:vertAlign w:val="subscript"/>
        </w:rPr>
        <w:t>2</w:t>
      </w:r>
      <w:r w:rsidR="00501E78" w:rsidRPr="00900F8E">
        <w:rPr>
          <w:rFonts w:ascii="Arial" w:hAnsi="Arial" w:cs="Arial"/>
          <w:b/>
          <w:bCs/>
          <w:u w:val="single"/>
        </w:rPr>
        <w:t xml:space="preserve"> in letni </w:t>
      </w:r>
      <w:r w:rsidR="00576A27" w:rsidRPr="00900F8E">
        <w:rPr>
          <w:rFonts w:ascii="Arial" w:hAnsi="Arial" w:cs="Arial"/>
          <w:b/>
          <w:bCs/>
          <w:u w:val="single"/>
        </w:rPr>
        <w:t xml:space="preserve">neETS </w:t>
      </w:r>
      <w:r w:rsidR="00501E78" w:rsidRPr="00900F8E">
        <w:rPr>
          <w:rFonts w:ascii="Arial" w:hAnsi="Arial" w:cs="Arial"/>
          <w:b/>
          <w:bCs/>
          <w:u w:val="single"/>
        </w:rPr>
        <w:t>cilj neposredno ni dosežen</w:t>
      </w:r>
      <w:r w:rsidR="002F3F5A" w:rsidRPr="009B5863">
        <w:rPr>
          <w:rFonts w:ascii="Arial" w:hAnsi="Arial" w:cs="Arial"/>
          <w:b/>
          <w:bCs/>
          <w:u w:val="single"/>
        </w:rPr>
        <w:t xml:space="preserve">. </w:t>
      </w:r>
      <w:r w:rsidR="00B04133" w:rsidRPr="009B5863">
        <w:rPr>
          <w:rFonts w:ascii="Arial" w:hAnsi="Arial" w:cs="Arial"/>
          <w:b/>
          <w:bCs/>
          <w:u w:val="single"/>
        </w:rPr>
        <w:t>Cilj b</w:t>
      </w:r>
      <w:r w:rsidR="00B0737F" w:rsidRPr="009B5863">
        <w:rPr>
          <w:rFonts w:ascii="Arial" w:hAnsi="Arial" w:cs="Arial"/>
          <w:b/>
          <w:bCs/>
          <w:u w:val="single"/>
        </w:rPr>
        <w:t>i lahko bil</w:t>
      </w:r>
      <w:r w:rsidR="00B04133" w:rsidRPr="009B5863">
        <w:rPr>
          <w:rFonts w:ascii="Arial" w:hAnsi="Arial" w:cs="Arial"/>
          <w:b/>
          <w:bCs/>
          <w:u w:val="single"/>
        </w:rPr>
        <w:t xml:space="preserve"> dosežen le z uporabo</w:t>
      </w:r>
      <w:r w:rsidR="00F51C1C" w:rsidRPr="009B5863">
        <w:rPr>
          <w:rFonts w:ascii="Arial" w:hAnsi="Arial" w:cs="Arial"/>
          <w:b/>
          <w:bCs/>
          <w:u w:val="single"/>
        </w:rPr>
        <w:t xml:space="preserve"> skoraj polovice</w:t>
      </w:r>
      <w:r w:rsidR="00B04133" w:rsidRPr="009B5863">
        <w:rPr>
          <w:rFonts w:ascii="Arial" w:hAnsi="Arial" w:cs="Arial"/>
          <w:b/>
          <w:bCs/>
          <w:u w:val="single"/>
        </w:rPr>
        <w:t xml:space="preserve"> shranjenega </w:t>
      </w:r>
      <w:r w:rsidR="009B5863">
        <w:rPr>
          <w:rFonts w:ascii="Arial" w:hAnsi="Arial" w:cs="Arial"/>
          <w:b/>
          <w:bCs/>
          <w:u w:val="single"/>
        </w:rPr>
        <w:t>presežka</w:t>
      </w:r>
      <w:r w:rsidR="00B04133" w:rsidRPr="009B5863">
        <w:rPr>
          <w:rFonts w:ascii="Arial" w:hAnsi="Arial" w:cs="Arial"/>
          <w:b/>
          <w:bCs/>
          <w:u w:val="single"/>
        </w:rPr>
        <w:t xml:space="preserve"> enot AEA</w:t>
      </w:r>
      <w:r w:rsidR="00B0737F" w:rsidRPr="009B5863">
        <w:rPr>
          <w:rFonts w:ascii="Arial" w:hAnsi="Arial" w:cs="Arial"/>
          <w:b/>
          <w:bCs/>
          <w:u w:val="single"/>
        </w:rPr>
        <w:t>, ki bi v letu 2021 znašal 1.247 kt ekv. CO</w:t>
      </w:r>
      <w:r w:rsidR="00B0737F" w:rsidRPr="009B5863">
        <w:rPr>
          <w:rFonts w:ascii="Arial" w:hAnsi="Arial" w:cs="Arial"/>
          <w:b/>
          <w:bCs/>
          <w:u w:val="single"/>
          <w:vertAlign w:val="subscript"/>
        </w:rPr>
        <w:t>2</w:t>
      </w:r>
      <w:r w:rsidR="00B0737F" w:rsidRPr="009B5863">
        <w:rPr>
          <w:rFonts w:ascii="Arial" w:hAnsi="Arial" w:cs="Arial"/>
          <w:b/>
          <w:bCs/>
          <w:u w:val="single"/>
        </w:rPr>
        <w:t>.</w:t>
      </w:r>
    </w:p>
    <w:p w14:paraId="3E7594FB" w14:textId="1A1EE260" w:rsidR="000A2508" w:rsidRDefault="00714320" w:rsidP="000A2508">
      <w:pPr>
        <w:jc w:val="both"/>
        <w:rPr>
          <w:rFonts w:ascii="Arial" w:hAnsi="Arial" w:cs="Arial"/>
        </w:rPr>
      </w:pPr>
      <w:r w:rsidRPr="00900F8E">
        <w:rPr>
          <w:rFonts w:ascii="Arial" w:hAnsi="Arial" w:cs="Arial"/>
        </w:rPr>
        <w:t xml:space="preserve">Za </w:t>
      </w:r>
      <w:r w:rsidR="002A378E">
        <w:rPr>
          <w:rFonts w:ascii="Arial" w:hAnsi="Arial" w:cs="Arial"/>
        </w:rPr>
        <w:t>zmanjšanje</w:t>
      </w:r>
      <w:r w:rsidRPr="00900F8E">
        <w:rPr>
          <w:rFonts w:ascii="Arial" w:hAnsi="Arial" w:cs="Arial"/>
        </w:rPr>
        <w:t xml:space="preserve"> emisij TGP je</w:t>
      </w:r>
      <w:r w:rsidR="00005DD3" w:rsidRPr="00900F8E">
        <w:rPr>
          <w:rFonts w:ascii="Arial" w:hAnsi="Arial" w:cs="Arial"/>
        </w:rPr>
        <w:t xml:space="preserve"> treba pozorno spremljati gibanje mesečnih vrednosti oskrbe </w:t>
      </w:r>
      <w:r w:rsidR="007345A5">
        <w:rPr>
          <w:rFonts w:ascii="Arial" w:hAnsi="Arial" w:cs="Arial"/>
        </w:rPr>
        <w:t>in</w:t>
      </w:r>
      <w:r w:rsidR="007345A5" w:rsidRPr="00900F8E">
        <w:rPr>
          <w:rFonts w:ascii="Arial" w:hAnsi="Arial" w:cs="Arial"/>
        </w:rPr>
        <w:t xml:space="preserve"> </w:t>
      </w:r>
      <w:r w:rsidR="002F3F5A" w:rsidRPr="00900F8E">
        <w:rPr>
          <w:rFonts w:ascii="Arial" w:hAnsi="Arial" w:cs="Arial"/>
        </w:rPr>
        <w:t>ustrezno ukrepati</w:t>
      </w:r>
      <w:r w:rsidR="00005DD3" w:rsidRPr="00900F8E">
        <w:rPr>
          <w:rFonts w:ascii="Arial" w:hAnsi="Arial" w:cs="Arial"/>
        </w:rPr>
        <w:t xml:space="preserve"> glede maloprodajnih cen pogonskih goriv</w:t>
      </w:r>
      <w:r w:rsidR="007C4BE5" w:rsidRPr="00900F8E">
        <w:rPr>
          <w:rFonts w:ascii="Arial" w:hAnsi="Arial" w:cs="Arial"/>
        </w:rPr>
        <w:t xml:space="preserve">. </w:t>
      </w:r>
    </w:p>
    <w:p w14:paraId="10F50F74" w14:textId="2315B535" w:rsidR="00227A36" w:rsidRDefault="002F3F5A" w:rsidP="00005DD3">
      <w:pPr>
        <w:jc w:val="both"/>
        <w:rPr>
          <w:rFonts w:ascii="Arial" w:hAnsi="Arial" w:cs="Arial"/>
        </w:rPr>
      </w:pPr>
      <w:r w:rsidRPr="00900F8E">
        <w:rPr>
          <w:rFonts w:ascii="Arial" w:hAnsi="Arial" w:cs="Arial"/>
        </w:rPr>
        <w:t>K</w:t>
      </w:r>
      <w:r w:rsidR="00005DD3" w:rsidRPr="00900F8E">
        <w:rPr>
          <w:rFonts w:ascii="Arial" w:hAnsi="Arial" w:cs="Arial"/>
        </w:rPr>
        <w:t>ratkoročn</w:t>
      </w:r>
      <w:r w:rsidRPr="00900F8E">
        <w:rPr>
          <w:rFonts w:ascii="Arial" w:hAnsi="Arial" w:cs="Arial"/>
        </w:rPr>
        <w:t>e</w:t>
      </w:r>
      <w:r w:rsidR="00005DD3" w:rsidRPr="00900F8E">
        <w:rPr>
          <w:rFonts w:ascii="Arial" w:hAnsi="Arial" w:cs="Arial"/>
        </w:rPr>
        <w:t xml:space="preserve"> projekcije za emisije</w:t>
      </w:r>
      <w:r w:rsidR="00A0281B" w:rsidRPr="00900F8E">
        <w:rPr>
          <w:rFonts w:ascii="Arial" w:hAnsi="Arial" w:cs="Arial"/>
        </w:rPr>
        <w:t xml:space="preserve"> TGP</w:t>
      </w:r>
      <w:r w:rsidR="00005DD3" w:rsidRPr="00900F8E">
        <w:rPr>
          <w:rFonts w:ascii="Arial" w:hAnsi="Arial" w:cs="Arial"/>
        </w:rPr>
        <w:t xml:space="preserve"> </w:t>
      </w:r>
      <w:r w:rsidR="00FC717D" w:rsidRPr="00900F8E">
        <w:rPr>
          <w:rFonts w:ascii="Arial" w:hAnsi="Arial" w:cs="Arial"/>
        </w:rPr>
        <w:t xml:space="preserve">za </w:t>
      </w:r>
      <w:r w:rsidR="00005DD3" w:rsidRPr="00900F8E">
        <w:rPr>
          <w:rFonts w:ascii="Arial" w:hAnsi="Arial" w:cs="Arial"/>
        </w:rPr>
        <w:t>let</w:t>
      </w:r>
      <w:r w:rsidR="00FC717D" w:rsidRPr="00900F8E">
        <w:rPr>
          <w:rFonts w:ascii="Arial" w:hAnsi="Arial" w:cs="Arial"/>
        </w:rPr>
        <w:t>o</w:t>
      </w:r>
      <w:r w:rsidR="00005DD3" w:rsidRPr="00900F8E">
        <w:rPr>
          <w:rFonts w:ascii="Arial" w:hAnsi="Arial" w:cs="Arial"/>
        </w:rPr>
        <w:t xml:space="preserve"> 2022 kaže</w:t>
      </w:r>
      <w:r w:rsidRPr="00900F8E">
        <w:rPr>
          <w:rFonts w:ascii="Arial" w:hAnsi="Arial" w:cs="Arial"/>
        </w:rPr>
        <w:t>jo tudi,</w:t>
      </w:r>
      <w:r w:rsidR="00005DD3" w:rsidRPr="00900F8E">
        <w:rPr>
          <w:rFonts w:ascii="Arial" w:hAnsi="Arial" w:cs="Arial"/>
        </w:rPr>
        <w:t xml:space="preserve"> da bodo le-te znatno višje tudi od projekcij </w:t>
      </w:r>
      <w:r w:rsidRPr="00900F8E">
        <w:rPr>
          <w:rFonts w:ascii="Arial" w:hAnsi="Arial" w:cs="Arial"/>
        </w:rPr>
        <w:t xml:space="preserve">scenarija </w:t>
      </w:r>
      <w:r w:rsidR="00005DD3" w:rsidRPr="00900F8E">
        <w:rPr>
          <w:rFonts w:ascii="Arial" w:hAnsi="Arial" w:cs="Arial"/>
        </w:rPr>
        <w:t xml:space="preserve">DUA SNP, ki so bile uporabljene za NEPN in </w:t>
      </w:r>
      <w:r w:rsidRPr="00900F8E">
        <w:rPr>
          <w:rFonts w:ascii="Arial" w:hAnsi="Arial" w:cs="Arial"/>
        </w:rPr>
        <w:t>ReDPS50</w:t>
      </w:r>
      <w:r w:rsidR="00005DD3" w:rsidRPr="00900F8E">
        <w:rPr>
          <w:rFonts w:ascii="Arial" w:hAnsi="Arial" w:cs="Arial"/>
        </w:rPr>
        <w:t xml:space="preserve"> (</w:t>
      </w:r>
      <w:r w:rsidRPr="00900F8E">
        <w:rPr>
          <w:rFonts w:ascii="Arial" w:hAnsi="Arial" w:cs="Arial"/>
        </w:rPr>
        <w:t>s</w:t>
      </w:r>
      <w:r w:rsidR="00005DD3" w:rsidRPr="00900F8E">
        <w:rPr>
          <w:rFonts w:ascii="Arial" w:hAnsi="Arial" w:cs="Arial"/>
        </w:rPr>
        <w:t>lika 1).</w:t>
      </w:r>
    </w:p>
    <w:p w14:paraId="12D57445" w14:textId="77777777" w:rsidR="00B04133" w:rsidRPr="00900F8E" w:rsidRDefault="00B04133" w:rsidP="00005DD3">
      <w:pPr>
        <w:jc w:val="both"/>
        <w:rPr>
          <w:rFonts w:ascii="Arial" w:hAnsi="Arial" w:cs="Arial"/>
        </w:rPr>
      </w:pPr>
    </w:p>
    <w:p w14:paraId="5C58F91B" w14:textId="77777777" w:rsidR="000E5884" w:rsidRDefault="00005DD3" w:rsidP="000E5884">
      <w:pPr>
        <w:keepNext/>
      </w:pPr>
      <w:r w:rsidRPr="00900F8E">
        <w:rPr>
          <w:rFonts w:ascii="Arial" w:eastAsia="Calibri" w:hAnsi="Arial" w:cs="Arial"/>
          <w:noProof/>
          <w:lang w:eastAsia="sl-SI"/>
        </w:rPr>
        <w:lastRenderedPageBreak/>
        <w:drawing>
          <wp:inline distT="0" distB="0" distL="0" distR="0" wp14:anchorId="22AA35DE" wp14:editId="21E1F31B">
            <wp:extent cx="5419725" cy="2914650"/>
            <wp:effectExtent l="0" t="0" r="9525" b="0"/>
            <wp:docPr id="8" name="Picture 34" descr="Gibanje dejanskih emisij ESR za zadnja tri leta ter kratkoročna projekcija za leti 2021 in 2022 v primerjavi z letnimi cilji po uredbi 2020/2026 EU in predlogu iz paketa Pripravljeni na 55 in projekcijami scenarija DUA SN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4" descr="Gibanje dejanskih emisij ESR za zadnja tri leta ter kratkoročna projekcija za leti 2021 in 2022 v primerjavi z letnimi cilji po uredbi 2020/2026 EU in predlogu iz paketa Pripravljeni na 55 in projekcijami scenarija DUA SN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9725" cy="2914650"/>
                    </a:xfrm>
                    <a:prstGeom prst="rect">
                      <a:avLst/>
                    </a:prstGeom>
                    <a:noFill/>
                    <a:ln>
                      <a:noFill/>
                    </a:ln>
                  </pic:spPr>
                </pic:pic>
              </a:graphicData>
            </a:graphic>
          </wp:inline>
        </w:drawing>
      </w:r>
    </w:p>
    <w:p w14:paraId="074734C4" w14:textId="02EE83C0" w:rsidR="00844067" w:rsidRPr="000E5884" w:rsidRDefault="000E5884" w:rsidP="000E5884">
      <w:pPr>
        <w:pStyle w:val="Napis"/>
        <w:jc w:val="center"/>
        <w:rPr>
          <w:rFonts w:ascii="Arial" w:hAnsi="Arial" w:cs="Arial"/>
          <w:b/>
          <w:bCs/>
          <w:i w:val="0"/>
          <w:iCs w:val="0"/>
          <w:color w:val="auto"/>
          <w:sz w:val="20"/>
          <w:szCs w:val="20"/>
        </w:rPr>
      </w:pPr>
      <w:bookmarkStart w:id="5" w:name="_Toc112840950"/>
      <w:r w:rsidRPr="000E5884">
        <w:rPr>
          <w:rFonts w:ascii="Arial" w:hAnsi="Arial" w:cs="Arial"/>
          <w:b/>
          <w:bCs/>
          <w:i w:val="0"/>
          <w:iCs w:val="0"/>
          <w:color w:val="auto"/>
          <w:sz w:val="20"/>
          <w:szCs w:val="20"/>
        </w:rPr>
        <w:t xml:space="preserve">Slika </w:t>
      </w:r>
      <w:r w:rsidRPr="000E5884">
        <w:rPr>
          <w:rFonts w:ascii="Arial" w:hAnsi="Arial" w:cs="Arial"/>
          <w:b/>
          <w:bCs/>
          <w:i w:val="0"/>
          <w:iCs w:val="0"/>
          <w:color w:val="auto"/>
          <w:sz w:val="20"/>
          <w:szCs w:val="20"/>
        </w:rPr>
        <w:fldChar w:fldCharType="begin"/>
      </w:r>
      <w:r w:rsidRPr="000E5884">
        <w:rPr>
          <w:rFonts w:ascii="Arial" w:hAnsi="Arial" w:cs="Arial"/>
          <w:b/>
          <w:bCs/>
          <w:i w:val="0"/>
          <w:iCs w:val="0"/>
          <w:color w:val="auto"/>
          <w:sz w:val="20"/>
          <w:szCs w:val="20"/>
        </w:rPr>
        <w:instrText xml:space="preserve"> SEQ Slika \* ARABIC </w:instrText>
      </w:r>
      <w:r w:rsidRPr="000E5884">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w:t>
      </w:r>
      <w:r w:rsidRPr="000E5884">
        <w:rPr>
          <w:rFonts w:ascii="Arial" w:hAnsi="Arial" w:cs="Arial"/>
          <w:b/>
          <w:bCs/>
          <w:i w:val="0"/>
          <w:iCs w:val="0"/>
          <w:color w:val="auto"/>
          <w:sz w:val="20"/>
          <w:szCs w:val="20"/>
        </w:rPr>
        <w:fldChar w:fldCharType="end"/>
      </w:r>
      <w:r w:rsidRPr="000E5884">
        <w:rPr>
          <w:rFonts w:ascii="Arial" w:hAnsi="Arial" w:cs="Arial"/>
          <w:b/>
          <w:bCs/>
          <w:i w:val="0"/>
          <w:iCs w:val="0"/>
          <w:color w:val="auto"/>
          <w:sz w:val="20"/>
          <w:szCs w:val="20"/>
        </w:rPr>
        <w:t>: Gibanje dejanskih emisij ESR za zadnja tri leta ter kratkoročna projekcija za leti 2021 in 2022 v primerjavi z letnimi cilji</w:t>
      </w:r>
      <w:r w:rsidR="007345A5">
        <w:rPr>
          <w:rFonts w:ascii="Arial" w:hAnsi="Arial" w:cs="Arial"/>
          <w:b/>
          <w:bCs/>
          <w:i w:val="0"/>
          <w:iCs w:val="0"/>
          <w:color w:val="auto"/>
          <w:sz w:val="20"/>
          <w:szCs w:val="20"/>
        </w:rPr>
        <w:t>,</w:t>
      </w:r>
      <w:r w:rsidRPr="000E5884">
        <w:rPr>
          <w:rFonts w:ascii="Arial" w:hAnsi="Arial" w:cs="Arial"/>
          <w:b/>
          <w:bCs/>
          <w:i w:val="0"/>
          <w:iCs w:val="0"/>
          <w:color w:val="auto"/>
          <w:sz w:val="20"/>
          <w:szCs w:val="20"/>
        </w:rPr>
        <w:t xml:space="preserve"> določenimi s Sklepom 2020/2026 EU</w:t>
      </w:r>
      <w:r w:rsidR="000A7404">
        <w:rPr>
          <w:rFonts w:ascii="Arial" w:hAnsi="Arial" w:cs="Arial"/>
          <w:b/>
          <w:bCs/>
          <w:i w:val="0"/>
          <w:iCs w:val="0"/>
          <w:color w:val="auto"/>
          <w:sz w:val="20"/>
          <w:szCs w:val="20"/>
        </w:rPr>
        <w:t>,</w:t>
      </w:r>
      <w:r w:rsidRPr="000E5884">
        <w:rPr>
          <w:rFonts w:ascii="Arial" w:hAnsi="Arial" w:cs="Arial"/>
          <w:b/>
          <w:bCs/>
          <w:i w:val="0"/>
          <w:iCs w:val="0"/>
          <w:color w:val="auto"/>
          <w:sz w:val="20"/>
          <w:szCs w:val="20"/>
        </w:rPr>
        <w:t xml:space="preserve"> in </w:t>
      </w:r>
      <w:r w:rsidRPr="00E615AF">
        <w:rPr>
          <w:rFonts w:ascii="Arial" w:hAnsi="Arial" w:cs="Arial"/>
          <w:b/>
          <w:bCs/>
          <w:i w:val="0"/>
          <w:iCs w:val="0"/>
          <w:color w:val="auto"/>
          <w:sz w:val="20"/>
          <w:szCs w:val="20"/>
        </w:rPr>
        <w:t>predlog</w:t>
      </w:r>
      <w:r w:rsidR="007345A5" w:rsidRPr="00E615AF">
        <w:rPr>
          <w:rFonts w:ascii="Arial" w:hAnsi="Arial" w:cs="Arial"/>
          <w:b/>
          <w:bCs/>
          <w:i w:val="0"/>
          <w:iCs w:val="0"/>
          <w:color w:val="auto"/>
          <w:sz w:val="20"/>
          <w:szCs w:val="20"/>
        </w:rPr>
        <w:t>om</w:t>
      </w:r>
      <w:r w:rsidRPr="000E5884">
        <w:rPr>
          <w:rFonts w:ascii="Arial" w:hAnsi="Arial" w:cs="Arial"/>
          <w:b/>
          <w:bCs/>
          <w:i w:val="0"/>
          <w:iCs w:val="0"/>
          <w:color w:val="auto"/>
          <w:sz w:val="20"/>
          <w:szCs w:val="20"/>
        </w:rPr>
        <w:t xml:space="preserve"> iz paketa Pripravljeni na 55 </w:t>
      </w:r>
      <w:r w:rsidR="000A7404">
        <w:rPr>
          <w:rFonts w:ascii="Arial" w:hAnsi="Arial" w:cs="Arial"/>
          <w:b/>
          <w:bCs/>
          <w:i w:val="0"/>
          <w:iCs w:val="0"/>
          <w:color w:val="auto"/>
          <w:sz w:val="20"/>
          <w:szCs w:val="20"/>
        </w:rPr>
        <w:t>ter</w:t>
      </w:r>
      <w:r w:rsidR="000A7404" w:rsidRPr="000E5884">
        <w:rPr>
          <w:rFonts w:ascii="Arial" w:hAnsi="Arial" w:cs="Arial"/>
          <w:b/>
          <w:bCs/>
          <w:i w:val="0"/>
          <w:iCs w:val="0"/>
          <w:color w:val="auto"/>
          <w:sz w:val="20"/>
          <w:szCs w:val="20"/>
        </w:rPr>
        <w:t xml:space="preserve"> </w:t>
      </w:r>
      <w:r w:rsidRPr="000E5884">
        <w:rPr>
          <w:rFonts w:ascii="Arial" w:hAnsi="Arial" w:cs="Arial"/>
          <w:b/>
          <w:bCs/>
          <w:i w:val="0"/>
          <w:iCs w:val="0"/>
          <w:color w:val="auto"/>
          <w:sz w:val="20"/>
          <w:szCs w:val="20"/>
        </w:rPr>
        <w:t>projekcijami scenarija DUA SNP (</w:t>
      </w:r>
      <w:r w:rsidR="007345A5">
        <w:rPr>
          <w:rFonts w:ascii="Arial" w:hAnsi="Arial" w:cs="Arial"/>
          <w:b/>
          <w:bCs/>
          <w:i w:val="0"/>
          <w:iCs w:val="0"/>
          <w:color w:val="auto"/>
          <w:sz w:val="20"/>
          <w:szCs w:val="20"/>
        </w:rPr>
        <w:t>V</w:t>
      </w:r>
      <w:r w:rsidRPr="000E5884">
        <w:rPr>
          <w:rFonts w:ascii="Arial" w:hAnsi="Arial" w:cs="Arial"/>
          <w:b/>
          <w:bCs/>
          <w:i w:val="0"/>
          <w:iCs w:val="0"/>
          <w:color w:val="auto"/>
          <w:sz w:val="20"/>
          <w:szCs w:val="20"/>
        </w:rPr>
        <w:t>ir: IJS-CEU)</w:t>
      </w:r>
      <w:bookmarkEnd w:id="5"/>
    </w:p>
    <w:p w14:paraId="38071958" w14:textId="03641466" w:rsidR="002F3F5A" w:rsidRPr="00900F8E" w:rsidRDefault="002F3F5A" w:rsidP="00227A36">
      <w:pPr>
        <w:rPr>
          <w:rFonts w:ascii="Arial" w:hAnsi="Arial" w:cs="Arial"/>
        </w:rPr>
      </w:pPr>
    </w:p>
    <w:p w14:paraId="316F2ED9" w14:textId="39324342" w:rsidR="002F3F5A" w:rsidRPr="00900F8E" w:rsidRDefault="002F3F5A" w:rsidP="00227A36">
      <w:pPr>
        <w:rPr>
          <w:rFonts w:ascii="Arial" w:hAnsi="Arial" w:cs="Arial"/>
        </w:rPr>
      </w:pPr>
    </w:p>
    <w:p w14:paraId="584B0408" w14:textId="50E68491" w:rsidR="00AE3B8F" w:rsidRPr="00900F8E" w:rsidRDefault="00AE3B8F" w:rsidP="00227A36">
      <w:pPr>
        <w:rPr>
          <w:rFonts w:ascii="Arial" w:hAnsi="Arial" w:cs="Arial"/>
        </w:rPr>
      </w:pPr>
    </w:p>
    <w:p w14:paraId="36788A77" w14:textId="4964BE43" w:rsidR="00AE3B8F" w:rsidRPr="00900F8E" w:rsidRDefault="00AE3B8F" w:rsidP="00227A36">
      <w:pPr>
        <w:rPr>
          <w:rFonts w:ascii="Arial" w:hAnsi="Arial" w:cs="Arial"/>
        </w:rPr>
      </w:pPr>
    </w:p>
    <w:p w14:paraId="38E3F1AC" w14:textId="1BBB2B74" w:rsidR="00AE3B8F" w:rsidRPr="00900F8E" w:rsidRDefault="00AE3B8F" w:rsidP="00227A36">
      <w:pPr>
        <w:rPr>
          <w:rFonts w:ascii="Arial" w:hAnsi="Arial" w:cs="Arial"/>
        </w:rPr>
      </w:pPr>
    </w:p>
    <w:p w14:paraId="767EBE0E" w14:textId="774E12C6" w:rsidR="00AE3B8F" w:rsidRPr="00900F8E" w:rsidRDefault="00AE3B8F" w:rsidP="00227A36">
      <w:pPr>
        <w:rPr>
          <w:rFonts w:ascii="Arial" w:hAnsi="Arial" w:cs="Arial"/>
        </w:rPr>
      </w:pPr>
    </w:p>
    <w:p w14:paraId="09332128" w14:textId="098BAC50" w:rsidR="00AE3B8F" w:rsidRPr="00900F8E" w:rsidRDefault="00AE3B8F" w:rsidP="00227A36">
      <w:pPr>
        <w:rPr>
          <w:rFonts w:ascii="Arial" w:hAnsi="Arial" w:cs="Arial"/>
        </w:rPr>
      </w:pPr>
    </w:p>
    <w:p w14:paraId="4E5E360E" w14:textId="0F4C8B62" w:rsidR="00AE3B8F" w:rsidRPr="00900F8E" w:rsidRDefault="00AE3B8F" w:rsidP="00227A36">
      <w:pPr>
        <w:rPr>
          <w:rFonts w:ascii="Arial" w:hAnsi="Arial" w:cs="Arial"/>
        </w:rPr>
      </w:pPr>
    </w:p>
    <w:p w14:paraId="068BEF58" w14:textId="2E6B1C3A" w:rsidR="00AE3B8F" w:rsidRDefault="00AE3B8F" w:rsidP="00227A36">
      <w:pPr>
        <w:rPr>
          <w:rFonts w:ascii="Arial" w:hAnsi="Arial" w:cs="Arial"/>
        </w:rPr>
      </w:pPr>
    </w:p>
    <w:p w14:paraId="5E26A7C6" w14:textId="77777777" w:rsidR="00712F21" w:rsidRPr="00900F8E" w:rsidRDefault="00712F21" w:rsidP="00227A36">
      <w:pPr>
        <w:rPr>
          <w:rFonts w:ascii="Arial" w:hAnsi="Arial" w:cs="Arial"/>
        </w:rPr>
      </w:pPr>
    </w:p>
    <w:p w14:paraId="0F2D093A" w14:textId="2DDF3047" w:rsidR="00AE3B8F" w:rsidRDefault="00AE3B8F" w:rsidP="00227A36">
      <w:pPr>
        <w:rPr>
          <w:rFonts w:ascii="Arial" w:hAnsi="Arial" w:cs="Arial"/>
        </w:rPr>
      </w:pPr>
    </w:p>
    <w:p w14:paraId="664BDE7F" w14:textId="07A38BA7" w:rsidR="00BB1AD9" w:rsidRDefault="00BB1AD9" w:rsidP="00227A36">
      <w:pPr>
        <w:rPr>
          <w:rFonts w:ascii="Arial" w:hAnsi="Arial" w:cs="Arial"/>
        </w:rPr>
      </w:pPr>
    </w:p>
    <w:p w14:paraId="28312D28" w14:textId="019E26CF" w:rsidR="00BB1AD9" w:rsidRDefault="00BB1AD9" w:rsidP="00227A36">
      <w:pPr>
        <w:rPr>
          <w:rFonts w:ascii="Arial" w:hAnsi="Arial" w:cs="Arial"/>
        </w:rPr>
      </w:pPr>
    </w:p>
    <w:p w14:paraId="2B438D6C" w14:textId="599520E1" w:rsidR="00BB1AD9" w:rsidRDefault="00BB1AD9" w:rsidP="00227A36">
      <w:pPr>
        <w:rPr>
          <w:rFonts w:ascii="Arial" w:hAnsi="Arial" w:cs="Arial"/>
        </w:rPr>
      </w:pPr>
    </w:p>
    <w:p w14:paraId="491B495E" w14:textId="36DA736A" w:rsidR="00BB1AD9" w:rsidRDefault="00BB1AD9" w:rsidP="00227A36">
      <w:pPr>
        <w:rPr>
          <w:rFonts w:ascii="Arial" w:hAnsi="Arial" w:cs="Arial"/>
        </w:rPr>
      </w:pPr>
    </w:p>
    <w:p w14:paraId="758A824B" w14:textId="5DB580D0" w:rsidR="00BB1AD9" w:rsidRDefault="00BB1AD9" w:rsidP="00227A36">
      <w:pPr>
        <w:rPr>
          <w:rFonts w:ascii="Arial" w:hAnsi="Arial" w:cs="Arial"/>
        </w:rPr>
      </w:pPr>
    </w:p>
    <w:p w14:paraId="171B9849" w14:textId="77777777" w:rsidR="00BB1AD9" w:rsidRPr="00900F8E" w:rsidRDefault="00BB1AD9" w:rsidP="00227A36">
      <w:pPr>
        <w:rPr>
          <w:rFonts w:ascii="Arial" w:hAnsi="Arial" w:cs="Arial"/>
        </w:rPr>
      </w:pPr>
    </w:p>
    <w:p w14:paraId="0232D558" w14:textId="732F33F5" w:rsidR="00AE3B8F" w:rsidRPr="00900F8E" w:rsidRDefault="00AE3B8F" w:rsidP="00227A36">
      <w:pPr>
        <w:rPr>
          <w:rFonts w:ascii="Arial" w:hAnsi="Arial" w:cs="Arial"/>
        </w:rPr>
      </w:pPr>
    </w:p>
    <w:p w14:paraId="1F283CDE" w14:textId="6A0C9DB4" w:rsidR="00C36C31" w:rsidRPr="00900F8E" w:rsidRDefault="00C36C31" w:rsidP="00794155">
      <w:pPr>
        <w:pStyle w:val="Naslov1"/>
        <w:spacing w:before="0"/>
        <w:rPr>
          <w:rFonts w:ascii="Arial" w:hAnsi="Arial" w:cs="Arial"/>
          <w:color w:val="auto"/>
        </w:rPr>
      </w:pPr>
      <w:bookmarkStart w:id="6" w:name="_Toc120166927"/>
      <w:r w:rsidRPr="00900F8E">
        <w:rPr>
          <w:rFonts w:ascii="Arial" w:hAnsi="Arial" w:cs="Arial"/>
          <w:color w:val="auto"/>
        </w:rPr>
        <w:lastRenderedPageBreak/>
        <w:t xml:space="preserve">2 </w:t>
      </w:r>
      <w:r w:rsidR="00636AAF" w:rsidRPr="00900F8E">
        <w:rPr>
          <w:rFonts w:ascii="Arial" w:hAnsi="Arial" w:cs="Arial"/>
          <w:color w:val="auto"/>
        </w:rPr>
        <w:t>Ocena doseganja ciljev</w:t>
      </w:r>
      <w:bookmarkEnd w:id="6"/>
    </w:p>
    <w:p w14:paraId="65B3CED6" w14:textId="3D1CF633" w:rsidR="008B355C" w:rsidRPr="00900F8E" w:rsidRDefault="008B355C" w:rsidP="008B355C">
      <w:pPr>
        <w:spacing w:after="0" w:line="240" w:lineRule="auto"/>
        <w:jc w:val="both"/>
        <w:rPr>
          <w:rFonts w:ascii="Arial" w:hAnsi="Arial" w:cs="Arial"/>
          <w:b/>
          <w:bCs/>
          <w:sz w:val="26"/>
          <w:szCs w:val="26"/>
        </w:rPr>
      </w:pPr>
    </w:p>
    <w:p w14:paraId="75AF95D2" w14:textId="2D1B31E5" w:rsidR="00B94BFA" w:rsidRPr="00900F8E" w:rsidRDefault="00AC5DF7" w:rsidP="00C21929">
      <w:pPr>
        <w:spacing w:after="0" w:line="240" w:lineRule="auto"/>
        <w:jc w:val="both"/>
        <w:rPr>
          <w:rFonts w:ascii="Arial" w:hAnsi="Arial" w:cs="Arial"/>
        </w:rPr>
      </w:pPr>
      <w:r w:rsidRPr="00900F8E">
        <w:rPr>
          <w:rFonts w:ascii="Arial" w:hAnsi="Arial" w:cs="Arial"/>
        </w:rPr>
        <w:t xml:space="preserve">Emisije </w:t>
      </w:r>
      <w:r w:rsidR="00320DF1" w:rsidRPr="00900F8E">
        <w:rPr>
          <w:rFonts w:ascii="Arial" w:hAnsi="Arial" w:cs="Arial"/>
        </w:rPr>
        <w:t>TGP</w:t>
      </w:r>
      <w:r w:rsidRPr="00900F8E">
        <w:rPr>
          <w:rFonts w:ascii="Arial" w:hAnsi="Arial" w:cs="Arial"/>
        </w:rPr>
        <w:t xml:space="preserve"> so v Sloveniji leta 2019 znašale 17.0</w:t>
      </w:r>
      <w:r w:rsidR="00C360D7" w:rsidRPr="00900F8E">
        <w:rPr>
          <w:rFonts w:ascii="Arial" w:hAnsi="Arial" w:cs="Arial"/>
        </w:rPr>
        <w:t>74</w:t>
      </w:r>
      <w:r w:rsidRPr="00900F8E">
        <w:rPr>
          <w:rFonts w:ascii="Arial" w:hAnsi="Arial" w:cs="Arial"/>
        </w:rPr>
        <w:t xml:space="preserve"> kt</w:t>
      </w:r>
      <w:r w:rsidR="00F15480" w:rsidRPr="00900F8E">
        <w:rPr>
          <w:rFonts w:ascii="Arial" w:hAnsi="Arial" w:cs="Arial"/>
        </w:rPr>
        <w:t xml:space="preserve"> ekv. CO</w:t>
      </w:r>
      <w:r w:rsidR="00F15480" w:rsidRPr="00900F8E">
        <w:rPr>
          <w:rFonts w:ascii="Arial" w:hAnsi="Arial" w:cs="Arial"/>
          <w:vertAlign w:val="subscript"/>
        </w:rPr>
        <w:t>2</w:t>
      </w:r>
      <w:r w:rsidR="009C2E8B" w:rsidRPr="00900F8E">
        <w:rPr>
          <w:rFonts w:ascii="Arial" w:hAnsi="Arial" w:cs="Arial"/>
        </w:rPr>
        <w:t xml:space="preserve">, v letu 2020 </w:t>
      </w:r>
      <w:r w:rsidR="00C360D7" w:rsidRPr="00900F8E">
        <w:rPr>
          <w:rFonts w:ascii="Arial" w:hAnsi="Arial" w:cs="Arial"/>
        </w:rPr>
        <w:t>15.851</w:t>
      </w:r>
      <w:r w:rsidR="009C2E8B" w:rsidRPr="00900F8E">
        <w:rPr>
          <w:rFonts w:ascii="Arial" w:hAnsi="Arial" w:cs="Arial"/>
        </w:rPr>
        <w:t xml:space="preserve"> kt</w:t>
      </w:r>
      <w:r w:rsidR="00F15480" w:rsidRPr="00900F8E">
        <w:rPr>
          <w:rFonts w:ascii="Arial" w:hAnsi="Arial" w:cs="Arial"/>
        </w:rPr>
        <w:t xml:space="preserve"> ekv. CO</w:t>
      </w:r>
      <w:r w:rsidR="00F15480" w:rsidRPr="00900F8E">
        <w:rPr>
          <w:rFonts w:ascii="Arial" w:hAnsi="Arial" w:cs="Arial"/>
          <w:vertAlign w:val="subscript"/>
        </w:rPr>
        <w:t>2</w:t>
      </w:r>
      <w:r w:rsidRPr="00900F8E">
        <w:rPr>
          <w:rFonts w:ascii="Arial" w:hAnsi="Arial" w:cs="Arial"/>
        </w:rPr>
        <w:t xml:space="preserve">. Od tega so </w:t>
      </w:r>
      <w:r w:rsidR="00FC7920">
        <w:rPr>
          <w:rFonts w:ascii="Arial" w:hAnsi="Arial" w:cs="Arial"/>
        </w:rPr>
        <w:t xml:space="preserve">sektorji </w:t>
      </w:r>
      <w:r w:rsidR="00920F43" w:rsidRPr="00900F8E">
        <w:rPr>
          <w:rFonts w:ascii="Arial" w:hAnsi="Arial" w:cs="Arial"/>
        </w:rPr>
        <w:t>neETS</w:t>
      </w:r>
      <w:r w:rsidRPr="00900F8E">
        <w:rPr>
          <w:rFonts w:ascii="Arial" w:hAnsi="Arial" w:cs="Arial"/>
        </w:rPr>
        <w:t xml:space="preserve"> </w:t>
      </w:r>
      <w:r w:rsidR="00884D15" w:rsidRPr="00900F8E">
        <w:rPr>
          <w:rFonts w:ascii="Arial" w:hAnsi="Arial" w:cs="Arial"/>
        </w:rPr>
        <w:t>v letu 201</w:t>
      </w:r>
      <w:r w:rsidR="009C2E8B" w:rsidRPr="00900F8E">
        <w:rPr>
          <w:rFonts w:ascii="Arial" w:hAnsi="Arial" w:cs="Arial"/>
        </w:rPr>
        <w:t>9</w:t>
      </w:r>
      <w:r w:rsidR="00884D15" w:rsidRPr="00900F8E">
        <w:rPr>
          <w:rFonts w:ascii="Arial" w:hAnsi="Arial" w:cs="Arial"/>
        </w:rPr>
        <w:t xml:space="preserve"> </w:t>
      </w:r>
      <w:r w:rsidRPr="00900F8E">
        <w:rPr>
          <w:rFonts w:ascii="Arial" w:hAnsi="Arial" w:cs="Arial"/>
        </w:rPr>
        <w:t>prispevali 63,4 %</w:t>
      </w:r>
      <w:r w:rsidR="00884D15" w:rsidRPr="00900F8E">
        <w:rPr>
          <w:rFonts w:ascii="Arial" w:hAnsi="Arial" w:cs="Arial"/>
        </w:rPr>
        <w:t xml:space="preserve">, v letu 2020 </w:t>
      </w:r>
      <w:r w:rsidR="007345A5">
        <w:rPr>
          <w:rFonts w:ascii="Arial" w:hAnsi="Arial" w:cs="Arial"/>
        </w:rPr>
        <w:t xml:space="preserve">pa </w:t>
      </w:r>
      <w:r w:rsidR="00411627" w:rsidRPr="00900F8E">
        <w:rPr>
          <w:rFonts w:ascii="Arial" w:hAnsi="Arial" w:cs="Arial"/>
        </w:rPr>
        <w:t>61,5 %</w:t>
      </w:r>
      <w:r w:rsidRPr="00900F8E">
        <w:rPr>
          <w:rFonts w:ascii="Arial" w:hAnsi="Arial" w:cs="Arial"/>
        </w:rPr>
        <w:t xml:space="preserve">. </w:t>
      </w:r>
      <w:r w:rsidR="00B94BFA" w:rsidRPr="00900F8E">
        <w:rPr>
          <w:rFonts w:ascii="Arial" w:hAnsi="Arial" w:cs="Arial"/>
        </w:rPr>
        <w:t xml:space="preserve">Odločba 406/2009/ES Slovenijo obvezuje, da do leta 2020 glede na leto 2005 emisij </w:t>
      </w:r>
      <w:r w:rsidR="00320DF1" w:rsidRPr="00900F8E">
        <w:rPr>
          <w:rFonts w:ascii="Arial" w:hAnsi="Arial" w:cs="Arial"/>
        </w:rPr>
        <w:t>TGP</w:t>
      </w:r>
      <w:r w:rsidR="00B94BFA" w:rsidRPr="00900F8E">
        <w:rPr>
          <w:rFonts w:ascii="Arial" w:hAnsi="Arial" w:cs="Arial"/>
        </w:rPr>
        <w:t xml:space="preserve"> iz </w:t>
      </w:r>
      <w:r w:rsidR="00FC7920">
        <w:rPr>
          <w:rFonts w:ascii="Arial" w:hAnsi="Arial" w:cs="Arial"/>
        </w:rPr>
        <w:t xml:space="preserve">sektorjev </w:t>
      </w:r>
      <w:r w:rsidR="00920F43" w:rsidRPr="00900F8E">
        <w:rPr>
          <w:rFonts w:ascii="Arial" w:hAnsi="Arial" w:cs="Arial"/>
        </w:rPr>
        <w:t>neETS</w:t>
      </w:r>
      <w:r w:rsidR="00B94BFA" w:rsidRPr="00900F8E">
        <w:rPr>
          <w:rFonts w:ascii="Arial" w:hAnsi="Arial" w:cs="Arial"/>
        </w:rPr>
        <w:t xml:space="preserve"> ne bo povečala za več kot 4 %. </w:t>
      </w:r>
      <w:r w:rsidR="00411627" w:rsidRPr="00900F8E">
        <w:rPr>
          <w:rFonts w:ascii="Arial" w:hAnsi="Arial" w:cs="Arial"/>
        </w:rPr>
        <w:t>V</w:t>
      </w:r>
      <w:r w:rsidR="00C122F5" w:rsidRPr="00900F8E">
        <w:rPr>
          <w:rFonts w:ascii="Arial" w:hAnsi="Arial" w:cs="Arial"/>
        </w:rPr>
        <w:t xml:space="preserve"> letu 2019 </w:t>
      </w:r>
      <w:r w:rsidR="00411627" w:rsidRPr="00900F8E">
        <w:rPr>
          <w:rFonts w:ascii="Arial" w:hAnsi="Arial" w:cs="Arial"/>
        </w:rPr>
        <w:t xml:space="preserve">so </w:t>
      </w:r>
      <w:r w:rsidRPr="00900F8E">
        <w:rPr>
          <w:rFonts w:ascii="Arial" w:hAnsi="Arial" w:cs="Arial"/>
        </w:rPr>
        <w:t xml:space="preserve">emisije </w:t>
      </w:r>
      <w:r w:rsidR="00320DF1" w:rsidRPr="00900F8E">
        <w:rPr>
          <w:rFonts w:ascii="Arial" w:hAnsi="Arial" w:cs="Arial"/>
        </w:rPr>
        <w:t xml:space="preserve">TGP </w:t>
      </w:r>
      <w:r w:rsidR="00FC7920">
        <w:rPr>
          <w:rFonts w:ascii="Arial" w:hAnsi="Arial" w:cs="Arial"/>
        </w:rPr>
        <w:t xml:space="preserve">sektorjev </w:t>
      </w:r>
      <w:r w:rsidR="00920F43" w:rsidRPr="00900F8E">
        <w:rPr>
          <w:rFonts w:ascii="Arial" w:hAnsi="Arial" w:cs="Arial"/>
        </w:rPr>
        <w:t>neETS</w:t>
      </w:r>
      <w:r w:rsidRPr="00900F8E">
        <w:rPr>
          <w:rFonts w:ascii="Arial" w:hAnsi="Arial" w:cs="Arial"/>
        </w:rPr>
        <w:t xml:space="preserve"> znašale 1</w:t>
      </w:r>
      <w:r w:rsidR="00C360D7" w:rsidRPr="00900F8E">
        <w:rPr>
          <w:rFonts w:ascii="Arial" w:hAnsi="Arial" w:cs="Arial"/>
        </w:rPr>
        <w:t>0.819</w:t>
      </w:r>
      <w:r w:rsidRPr="00900F8E">
        <w:rPr>
          <w:rFonts w:ascii="Arial" w:hAnsi="Arial" w:cs="Arial"/>
        </w:rPr>
        <w:t xml:space="preserve"> kt</w:t>
      </w:r>
      <w:r w:rsidR="00F15480" w:rsidRPr="00900F8E">
        <w:rPr>
          <w:rFonts w:ascii="Arial" w:hAnsi="Arial" w:cs="Arial"/>
        </w:rPr>
        <w:t xml:space="preserve"> ekv. CO</w:t>
      </w:r>
      <w:r w:rsidR="00F15480" w:rsidRPr="00900F8E">
        <w:rPr>
          <w:rFonts w:ascii="Arial" w:hAnsi="Arial" w:cs="Arial"/>
          <w:vertAlign w:val="subscript"/>
        </w:rPr>
        <w:t>2</w:t>
      </w:r>
      <w:r w:rsidRPr="00900F8E">
        <w:rPr>
          <w:rFonts w:ascii="Arial" w:hAnsi="Arial" w:cs="Arial"/>
        </w:rPr>
        <w:t>, kar je 11,</w:t>
      </w:r>
      <w:r w:rsidR="00C360D7" w:rsidRPr="00900F8E">
        <w:rPr>
          <w:rFonts w:ascii="Arial" w:hAnsi="Arial" w:cs="Arial"/>
        </w:rPr>
        <w:t>8</w:t>
      </w:r>
      <w:r w:rsidRPr="00900F8E">
        <w:rPr>
          <w:rFonts w:ascii="Arial" w:hAnsi="Arial" w:cs="Arial"/>
        </w:rPr>
        <w:t xml:space="preserve"> % nižje od letnega cilja. </w:t>
      </w:r>
      <w:r w:rsidR="00411627" w:rsidRPr="00900F8E">
        <w:rPr>
          <w:rFonts w:ascii="Arial" w:hAnsi="Arial" w:cs="Arial"/>
        </w:rPr>
        <w:t xml:space="preserve">V letu </w:t>
      </w:r>
      <w:r w:rsidR="006D7E39" w:rsidRPr="00900F8E">
        <w:rPr>
          <w:rFonts w:ascii="Arial" w:hAnsi="Arial" w:cs="Arial"/>
        </w:rPr>
        <w:t xml:space="preserve">2020 so emisije TGP </w:t>
      </w:r>
      <w:r w:rsidR="00FC7920">
        <w:rPr>
          <w:rFonts w:ascii="Arial" w:hAnsi="Arial" w:cs="Arial"/>
        </w:rPr>
        <w:t xml:space="preserve">sektorjev </w:t>
      </w:r>
      <w:r w:rsidR="00920F43" w:rsidRPr="00900F8E">
        <w:rPr>
          <w:rFonts w:ascii="Arial" w:hAnsi="Arial" w:cs="Arial"/>
        </w:rPr>
        <w:t>neETS</w:t>
      </w:r>
      <w:r w:rsidR="006D7E39" w:rsidRPr="00900F8E">
        <w:rPr>
          <w:rFonts w:ascii="Arial" w:hAnsi="Arial" w:cs="Arial"/>
        </w:rPr>
        <w:t xml:space="preserve"> znašale 9.754 kt</w:t>
      </w:r>
      <w:r w:rsidR="00F15480" w:rsidRPr="00900F8E">
        <w:rPr>
          <w:rFonts w:ascii="Arial" w:hAnsi="Arial" w:cs="Arial"/>
        </w:rPr>
        <w:t xml:space="preserve"> ekv. CO</w:t>
      </w:r>
      <w:r w:rsidR="00F15480" w:rsidRPr="00900F8E">
        <w:rPr>
          <w:rFonts w:ascii="Arial" w:hAnsi="Arial" w:cs="Arial"/>
          <w:vertAlign w:val="subscript"/>
        </w:rPr>
        <w:t>2</w:t>
      </w:r>
      <w:r w:rsidR="006D7E39" w:rsidRPr="00900F8E">
        <w:rPr>
          <w:rFonts w:ascii="Arial" w:hAnsi="Arial" w:cs="Arial"/>
        </w:rPr>
        <w:t xml:space="preserve">, kar je 20,7 % nižje od letnega cilja. </w:t>
      </w:r>
      <w:r w:rsidR="00456CDC" w:rsidRPr="00900F8E">
        <w:rPr>
          <w:rFonts w:ascii="Arial" w:hAnsi="Arial" w:cs="Arial"/>
        </w:rPr>
        <w:t>Cilj za leto 2020 je uspešno dosežen</w:t>
      </w:r>
      <w:r w:rsidR="002D2686" w:rsidRPr="00900F8E">
        <w:rPr>
          <w:rFonts w:ascii="Arial" w:hAnsi="Arial" w:cs="Arial"/>
        </w:rPr>
        <w:t xml:space="preserve"> (slika </w:t>
      </w:r>
      <w:r w:rsidR="002F3F5A" w:rsidRPr="00900F8E">
        <w:rPr>
          <w:rFonts w:ascii="Arial" w:hAnsi="Arial" w:cs="Arial"/>
        </w:rPr>
        <w:t>2</w:t>
      </w:r>
      <w:r w:rsidR="002D2686" w:rsidRPr="00900F8E">
        <w:rPr>
          <w:rFonts w:ascii="Arial" w:hAnsi="Arial" w:cs="Arial"/>
        </w:rPr>
        <w:t>)</w:t>
      </w:r>
      <w:r w:rsidR="00F918EB" w:rsidRPr="00900F8E">
        <w:rPr>
          <w:rFonts w:ascii="Arial" w:hAnsi="Arial" w:cs="Arial"/>
        </w:rPr>
        <w:t>.</w:t>
      </w:r>
      <w:r w:rsidR="00C122F5" w:rsidRPr="00900F8E">
        <w:rPr>
          <w:rFonts w:ascii="Arial" w:hAnsi="Arial" w:cs="Arial"/>
        </w:rPr>
        <w:t xml:space="preserve"> </w:t>
      </w:r>
    </w:p>
    <w:p w14:paraId="0E67494B" w14:textId="77777777" w:rsidR="00B94BFA" w:rsidRPr="00900F8E" w:rsidRDefault="00B94BFA" w:rsidP="00C21929">
      <w:pPr>
        <w:spacing w:after="0" w:line="240" w:lineRule="auto"/>
        <w:jc w:val="both"/>
        <w:rPr>
          <w:rFonts w:ascii="Arial" w:hAnsi="Arial" w:cs="Arial"/>
        </w:rPr>
      </w:pPr>
    </w:p>
    <w:p w14:paraId="2AE55389" w14:textId="77777777" w:rsidR="000E5884" w:rsidRDefault="00C075B8" w:rsidP="000E5884">
      <w:pPr>
        <w:keepNext/>
        <w:spacing w:after="0" w:line="240" w:lineRule="auto"/>
        <w:jc w:val="center"/>
      </w:pPr>
      <w:r w:rsidRPr="00900F8E">
        <w:rPr>
          <w:rFonts w:ascii="Arial" w:eastAsia="DengXian" w:hAnsi="Arial" w:cs="Arial"/>
          <w:noProof/>
          <w:lang w:eastAsia="sl-SI"/>
        </w:rPr>
        <w:drawing>
          <wp:inline distT="0" distB="0" distL="0" distR="0" wp14:anchorId="43BCDC29" wp14:editId="2B7FCDFF">
            <wp:extent cx="3951798" cy="2892635"/>
            <wp:effectExtent l="0" t="0" r="0" b="3175"/>
            <wp:docPr id="34" name="Picture 34" descr="Gibanje emisij ne-ETS v obdobju 2005−2020 v primerjavi s ciljnimi emisijami v obdobju 2013−2020. Prikazan je indeks rasti, preračunan glede na emisije v letu 2005 (Vir: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ibanje emisij ne-ETS v obdobju 2005−2020 v primerjavi s ciljnimi emisijami v obdobju 2013−2020. Prikazan je indeks rasti, preračunan glede na emisije v letu 2005 (Vir: IJS-C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9396" cy="2920156"/>
                    </a:xfrm>
                    <a:prstGeom prst="rect">
                      <a:avLst/>
                    </a:prstGeom>
                    <a:noFill/>
                    <a:ln>
                      <a:noFill/>
                    </a:ln>
                  </pic:spPr>
                </pic:pic>
              </a:graphicData>
            </a:graphic>
          </wp:inline>
        </w:drawing>
      </w:r>
    </w:p>
    <w:p w14:paraId="4C430C3D" w14:textId="3F51E2B3" w:rsidR="00EA2F6A" w:rsidRPr="000E5884" w:rsidRDefault="000E5884" w:rsidP="000E5884">
      <w:pPr>
        <w:pStyle w:val="Napis"/>
        <w:jc w:val="center"/>
        <w:rPr>
          <w:rFonts w:ascii="Arial" w:hAnsi="Arial" w:cs="Arial"/>
          <w:b/>
          <w:bCs/>
          <w:i w:val="0"/>
          <w:iCs w:val="0"/>
          <w:color w:val="auto"/>
          <w:sz w:val="20"/>
          <w:szCs w:val="20"/>
        </w:rPr>
      </w:pPr>
      <w:bookmarkStart w:id="7" w:name="_Toc112840951"/>
      <w:r w:rsidRPr="000E5884">
        <w:rPr>
          <w:rFonts w:ascii="Arial" w:hAnsi="Arial" w:cs="Arial"/>
          <w:b/>
          <w:bCs/>
          <w:i w:val="0"/>
          <w:iCs w:val="0"/>
          <w:color w:val="auto"/>
          <w:sz w:val="20"/>
          <w:szCs w:val="20"/>
        </w:rPr>
        <w:t xml:space="preserve">Slika </w:t>
      </w:r>
      <w:r w:rsidRPr="000E5884">
        <w:rPr>
          <w:rFonts w:ascii="Arial" w:hAnsi="Arial" w:cs="Arial"/>
          <w:b/>
          <w:bCs/>
          <w:i w:val="0"/>
          <w:iCs w:val="0"/>
          <w:color w:val="auto"/>
          <w:sz w:val="20"/>
          <w:szCs w:val="20"/>
        </w:rPr>
        <w:fldChar w:fldCharType="begin"/>
      </w:r>
      <w:r w:rsidRPr="000E5884">
        <w:rPr>
          <w:rFonts w:ascii="Arial" w:hAnsi="Arial" w:cs="Arial"/>
          <w:b/>
          <w:bCs/>
          <w:i w:val="0"/>
          <w:iCs w:val="0"/>
          <w:color w:val="auto"/>
          <w:sz w:val="20"/>
          <w:szCs w:val="20"/>
        </w:rPr>
        <w:instrText xml:space="preserve"> SEQ Slika \* ARABIC </w:instrText>
      </w:r>
      <w:r w:rsidRPr="000E5884">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2</w:t>
      </w:r>
      <w:r w:rsidRPr="000E5884">
        <w:rPr>
          <w:rFonts w:ascii="Arial" w:hAnsi="Arial" w:cs="Arial"/>
          <w:b/>
          <w:bCs/>
          <w:i w:val="0"/>
          <w:iCs w:val="0"/>
          <w:color w:val="auto"/>
          <w:sz w:val="20"/>
          <w:szCs w:val="20"/>
        </w:rPr>
        <w:fldChar w:fldCharType="end"/>
      </w:r>
      <w:r w:rsidRPr="000E5884">
        <w:rPr>
          <w:rFonts w:ascii="Arial" w:hAnsi="Arial" w:cs="Arial"/>
          <w:b/>
          <w:bCs/>
          <w:i w:val="0"/>
          <w:iCs w:val="0"/>
          <w:color w:val="auto"/>
          <w:sz w:val="20"/>
          <w:szCs w:val="20"/>
        </w:rPr>
        <w:t>: Gibanje emisij neETS v obdobju 2005−2020 v primerjavi s ciljnimi emisijami v obdobju 2013−2020. Prikazan je indeks rasti, preračunan glede na emisije v letu 2005</w:t>
      </w:r>
      <w:r w:rsidR="00C65EE6">
        <w:rPr>
          <w:rFonts w:ascii="Arial" w:hAnsi="Arial" w:cs="Arial"/>
          <w:b/>
          <w:bCs/>
          <w:i w:val="0"/>
          <w:iCs w:val="0"/>
          <w:color w:val="auto"/>
          <w:sz w:val="20"/>
          <w:szCs w:val="20"/>
        </w:rPr>
        <w:t>.</w:t>
      </w:r>
      <w:r w:rsidRPr="000E5884">
        <w:rPr>
          <w:rFonts w:ascii="Arial" w:hAnsi="Arial" w:cs="Arial"/>
          <w:b/>
          <w:bCs/>
          <w:i w:val="0"/>
          <w:iCs w:val="0"/>
          <w:color w:val="auto"/>
          <w:sz w:val="20"/>
          <w:szCs w:val="20"/>
        </w:rPr>
        <w:t xml:space="preserve"> (Vir: IJS-CEU)</w:t>
      </w:r>
      <w:bookmarkEnd w:id="7"/>
    </w:p>
    <w:p w14:paraId="5F16A00D" w14:textId="4B3BBC06" w:rsidR="00702ECB" w:rsidRPr="00900F8E" w:rsidRDefault="00702ECB" w:rsidP="008B355C">
      <w:pPr>
        <w:spacing w:after="0" w:line="240" w:lineRule="auto"/>
        <w:jc w:val="both"/>
        <w:rPr>
          <w:rFonts w:ascii="Arial" w:hAnsi="Arial" w:cs="Arial"/>
          <w:b/>
          <w:bCs/>
          <w:sz w:val="20"/>
          <w:szCs w:val="20"/>
        </w:rPr>
      </w:pPr>
    </w:p>
    <w:p w14:paraId="4DA9142F" w14:textId="7F970863" w:rsidR="002D2686" w:rsidRPr="00900F8E" w:rsidRDefault="002D2686" w:rsidP="008B355C">
      <w:pPr>
        <w:spacing w:after="0" w:line="240" w:lineRule="auto"/>
        <w:jc w:val="both"/>
        <w:rPr>
          <w:rFonts w:ascii="Arial" w:hAnsi="Arial" w:cs="Arial"/>
          <w:b/>
          <w:bCs/>
          <w:sz w:val="20"/>
          <w:szCs w:val="20"/>
        </w:rPr>
      </w:pPr>
    </w:p>
    <w:p w14:paraId="6029AC42" w14:textId="050E4D0D" w:rsidR="002D2686" w:rsidRPr="00900F8E" w:rsidRDefault="002D2686" w:rsidP="00485212">
      <w:pPr>
        <w:spacing w:after="0" w:line="240" w:lineRule="auto"/>
        <w:jc w:val="both"/>
        <w:rPr>
          <w:rFonts w:ascii="Arial" w:hAnsi="Arial" w:cs="Arial"/>
        </w:rPr>
      </w:pPr>
      <w:r w:rsidRPr="00900F8E">
        <w:rPr>
          <w:rFonts w:ascii="Arial" w:hAnsi="Arial" w:cs="Arial"/>
        </w:rPr>
        <w:t xml:space="preserve">Struktura </w:t>
      </w:r>
      <w:r w:rsidR="00FC7920">
        <w:rPr>
          <w:rFonts w:ascii="Arial" w:hAnsi="Arial" w:cs="Arial"/>
        </w:rPr>
        <w:t xml:space="preserve">sektorjev </w:t>
      </w:r>
      <w:r w:rsidR="00920F43" w:rsidRPr="00900F8E">
        <w:rPr>
          <w:rFonts w:ascii="Arial" w:hAnsi="Arial" w:cs="Arial"/>
        </w:rPr>
        <w:t>neETS</w:t>
      </w:r>
      <w:r w:rsidRPr="00900F8E">
        <w:rPr>
          <w:rFonts w:ascii="Arial" w:hAnsi="Arial" w:cs="Arial"/>
        </w:rPr>
        <w:t xml:space="preserve"> obsega emisije TGP iz sektorjev prometa, kmetijstva, široke rabe, odpadkov ter industrije in energetike, ki nista vključeni v sistem trgovanja z emisijskimi pravicami</w:t>
      </w:r>
      <w:r w:rsidR="00DD7539" w:rsidRPr="00900F8E">
        <w:rPr>
          <w:rFonts w:ascii="Arial" w:hAnsi="Arial" w:cs="Arial"/>
        </w:rPr>
        <w:t xml:space="preserve"> (v </w:t>
      </w:r>
      <w:r w:rsidR="00930529">
        <w:rPr>
          <w:rFonts w:ascii="Arial" w:hAnsi="Arial" w:cs="Arial"/>
        </w:rPr>
        <w:t>nadaljnjem besedilu</w:t>
      </w:r>
      <w:r w:rsidR="00DD7539" w:rsidRPr="00900F8E">
        <w:rPr>
          <w:rFonts w:ascii="Arial" w:hAnsi="Arial" w:cs="Arial"/>
        </w:rPr>
        <w:t xml:space="preserve">: </w:t>
      </w:r>
      <w:r w:rsidR="00FC7920">
        <w:rPr>
          <w:rFonts w:ascii="Arial" w:hAnsi="Arial" w:cs="Arial"/>
        </w:rPr>
        <w:t xml:space="preserve">industrija </w:t>
      </w:r>
      <w:r w:rsidR="00920F43" w:rsidRPr="00900F8E">
        <w:rPr>
          <w:rFonts w:ascii="Arial" w:hAnsi="Arial" w:cs="Arial"/>
        </w:rPr>
        <w:t>neETS</w:t>
      </w:r>
      <w:r w:rsidR="00DD7539" w:rsidRPr="00900F8E">
        <w:rPr>
          <w:rFonts w:ascii="Arial" w:hAnsi="Arial" w:cs="Arial"/>
        </w:rPr>
        <w:t xml:space="preserve"> in </w:t>
      </w:r>
      <w:r w:rsidR="00FC7920">
        <w:rPr>
          <w:rFonts w:ascii="Arial" w:hAnsi="Arial" w:cs="Arial"/>
        </w:rPr>
        <w:t xml:space="preserve">energetika </w:t>
      </w:r>
      <w:r w:rsidR="00920F43" w:rsidRPr="00900F8E">
        <w:rPr>
          <w:rFonts w:ascii="Arial" w:hAnsi="Arial" w:cs="Arial"/>
        </w:rPr>
        <w:t>neETS</w:t>
      </w:r>
      <w:r w:rsidR="00DD7539" w:rsidRPr="00900F8E">
        <w:rPr>
          <w:rFonts w:ascii="Arial" w:hAnsi="Arial" w:cs="Arial"/>
        </w:rPr>
        <w:t>)</w:t>
      </w:r>
      <w:r w:rsidRPr="00900F8E">
        <w:rPr>
          <w:rFonts w:ascii="Arial" w:hAnsi="Arial" w:cs="Arial"/>
        </w:rPr>
        <w:t>.</w:t>
      </w:r>
      <w:r w:rsidR="00DD7539" w:rsidRPr="00900F8E">
        <w:rPr>
          <w:rFonts w:ascii="Arial" w:hAnsi="Arial" w:cs="Arial"/>
        </w:rPr>
        <w:t xml:space="preserve"> </w:t>
      </w:r>
      <w:r w:rsidR="003D5632" w:rsidRPr="00900F8E">
        <w:rPr>
          <w:rFonts w:ascii="Arial" w:hAnsi="Arial" w:cs="Arial"/>
        </w:rPr>
        <w:t xml:space="preserve">Več kot 95 % emisij TGP iz sektorja promet predstavlja cestni promet. V kmetijstvu več kot polovico emisij TGP nastane zaradi fermentacije v prebavilih živali, </w:t>
      </w:r>
      <w:r w:rsidR="009B1AF1">
        <w:rPr>
          <w:rFonts w:ascii="Arial" w:hAnsi="Arial" w:cs="Arial"/>
        </w:rPr>
        <w:t>pre</w:t>
      </w:r>
      <w:r w:rsidR="003D5632" w:rsidRPr="00900F8E">
        <w:rPr>
          <w:rFonts w:ascii="Arial" w:hAnsi="Arial" w:cs="Arial"/>
        </w:rPr>
        <w:t xml:space="preserve">ostale emisije TGP prispeva gnojenje kmetijskih zemljišč in ravnanje z gnojevko. </w:t>
      </w:r>
      <w:r w:rsidRPr="00900F8E">
        <w:rPr>
          <w:rFonts w:ascii="Arial" w:hAnsi="Arial" w:cs="Arial"/>
        </w:rPr>
        <w:t xml:space="preserve">Široka raba vključuje </w:t>
      </w:r>
      <w:r w:rsidR="003D5632" w:rsidRPr="00900F8E">
        <w:rPr>
          <w:rFonts w:ascii="Arial" w:hAnsi="Arial" w:cs="Arial"/>
        </w:rPr>
        <w:t xml:space="preserve">predvsem </w:t>
      </w:r>
      <w:r w:rsidRPr="00900F8E">
        <w:rPr>
          <w:rFonts w:ascii="Arial" w:hAnsi="Arial" w:cs="Arial"/>
        </w:rPr>
        <w:t>emisije TGP iz zgorevanja goriv v stavbah gospodinjstev, storitvenih dejavnostih in</w:t>
      </w:r>
      <w:r w:rsidR="003D5632" w:rsidRPr="00900F8E">
        <w:rPr>
          <w:rFonts w:ascii="Arial" w:hAnsi="Arial" w:cs="Arial"/>
        </w:rPr>
        <w:t xml:space="preserve"> manjši del emisij TGP zaradi </w:t>
      </w:r>
      <w:r w:rsidRPr="00900F8E">
        <w:rPr>
          <w:rFonts w:ascii="Arial" w:hAnsi="Arial" w:cs="Arial"/>
        </w:rPr>
        <w:t>kmetijs</w:t>
      </w:r>
      <w:r w:rsidR="003D5632" w:rsidRPr="00900F8E">
        <w:rPr>
          <w:rFonts w:ascii="Arial" w:hAnsi="Arial" w:cs="Arial"/>
        </w:rPr>
        <w:t>ke</w:t>
      </w:r>
      <w:r w:rsidRPr="00900F8E">
        <w:rPr>
          <w:rFonts w:ascii="Arial" w:hAnsi="Arial" w:cs="Arial"/>
        </w:rPr>
        <w:t>, ribiš</w:t>
      </w:r>
      <w:r w:rsidR="003D5632" w:rsidRPr="00900F8E">
        <w:rPr>
          <w:rFonts w:ascii="Arial" w:hAnsi="Arial" w:cs="Arial"/>
        </w:rPr>
        <w:t>ke</w:t>
      </w:r>
      <w:r w:rsidRPr="00900F8E">
        <w:rPr>
          <w:rFonts w:ascii="Arial" w:hAnsi="Arial" w:cs="Arial"/>
        </w:rPr>
        <w:t xml:space="preserve"> in gozdars</w:t>
      </w:r>
      <w:r w:rsidR="003D5632" w:rsidRPr="00900F8E">
        <w:rPr>
          <w:rFonts w:ascii="Arial" w:hAnsi="Arial" w:cs="Arial"/>
        </w:rPr>
        <w:t>ke mehanizacije</w:t>
      </w:r>
      <w:r w:rsidRPr="00900F8E">
        <w:rPr>
          <w:rFonts w:ascii="Arial" w:hAnsi="Arial" w:cs="Arial"/>
        </w:rPr>
        <w:t>.</w:t>
      </w:r>
      <w:r w:rsidR="003D5632" w:rsidRPr="00900F8E">
        <w:rPr>
          <w:rFonts w:ascii="Arial" w:hAnsi="Arial" w:cs="Arial"/>
        </w:rPr>
        <w:t xml:space="preserve"> </w:t>
      </w:r>
      <w:r w:rsidR="00DD7539" w:rsidRPr="00900F8E">
        <w:rPr>
          <w:rFonts w:ascii="Arial" w:hAnsi="Arial" w:cs="Arial"/>
        </w:rPr>
        <w:t>Skoraj 60</w:t>
      </w:r>
      <w:r w:rsidR="00FC7920">
        <w:rPr>
          <w:rFonts w:ascii="Arial" w:hAnsi="Arial" w:cs="Arial"/>
        </w:rPr>
        <w:t> </w:t>
      </w:r>
      <w:r w:rsidR="00DD7539" w:rsidRPr="00900F8E">
        <w:rPr>
          <w:rFonts w:ascii="Arial" w:hAnsi="Arial" w:cs="Arial"/>
        </w:rPr>
        <w:t xml:space="preserve">% emisij TGP v </w:t>
      </w:r>
      <w:r w:rsidR="00FC7920">
        <w:rPr>
          <w:rFonts w:ascii="Arial" w:hAnsi="Arial" w:cs="Arial"/>
        </w:rPr>
        <w:t xml:space="preserve">industriji </w:t>
      </w:r>
      <w:r w:rsidR="00920F43" w:rsidRPr="00900F8E">
        <w:rPr>
          <w:rFonts w:ascii="Arial" w:hAnsi="Arial" w:cs="Arial"/>
        </w:rPr>
        <w:t>neETS</w:t>
      </w:r>
      <w:r w:rsidR="00DD7539" w:rsidRPr="00900F8E">
        <w:rPr>
          <w:rFonts w:ascii="Arial" w:hAnsi="Arial" w:cs="Arial"/>
        </w:rPr>
        <w:t xml:space="preserve"> nastane zaradi rabe goriv v proizvodni industriji in gradbeništvu</w:t>
      </w:r>
      <w:r w:rsidR="00656503" w:rsidRPr="00900F8E">
        <w:rPr>
          <w:rFonts w:ascii="Arial" w:hAnsi="Arial" w:cs="Arial"/>
        </w:rPr>
        <w:t xml:space="preserve">, </w:t>
      </w:r>
      <w:r w:rsidR="009B1AF1">
        <w:rPr>
          <w:rFonts w:ascii="Arial" w:hAnsi="Arial" w:cs="Arial"/>
        </w:rPr>
        <w:t>pre</w:t>
      </w:r>
      <w:r w:rsidR="00656503" w:rsidRPr="00900F8E">
        <w:rPr>
          <w:rFonts w:ascii="Arial" w:hAnsi="Arial" w:cs="Arial"/>
        </w:rPr>
        <w:t>ostalo prispevajo</w:t>
      </w:r>
      <w:r w:rsidR="00DD7539" w:rsidRPr="00900F8E">
        <w:rPr>
          <w:rFonts w:ascii="Arial" w:hAnsi="Arial" w:cs="Arial"/>
        </w:rPr>
        <w:t xml:space="preserve"> procesne emisije</w:t>
      </w:r>
      <w:r w:rsidR="00656503" w:rsidRPr="00900F8E">
        <w:rPr>
          <w:rFonts w:ascii="Arial" w:hAnsi="Arial" w:cs="Arial"/>
        </w:rPr>
        <w:t xml:space="preserve">. </w:t>
      </w:r>
      <w:r w:rsidR="00FF4B7D" w:rsidRPr="00900F8E">
        <w:rPr>
          <w:rFonts w:ascii="Arial" w:hAnsi="Arial" w:cs="Arial"/>
        </w:rPr>
        <w:t xml:space="preserve">V </w:t>
      </w:r>
      <w:r w:rsidR="00FC7920">
        <w:rPr>
          <w:rFonts w:ascii="Arial" w:hAnsi="Arial" w:cs="Arial"/>
        </w:rPr>
        <w:t xml:space="preserve">energetiki </w:t>
      </w:r>
      <w:r w:rsidR="00920F43" w:rsidRPr="00900F8E">
        <w:rPr>
          <w:rFonts w:ascii="Arial" w:hAnsi="Arial" w:cs="Arial"/>
        </w:rPr>
        <w:t>neETS</w:t>
      </w:r>
      <w:r w:rsidR="00FF4B7D" w:rsidRPr="00900F8E">
        <w:rPr>
          <w:rFonts w:ascii="Arial" w:hAnsi="Arial" w:cs="Arial"/>
        </w:rPr>
        <w:t xml:space="preserve"> emisij</w:t>
      </w:r>
      <w:r w:rsidR="000E0D8D" w:rsidRPr="00900F8E">
        <w:rPr>
          <w:rFonts w:ascii="Arial" w:hAnsi="Arial" w:cs="Arial"/>
        </w:rPr>
        <w:t>e</w:t>
      </w:r>
      <w:r w:rsidR="00A81FA5" w:rsidRPr="00900F8E">
        <w:rPr>
          <w:rFonts w:ascii="Arial" w:hAnsi="Arial" w:cs="Arial"/>
        </w:rPr>
        <w:t xml:space="preserve"> TGP </w:t>
      </w:r>
      <w:r w:rsidR="000E0D8D" w:rsidRPr="00900F8E">
        <w:rPr>
          <w:rFonts w:ascii="Arial" w:hAnsi="Arial" w:cs="Arial"/>
        </w:rPr>
        <w:t>povzročajo</w:t>
      </w:r>
      <w:r w:rsidR="00A81FA5" w:rsidRPr="00900F8E">
        <w:rPr>
          <w:rFonts w:ascii="Arial" w:hAnsi="Arial" w:cs="Arial"/>
        </w:rPr>
        <w:t xml:space="preserve"> sistemi daljinskega ogrevanja in ubežne emisije</w:t>
      </w:r>
      <w:r w:rsidR="00FF4B7D" w:rsidRPr="00900F8E">
        <w:rPr>
          <w:rFonts w:ascii="Arial" w:hAnsi="Arial" w:cs="Arial"/>
        </w:rPr>
        <w:t xml:space="preserve">. </w:t>
      </w:r>
      <w:r w:rsidR="00485212" w:rsidRPr="00900F8E">
        <w:rPr>
          <w:rFonts w:ascii="Arial" w:hAnsi="Arial" w:cs="Arial"/>
        </w:rPr>
        <w:t xml:space="preserve">V sektorju odpadki </w:t>
      </w:r>
      <w:r w:rsidR="00A81FA5" w:rsidRPr="00900F8E">
        <w:rPr>
          <w:rFonts w:ascii="Arial" w:hAnsi="Arial" w:cs="Arial"/>
        </w:rPr>
        <w:t xml:space="preserve">polovico </w:t>
      </w:r>
      <w:r w:rsidR="00485212" w:rsidRPr="00900F8E">
        <w:rPr>
          <w:rFonts w:ascii="Arial" w:hAnsi="Arial" w:cs="Arial"/>
        </w:rPr>
        <w:t>emisij TGP prispeva odlaganje trdnih odpadkov</w:t>
      </w:r>
      <w:r w:rsidR="000E0D8D" w:rsidRPr="00900F8E">
        <w:rPr>
          <w:rFonts w:ascii="Arial" w:hAnsi="Arial" w:cs="Arial"/>
        </w:rPr>
        <w:t>, dobrih 40</w:t>
      </w:r>
      <w:r w:rsidR="00FC7920">
        <w:rPr>
          <w:rFonts w:ascii="Arial" w:hAnsi="Arial" w:cs="Arial"/>
        </w:rPr>
        <w:t> </w:t>
      </w:r>
      <w:r w:rsidR="000E0D8D" w:rsidRPr="00900F8E">
        <w:rPr>
          <w:rFonts w:ascii="Arial" w:hAnsi="Arial" w:cs="Arial"/>
        </w:rPr>
        <w:t>%</w:t>
      </w:r>
      <w:r w:rsidR="00485212" w:rsidRPr="00900F8E">
        <w:rPr>
          <w:rFonts w:ascii="Arial" w:hAnsi="Arial" w:cs="Arial"/>
        </w:rPr>
        <w:t xml:space="preserve"> odvajanje in čiščenje odpadnih voda</w:t>
      </w:r>
      <w:r w:rsidR="000E0D8D" w:rsidRPr="00900F8E">
        <w:rPr>
          <w:rFonts w:ascii="Arial" w:hAnsi="Arial" w:cs="Arial"/>
        </w:rPr>
        <w:t>, p</w:t>
      </w:r>
      <w:r w:rsidR="00A81FA5" w:rsidRPr="00900F8E">
        <w:rPr>
          <w:rFonts w:ascii="Arial" w:hAnsi="Arial" w:cs="Arial"/>
        </w:rPr>
        <w:t xml:space="preserve">reostanek </w:t>
      </w:r>
      <w:r w:rsidR="000E0D8D" w:rsidRPr="00900F8E">
        <w:rPr>
          <w:rFonts w:ascii="Arial" w:hAnsi="Arial" w:cs="Arial"/>
        </w:rPr>
        <w:t xml:space="preserve">pa </w:t>
      </w:r>
      <w:r w:rsidR="00A81FA5" w:rsidRPr="00900F8E">
        <w:rPr>
          <w:rFonts w:ascii="Arial" w:hAnsi="Arial" w:cs="Arial"/>
        </w:rPr>
        <w:t xml:space="preserve">odpade na biološko obravnavo odpadkov </w:t>
      </w:r>
      <w:r w:rsidR="000E0D8D" w:rsidRPr="00900F8E">
        <w:rPr>
          <w:rFonts w:ascii="Arial" w:hAnsi="Arial" w:cs="Arial"/>
        </w:rPr>
        <w:t>in</w:t>
      </w:r>
      <w:r w:rsidR="00A81FA5" w:rsidRPr="00900F8E">
        <w:rPr>
          <w:rFonts w:ascii="Arial" w:hAnsi="Arial" w:cs="Arial"/>
        </w:rPr>
        <w:t xml:space="preserve"> termično obdelavo odpadkov.</w:t>
      </w:r>
    </w:p>
    <w:p w14:paraId="41AF9E56" w14:textId="095A0F61" w:rsidR="00A22F4D" w:rsidRPr="00900F8E" w:rsidRDefault="00A22F4D" w:rsidP="00485212">
      <w:pPr>
        <w:spacing w:after="0" w:line="240" w:lineRule="auto"/>
        <w:jc w:val="both"/>
        <w:rPr>
          <w:rFonts w:ascii="Arial" w:hAnsi="Arial" w:cs="Arial"/>
        </w:rPr>
      </w:pPr>
    </w:p>
    <w:p w14:paraId="5F0CB050" w14:textId="435D6855" w:rsidR="00A22F4D" w:rsidRPr="00900F8E" w:rsidRDefault="00A22F4D" w:rsidP="00485212">
      <w:pPr>
        <w:spacing w:after="0" w:line="240" w:lineRule="auto"/>
        <w:jc w:val="both"/>
        <w:rPr>
          <w:rFonts w:ascii="Arial" w:hAnsi="Arial" w:cs="Arial"/>
        </w:rPr>
      </w:pPr>
      <w:r w:rsidRPr="00900F8E">
        <w:rPr>
          <w:rFonts w:ascii="Arial" w:hAnsi="Arial" w:cs="Arial"/>
        </w:rPr>
        <w:t xml:space="preserve">Med </w:t>
      </w:r>
      <w:r w:rsidR="008419DD">
        <w:rPr>
          <w:rFonts w:ascii="Arial" w:hAnsi="Arial" w:cs="Arial"/>
        </w:rPr>
        <w:t xml:space="preserve">sektorji </w:t>
      </w:r>
      <w:r w:rsidR="00920F43" w:rsidRPr="00900F8E">
        <w:rPr>
          <w:rFonts w:ascii="Arial" w:hAnsi="Arial" w:cs="Arial"/>
        </w:rPr>
        <w:t>neETS</w:t>
      </w:r>
      <w:r w:rsidR="0030705E" w:rsidRPr="00900F8E">
        <w:rPr>
          <w:rFonts w:ascii="Arial" w:hAnsi="Arial" w:cs="Arial"/>
        </w:rPr>
        <w:t xml:space="preserve"> </w:t>
      </w:r>
      <w:r w:rsidRPr="00900F8E">
        <w:rPr>
          <w:rFonts w:ascii="Arial" w:hAnsi="Arial" w:cs="Arial"/>
        </w:rPr>
        <w:t>največji delež prispeva sektor promet</w:t>
      </w:r>
      <w:r w:rsidR="0030705E" w:rsidRPr="00900F8E">
        <w:rPr>
          <w:rFonts w:ascii="Arial" w:hAnsi="Arial" w:cs="Arial"/>
        </w:rPr>
        <w:t>a</w:t>
      </w:r>
      <w:r w:rsidRPr="00900F8E">
        <w:rPr>
          <w:rFonts w:ascii="Arial" w:hAnsi="Arial" w:cs="Arial"/>
        </w:rPr>
        <w:t xml:space="preserve">, </w:t>
      </w:r>
      <w:r w:rsidR="007F19A3" w:rsidRPr="00900F8E">
        <w:rPr>
          <w:rFonts w:ascii="Arial" w:hAnsi="Arial" w:cs="Arial"/>
        </w:rPr>
        <w:t xml:space="preserve">sledi </w:t>
      </w:r>
      <w:r w:rsidR="0030705E" w:rsidRPr="00900F8E">
        <w:rPr>
          <w:rFonts w:ascii="Arial" w:hAnsi="Arial" w:cs="Arial"/>
        </w:rPr>
        <w:t>mu sektor kmetijstva</w:t>
      </w:r>
      <w:r w:rsidR="007F19A3" w:rsidRPr="00900F8E">
        <w:rPr>
          <w:rFonts w:ascii="Arial" w:hAnsi="Arial" w:cs="Arial"/>
        </w:rPr>
        <w:t>, sektor</w:t>
      </w:r>
      <w:r w:rsidR="0030705E" w:rsidRPr="00900F8E">
        <w:rPr>
          <w:rFonts w:ascii="Arial" w:hAnsi="Arial" w:cs="Arial"/>
        </w:rPr>
        <w:t xml:space="preserve"> široke rabe</w:t>
      </w:r>
      <w:r w:rsidR="007F19A3" w:rsidRPr="00900F8E">
        <w:rPr>
          <w:rFonts w:ascii="Arial" w:hAnsi="Arial" w:cs="Arial"/>
        </w:rPr>
        <w:t>,</w:t>
      </w:r>
      <w:r w:rsidR="0030705E" w:rsidRPr="00900F8E">
        <w:rPr>
          <w:rFonts w:ascii="Arial" w:hAnsi="Arial" w:cs="Arial"/>
        </w:rPr>
        <w:t xml:space="preserve"> </w:t>
      </w:r>
      <w:r w:rsidR="008419DD">
        <w:rPr>
          <w:rFonts w:ascii="Arial" w:hAnsi="Arial" w:cs="Arial"/>
        </w:rPr>
        <w:t xml:space="preserve">industrija </w:t>
      </w:r>
      <w:r w:rsidR="00920F43" w:rsidRPr="00900F8E">
        <w:rPr>
          <w:rFonts w:ascii="Arial" w:hAnsi="Arial" w:cs="Arial"/>
        </w:rPr>
        <w:t>neETS</w:t>
      </w:r>
      <w:r w:rsidR="0030705E" w:rsidRPr="00900F8E">
        <w:rPr>
          <w:rFonts w:ascii="Arial" w:hAnsi="Arial" w:cs="Arial"/>
        </w:rPr>
        <w:t xml:space="preserve">, </w:t>
      </w:r>
      <w:r w:rsidR="008419DD">
        <w:rPr>
          <w:rFonts w:ascii="Arial" w:hAnsi="Arial" w:cs="Arial"/>
        </w:rPr>
        <w:t xml:space="preserve">energetika </w:t>
      </w:r>
      <w:r w:rsidR="00920F43" w:rsidRPr="00900F8E">
        <w:rPr>
          <w:rFonts w:ascii="Arial" w:hAnsi="Arial" w:cs="Arial"/>
        </w:rPr>
        <w:t>neETS</w:t>
      </w:r>
      <w:r w:rsidR="0030705E" w:rsidRPr="00900F8E">
        <w:rPr>
          <w:rFonts w:ascii="Arial" w:hAnsi="Arial" w:cs="Arial"/>
        </w:rPr>
        <w:t xml:space="preserve"> in odpadki (slik</w:t>
      </w:r>
      <w:r w:rsidR="006841D8">
        <w:rPr>
          <w:rFonts w:ascii="Arial" w:hAnsi="Arial" w:cs="Arial"/>
        </w:rPr>
        <w:t>a</w:t>
      </w:r>
      <w:r w:rsidR="0030705E" w:rsidRPr="00900F8E">
        <w:rPr>
          <w:rFonts w:ascii="Arial" w:hAnsi="Arial" w:cs="Arial"/>
        </w:rPr>
        <w:t xml:space="preserve"> </w:t>
      </w:r>
      <w:r w:rsidR="002F3F5A" w:rsidRPr="00900F8E">
        <w:rPr>
          <w:rFonts w:ascii="Arial" w:hAnsi="Arial" w:cs="Arial"/>
        </w:rPr>
        <w:t>3</w:t>
      </w:r>
      <w:r w:rsidR="006841D8">
        <w:rPr>
          <w:rFonts w:ascii="Arial" w:hAnsi="Arial" w:cs="Arial"/>
        </w:rPr>
        <w:t xml:space="preserve"> in slika 4</w:t>
      </w:r>
      <w:r w:rsidR="0030705E" w:rsidRPr="00900F8E">
        <w:rPr>
          <w:rFonts w:ascii="Arial" w:hAnsi="Arial" w:cs="Arial"/>
        </w:rPr>
        <w:t>).</w:t>
      </w:r>
      <w:r w:rsidRPr="00900F8E">
        <w:rPr>
          <w:rFonts w:ascii="Arial" w:hAnsi="Arial" w:cs="Arial"/>
        </w:rPr>
        <w:t xml:space="preserve"> </w:t>
      </w:r>
      <w:r w:rsidR="00BF46A1">
        <w:rPr>
          <w:rFonts w:ascii="Arial" w:hAnsi="Arial" w:cs="Arial"/>
        </w:rPr>
        <w:t>V obdobju 2014</w:t>
      </w:r>
      <w:r w:rsidR="009B1AF1">
        <w:rPr>
          <w:rFonts w:ascii="Arial" w:hAnsi="Arial" w:cs="Arial"/>
        </w:rPr>
        <w:t>–</w:t>
      </w:r>
      <w:r w:rsidR="00BF46A1">
        <w:rPr>
          <w:rFonts w:ascii="Arial" w:hAnsi="Arial" w:cs="Arial"/>
        </w:rPr>
        <w:t xml:space="preserve">2019 je sektor prometa v skupnih neETS emisijah TGP vsako leto prispeval več kot polovico emisij TGP. </w:t>
      </w:r>
    </w:p>
    <w:p w14:paraId="0AE10C41" w14:textId="77777777" w:rsidR="003D5632" w:rsidRPr="00900F8E" w:rsidRDefault="003D5632" w:rsidP="008B355C">
      <w:pPr>
        <w:spacing w:after="0" w:line="240" w:lineRule="auto"/>
        <w:jc w:val="both"/>
        <w:rPr>
          <w:rFonts w:ascii="Arial" w:hAnsi="Arial" w:cs="Arial"/>
        </w:rPr>
      </w:pPr>
    </w:p>
    <w:p w14:paraId="0367D948" w14:textId="420761EB" w:rsidR="005B2B57" w:rsidRPr="00900F8E" w:rsidRDefault="005B2B57" w:rsidP="008B355C">
      <w:pPr>
        <w:spacing w:after="0" w:line="240" w:lineRule="auto"/>
        <w:jc w:val="both"/>
        <w:rPr>
          <w:rFonts w:ascii="Arial" w:hAnsi="Arial" w:cs="Arial"/>
          <w:b/>
          <w:bCs/>
          <w:sz w:val="20"/>
          <w:szCs w:val="20"/>
        </w:rPr>
      </w:pPr>
    </w:p>
    <w:p w14:paraId="305CD4F4" w14:textId="67FA4252" w:rsidR="000E5884" w:rsidRDefault="003E01A3" w:rsidP="000E5884">
      <w:pPr>
        <w:keepNext/>
        <w:spacing w:after="0" w:line="240" w:lineRule="auto"/>
        <w:jc w:val="center"/>
      </w:pPr>
      <w:r>
        <w:rPr>
          <w:rFonts w:ascii="Arial" w:hAnsi="Arial" w:cs="Arial"/>
          <w:noProof/>
          <w:sz w:val="20"/>
          <w:szCs w:val="20"/>
          <w:lang w:eastAsia="sl-SI"/>
        </w:rPr>
        <w:lastRenderedPageBreak/>
        <w:drawing>
          <wp:inline distT="0" distB="0" distL="0" distR="0" wp14:anchorId="0E405E55" wp14:editId="0A4BE010">
            <wp:extent cx="4517409" cy="3731773"/>
            <wp:effectExtent l="0" t="0" r="0" b="2540"/>
            <wp:docPr id="9" name="Slika 9" descr="Slika 3: Struktura emisij TGP po neETS sektorjih v letu 2019 in letu 2020 (Vir: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3: Struktura emisij TGP po neETS sektorjih v letu 2019 in letu 2020 (Vir: IJS-C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5111" cy="3738136"/>
                    </a:xfrm>
                    <a:prstGeom prst="rect">
                      <a:avLst/>
                    </a:prstGeom>
                    <a:noFill/>
                    <a:ln>
                      <a:noFill/>
                    </a:ln>
                  </pic:spPr>
                </pic:pic>
              </a:graphicData>
            </a:graphic>
          </wp:inline>
        </w:drawing>
      </w:r>
    </w:p>
    <w:p w14:paraId="06CF3802" w14:textId="77777777" w:rsidR="000E5884" w:rsidRDefault="000E5884" w:rsidP="000E5884">
      <w:pPr>
        <w:keepNext/>
        <w:spacing w:after="0" w:line="240" w:lineRule="auto"/>
        <w:jc w:val="center"/>
      </w:pPr>
    </w:p>
    <w:p w14:paraId="70D356C9" w14:textId="71786F59" w:rsidR="005B2B57" w:rsidRPr="000E5884" w:rsidRDefault="000E5884" w:rsidP="000E5884">
      <w:pPr>
        <w:pStyle w:val="Napis"/>
        <w:jc w:val="center"/>
        <w:rPr>
          <w:rFonts w:ascii="Arial" w:hAnsi="Arial" w:cs="Arial"/>
          <w:b/>
          <w:bCs/>
          <w:i w:val="0"/>
          <w:iCs w:val="0"/>
          <w:color w:val="auto"/>
          <w:sz w:val="20"/>
          <w:szCs w:val="20"/>
        </w:rPr>
      </w:pPr>
      <w:bookmarkStart w:id="8" w:name="_Toc112840952"/>
      <w:r w:rsidRPr="000E5884">
        <w:rPr>
          <w:rFonts w:ascii="Arial" w:hAnsi="Arial" w:cs="Arial"/>
          <w:b/>
          <w:bCs/>
          <w:i w:val="0"/>
          <w:iCs w:val="0"/>
          <w:color w:val="auto"/>
          <w:sz w:val="20"/>
          <w:szCs w:val="20"/>
        </w:rPr>
        <w:t xml:space="preserve">Slika </w:t>
      </w:r>
      <w:r w:rsidRPr="000E5884">
        <w:rPr>
          <w:rFonts w:ascii="Arial" w:hAnsi="Arial" w:cs="Arial"/>
          <w:b/>
          <w:bCs/>
          <w:i w:val="0"/>
          <w:iCs w:val="0"/>
          <w:color w:val="auto"/>
          <w:sz w:val="20"/>
          <w:szCs w:val="20"/>
        </w:rPr>
        <w:fldChar w:fldCharType="begin"/>
      </w:r>
      <w:r w:rsidRPr="000E5884">
        <w:rPr>
          <w:rFonts w:ascii="Arial" w:hAnsi="Arial" w:cs="Arial"/>
          <w:b/>
          <w:bCs/>
          <w:i w:val="0"/>
          <w:iCs w:val="0"/>
          <w:color w:val="auto"/>
          <w:sz w:val="20"/>
          <w:szCs w:val="20"/>
        </w:rPr>
        <w:instrText xml:space="preserve"> SEQ Slika \* ARABIC </w:instrText>
      </w:r>
      <w:r w:rsidRPr="000E5884">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3</w:t>
      </w:r>
      <w:r w:rsidRPr="000E5884">
        <w:rPr>
          <w:rFonts w:ascii="Arial" w:hAnsi="Arial" w:cs="Arial"/>
          <w:b/>
          <w:bCs/>
          <w:i w:val="0"/>
          <w:iCs w:val="0"/>
          <w:color w:val="auto"/>
          <w:sz w:val="20"/>
          <w:szCs w:val="20"/>
        </w:rPr>
        <w:fldChar w:fldCharType="end"/>
      </w:r>
      <w:r w:rsidRPr="000E5884">
        <w:rPr>
          <w:rFonts w:ascii="Arial" w:hAnsi="Arial" w:cs="Arial"/>
          <w:b/>
          <w:bCs/>
          <w:i w:val="0"/>
          <w:iCs w:val="0"/>
          <w:color w:val="auto"/>
          <w:sz w:val="20"/>
          <w:szCs w:val="20"/>
        </w:rPr>
        <w:t xml:space="preserve">: Struktura emisij TGP po </w:t>
      </w:r>
      <w:r w:rsidR="00B77EE3">
        <w:rPr>
          <w:rFonts w:ascii="Arial" w:hAnsi="Arial" w:cs="Arial"/>
          <w:b/>
          <w:bCs/>
          <w:i w:val="0"/>
          <w:iCs w:val="0"/>
          <w:color w:val="auto"/>
          <w:sz w:val="20"/>
          <w:szCs w:val="20"/>
        </w:rPr>
        <w:t xml:space="preserve">sektorjih </w:t>
      </w:r>
      <w:r w:rsidRPr="000E5884">
        <w:rPr>
          <w:rFonts w:ascii="Arial" w:hAnsi="Arial" w:cs="Arial"/>
          <w:b/>
          <w:bCs/>
          <w:i w:val="0"/>
          <w:iCs w:val="0"/>
          <w:color w:val="auto"/>
          <w:sz w:val="20"/>
          <w:szCs w:val="20"/>
        </w:rPr>
        <w:t>neETS v letu 2019 in letu 2020 (Vir: IJS-CEU)</w:t>
      </w:r>
      <w:bookmarkEnd w:id="8"/>
    </w:p>
    <w:p w14:paraId="26F14397" w14:textId="10BAC7CF" w:rsidR="005B2B57" w:rsidRPr="00900F8E" w:rsidRDefault="005B2B57" w:rsidP="00156836">
      <w:pPr>
        <w:spacing w:after="0" w:line="240" w:lineRule="auto"/>
        <w:jc w:val="center"/>
        <w:rPr>
          <w:rFonts w:ascii="Arial" w:hAnsi="Arial" w:cs="Arial"/>
          <w:b/>
          <w:bCs/>
          <w:sz w:val="20"/>
          <w:szCs w:val="20"/>
        </w:rPr>
      </w:pPr>
    </w:p>
    <w:p w14:paraId="5B6EE2EA" w14:textId="77777777" w:rsidR="009B609A" w:rsidRDefault="009B609A" w:rsidP="00156836">
      <w:pPr>
        <w:spacing w:after="0" w:line="240" w:lineRule="auto"/>
        <w:jc w:val="center"/>
        <w:rPr>
          <w:rFonts w:ascii="Arial" w:hAnsi="Arial" w:cs="Arial"/>
          <w:b/>
          <w:bCs/>
          <w:sz w:val="20"/>
          <w:szCs w:val="20"/>
        </w:rPr>
      </w:pPr>
    </w:p>
    <w:p w14:paraId="3627B7D8" w14:textId="77777777" w:rsidR="006841D8" w:rsidRPr="00900F8E" w:rsidRDefault="006841D8" w:rsidP="00156836">
      <w:pPr>
        <w:spacing w:after="0" w:line="240" w:lineRule="auto"/>
        <w:jc w:val="center"/>
        <w:rPr>
          <w:rFonts w:ascii="Arial" w:hAnsi="Arial" w:cs="Arial"/>
          <w:b/>
          <w:bCs/>
          <w:sz w:val="20"/>
          <w:szCs w:val="20"/>
        </w:rPr>
      </w:pPr>
    </w:p>
    <w:p w14:paraId="26C62E93" w14:textId="746B1D09" w:rsidR="000E5884" w:rsidRDefault="003E01A3" w:rsidP="000E5884">
      <w:pPr>
        <w:keepNext/>
        <w:spacing w:after="0" w:line="240" w:lineRule="auto"/>
        <w:jc w:val="center"/>
      </w:pPr>
      <w:r>
        <w:rPr>
          <w:rFonts w:ascii="Arial" w:hAnsi="Arial" w:cs="Arial"/>
          <w:b/>
          <w:bCs/>
          <w:noProof/>
          <w:sz w:val="20"/>
          <w:szCs w:val="20"/>
          <w:lang w:eastAsia="sl-SI"/>
        </w:rPr>
        <w:drawing>
          <wp:inline distT="0" distB="0" distL="0" distR="0" wp14:anchorId="4FC2F801" wp14:editId="2764976A">
            <wp:extent cx="5129852" cy="3695700"/>
            <wp:effectExtent l="0" t="0" r="0" b="0"/>
            <wp:docPr id="11" name="Slika 11" descr="Slika 4: Struktura emisij TGP po neETS sektorjih v letu 2020 (Vir: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4: Struktura emisij TGP po neETS sektorjih v letu 2020 (Vir: IJS-C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1995" cy="3697244"/>
                    </a:xfrm>
                    <a:prstGeom prst="rect">
                      <a:avLst/>
                    </a:prstGeom>
                    <a:noFill/>
                    <a:ln>
                      <a:noFill/>
                    </a:ln>
                  </pic:spPr>
                </pic:pic>
              </a:graphicData>
            </a:graphic>
          </wp:inline>
        </w:drawing>
      </w:r>
    </w:p>
    <w:p w14:paraId="4C45EB17" w14:textId="77777777" w:rsidR="000E5884" w:rsidRDefault="000E5884" w:rsidP="000E5884">
      <w:pPr>
        <w:keepNext/>
        <w:spacing w:after="0" w:line="240" w:lineRule="auto"/>
        <w:jc w:val="center"/>
      </w:pPr>
    </w:p>
    <w:p w14:paraId="18030950" w14:textId="29A443AC" w:rsidR="005B2B57" w:rsidRPr="000E5884" w:rsidRDefault="000E5884" w:rsidP="000E5884">
      <w:pPr>
        <w:pStyle w:val="Napis"/>
        <w:jc w:val="center"/>
        <w:rPr>
          <w:rFonts w:ascii="Arial" w:hAnsi="Arial" w:cs="Arial"/>
          <w:b/>
          <w:bCs/>
          <w:i w:val="0"/>
          <w:iCs w:val="0"/>
          <w:color w:val="auto"/>
          <w:sz w:val="20"/>
          <w:szCs w:val="20"/>
        </w:rPr>
      </w:pPr>
      <w:bookmarkStart w:id="9" w:name="_Toc112840953"/>
      <w:r w:rsidRPr="000E5884">
        <w:rPr>
          <w:rFonts w:ascii="Arial" w:hAnsi="Arial" w:cs="Arial"/>
          <w:b/>
          <w:bCs/>
          <w:i w:val="0"/>
          <w:iCs w:val="0"/>
          <w:color w:val="auto"/>
          <w:sz w:val="20"/>
          <w:szCs w:val="20"/>
        </w:rPr>
        <w:t xml:space="preserve">Slika </w:t>
      </w:r>
      <w:r w:rsidRPr="000E5884">
        <w:rPr>
          <w:rFonts w:ascii="Arial" w:hAnsi="Arial" w:cs="Arial"/>
          <w:b/>
          <w:bCs/>
          <w:i w:val="0"/>
          <w:iCs w:val="0"/>
          <w:color w:val="auto"/>
          <w:sz w:val="20"/>
          <w:szCs w:val="20"/>
        </w:rPr>
        <w:fldChar w:fldCharType="begin"/>
      </w:r>
      <w:r w:rsidRPr="000E5884">
        <w:rPr>
          <w:rFonts w:ascii="Arial" w:hAnsi="Arial" w:cs="Arial"/>
          <w:b/>
          <w:bCs/>
          <w:i w:val="0"/>
          <w:iCs w:val="0"/>
          <w:color w:val="auto"/>
          <w:sz w:val="20"/>
          <w:szCs w:val="20"/>
        </w:rPr>
        <w:instrText xml:space="preserve"> SEQ Slika \* ARABIC </w:instrText>
      </w:r>
      <w:r w:rsidRPr="000E5884">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4</w:t>
      </w:r>
      <w:r w:rsidRPr="000E5884">
        <w:rPr>
          <w:rFonts w:ascii="Arial" w:hAnsi="Arial" w:cs="Arial"/>
          <w:b/>
          <w:bCs/>
          <w:i w:val="0"/>
          <w:iCs w:val="0"/>
          <w:color w:val="auto"/>
          <w:sz w:val="20"/>
          <w:szCs w:val="20"/>
        </w:rPr>
        <w:fldChar w:fldCharType="end"/>
      </w:r>
      <w:r w:rsidRPr="000E5884">
        <w:rPr>
          <w:rFonts w:ascii="Arial" w:hAnsi="Arial" w:cs="Arial"/>
          <w:b/>
          <w:bCs/>
          <w:i w:val="0"/>
          <w:iCs w:val="0"/>
          <w:color w:val="auto"/>
          <w:sz w:val="20"/>
          <w:szCs w:val="20"/>
        </w:rPr>
        <w:t xml:space="preserve">: Struktura emisij TGP po </w:t>
      </w:r>
      <w:r w:rsidR="0077147B">
        <w:rPr>
          <w:rFonts w:ascii="Arial" w:hAnsi="Arial" w:cs="Arial"/>
          <w:b/>
          <w:bCs/>
          <w:i w:val="0"/>
          <w:iCs w:val="0"/>
          <w:color w:val="auto"/>
          <w:sz w:val="20"/>
          <w:szCs w:val="20"/>
        </w:rPr>
        <w:t xml:space="preserve">sektorjih </w:t>
      </w:r>
      <w:r w:rsidRPr="000E5884">
        <w:rPr>
          <w:rFonts w:ascii="Arial" w:hAnsi="Arial" w:cs="Arial"/>
          <w:b/>
          <w:bCs/>
          <w:i w:val="0"/>
          <w:iCs w:val="0"/>
          <w:color w:val="auto"/>
          <w:sz w:val="20"/>
          <w:szCs w:val="20"/>
        </w:rPr>
        <w:t>neETS v letu 2020 (Vir: IJS-CEU)</w:t>
      </w:r>
      <w:bookmarkEnd w:id="9"/>
    </w:p>
    <w:p w14:paraId="48DD8D86" w14:textId="57158791" w:rsidR="006357FE" w:rsidRPr="00900F8E" w:rsidRDefault="002D2686" w:rsidP="006357FE">
      <w:pPr>
        <w:spacing w:after="0" w:line="240" w:lineRule="auto"/>
        <w:jc w:val="both"/>
        <w:rPr>
          <w:rFonts w:ascii="Arial" w:hAnsi="Arial" w:cs="Arial"/>
        </w:rPr>
      </w:pPr>
      <w:r w:rsidRPr="00900F8E">
        <w:rPr>
          <w:rFonts w:ascii="Arial" w:hAnsi="Arial" w:cs="Arial"/>
        </w:rPr>
        <w:lastRenderedPageBreak/>
        <w:t>V obdobju 2005</w:t>
      </w:r>
      <w:r w:rsidR="009B1AF1">
        <w:rPr>
          <w:rFonts w:ascii="Arial" w:hAnsi="Arial" w:cs="Arial"/>
        </w:rPr>
        <w:t>–</w:t>
      </w:r>
      <w:r w:rsidRPr="00900F8E">
        <w:rPr>
          <w:rFonts w:ascii="Arial" w:hAnsi="Arial" w:cs="Arial"/>
        </w:rPr>
        <w:t>20</w:t>
      </w:r>
      <w:r w:rsidR="009F58D2" w:rsidRPr="00900F8E">
        <w:rPr>
          <w:rFonts w:ascii="Arial" w:hAnsi="Arial" w:cs="Arial"/>
        </w:rPr>
        <w:t>20</w:t>
      </w:r>
      <w:r w:rsidRPr="00900F8E">
        <w:rPr>
          <w:rFonts w:ascii="Arial" w:hAnsi="Arial" w:cs="Arial"/>
        </w:rPr>
        <w:t xml:space="preserve"> </w:t>
      </w:r>
      <w:r w:rsidR="00850344" w:rsidRPr="00900F8E">
        <w:rPr>
          <w:rFonts w:ascii="Arial" w:hAnsi="Arial" w:cs="Arial"/>
        </w:rPr>
        <w:t xml:space="preserve">so se </w:t>
      </w:r>
      <w:r w:rsidR="0077147B">
        <w:rPr>
          <w:rFonts w:ascii="Arial" w:hAnsi="Arial" w:cs="Arial"/>
        </w:rPr>
        <w:t xml:space="preserve">emisije </w:t>
      </w:r>
      <w:r w:rsidR="00920F43" w:rsidRPr="00900F8E">
        <w:rPr>
          <w:rFonts w:ascii="Arial" w:hAnsi="Arial" w:cs="Arial"/>
        </w:rPr>
        <w:t>neETS</w:t>
      </w:r>
      <w:r w:rsidR="00850344" w:rsidRPr="00900F8E">
        <w:rPr>
          <w:rFonts w:ascii="Arial" w:hAnsi="Arial" w:cs="Arial"/>
        </w:rPr>
        <w:t xml:space="preserve"> zmanjšale za </w:t>
      </w:r>
      <w:r w:rsidR="009F58D2" w:rsidRPr="00900F8E">
        <w:rPr>
          <w:rFonts w:ascii="Arial" w:hAnsi="Arial" w:cs="Arial"/>
        </w:rPr>
        <w:t>16,7</w:t>
      </w:r>
      <w:r w:rsidR="00850344" w:rsidRPr="00900F8E">
        <w:rPr>
          <w:rFonts w:ascii="Arial" w:hAnsi="Arial" w:cs="Arial"/>
        </w:rPr>
        <w:t xml:space="preserve"> % </w:t>
      </w:r>
      <w:r w:rsidR="006357FE" w:rsidRPr="00900F8E">
        <w:rPr>
          <w:rFonts w:ascii="Arial" w:hAnsi="Arial" w:cs="Arial"/>
        </w:rPr>
        <w:t>(</w:t>
      </w:r>
      <w:r w:rsidR="00684BF8">
        <w:rPr>
          <w:rFonts w:ascii="Arial" w:hAnsi="Arial" w:cs="Arial"/>
        </w:rPr>
        <w:t>preglednica</w:t>
      </w:r>
      <w:r w:rsidR="00F82A6C" w:rsidRPr="00900F8E">
        <w:rPr>
          <w:rFonts w:ascii="Arial" w:hAnsi="Arial" w:cs="Arial"/>
        </w:rPr>
        <w:t xml:space="preserve"> </w:t>
      </w:r>
      <w:r w:rsidR="00954C24" w:rsidRPr="00900F8E">
        <w:rPr>
          <w:rFonts w:ascii="Arial" w:hAnsi="Arial" w:cs="Arial"/>
        </w:rPr>
        <w:t>3</w:t>
      </w:r>
      <w:r w:rsidR="00F82A6C" w:rsidRPr="00900F8E">
        <w:rPr>
          <w:rFonts w:ascii="Arial" w:hAnsi="Arial" w:cs="Arial"/>
        </w:rPr>
        <w:t xml:space="preserve">, </w:t>
      </w:r>
      <w:r w:rsidR="006357FE" w:rsidRPr="00900F8E">
        <w:rPr>
          <w:rFonts w:ascii="Arial" w:hAnsi="Arial" w:cs="Arial"/>
        </w:rPr>
        <w:t xml:space="preserve">slika </w:t>
      </w:r>
      <w:r w:rsidR="00A80FA1">
        <w:rPr>
          <w:rFonts w:ascii="Arial" w:hAnsi="Arial" w:cs="Arial"/>
        </w:rPr>
        <w:t>5</w:t>
      </w:r>
      <w:r w:rsidR="006357FE" w:rsidRPr="00900F8E">
        <w:rPr>
          <w:rFonts w:ascii="Arial" w:hAnsi="Arial" w:cs="Arial"/>
        </w:rPr>
        <w:t>).</w:t>
      </w:r>
    </w:p>
    <w:p w14:paraId="4A6B4075" w14:textId="1102ED01" w:rsidR="00E2320E" w:rsidRPr="00900F8E" w:rsidRDefault="00E2320E" w:rsidP="006357FE">
      <w:pPr>
        <w:spacing w:after="0" w:line="240" w:lineRule="auto"/>
        <w:jc w:val="both"/>
        <w:rPr>
          <w:rFonts w:ascii="Arial" w:hAnsi="Arial" w:cs="Arial"/>
        </w:rPr>
      </w:pPr>
    </w:p>
    <w:p w14:paraId="68FB2BAF" w14:textId="77777777" w:rsidR="00E2320E" w:rsidRPr="000D0CC3" w:rsidRDefault="00E2320E" w:rsidP="00E2320E">
      <w:pPr>
        <w:spacing w:after="0" w:line="240" w:lineRule="auto"/>
        <w:jc w:val="both"/>
        <w:rPr>
          <w:rFonts w:ascii="Arial" w:hAnsi="Arial" w:cs="Arial"/>
          <w:b/>
          <w:bCs/>
          <w:sz w:val="20"/>
          <w:szCs w:val="20"/>
        </w:rPr>
      </w:pPr>
    </w:p>
    <w:p w14:paraId="4FA44363" w14:textId="6FFEBA09" w:rsidR="000D0CC3" w:rsidRDefault="00684BF8" w:rsidP="000D0CC3">
      <w:pPr>
        <w:pStyle w:val="Napis"/>
        <w:keepNext/>
        <w:rPr>
          <w:rFonts w:ascii="Arial" w:hAnsi="Arial" w:cs="Arial"/>
          <w:b/>
          <w:bCs/>
          <w:i w:val="0"/>
          <w:iCs w:val="0"/>
          <w:color w:val="auto"/>
          <w:sz w:val="20"/>
          <w:szCs w:val="20"/>
        </w:rPr>
      </w:pPr>
      <w:bookmarkStart w:id="10" w:name="_Toc112842031"/>
      <w:r>
        <w:rPr>
          <w:rFonts w:ascii="Arial" w:hAnsi="Arial" w:cs="Arial"/>
          <w:b/>
          <w:bCs/>
          <w:i w:val="0"/>
          <w:iCs w:val="0"/>
          <w:color w:val="auto"/>
          <w:sz w:val="20"/>
          <w:szCs w:val="20"/>
        </w:rPr>
        <w:t>Preglednica</w:t>
      </w:r>
      <w:r w:rsidR="000D0CC3" w:rsidRPr="000D0CC3">
        <w:rPr>
          <w:rFonts w:ascii="Arial" w:hAnsi="Arial" w:cs="Arial"/>
          <w:b/>
          <w:bCs/>
          <w:i w:val="0"/>
          <w:iCs w:val="0"/>
          <w:color w:val="auto"/>
          <w:sz w:val="20"/>
          <w:szCs w:val="20"/>
        </w:rPr>
        <w:t xml:space="preserve"> </w:t>
      </w:r>
      <w:r w:rsidR="000D0CC3" w:rsidRPr="000D0CC3">
        <w:rPr>
          <w:rFonts w:ascii="Arial" w:hAnsi="Arial" w:cs="Arial"/>
          <w:b/>
          <w:bCs/>
          <w:i w:val="0"/>
          <w:iCs w:val="0"/>
          <w:color w:val="auto"/>
          <w:sz w:val="20"/>
          <w:szCs w:val="20"/>
        </w:rPr>
        <w:fldChar w:fldCharType="begin"/>
      </w:r>
      <w:r w:rsidR="000D0CC3" w:rsidRPr="000D0CC3">
        <w:rPr>
          <w:rFonts w:ascii="Arial" w:hAnsi="Arial" w:cs="Arial"/>
          <w:b/>
          <w:bCs/>
          <w:i w:val="0"/>
          <w:iCs w:val="0"/>
          <w:color w:val="auto"/>
          <w:sz w:val="20"/>
          <w:szCs w:val="20"/>
        </w:rPr>
        <w:instrText xml:space="preserve"> SEQ Tabela \* ARABIC </w:instrText>
      </w:r>
      <w:r w:rsidR="000D0CC3" w:rsidRPr="000D0CC3">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3</w:t>
      </w:r>
      <w:r w:rsidR="000D0CC3" w:rsidRPr="000D0CC3">
        <w:rPr>
          <w:rFonts w:ascii="Arial" w:hAnsi="Arial" w:cs="Arial"/>
          <w:b/>
          <w:bCs/>
          <w:i w:val="0"/>
          <w:iCs w:val="0"/>
          <w:color w:val="auto"/>
          <w:sz w:val="20"/>
          <w:szCs w:val="20"/>
        </w:rPr>
        <w:fldChar w:fldCharType="end"/>
      </w:r>
      <w:r w:rsidR="000D0CC3" w:rsidRPr="000D0CC3">
        <w:rPr>
          <w:rFonts w:ascii="Arial" w:hAnsi="Arial" w:cs="Arial"/>
          <w:b/>
          <w:bCs/>
          <w:i w:val="0"/>
          <w:iCs w:val="0"/>
          <w:color w:val="auto"/>
          <w:sz w:val="20"/>
          <w:szCs w:val="20"/>
        </w:rPr>
        <w:t>: Doseganje indikativnih sektorskih ciljev zmanjšanja emisij TGP, ki si jih je Slovenija zastavila z OP TGP 2020</w:t>
      </w:r>
      <w:r w:rsidR="009B1AF1">
        <w:rPr>
          <w:rFonts w:ascii="Arial" w:hAnsi="Arial" w:cs="Arial"/>
          <w:b/>
          <w:bCs/>
          <w:i w:val="0"/>
          <w:iCs w:val="0"/>
          <w:color w:val="auto"/>
          <w:sz w:val="20"/>
          <w:szCs w:val="20"/>
        </w:rPr>
        <w:t>,</w:t>
      </w:r>
      <w:r w:rsidR="000D0CC3" w:rsidRPr="000D0CC3">
        <w:rPr>
          <w:rFonts w:ascii="Arial" w:hAnsi="Arial" w:cs="Arial"/>
          <w:b/>
          <w:bCs/>
          <w:i w:val="0"/>
          <w:iCs w:val="0"/>
          <w:color w:val="auto"/>
          <w:sz w:val="20"/>
          <w:szCs w:val="20"/>
        </w:rPr>
        <w:t xml:space="preserve"> in doseganje cilja po Odločbi 406/2009/ES</w:t>
      </w:r>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549"/>
        <w:gridCol w:w="1452"/>
        <w:gridCol w:w="262"/>
        <w:gridCol w:w="2857"/>
      </w:tblGrid>
      <w:tr w:rsidR="00E2320E" w:rsidRPr="00900F8E" w14:paraId="7C52A8F4" w14:textId="77777777" w:rsidTr="000D0CC3">
        <w:trPr>
          <w:jc w:val="center"/>
        </w:trPr>
        <w:tc>
          <w:tcPr>
            <w:tcW w:w="1985" w:type="dxa"/>
            <w:tcBorders>
              <w:top w:val="nil"/>
              <w:left w:val="nil"/>
              <w:bottom w:val="single" w:sz="4" w:space="0" w:color="auto"/>
              <w:right w:val="single" w:sz="4" w:space="0" w:color="auto"/>
            </w:tcBorders>
            <w:shd w:val="clear" w:color="auto" w:fill="auto"/>
          </w:tcPr>
          <w:p w14:paraId="06C7B56A" w14:textId="77777777" w:rsidR="00E2320E" w:rsidRPr="00900F8E" w:rsidRDefault="00E2320E" w:rsidP="00640804">
            <w:pPr>
              <w:spacing w:after="0" w:line="240" w:lineRule="auto"/>
              <w:jc w:val="both"/>
              <w:rPr>
                <w:rFonts w:ascii="Arial" w:hAnsi="Arial" w:cs="Arial"/>
                <w:b/>
                <w:bCs/>
              </w:rPr>
            </w:pPr>
          </w:p>
        </w:tc>
        <w:tc>
          <w:tcPr>
            <w:tcW w:w="1549" w:type="dxa"/>
            <w:tcBorders>
              <w:left w:val="single" w:sz="4" w:space="0" w:color="auto"/>
            </w:tcBorders>
            <w:shd w:val="clear" w:color="auto" w:fill="E7E6E6"/>
          </w:tcPr>
          <w:p w14:paraId="36875902" w14:textId="77777777" w:rsidR="00E2320E" w:rsidRPr="00900F8E" w:rsidRDefault="00E2320E" w:rsidP="00640804">
            <w:pPr>
              <w:spacing w:after="0" w:line="240" w:lineRule="auto"/>
              <w:jc w:val="center"/>
              <w:rPr>
                <w:rFonts w:ascii="Arial" w:hAnsi="Arial" w:cs="Arial"/>
                <w:b/>
                <w:bCs/>
              </w:rPr>
            </w:pPr>
            <w:r w:rsidRPr="00900F8E">
              <w:rPr>
                <w:rFonts w:ascii="Arial" w:hAnsi="Arial" w:cs="Arial"/>
                <w:b/>
                <w:bCs/>
              </w:rPr>
              <w:t>Zastavljeni cilji v 2020 (2005)</w:t>
            </w:r>
          </w:p>
        </w:tc>
        <w:tc>
          <w:tcPr>
            <w:tcW w:w="1452" w:type="dxa"/>
            <w:shd w:val="clear" w:color="auto" w:fill="E7E6E6"/>
          </w:tcPr>
          <w:p w14:paraId="016E6FBB" w14:textId="77777777" w:rsidR="00E2320E" w:rsidRPr="00900F8E" w:rsidRDefault="00E2320E" w:rsidP="00640804">
            <w:pPr>
              <w:spacing w:after="0" w:line="240" w:lineRule="auto"/>
              <w:jc w:val="center"/>
              <w:rPr>
                <w:rFonts w:ascii="Arial" w:hAnsi="Arial" w:cs="Arial"/>
                <w:b/>
                <w:bCs/>
              </w:rPr>
            </w:pPr>
            <w:r w:rsidRPr="00900F8E">
              <w:rPr>
                <w:rFonts w:ascii="Arial" w:hAnsi="Arial" w:cs="Arial"/>
                <w:b/>
                <w:bCs/>
              </w:rPr>
              <w:t>Dosežena sprememba</w:t>
            </w:r>
          </w:p>
          <w:p w14:paraId="04C10FC9" w14:textId="6AD18B7B" w:rsidR="00E2320E" w:rsidRPr="00900F8E" w:rsidRDefault="00E2320E" w:rsidP="00640804">
            <w:pPr>
              <w:spacing w:after="0" w:line="240" w:lineRule="auto"/>
              <w:jc w:val="center"/>
              <w:rPr>
                <w:rFonts w:ascii="Arial" w:hAnsi="Arial" w:cs="Arial"/>
                <w:b/>
                <w:bCs/>
              </w:rPr>
            </w:pPr>
            <w:r w:rsidRPr="00900F8E">
              <w:rPr>
                <w:rFonts w:ascii="Arial" w:hAnsi="Arial" w:cs="Arial"/>
                <w:b/>
                <w:bCs/>
              </w:rPr>
              <w:t>2005</w:t>
            </w:r>
            <w:r w:rsidR="009B1AF1">
              <w:rPr>
                <w:rFonts w:ascii="Arial" w:hAnsi="Arial" w:cs="Arial"/>
                <w:b/>
                <w:bCs/>
              </w:rPr>
              <w:t>–</w:t>
            </w:r>
            <w:r w:rsidRPr="00900F8E">
              <w:rPr>
                <w:rFonts w:ascii="Arial" w:hAnsi="Arial" w:cs="Arial"/>
                <w:b/>
                <w:bCs/>
              </w:rPr>
              <w:t>2020</w:t>
            </w:r>
          </w:p>
        </w:tc>
        <w:tc>
          <w:tcPr>
            <w:tcW w:w="3119" w:type="dxa"/>
            <w:gridSpan w:val="2"/>
            <w:shd w:val="clear" w:color="auto" w:fill="E7E6E6"/>
          </w:tcPr>
          <w:p w14:paraId="7D8743FF" w14:textId="77777777" w:rsidR="00E2320E" w:rsidRPr="00900F8E" w:rsidRDefault="00E2320E" w:rsidP="00640804">
            <w:pPr>
              <w:spacing w:after="0" w:line="240" w:lineRule="auto"/>
              <w:jc w:val="center"/>
              <w:rPr>
                <w:rFonts w:ascii="Arial" w:hAnsi="Arial" w:cs="Arial"/>
                <w:b/>
                <w:bCs/>
              </w:rPr>
            </w:pPr>
          </w:p>
          <w:p w14:paraId="494878E4" w14:textId="77777777" w:rsidR="00E2320E" w:rsidRPr="00900F8E" w:rsidRDefault="00E2320E" w:rsidP="00640804">
            <w:pPr>
              <w:spacing w:after="0" w:line="240" w:lineRule="auto"/>
              <w:jc w:val="center"/>
              <w:rPr>
                <w:rFonts w:ascii="Arial" w:hAnsi="Arial" w:cs="Arial"/>
                <w:b/>
                <w:bCs/>
              </w:rPr>
            </w:pPr>
            <w:r w:rsidRPr="00900F8E">
              <w:rPr>
                <w:rFonts w:ascii="Arial" w:hAnsi="Arial" w:cs="Arial"/>
                <w:b/>
                <w:bCs/>
              </w:rPr>
              <w:t>Doseganje cilja v letu 2020</w:t>
            </w:r>
          </w:p>
        </w:tc>
      </w:tr>
      <w:tr w:rsidR="00E2320E" w:rsidRPr="00900F8E" w14:paraId="7E930D03" w14:textId="77777777" w:rsidTr="000D0CC3">
        <w:trPr>
          <w:jc w:val="center"/>
        </w:trPr>
        <w:tc>
          <w:tcPr>
            <w:tcW w:w="1985" w:type="dxa"/>
            <w:tcBorders>
              <w:top w:val="single" w:sz="4" w:space="0" w:color="auto"/>
            </w:tcBorders>
            <w:shd w:val="clear" w:color="auto" w:fill="E7E6E6"/>
          </w:tcPr>
          <w:p w14:paraId="0A288896" w14:textId="77777777" w:rsidR="00E2320E" w:rsidRPr="00900F8E" w:rsidRDefault="00E2320E" w:rsidP="00640804">
            <w:pPr>
              <w:spacing w:after="0" w:line="240" w:lineRule="auto"/>
              <w:jc w:val="both"/>
              <w:rPr>
                <w:rFonts w:ascii="Arial" w:hAnsi="Arial" w:cs="Arial"/>
                <w:b/>
                <w:bCs/>
              </w:rPr>
            </w:pPr>
            <w:r w:rsidRPr="00900F8E">
              <w:rPr>
                <w:rFonts w:ascii="Arial" w:hAnsi="Arial" w:cs="Arial"/>
                <w:b/>
                <w:bCs/>
              </w:rPr>
              <w:t>Promet</w:t>
            </w:r>
          </w:p>
        </w:tc>
        <w:tc>
          <w:tcPr>
            <w:tcW w:w="1549" w:type="dxa"/>
            <w:shd w:val="clear" w:color="auto" w:fill="auto"/>
          </w:tcPr>
          <w:p w14:paraId="500CA45A" w14:textId="77777777" w:rsidR="00E2320E" w:rsidRPr="00900F8E" w:rsidRDefault="00E2320E" w:rsidP="00640804">
            <w:pPr>
              <w:spacing w:after="0" w:line="240" w:lineRule="auto"/>
              <w:jc w:val="center"/>
              <w:rPr>
                <w:rFonts w:ascii="Arial" w:hAnsi="Arial" w:cs="Arial"/>
              </w:rPr>
            </w:pPr>
            <w:r w:rsidRPr="00900F8E">
              <w:rPr>
                <w:rFonts w:ascii="Arial" w:hAnsi="Arial" w:cs="Arial"/>
              </w:rPr>
              <w:t>+27 %</w:t>
            </w:r>
          </w:p>
        </w:tc>
        <w:tc>
          <w:tcPr>
            <w:tcW w:w="1452" w:type="dxa"/>
            <w:shd w:val="clear" w:color="auto" w:fill="auto"/>
          </w:tcPr>
          <w:p w14:paraId="100A03F0" w14:textId="77777777" w:rsidR="00E2320E" w:rsidRPr="00900F8E" w:rsidRDefault="00E2320E" w:rsidP="00640804">
            <w:pPr>
              <w:spacing w:after="0" w:line="240" w:lineRule="auto"/>
              <w:jc w:val="center"/>
              <w:rPr>
                <w:rFonts w:ascii="Arial" w:hAnsi="Arial" w:cs="Arial"/>
              </w:rPr>
            </w:pPr>
            <w:r w:rsidRPr="00900F8E">
              <w:rPr>
                <w:rFonts w:ascii="Arial" w:hAnsi="Arial" w:cs="Arial"/>
              </w:rPr>
              <w:t>+4,0 %</w:t>
            </w:r>
          </w:p>
        </w:tc>
        <w:tc>
          <w:tcPr>
            <w:tcW w:w="262" w:type="dxa"/>
            <w:shd w:val="clear" w:color="auto" w:fill="A8D08D"/>
          </w:tcPr>
          <w:p w14:paraId="6B45CF99" w14:textId="77777777" w:rsidR="00E2320E" w:rsidRPr="00900F8E" w:rsidRDefault="00E2320E" w:rsidP="00640804">
            <w:pPr>
              <w:spacing w:after="0" w:line="240" w:lineRule="auto"/>
              <w:jc w:val="both"/>
              <w:rPr>
                <w:rFonts w:ascii="Arial" w:hAnsi="Arial" w:cs="Arial"/>
              </w:rPr>
            </w:pPr>
          </w:p>
        </w:tc>
        <w:tc>
          <w:tcPr>
            <w:tcW w:w="2857" w:type="dxa"/>
            <w:shd w:val="clear" w:color="auto" w:fill="auto"/>
          </w:tcPr>
          <w:p w14:paraId="703A105F" w14:textId="77777777" w:rsidR="00E2320E" w:rsidRPr="00900F8E" w:rsidRDefault="00E2320E" w:rsidP="00640804">
            <w:pPr>
              <w:spacing w:after="0" w:line="240" w:lineRule="auto"/>
              <w:jc w:val="both"/>
              <w:rPr>
                <w:rFonts w:ascii="Arial" w:hAnsi="Arial" w:cs="Arial"/>
              </w:rPr>
            </w:pPr>
            <w:r w:rsidRPr="00900F8E">
              <w:rPr>
                <w:rFonts w:ascii="Arial" w:hAnsi="Arial" w:cs="Arial"/>
              </w:rPr>
              <w:t>Cilj je dosežen.</w:t>
            </w:r>
          </w:p>
        </w:tc>
      </w:tr>
      <w:tr w:rsidR="00E2320E" w:rsidRPr="00900F8E" w14:paraId="2CF11103" w14:textId="77777777" w:rsidTr="000D0CC3">
        <w:trPr>
          <w:jc w:val="center"/>
        </w:trPr>
        <w:tc>
          <w:tcPr>
            <w:tcW w:w="1985" w:type="dxa"/>
            <w:shd w:val="clear" w:color="auto" w:fill="E7E6E6"/>
          </w:tcPr>
          <w:p w14:paraId="6A6719B5" w14:textId="77777777" w:rsidR="00E2320E" w:rsidRPr="00900F8E" w:rsidRDefault="00E2320E" w:rsidP="00640804">
            <w:pPr>
              <w:spacing w:after="0" w:line="240" w:lineRule="auto"/>
              <w:jc w:val="both"/>
              <w:rPr>
                <w:rFonts w:ascii="Arial" w:hAnsi="Arial" w:cs="Arial"/>
                <w:b/>
                <w:bCs/>
              </w:rPr>
            </w:pPr>
            <w:r w:rsidRPr="00900F8E">
              <w:rPr>
                <w:rFonts w:ascii="Arial" w:hAnsi="Arial" w:cs="Arial"/>
                <w:b/>
                <w:bCs/>
              </w:rPr>
              <w:t>Kmetijstvo</w:t>
            </w:r>
          </w:p>
        </w:tc>
        <w:tc>
          <w:tcPr>
            <w:tcW w:w="1549" w:type="dxa"/>
            <w:shd w:val="clear" w:color="auto" w:fill="auto"/>
          </w:tcPr>
          <w:p w14:paraId="10522B12" w14:textId="77777777" w:rsidR="00E2320E" w:rsidRPr="00900F8E" w:rsidRDefault="00E2320E" w:rsidP="00640804">
            <w:pPr>
              <w:spacing w:after="0" w:line="240" w:lineRule="auto"/>
              <w:jc w:val="center"/>
              <w:rPr>
                <w:rFonts w:ascii="Arial" w:hAnsi="Arial" w:cs="Arial"/>
              </w:rPr>
            </w:pPr>
            <w:r w:rsidRPr="00900F8E">
              <w:rPr>
                <w:rFonts w:ascii="Arial" w:hAnsi="Arial" w:cs="Arial"/>
              </w:rPr>
              <w:t>+5 %</w:t>
            </w:r>
          </w:p>
        </w:tc>
        <w:tc>
          <w:tcPr>
            <w:tcW w:w="1452" w:type="dxa"/>
            <w:shd w:val="clear" w:color="auto" w:fill="auto"/>
          </w:tcPr>
          <w:p w14:paraId="3B4AFDBF" w14:textId="77777777" w:rsidR="00E2320E" w:rsidRPr="00900F8E" w:rsidRDefault="00E2320E" w:rsidP="00640804">
            <w:pPr>
              <w:spacing w:after="0" w:line="240" w:lineRule="auto"/>
              <w:jc w:val="center"/>
              <w:rPr>
                <w:rFonts w:ascii="Arial" w:hAnsi="Arial" w:cs="Arial"/>
              </w:rPr>
            </w:pPr>
            <w:r w:rsidRPr="00900F8E">
              <w:rPr>
                <w:rFonts w:ascii="Arial" w:hAnsi="Arial" w:cs="Arial"/>
              </w:rPr>
              <w:t>+0,4 %</w:t>
            </w:r>
          </w:p>
        </w:tc>
        <w:tc>
          <w:tcPr>
            <w:tcW w:w="262" w:type="dxa"/>
            <w:shd w:val="clear" w:color="auto" w:fill="A8D08D"/>
          </w:tcPr>
          <w:p w14:paraId="46F568AB" w14:textId="77777777" w:rsidR="00E2320E" w:rsidRPr="00900F8E" w:rsidRDefault="00E2320E" w:rsidP="00640804">
            <w:pPr>
              <w:spacing w:after="0" w:line="240" w:lineRule="auto"/>
              <w:jc w:val="both"/>
              <w:rPr>
                <w:rFonts w:ascii="Arial" w:hAnsi="Arial" w:cs="Arial"/>
              </w:rPr>
            </w:pPr>
          </w:p>
        </w:tc>
        <w:tc>
          <w:tcPr>
            <w:tcW w:w="2857" w:type="dxa"/>
            <w:shd w:val="clear" w:color="auto" w:fill="auto"/>
          </w:tcPr>
          <w:p w14:paraId="4FBD519F" w14:textId="77777777" w:rsidR="00E2320E" w:rsidRPr="00900F8E" w:rsidRDefault="00E2320E" w:rsidP="00640804">
            <w:pPr>
              <w:spacing w:after="0" w:line="240" w:lineRule="auto"/>
              <w:jc w:val="both"/>
              <w:rPr>
                <w:rFonts w:ascii="Arial" w:hAnsi="Arial" w:cs="Arial"/>
              </w:rPr>
            </w:pPr>
            <w:r w:rsidRPr="00900F8E">
              <w:rPr>
                <w:rFonts w:ascii="Arial" w:hAnsi="Arial" w:cs="Arial"/>
              </w:rPr>
              <w:t>Cilj je dosežen.</w:t>
            </w:r>
          </w:p>
        </w:tc>
      </w:tr>
      <w:tr w:rsidR="00E2320E" w:rsidRPr="00900F8E" w14:paraId="749DAD83" w14:textId="77777777" w:rsidTr="000D0CC3">
        <w:trPr>
          <w:jc w:val="center"/>
        </w:trPr>
        <w:tc>
          <w:tcPr>
            <w:tcW w:w="1985" w:type="dxa"/>
            <w:shd w:val="clear" w:color="auto" w:fill="E7E6E6"/>
          </w:tcPr>
          <w:p w14:paraId="3726682C" w14:textId="77777777" w:rsidR="00E2320E" w:rsidRPr="00900F8E" w:rsidRDefault="00E2320E" w:rsidP="00640804">
            <w:pPr>
              <w:spacing w:after="0" w:line="240" w:lineRule="auto"/>
              <w:jc w:val="both"/>
              <w:rPr>
                <w:rFonts w:ascii="Arial" w:hAnsi="Arial" w:cs="Arial"/>
                <w:b/>
                <w:bCs/>
              </w:rPr>
            </w:pPr>
            <w:r w:rsidRPr="00900F8E">
              <w:rPr>
                <w:rFonts w:ascii="Arial" w:hAnsi="Arial" w:cs="Arial"/>
                <w:b/>
                <w:bCs/>
              </w:rPr>
              <w:t>Široka raba</w:t>
            </w:r>
          </w:p>
        </w:tc>
        <w:tc>
          <w:tcPr>
            <w:tcW w:w="1549" w:type="dxa"/>
            <w:shd w:val="clear" w:color="auto" w:fill="auto"/>
          </w:tcPr>
          <w:p w14:paraId="57772FC8" w14:textId="03E0D670" w:rsidR="00E2320E" w:rsidRPr="00900F8E" w:rsidRDefault="009B1AF1" w:rsidP="00640804">
            <w:pPr>
              <w:spacing w:after="0" w:line="240" w:lineRule="auto"/>
              <w:jc w:val="center"/>
              <w:rPr>
                <w:rFonts w:ascii="Arial" w:hAnsi="Arial" w:cs="Arial"/>
              </w:rPr>
            </w:pPr>
            <w:r>
              <w:rPr>
                <w:rFonts w:ascii="Arial" w:hAnsi="Arial" w:cs="Arial"/>
              </w:rPr>
              <w:t>–</w:t>
            </w:r>
            <w:r w:rsidR="00E2320E" w:rsidRPr="00900F8E">
              <w:rPr>
                <w:rFonts w:ascii="Arial" w:hAnsi="Arial" w:cs="Arial"/>
              </w:rPr>
              <w:t>53 %</w:t>
            </w:r>
          </w:p>
        </w:tc>
        <w:tc>
          <w:tcPr>
            <w:tcW w:w="1452" w:type="dxa"/>
            <w:shd w:val="clear" w:color="auto" w:fill="auto"/>
          </w:tcPr>
          <w:p w14:paraId="1270F6A8" w14:textId="638F37C4" w:rsidR="00E2320E" w:rsidRPr="00900F8E" w:rsidRDefault="000852F0" w:rsidP="00640804">
            <w:pPr>
              <w:spacing w:after="0" w:line="240" w:lineRule="auto"/>
              <w:jc w:val="center"/>
              <w:rPr>
                <w:rFonts w:ascii="Arial" w:hAnsi="Arial" w:cs="Arial"/>
              </w:rPr>
            </w:pPr>
            <w:r>
              <w:rPr>
                <w:rFonts w:ascii="Arial" w:hAnsi="Arial" w:cs="Arial"/>
              </w:rPr>
              <w:t>–</w:t>
            </w:r>
            <w:r w:rsidR="00E2320E" w:rsidRPr="00900F8E">
              <w:rPr>
                <w:rFonts w:ascii="Arial" w:hAnsi="Arial" w:cs="Arial"/>
              </w:rPr>
              <w:t>50,3 %</w:t>
            </w:r>
          </w:p>
        </w:tc>
        <w:tc>
          <w:tcPr>
            <w:tcW w:w="262" w:type="dxa"/>
            <w:shd w:val="clear" w:color="auto" w:fill="D68E88"/>
          </w:tcPr>
          <w:p w14:paraId="12B34D32" w14:textId="77777777" w:rsidR="00E2320E" w:rsidRPr="00900F8E" w:rsidRDefault="00E2320E" w:rsidP="00640804">
            <w:pPr>
              <w:spacing w:after="0" w:line="240" w:lineRule="auto"/>
              <w:jc w:val="both"/>
              <w:rPr>
                <w:rFonts w:ascii="Arial" w:hAnsi="Arial" w:cs="Arial"/>
              </w:rPr>
            </w:pPr>
          </w:p>
        </w:tc>
        <w:tc>
          <w:tcPr>
            <w:tcW w:w="2857" w:type="dxa"/>
            <w:shd w:val="clear" w:color="auto" w:fill="auto"/>
          </w:tcPr>
          <w:p w14:paraId="03A5398E" w14:textId="77777777" w:rsidR="00E2320E" w:rsidRPr="00900F8E" w:rsidRDefault="00E2320E" w:rsidP="00640804">
            <w:pPr>
              <w:spacing w:after="0" w:line="240" w:lineRule="auto"/>
              <w:jc w:val="both"/>
              <w:rPr>
                <w:rFonts w:ascii="Arial" w:hAnsi="Arial" w:cs="Arial"/>
              </w:rPr>
            </w:pPr>
            <w:r w:rsidRPr="00900F8E">
              <w:rPr>
                <w:rFonts w:ascii="Arial" w:hAnsi="Arial" w:cs="Arial"/>
              </w:rPr>
              <w:t xml:space="preserve">Cilj ni dosežen. </w:t>
            </w:r>
          </w:p>
        </w:tc>
      </w:tr>
      <w:tr w:rsidR="00E2320E" w:rsidRPr="00900F8E" w14:paraId="0DD4B48F" w14:textId="77777777" w:rsidTr="000D0CC3">
        <w:trPr>
          <w:jc w:val="center"/>
        </w:trPr>
        <w:tc>
          <w:tcPr>
            <w:tcW w:w="1985" w:type="dxa"/>
            <w:shd w:val="clear" w:color="auto" w:fill="E7E6E6"/>
          </w:tcPr>
          <w:p w14:paraId="60166BE1" w14:textId="085B3312" w:rsidR="00E2320E" w:rsidRPr="00900F8E" w:rsidRDefault="0077147B" w:rsidP="0077147B">
            <w:pPr>
              <w:spacing w:after="0" w:line="240" w:lineRule="auto"/>
              <w:jc w:val="both"/>
              <w:rPr>
                <w:rFonts w:ascii="Arial" w:hAnsi="Arial" w:cs="Arial"/>
                <w:b/>
                <w:bCs/>
              </w:rPr>
            </w:pPr>
            <w:r>
              <w:rPr>
                <w:rFonts w:ascii="Arial" w:hAnsi="Arial" w:cs="Arial"/>
                <w:b/>
                <w:bCs/>
              </w:rPr>
              <w:t xml:space="preserve">Industrija </w:t>
            </w:r>
            <w:r w:rsidR="00920F43" w:rsidRPr="00900F8E">
              <w:rPr>
                <w:rFonts w:ascii="Arial" w:hAnsi="Arial" w:cs="Arial"/>
                <w:b/>
                <w:bCs/>
              </w:rPr>
              <w:t>NeETS</w:t>
            </w:r>
            <w:r w:rsidR="00E2320E" w:rsidRPr="00900F8E">
              <w:rPr>
                <w:rFonts w:ascii="Arial" w:hAnsi="Arial" w:cs="Arial"/>
                <w:b/>
                <w:bCs/>
              </w:rPr>
              <w:t xml:space="preserve"> </w:t>
            </w:r>
          </w:p>
        </w:tc>
        <w:tc>
          <w:tcPr>
            <w:tcW w:w="1549" w:type="dxa"/>
            <w:shd w:val="clear" w:color="auto" w:fill="auto"/>
          </w:tcPr>
          <w:p w14:paraId="57358927" w14:textId="2DC2FD5A" w:rsidR="00E2320E" w:rsidRPr="00900F8E" w:rsidRDefault="009B1AF1" w:rsidP="00640804">
            <w:pPr>
              <w:spacing w:after="0" w:line="240" w:lineRule="auto"/>
              <w:jc w:val="center"/>
              <w:rPr>
                <w:rFonts w:ascii="Arial" w:hAnsi="Arial" w:cs="Arial"/>
              </w:rPr>
            </w:pPr>
            <w:r>
              <w:rPr>
                <w:rFonts w:ascii="Arial" w:hAnsi="Arial" w:cs="Arial"/>
              </w:rPr>
              <w:t>–</w:t>
            </w:r>
            <w:r w:rsidR="00E2320E" w:rsidRPr="00900F8E">
              <w:rPr>
                <w:rFonts w:ascii="Arial" w:hAnsi="Arial" w:cs="Arial"/>
              </w:rPr>
              <w:t>42 %</w:t>
            </w:r>
          </w:p>
        </w:tc>
        <w:tc>
          <w:tcPr>
            <w:tcW w:w="1452" w:type="dxa"/>
            <w:shd w:val="clear" w:color="auto" w:fill="auto"/>
          </w:tcPr>
          <w:p w14:paraId="3BDB8505" w14:textId="2C7E27EF" w:rsidR="00E2320E" w:rsidRPr="00900F8E" w:rsidRDefault="000852F0" w:rsidP="00640804">
            <w:pPr>
              <w:spacing w:after="0" w:line="240" w:lineRule="auto"/>
              <w:jc w:val="center"/>
              <w:rPr>
                <w:rFonts w:ascii="Arial" w:hAnsi="Arial" w:cs="Arial"/>
              </w:rPr>
            </w:pPr>
            <w:r>
              <w:rPr>
                <w:rFonts w:ascii="Arial" w:hAnsi="Arial" w:cs="Arial"/>
              </w:rPr>
              <w:t>–</w:t>
            </w:r>
            <w:r w:rsidR="00E2320E" w:rsidRPr="00900F8E">
              <w:rPr>
                <w:rFonts w:ascii="Arial" w:hAnsi="Arial" w:cs="Arial"/>
              </w:rPr>
              <w:t>22,2 %</w:t>
            </w:r>
          </w:p>
        </w:tc>
        <w:tc>
          <w:tcPr>
            <w:tcW w:w="262" w:type="dxa"/>
            <w:shd w:val="clear" w:color="auto" w:fill="D68E88"/>
          </w:tcPr>
          <w:p w14:paraId="6F8AE136" w14:textId="77777777" w:rsidR="00E2320E" w:rsidRPr="00900F8E" w:rsidRDefault="00E2320E" w:rsidP="00640804">
            <w:pPr>
              <w:spacing w:after="0" w:line="240" w:lineRule="auto"/>
              <w:jc w:val="both"/>
              <w:rPr>
                <w:rFonts w:ascii="Arial" w:hAnsi="Arial" w:cs="Arial"/>
              </w:rPr>
            </w:pPr>
          </w:p>
        </w:tc>
        <w:tc>
          <w:tcPr>
            <w:tcW w:w="2857" w:type="dxa"/>
            <w:shd w:val="clear" w:color="auto" w:fill="auto"/>
          </w:tcPr>
          <w:p w14:paraId="3DEED100" w14:textId="77777777" w:rsidR="00E2320E" w:rsidRPr="00900F8E" w:rsidRDefault="00E2320E" w:rsidP="00640804">
            <w:pPr>
              <w:spacing w:after="0" w:line="240" w:lineRule="auto"/>
              <w:jc w:val="both"/>
              <w:rPr>
                <w:rFonts w:ascii="Arial" w:hAnsi="Arial" w:cs="Arial"/>
              </w:rPr>
            </w:pPr>
            <w:r w:rsidRPr="00900F8E">
              <w:rPr>
                <w:rFonts w:ascii="Arial" w:hAnsi="Arial" w:cs="Arial"/>
              </w:rPr>
              <w:t xml:space="preserve">Cilj ni dosežen. </w:t>
            </w:r>
          </w:p>
        </w:tc>
      </w:tr>
      <w:tr w:rsidR="00E2320E" w:rsidRPr="00900F8E" w14:paraId="3914FD8E" w14:textId="77777777" w:rsidTr="000D0CC3">
        <w:trPr>
          <w:jc w:val="center"/>
        </w:trPr>
        <w:tc>
          <w:tcPr>
            <w:tcW w:w="1985" w:type="dxa"/>
            <w:shd w:val="clear" w:color="auto" w:fill="E7E6E6"/>
          </w:tcPr>
          <w:p w14:paraId="341F9755" w14:textId="7ECEC52D" w:rsidR="00E2320E" w:rsidRPr="00900F8E" w:rsidRDefault="0077147B" w:rsidP="0077147B">
            <w:pPr>
              <w:spacing w:after="0" w:line="240" w:lineRule="auto"/>
              <w:jc w:val="both"/>
              <w:rPr>
                <w:rFonts w:ascii="Arial" w:hAnsi="Arial" w:cs="Arial"/>
                <w:b/>
                <w:bCs/>
              </w:rPr>
            </w:pPr>
            <w:r>
              <w:rPr>
                <w:rFonts w:ascii="Arial" w:hAnsi="Arial" w:cs="Arial"/>
                <w:b/>
                <w:bCs/>
              </w:rPr>
              <w:t xml:space="preserve">Energetika </w:t>
            </w:r>
            <w:r w:rsidR="00920F43" w:rsidRPr="00900F8E">
              <w:rPr>
                <w:rFonts w:ascii="Arial" w:hAnsi="Arial" w:cs="Arial"/>
                <w:b/>
                <w:bCs/>
              </w:rPr>
              <w:t>NeETS</w:t>
            </w:r>
            <w:r w:rsidR="00E2320E" w:rsidRPr="00900F8E">
              <w:rPr>
                <w:rFonts w:ascii="Arial" w:hAnsi="Arial" w:cs="Arial"/>
                <w:b/>
                <w:bCs/>
              </w:rPr>
              <w:t xml:space="preserve"> </w:t>
            </w:r>
          </w:p>
        </w:tc>
        <w:tc>
          <w:tcPr>
            <w:tcW w:w="1549" w:type="dxa"/>
            <w:shd w:val="clear" w:color="auto" w:fill="auto"/>
          </w:tcPr>
          <w:p w14:paraId="3AFD795C" w14:textId="77777777" w:rsidR="00E2320E" w:rsidRPr="00900F8E" w:rsidRDefault="00E2320E" w:rsidP="00640804">
            <w:pPr>
              <w:spacing w:after="0" w:line="240" w:lineRule="auto"/>
              <w:jc w:val="center"/>
              <w:rPr>
                <w:rFonts w:ascii="Arial" w:hAnsi="Arial" w:cs="Arial"/>
              </w:rPr>
            </w:pPr>
            <w:r w:rsidRPr="00900F8E">
              <w:rPr>
                <w:rFonts w:ascii="Arial" w:hAnsi="Arial" w:cs="Arial"/>
              </w:rPr>
              <w:t>+6 %</w:t>
            </w:r>
          </w:p>
        </w:tc>
        <w:tc>
          <w:tcPr>
            <w:tcW w:w="1452" w:type="dxa"/>
            <w:shd w:val="clear" w:color="auto" w:fill="auto"/>
          </w:tcPr>
          <w:p w14:paraId="2925A453" w14:textId="5D6F48E1" w:rsidR="00E2320E" w:rsidRPr="00900F8E" w:rsidRDefault="009B1AF1" w:rsidP="00640804">
            <w:pPr>
              <w:spacing w:after="0" w:line="240" w:lineRule="auto"/>
              <w:jc w:val="center"/>
              <w:rPr>
                <w:rFonts w:ascii="Arial" w:hAnsi="Arial" w:cs="Arial"/>
              </w:rPr>
            </w:pPr>
            <w:r>
              <w:rPr>
                <w:rFonts w:ascii="Arial" w:hAnsi="Arial" w:cs="Arial"/>
              </w:rPr>
              <w:t>–</w:t>
            </w:r>
            <w:r w:rsidR="00E2320E" w:rsidRPr="00900F8E">
              <w:rPr>
                <w:rFonts w:ascii="Arial" w:hAnsi="Arial" w:cs="Arial"/>
              </w:rPr>
              <w:t>14,7 %</w:t>
            </w:r>
          </w:p>
        </w:tc>
        <w:tc>
          <w:tcPr>
            <w:tcW w:w="262" w:type="dxa"/>
            <w:shd w:val="clear" w:color="auto" w:fill="A8D08D"/>
          </w:tcPr>
          <w:p w14:paraId="241DDF31" w14:textId="77777777" w:rsidR="00E2320E" w:rsidRPr="00900F8E" w:rsidRDefault="00E2320E" w:rsidP="00640804">
            <w:pPr>
              <w:spacing w:after="0" w:line="240" w:lineRule="auto"/>
              <w:jc w:val="both"/>
              <w:rPr>
                <w:rFonts w:ascii="Arial" w:hAnsi="Arial" w:cs="Arial"/>
              </w:rPr>
            </w:pPr>
          </w:p>
        </w:tc>
        <w:tc>
          <w:tcPr>
            <w:tcW w:w="2857" w:type="dxa"/>
            <w:shd w:val="clear" w:color="auto" w:fill="auto"/>
          </w:tcPr>
          <w:p w14:paraId="290828E1" w14:textId="77777777" w:rsidR="00E2320E" w:rsidRPr="00900F8E" w:rsidRDefault="00E2320E" w:rsidP="00640804">
            <w:pPr>
              <w:spacing w:after="0" w:line="240" w:lineRule="auto"/>
              <w:jc w:val="both"/>
              <w:rPr>
                <w:rFonts w:ascii="Arial" w:hAnsi="Arial" w:cs="Arial"/>
              </w:rPr>
            </w:pPr>
            <w:r w:rsidRPr="00900F8E">
              <w:rPr>
                <w:rFonts w:ascii="Arial" w:hAnsi="Arial" w:cs="Arial"/>
              </w:rPr>
              <w:t>Cilj je dosežen.</w:t>
            </w:r>
          </w:p>
        </w:tc>
      </w:tr>
      <w:tr w:rsidR="00E2320E" w:rsidRPr="00900F8E" w14:paraId="508A5E22" w14:textId="77777777" w:rsidTr="000D0CC3">
        <w:trPr>
          <w:jc w:val="center"/>
        </w:trPr>
        <w:tc>
          <w:tcPr>
            <w:tcW w:w="1985" w:type="dxa"/>
            <w:shd w:val="clear" w:color="auto" w:fill="E7E6E6"/>
          </w:tcPr>
          <w:p w14:paraId="755004CD" w14:textId="77777777" w:rsidR="00E2320E" w:rsidRPr="00900F8E" w:rsidRDefault="00E2320E" w:rsidP="00640804">
            <w:pPr>
              <w:spacing w:after="0" w:line="240" w:lineRule="auto"/>
              <w:jc w:val="both"/>
              <w:rPr>
                <w:rFonts w:ascii="Arial" w:hAnsi="Arial" w:cs="Arial"/>
                <w:b/>
                <w:bCs/>
              </w:rPr>
            </w:pPr>
            <w:r w:rsidRPr="00900F8E">
              <w:rPr>
                <w:rFonts w:ascii="Arial" w:hAnsi="Arial" w:cs="Arial"/>
                <w:b/>
                <w:bCs/>
              </w:rPr>
              <w:t>Odpadki</w:t>
            </w:r>
          </w:p>
        </w:tc>
        <w:tc>
          <w:tcPr>
            <w:tcW w:w="1549" w:type="dxa"/>
            <w:shd w:val="clear" w:color="auto" w:fill="auto"/>
          </w:tcPr>
          <w:p w14:paraId="19D532F9" w14:textId="114BD18F" w:rsidR="00E2320E" w:rsidRPr="00900F8E" w:rsidRDefault="009B1AF1" w:rsidP="00640804">
            <w:pPr>
              <w:spacing w:after="0" w:line="240" w:lineRule="auto"/>
              <w:jc w:val="center"/>
              <w:rPr>
                <w:rFonts w:ascii="Arial" w:hAnsi="Arial" w:cs="Arial"/>
              </w:rPr>
            </w:pPr>
            <w:r>
              <w:rPr>
                <w:rFonts w:ascii="Arial" w:hAnsi="Arial" w:cs="Arial"/>
              </w:rPr>
              <w:t>–</w:t>
            </w:r>
            <w:r w:rsidR="00E2320E" w:rsidRPr="00900F8E">
              <w:rPr>
                <w:rFonts w:ascii="Arial" w:hAnsi="Arial" w:cs="Arial"/>
              </w:rPr>
              <w:t>44 %</w:t>
            </w:r>
          </w:p>
        </w:tc>
        <w:tc>
          <w:tcPr>
            <w:tcW w:w="1452" w:type="dxa"/>
            <w:shd w:val="clear" w:color="auto" w:fill="auto"/>
          </w:tcPr>
          <w:p w14:paraId="23112FBC" w14:textId="24B30B0E" w:rsidR="00E2320E" w:rsidRPr="00900F8E" w:rsidRDefault="009B1AF1" w:rsidP="00640804">
            <w:pPr>
              <w:spacing w:after="0" w:line="240" w:lineRule="auto"/>
              <w:jc w:val="center"/>
              <w:rPr>
                <w:rFonts w:ascii="Arial" w:hAnsi="Arial" w:cs="Arial"/>
              </w:rPr>
            </w:pPr>
            <w:r>
              <w:rPr>
                <w:rFonts w:ascii="Arial" w:hAnsi="Arial" w:cs="Arial"/>
              </w:rPr>
              <w:t>–</w:t>
            </w:r>
            <w:r w:rsidR="00E2320E" w:rsidRPr="00900F8E">
              <w:rPr>
                <w:rFonts w:ascii="Arial" w:hAnsi="Arial" w:cs="Arial"/>
              </w:rPr>
              <w:t>45,9 %</w:t>
            </w:r>
          </w:p>
        </w:tc>
        <w:tc>
          <w:tcPr>
            <w:tcW w:w="262" w:type="dxa"/>
            <w:shd w:val="clear" w:color="auto" w:fill="A8D08D"/>
          </w:tcPr>
          <w:p w14:paraId="6560F864" w14:textId="77777777" w:rsidR="00E2320E" w:rsidRPr="00900F8E" w:rsidRDefault="00E2320E" w:rsidP="00640804">
            <w:pPr>
              <w:spacing w:after="0" w:line="240" w:lineRule="auto"/>
              <w:jc w:val="both"/>
              <w:rPr>
                <w:rFonts w:ascii="Arial" w:hAnsi="Arial" w:cs="Arial"/>
              </w:rPr>
            </w:pPr>
          </w:p>
        </w:tc>
        <w:tc>
          <w:tcPr>
            <w:tcW w:w="2857" w:type="dxa"/>
            <w:shd w:val="clear" w:color="auto" w:fill="auto"/>
          </w:tcPr>
          <w:p w14:paraId="5425FDE7" w14:textId="77777777" w:rsidR="00E2320E" w:rsidRPr="00900F8E" w:rsidRDefault="00E2320E" w:rsidP="00640804">
            <w:pPr>
              <w:spacing w:after="0" w:line="240" w:lineRule="auto"/>
              <w:jc w:val="both"/>
              <w:rPr>
                <w:rFonts w:ascii="Arial" w:hAnsi="Arial" w:cs="Arial"/>
              </w:rPr>
            </w:pPr>
            <w:r w:rsidRPr="00900F8E">
              <w:rPr>
                <w:rFonts w:ascii="Arial" w:hAnsi="Arial" w:cs="Arial"/>
              </w:rPr>
              <w:t>Cilj je dosežen.</w:t>
            </w:r>
          </w:p>
        </w:tc>
      </w:tr>
      <w:tr w:rsidR="00E2320E" w:rsidRPr="00900F8E" w14:paraId="00E7D5CA" w14:textId="77777777" w:rsidTr="000D0CC3">
        <w:trPr>
          <w:jc w:val="center"/>
        </w:trPr>
        <w:tc>
          <w:tcPr>
            <w:tcW w:w="1985" w:type="dxa"/>
            <w:shd w:val="clear" w:color="auto" w:fill="E7E6E6"/>
          </w:tcPr>
          <w:p w14:paraId="674A28AC" w14:textId="77777777" w:rsidR="00E2320E" w:rsidRPr="00900F8E" w:rsidRDefault="00E2320E" w:rsidP="00640804">
            <w:pPr>
              <w:spacing w:after="0" w:line="240" w:lineRule="auto"/>
              <w:jc w:val="both"/>
              <w:rPr>
                <w:rFonts w:ascii="Arial" w:hAnsi="Arial" w:cs="Arial"/>
                <w:b/>
                <w:bCs/>
              </w:rPr>
            </w:pPr>
            <w:r w:rsidRPr="00900F8E">
              <w:rPr>
                <w:rFonts w:ascii="Arial" w:hAnsi="Arial" w:cs="Arial"/>
                <w:b/>
                <w:bCs/>
              </w:rPr>
              <w:t>SKUPAJ</w:t>
            </w:r>
          </w:p>
        </w:tc>
        <w:tc>
          <w:tcPr>
            <w:tcW w:w="1549" w:type="dxa"/>
            <w:shd w:val="clear" w:color="auto" w:fill="E7E6E6"/>
          </w:tcPr>
          <w:p w14:paraId="23074506" w14:textId="77777777" w:rsidR="00E2320E" w:rsidRPr="00900F8E" w:rsidRDefault="00E2320E" w:rsidP="00640804">
            <w:pPr>
              <w:spacing w:after="0" w:line="240" w:lineRule="auto"/>
              <w:jc w:val="center"/>
              <w:rPr>
                <w:rFonts w:ascii="Arial" w:hAnsi="Arial" w:cs="Arial"/>
                <w:b/>
                <w:bCs/>
              </w:rPr>
            </w:pPr>
            <w:r w:rsidRPr="00900F8E">
              <w:rPr>
                <w:rFonts w:ascii="Arial" w:hAnsi="Arial" w:cs="Arial"/>
                <w:b/>
                <w:bCs/>
              </w:rPr>
              <w:t>+4 %</w:t>
            </w:r>
          </w:p>
        </w:tc>
        <w:tc>
          <w:tcPr>
            <w:tcW w:w="1452" w:type="dxa"/>
            <w:shd w:val="clear" w:color="auto" w:fill="E7E6E6"/>
          </w:tcPr>
          <w:p w14:paraId="68EFB84A" w14:textId="03BBE318" w:rsidR="00E2320E" w:rsidRPr="00900F8E" w:rsidRDefault="009B1AF1" w:rsidP="00640804">
            <w:pPr>
              <w:spacing w:after="0" w:line="240" w:lineRule="auto"/>
              <w:jc w:val="center"/>
              <w:rPr>
                <w:rFonts w:ascii="Arial" w:hAnsi="Arial" w:cs="Arial"/>
                <w:b/>
                <w:bCs/>
              </w:rPr>
            </w:pPr>
            <w:r>
              <w:rPr>
                <w:rFonts w:ascii="Arial" w:hAnsi="Arial" w:cs="Arial"/>
                <w:b/>
                <w:bCs/>
              </w:rPr>
              <w:t>–</w:t>
            </w:r>
            <w:r w:rsidR="00E2320E" w:rsidRPr="00900F8E">
              <w:rPr>
                <w:rFonts w:ascii="Arial" w:hAnsi="Arial" w:cs="Arial"/>
                <w:b/>
                <w:bCs/>
              </w:rPr>
              <w:t>16,7 %</w:t>
            </w:r>
          </w:p>
        </w:tc>
        <w:tc>
          <w:tcPr>
            <w:tcW w:w="262" w:type="dxa"/>
            <w:shd w:val="clear" w:color="auto" w:fill="A8D08D"/>
          </w:tcPr>
          <w:p w14:paraId="4F7DE92A" w14:textId="77777777" w:rsidR="00E2320E" w:rsidRPr="00900F8E" w:rsidRDefault="00E2320E" w:rsidP="00640804">
            <w:pPr>
              <w:spacing w:after="0" w:line="240" w:lineRule="auto"/>
              <w:jc w:val="both"/>
              <w:rPr>
                <w:rFonts w:ascii="Arial" w:hAnsi="Arial" w:cs="Arial"/>
                <w:b/>
                <w:bCs/>
              </w:rPr>
            </w:pPr>
          </w:p>
        </w:tc>
        <w:tc>
          <w:tcPr>
            <w:tcW w:w="2857" w:type="dxa"/>
            <w:shd w:val="clear" w:color="auto" w:fill="E7E6E6"/>
          </w:tcPr>
          <w:p w14:paraId="2C66DAE2" w14:textId="77777777" w:rsidR="00E2320E" w:rsidRPr="00900F8E" w:rsidRDefault="00E2320E" w:rsidP="00640804">
            <w:pPr>
              <w:spacing w:after="0" w:line="240" w:lineRule="auto"/>
              <w:jc w:val="both"/>
              <w:rPr>
                <w:rFonts w:ascii="Arial" w:hAnsi="Arial" w:cs="Arial"/>
                <w:b/>
                <w:bCs/>
              </w:rPr>
            </w:pPr>
            <w:r w:rsidRPr="00900F8E">
              <w:rPr>
                <w:rFonts w:ascii="Arial" w:hAnsi="Arial" w:cs="Arial"/>
                <w:b/>
                <w:bCs/>
              </w:rPr>
              <w:t xml:space="preserve">Cilj je uspešno dosežen. </w:t>
            </w:r>
          </w:p>
        </w:tc>
      </w:tr>
    </w:tbl>
    <w:p w14:paraId="59015703" w14:textId="77777777" w:rsidR="00E2320E" w:rsidRPr="00900F8E" w:rsidRDefault="00E2320E" w:rsidP="00E2320E">
      <w:pPr>
        <w:spacing w:after="0" w:line="240" w:lineRule="auto"/>
        <w:jc w:val="both"/>
        <w:rPr>
          <w:rFonts w:ascii="Arial" w:hAnsi="Arial" w:cs="Arial"/>
        </w:rPr>
      </w:pPr>
    </w:p>
    <w:p w14:paraId="717B0632" w14:textId="77777777" w:rsidR="00BA25BC" w:rsidRPr="00900F8E" w:rsidRDefault="00BA25BC" w:rsidP="006357FE">
      <w:pPr>
        <w:spacing w:after="0" w:line="240" w:lineRule="auto"/>
        <w:jc w:val="both"/>
        <w:rPr>
          <w:rFonts w:ascii="Arial" w:hAnsi="Arial" w:cs="Arial"/>
        </w:rPr>
      </w:pPr>
    </w:p>
    <w:p w14:paraId="48F3A2E1" w14:textId="17D299CF" w:rsidR="00E2320E" w:rsidRPr="00900F8E" w:rsidRDefault="00F37DBD" w:rsidP="008B355C">
      <w:pPr>
        <w:spacing w:after="0" w:line="240" w:lineRule="auto"/>
        <w:jc w:val="both"/>
        <w:rPr>
          <w:rFonts w:ascii="Arial" w:hAnsi="Arial" w:cs="Arial"/>
        </w:rPr>
      </w:pPr>
      <w:r w:rsidRPr="00900F8E">
        <w:rPr>
          <w:rFonts w:ascii="Arial" w:hAnsi="Arial" w:cs="Arial"/>
        </w:rPr>
        <w:t xml:space="preserve">V sektorju </w:t>
      </w:r>
      <w:r w:rsidRPr="00900F8E">
        <w:rPr>
          <w:rFonts w:ascii="Arial" w:hAnsi="Arial" w:cs="Arial"/>
          <w:b/>
          <w:bCs/>
        </w:rPr>
        <w:t>prometa</w:t>
      </w:r>
      <w:r w:rsidRPr="00900F8E">
        <w:rPr>
          <w:rFonts w:ascii="Arial" w:hAnsi="Arial" w:cs="Arial"/>
        </w:rPr>
        <w:t xml:space="preserve"> so se emisije </w:t>
      </w:r>
      <w:r w:rsidR="00F54B07" w:rsidRPr="00900F8E">
        <w:rPr>
          <w:rFonts w:ascii="Arial" w:hAnsi="Arial" w:cs="Arial"/>
        </w:rPr>
        <w:t xml:space="preserve">v omenjenem obdobju </w:t>
      </w:r>
      <w:r w:rsidRPr="00900F8E">
        <w:rPr>
          <w:rFonts w:ascii="Arial" w:hAnsi="Arial" w:cs="Arial"/>
        </w:rPr>
        <w:t xml:space="preserve">povečale za </w:t>
      </w:r>
      <w:r w:rsidR="009F58D2" w:rsidRPr="00900F8E">
        <w:rPr>
          <w:rFonts w:ascii="Arial" w:hAnsi="Arial" w:cs="Arial"/>
        </w:rPr>
        <w:t>4,0</w:t>
      </w:r>
      <w:r w:rsidRPr="00900F8E">
        <w:rPr>
          <w:rFonts w:ascii="Arial" w:hAnsi="Arial" w:cs="Arial"/>
        </w:rPr>
        <w:t xml:space="preserve"> %</w:t>
      </w:r>
      <w:r w:rsidR="009F58D2" w:rsidRPr="00900F8E">
        <w:rPr>
          <w:rFonts w:ascii="Arial" w:hAnsi="Arial" w:cs="Arial"/>
        </w:rPr>
        <w:t xml:space="preserve">. </w:t>
      </w:r>
      <w:r w:rsidRPr="00900F8E">
        <w:rPr>
          <w:rFonts w:ascii="Arial" w:hAnsi="Arial" w:cs="Arial"/>
        </w:rPr>
        <w:t xml:space="preserve">Zaradi </w:t>
      </w:r>
      <w:r w:rsidR="00F54B07" w:rsidRPr="00900F8E">
        <w:rPr>
          <w:rFonts w:ascii="Arial" w:hAnsi="Arial" w:cs="Arial"/>
        </w:rPr>
        <w:t>ukrepov ob</w:t>
      </w:r>
      <w:r w:rsidRPr="00900F8E">
        <w:rPr>
          <w:rFonts w:ascii="Arial" w:hAnsi="Arial" w:cs="Arial"/>
        </w:rPr>
        <w:t xml:space="preserve"> epidemij</w:t>
      </w:r>
      <w:r w:rsidR="00F54B07" w:rsidRPr="00900F8E">
        <w:rPr>
          <w:rFonts w:ascii="Arial" w:hAnsi="Arial" w:cs="Arial"/>
        </w:rPr>
        <w:t>i</w:t>
      </w:r>
      <w:r w:rsidRPr="00900F8E">
        <w:rPr>
          <w:rFonts w:ascii="Arial" w:hAnsi="Arial" w:cs="Arial"/>
        </w:rPr>
        <w:t xml:space="preserve"> covid</w:t>
      </w:r>
      <w:r w:rsidR="009B1AF1">
        <w:rPr>
          <w:rFonts w:ascii="Arial" w:hAnsi="Arial" w:cs="Arial"/>
        </w:rPr>
        <w:t>a</w:t>
      </w:r>
      <w:r w:rsidRPr="00900F8E">
        <w:rPr>
          <w:rFonts w:ascii="Arial" w:hAnsi="Arial" w:cs="Arial"/>
        </w:rPr>
        <w:t xml:space="preserve">-19 se je v letu 2020 </w:t>
      </w:r>
      <w:r w:rsidR="00F54B07" w:rsidRPr="00900F8E">
        <w:rPr>
          <w:rFonts w:ascii="Arial" w:hAnsi="Arial" w:cs="Arial"/>
        </w:rPr>
        <w:t>opazno zmanjšal promet</w:t>
      </w:r>
      <w:r w:rsidR="009F58D2" w:rsidRPr="00900F8E">
        <w:rPr>
          <w:rFonts w:ascii="Arial" w:hAnsi="Arial" w:cs="Arial"/>
        </w:rPr>
        <w:t>, kar</w:t>
      </w:r>
      <w:r w:rsidR="004D611A" w:rsidRPr="00900F8E">
        <w:rPr>
          <w:rFonts w:ascii="Arial" w:hAnsi="Arial" w:cs="Arial"/>
        </w:rPr>
        <w:t xml:space="preserve"> je</w:t>
      </w:r>
      <w:r w:rsidR="009F58D2" w:rsidRPr="00900F8E">
        <w:rPr>
          <w:rFonts w:ascii="Arial" w:hAnsi="Arial" w:cs="Arial"/>
        </w:rPr>
        <w:t xml:space="preserve"> vpliva</w:t>
      </w:r>
      <w:r w:rsidR="004D611A" w:rsidRPr="00900F8E">
        <w:rPr>
          <w:rFonts w:ascii="Arial" w:hAnsi="Arial" w:cs="Arial"/>
        </w:rPr>
        <w:t>lo</w:t>
      </w:r>
      <w:r w:rsidR="009F58D2" w:rsidRPr="00900F8E">
        <w:rPr>
          <w:rFonts w:ascii="Arial" w:hAnsi="Arial" w:cs="Arial"/>
        </w:rPr>
        <w:t xml:space="preserve"> na uspešno doseganje cilja. V obdobju 2005</w:t>
      </w:r>
      <w:r w:rsidR="009B1AF1">
        <w:rPr>
          <w:rFonts w:ascii="Arial" w:hAnsi="Arial" w:cs="Arial"/>
        </w:rPr>
        <w:t>–</w:t>
      </w:r>
      <w:r w:rsidR="009F58D2" w:rsidRPr="00900F8E">
        <w:rPr>
          <w:rFonts w:ascii="Arial" w:hAnsi="Arial" w:cs="Arial"/>
        </w:rPr>
        <w:t>2019 so se namreč emisije</w:t>
      </w:r>
      <w:r w:rsidR="00980A15" w:rsidRPr="00900F8E">
        <w:rPr>
          <w:rFonts w:ascii="Arial" w:hAnsi="Arial" w:cs="Arial"/>
        </w:rPr>
        <w:t xml:space="preserve"> TGP v prometu povečale za</w:t>
      </w:r>
      <w:r w:rsidR="004D611A" w:rsidRPr="00900F8E">
        <w:rPr>
          <w:rFonts w:ascii="Arial" w:hAnsi="Arial" w:cs="Arial"/>
        </w:rPr>
        <w:t xml:space="preserve"> skoraj</w:t>
      </w:r>
      <w:r w:rsidR="00980A15" w:rsidRPr="00900F8E">
        <w:rPr>
          <w:rFonts w:ascii="Arial" w:hAnsi="Arial" w:cs="Arial"/>
        </w:rPr>
        <w:t xml:space="preserve"> 2</w:t>
      </w:r>
      <w:r w:rsidR="004D611A" w:rsidRPr="00900F8E">
        <w:rPr>
          <w:rFonts w:ascii="Arial" w:hAnsi="Arial" w:cs="Arial"/>
        </w:rPr>
        <w:t>8</w:t>
      </w:r>
      <w:r w:rsidR="0077147B">
        <w:rPr>
          <w:rFonts w:ascii="Arial" w:hAnsi="Arial" w:cs="Arial"/>
        </w:rPr>
        <w:t> </w:t>
      </w:r>
      <w:r w:rsidR="00980A15" w:rsidRPr="00900F8E">
        <w:rPr>
          <w:rFonts w:ascii="Arial" w:hAnsi="Arial" w:cs="Arial"/>
        </w:rPr>
        <w:t>%.</w:t>
      </w:r>
      <w:r w:rsidR="009F58D2" w:rsidRPr="00900F8E">
        <w:rPr>
          <w:rFonts w:ascii="Arial" w:hAnsi="Arial" w:cs="Arial"/>
        </w:rPr>
        <w:t xml:space="preserve"> </w:t>
      </w:r>
      <w:r w:rsidR="00776E16" w:rsidRPr="00900F8E">
        <w:rPr>
          <w:rFonts w:ascii="Arial" w:hAnsi="Arial" w:cs="Arial"/>
        </w:rPr>
        <w:t>Kazalec emisije CO</w:t>
      </w:r>
      <w:r w:rsidR="00776E16" w:rsidRPr="00900F8E">
        <w:rPr>
          <w:rFonts w:ascii="Arial" w:hAnsi="Arial" w:cs="Arial"/>
          <w:vertAlign w:val="subscript"/>
        </w:rPr>
        <w:t>2</w:t>
      </w:r>
      <w:r w:rsidR="00776E16" w:rsidRPr="00900F8E">
        <w:rPr>
          <w:rFonts w:ascii="Arial" w:hAnsi="Arial" w:cs="Arial"/>
        </w:rPr>
        <w:t xml:space="preserve"> iz zgorevanja motornega bencina in dizelskega goriva za leto 2021 kaže, da so se emisije iz prodaje pogonskih goriv po 16-odstotnem zmanjšanju v letu 2020 povečale za 12</w:t>
      </w:r>
      <w:r w:rsidR="0077147B">
        <w:rPr>
          <w:rFonts w:ascii="Arial" w:hAnsi="Arial" w:cs="Arial"/>
        </w:rPr>
        <w:t> </w:t>
      </w:r>
      <w:r w:rsidR="00776E16" w:rsidRPr="00900F8E">
        <w:rPr>
          <w:rFonts w:ascii="Arial" w:hAnsi="Arial" w:cs="Arial"/>
        </w:rPr>
        <w:t xml:space="preserve">%. Brez okrepljenega izvajanja ukrepov se bo rast emisij TGP v prometu nadaljevala. </w:t>
      </w:r>
    </w:p>
    <w:p w14:paraId="1865C4B3" w14:textId="05636A27" w:rsidR="007322CF" w:rsidRPr="00900F8E" w:rsidRDefault="008145B4" w:rsidP="008B355C">
      <w:pPr>
        <w:spacing w:after="0" w:line="240" w:lineRule="auto"/>
        <w:jc w:val="both"/>
        <w:rPr>
          <w:rFonts w:ascii="Arial" w:hAnsi="Arial" w:cs="Arial"/>
        </w:rPr>
      </w:pPr>
      <w:r w:rsidRPr="00900F8E">
        <w:rPr>
          <w:rFonts w:ascii="Arial" w:hAnsi="Arial" w:cs="Arial"/>
        </w:rPr>
        <w:t xml:space="preserve">Emisije TGP v sektorju </w:t>
      </w:r>
      <w:r w:rsidRPr="00900F8E">
        <w:rPr>
          <w:rFonts w:ascii="Arial" w:hAnsi="Arial" w:cs="Arial"/>
          <w:b/>
          <w:bCs/>
        </w:rPr>
        <w:t>kmetijstva</w:t>
      </w:r>
      <w:r w:rsidRPr="00900F8E">
        <w:rPr>
          <w:rFonts w:ascii="Arial" w:hAnsi="Arial" w:cs="Arial"/>
        </w:rPr>
        <w:t xml:space="preserve"> so se v obdobju 2005</w:t>
      </w:r>
      <w:r w:rsidR="009B1AF1">
        <w:rPr>
          <w:rFonts w:ascii="Arial" w:hAnsi="Arial" w:cs="Arial"/>
        </w:rPr>
        <w:t>–</w:t>
      </w:r>
      <w:r w:rsidRPr="00900F8E">
        <w:rPr>
          <w:rFonts w:ascii="Arial" w:hAnsi="Arial" w:cs="Arial"/>
        </w:rPr>
        <w:t>20</w:t>
      </w:r>
      <w:r w:rsidR="00980A15" w:rsidRPr="00900F8E">
        <w:rPr>
          <w:rFonts w:ascii="Arial" w:hAnsi="Arial" w:cs="Arial"/>
        </w:rPr>
        <w:t>20</w:t>
      </w:r>
      <w:r w:rsidRPr="00900F8E">
        <w:rPr>
          <w:rFonts w:ascii="Arial" w:hAnsi="Arial" w:cs="Arial"/>
        </w:rPr>
        <w:t xml:space="preserve"> povečale za 0,</w:t>
      </w:r>
      <w:r w:rsidR="00980A15" w:rsidRPr="00900F8E">
        <w:rPr>
          <w:rFonts w:ascii="Arial" w:hAnsi="Arial" w:cs="Arial"/>
        </w:rPr>
        <w:t>4</w:t>
      </w:r>
      <w:r w:rsidRPr="00900F8E">
        <w:rPr>
          <w:rFonts w:ascii="Arial" w:hAnsi="Arial" w:cs="Arial"/>
        </w:rPr>
        <w:t xml:space="preserve"> %.</w:t>
      </w:r>
      <w:r w:rsidR="00980A15" w:rsidRPr="00900F8E">
        <w:rPr>
          <w:rFonts w:ascii="Arial" w:hAnsi="Arial" w:cs="Arial"/>
        </w:rPr>
        <w:t xml:space="preserve"> Cilj je uspešno dosežen.</w:t>
      </w:r>
      <w:r w:rsidRPr="00900F8E">
        <w:rPr>
          <w:rFonts w:ascii="Arial" w:hAnsi="Arial" w:cs="Arial"/>
        </w:rPr>
        <w:t xml:space="preserve"> </w:t>
      </w:r>
    </w:p>
    <w:p w14:paraId="63FB7BD2" w14:textId="77777777" w:rsidR="00BA25BC" w:rsidRPr="00900F8E" w:rsidRDefault="00BA25BC" w:rsidP="008B355C">
      <w:pPr>
        <w:spacing w:after="0" w:line="240" w:lineRule="auto"/>
        <w:jc w:val="both"/>
        <w:rPr>
          <w:rFonts w:ascii="Arial" w:hAnsi="Arial" w:cs="Arial"/>
        </w:rPr>
      </w:pPr>
    </w:p>
    <w:p w14:paraId="7667D30D" w14:textId="6DEDEE54" w:rsidR="00162A66" w:rsidRPr="00900F8E" w:rsidRDefault="008145B4" w:rsidP="008B355C">
      <w:pPr>
        <w:spacing w:after="0" w:line="240" w:lineRule="auto"/>
        <w:jc w:val="both"/>
        <w:rPr>
          <w:rFonts w:ascii="Arial" w:hAnsi="Arial" w:cs="Arial"/>
        </w:rPr>
      </w:pPr>
      <w:r w:rsidRPr="00900F8E">
        <w:rPr>
          <w:rFonts w:ascii="Arial" w:hAnsi="Arial" w:cs="Arial"/>
        </w:rPr>
        <w:t xml:space="preserve">V vseh </w:t>
      </w:r>
      <w:r w:rsidR="00614B55">
        <w:rPr>
          <w:rFonts w:ascii="Arial" w:hAnsi="Arial" w:cs="Arial"/>
        </w:rPr>
        <w:t>pre</w:t>
      </w:r>
      <w:r w:rsidRPr="00900F8E">
        <w:rPr>
          <w:rFonts w:ascii="Arial" w:hAnsi="Arial" w:cs="Arial"/>
        </w:rPr>
        <w:t xml:space="preserve">ostalih </w:t>
      </w:r>
      <w:r w:rsidR="00614B55">
        <w:rPr>
          <w:rFonts w:ascii="Arial" w:hAnsi="Arial" w:cs="Arial"/>
        </w:rPr>
        <w:t xml:space="preserve">sektorjih </w:t>
      </w:r>
      <w:r w:rsidR="00920F43" w:rsidRPr="00900F8E">
        <w:rPr>
          <w:rFonts w:ascii="Arial" w:hAnsi="Arial" w:cs="Arial"/>
        </w:rPr>
        <w:t>neETS</w:t>
      </w:r>
      <w:r w:rsidRPr="00900F8E">
        <w:rPr>
          <w:rFonts w:ascii="Arial" w:hAnsi="Arial" w:cs="Arial"/>
        </w:rPr>
        <w:t xml:space="preserve"> so se emisije v obdobju 2005</w:t>
      </w:r>
      <w:r w:rsidR="009B1AF1">
        <w:rPr>
          <w:rFonts w:ascii="Arial" w:hAnsi="Arial" w:cs="Arial"/>
        </w:rPr>
        <w:t>–</w:t>
      </w:r>
      <w:r w:rsidRPr="00900F8E">
        <w:rPr>
          <w:rFonts w:ascii="Arial" w:hAnsi="Arial" w:cs="Arial"/>
        </w:rPr>
        <w:t>20</w:t>
      </w:r>
      <w:r w:rsidR="00952D86" w:rsidRPr="00900F8E">
        <w:rPr>
          <w:rFonts w:ascii="Arial" w:hAnsi="Arial" w:cs="Arial"/>
        </w:rPr>
        <w:t>20</w:t>
      </w:r>
      <w:r w:rsidRPr="00900F8E">
        <w:rPr>
          <w:rFonts w:ascii="Arial" w:hAnsi="Arial" w:cs="Arial"/>
        </w:rPr>
        <w:t xml:space="preserve"> zmanjšale. Največ</w:t>
      </w:r>
      <w:r w:rsidR="00E67DD9" w:rsidRPr="00900F8E">
        <w:rPr>
          <w:rFonts w:ascii="Arial" w:hAnsi="Arial" w:cs="Arial"/>
        </w:rPr>
        <w:t xml:space="preserve">, </w:t>
      </w:r>
      <w:r w:rsidR="00614B55">
        <w:rPr>
          <w:rFonts w:ascii="Arial" w:hAnsi="Arial" w:cs="Arial"/>
        </w:rPr>
        <w:t xml:space="preserve">in sicer </w:t>
      </w:r>
      <w:r w:rsidR="00E67DD9" w:rsidRPr="00900F8E">
        <w:rPr>
          <w:rFonts w:ascii="Arial" w:hAnsi="Arial" w:cs="Arial"/>
        </w:rPr>
        <w:t>za polovico, so se zmanjšale</w:t>
      </w:r>
      <w:r w:rsidRPr="00900F8E">
        <w:rPr>
          <w:rFonts w:ascii="Arial" w:hAnsi="Arial" w:cs="Arial"/>
        </w:rPr>
        <w:t xml:space="preserve"> v sektorju </w:t>
      </w:r>
      <w:r w:rsidRPr="00900F8E">
        <w:rPr>
          <w:rFonts w:ascii="Arial" w:hAnsi="Arial" w:cs="Arial"/>
          <w:b/>
          <w:bCs/>
        </w:rPr>
        <w:t>široke rabe</w:t>
      </w:r>
      <w:r w:rsidR="006357FE" w:rsidRPr="00900F8E">
        <w:rPr>
          <w:rFonts w:ascii="Arial" w:hAnsi="Arial" w:cs="Arial"/>
        </w:rPr>
        <w:t>, ki mu z</w:t>
      </w:r>
      <w:r w:rsidR="00AB1EBD" w:rsidRPr="00900F8E">
        <w:rPr>
          <w:rFonts w:ascii="Arial" w:hAnsi="Arial" w:cs="Arial"/>
        </w:rPr>
        <w:t xml:space="preserve"> dobrimi 4</w:t>
      </w:r>
      <w:r w:rsidR="007322CF" w:rsidRPr="00900F8E">
        <w:rPr>
          <w:rFonts w:ascii="Arial" w:hAnsi="Arial" w:cs="Arial"/>
        </w:rPr>
        <w:t>6</w:t>
      </w:r>
      <w:r w:rsidR="00AB1EBD" w:rsidRPr="00900F8E">
        <w:rPr>
          <w:rFonts w:ascii="Arial" w:hAnsi="Arial" w:cs="Arial"/>
        </w:rPr>
        <w:t xml:space="preserve"> % sledi sektor ravnanja z </w:t>
      </w:r>
      <w:r w:rsidR="00AB1EBD" w:rsidRPr="00900F8E">
        <w:rPr>
          <w:rFonts w:ascii="Arial" w:hAnsi="Arial" w:cs="Arial"/>
          <w:b/>
          <w:bCs/>
        </w:rPr>
        <w:t>odpadki</w:t>
      </w:r>
      <w:r w:rsidR="000D447C">
        <w:rPr>
          <w:rFonts w:ascii="Arial" w:hAnsi="Arial" w:cs="Arial"/>
        </w:rPr>
        <w:t>,</w:t>
      </w:r>
      <w:r w:rsidR="006357FE" w:rsidRPr="00900F8E">
        <w:rPr>
          <w:rFonts w:ascii="Arial" w:hAnsi="Arial" w:cs="Arial"/>
        </w:rPr>
        <w:t xml:space="preserve"> z </w:t>
      </w:r>
      <w:r w:rsidR="007322CF" w:rsidRPr="00900F8E">
        <w:rPr>
          <w:rFonts w:ascii="Arial" w:hAnsi="Arial" w:cs="Arial"/>
        </w:rPr>
        <w:t xml:space="preserve">več kot </w:t>
      </w:r>
      <w:r w:rsidR="006357FE" w:rsidRPr="00900F8E">
        <w:rPr>
          <w:rFonts w:ascii="Arial" w:hAnsi="Arial" w:cs="Arial"/>
        </w:rPr>
        <w:t>2</w:t>
      </w:r>
      <w:r w:rsidR="007322CF" w:rsidRPr="00900F8E">
        <w:rPr>
          <w:rFonts w:ascii="Arial" w:hAnsi="Arial" w:cs="Arial"/>
        </w:rPr>
        <w:t>2</w:t>
      </w:r>
      <w:r w:rsidR="006357FE" w:rsidRPr="00900F8E">
        <w:rPr>
          <w:rFonts w:ascii="Arial" w:hAnsi="Arial" w:cs="Arial"/>
        </w:rPr>
        <w:t xml:space="preserve"> % sektor </w:t>
      </w:r>
      <w:r w:rsidR="00614B55" w:rsidRPr="00E615AF">
        <w:rPr>
          <w:rFonts w:ascii="Arial" w:hAnsi="Arial" w:cs="Arial"/>
          <w:b/>
        </w:rPr>
        <w:t>industrija</w:t>
      </w:r>
      <w:r w:rsidR="00614B55">
        <w:rPr>
          <w:rFonts w:ascii="Arial" w:hAnsi="Arial" w:cs="Arial"/>
        </w:rPr>
        <w:t xml:space="preserve"> </w:t>
      </w:r>
      <w:r w:rsidR="00920F43" w:rsidRPr="00900F8E">
        <w:rPr>
          <w:rFonts w:ascii="Arial" w:hAnsi="Arial" w:cs="Arial"/>
          <w:b/>
          <w:bCs/>
        </w:rPr>
        <w:t>neETS</w:t>
      </w:r>
      <w:r w:rsidR="006357FE" w:rsidRPr="00900F8E">
        <w:rPr>
          <w:rFonts w:ascii="Arial" w:hAnsi="Arial" w:cs="Arial"/>
          <w:b/>
          <w:bCs/>
        </w:rPr>
        <w:t xml:space="preserve"> </w:t>
      </w:r>
      <w:r w:rsidR="006357FE" w:rsidRPr="00900F8E">
        <w:rPr>
          <w:rFonts w:ascii="Arial" w:hAnsi="Arial" w:cs="Arial"/>
        </w:rPr>
        <w:t xml:space="preserve">in s skoraj 15 % </w:t>
      </w:r>
      <w:r w:rsidR="00AB1EBD" w:rsidRPr="00900F8E">
        <w:rPr>
          <w:rFonts w:ascii="Arial" w:hAnsi="Arial" w:cs="Arial"/>
        </w:rPr>
        <w:t xml:space="preserve">sektor </w:t>
      </w:r>
      <w:r w:rsidR="00614B55" w:rsidRPr="00900F8E">
        <w:rPr>
          <w:rFonts w:ascii="Arial" w:hAnsi="Arial" w:cs="Arial"/>
          <w:b/>
          <w:bCs/>
        </w:rPr>
        <w:t xml:space="preserve">energetika </w:t>
      </w:r>
      <w:r w:rsidR="00920F43" w:rsidRPr="00900F8E">
        <w:rPr>
          <w:rFonts w:ascii="Arial" w:hAnsi="Arial" w:cs="Arial"/>
          <w:b/>
          <w:bCs/>
        </w:rPr>
        <w:t>neETS</w:t>
      </w:r>
      <w:r w:rsidR="006357FE" w:rsidRPr="00900F8E">
        <w:rPr>
          <w:rFonts w:ascii="Arial" w:hAnsi="Arial" w:cs="Arial"/>
        </w:rPr>
        <w:t xml:space="preserve">. Sektorja </w:t>
      </w:r>
      <w:r w:rsidR="00614B55" w:rsidRPr="00900F8E">
        <w:rPr>
          <w:rFonts w:ascii="Arial" w:hAnsi="Arial" w:cs="Arial"/>
        </w:rPr>
        <w:t xml:space="preserve">industrija in široka raba </w:t>
      </w:r>
      <w:r w:rsidR="00920F43" w:rsidRPr="00900F8E">
        <w:rPr>
          <w:rFonts w:ascii="Arial" w:hAnsi="Arial" w:cs="Arial"/>
        </w:rPr>
        <w:t>neETS</w:t>
      </w:r>
      <w:r w:rsidR="006357FE" w:rsidRPr="00900F8E">
        <w:rPr>
          <w:rFonts w:ascii="Arial" w:hAnsi="Arial" w:cs="Arial"/>
        </w:rPr>
        <w:t xml:space="preserve"> zastavljenega indikativnega cilja nista dosegla.</w:t>
      </w:r>
      <w:r w:rsidR="00F91DB3" w:rsidRPr="00900F8E">
        <w:rPr>
          <w:rFonts w:ascii="Arial" w:hAnsi="Arial" w:cs="Arial"/>
        </w:rPr>
        <w:t xml:space="preserve"> </w:t>
      </w:r>
      <w:r w:rsidR="00304E9B" w:rsidRPr="00900F8E">
        <w:rPr>
          <w:rFonts w:ascii="Arial" w:hAnsi="Arial" w:cs="Arial"/>
        </w:rPr>
        <w:t>Razlog za nedoseganje cilja v</w:t>
      </w:r>
      <w:r w:rsidR="009B1B78" w:rsidRPr="00900F8E">
        <w:rPr>
          <w:rFonts w:ascii="Arial" w:hAnsi="Arial" w:cs="Arial"/>
        </w:rPr>
        <w:t xml:space="preserve"> sektorju </w:t>
      </w:r>
      <w:r w:rsidR="00614B55" w:rsidRPr="00900F8E">
        <w:rPr>
          <w:rFonts w:ascii="Arial" w:hAnsi="Arial" w:cs="Arial"/>
        </w:rPr>
        <w:t xml:space="preserve">industrija </w:t>
      </w:r>
      <w:r w:rsidR="00920F43" w:rsidRPr="00900F8E">
        <w:rPr>
          <w:rFonts w:ascii="Arial" w:hAnsi="Arial" w:cs="Arial"/>
        </w:rPr>
        <w:t>neETS</w:t>
      </w:r>
      <w:r w:rsidR="009B1B78" w:rsidRPr="00900F8E">
        <w:rPr>
          <w:rFonts w:ascii="Arial" w:hAnsi="Arial" w:cs="Arial"/>
        </w:rPr>
        <w:t xml:space="preserve"> </w:t>
      </w:r>
      <w:r w:rsidR="00304E9B" w:rsidRPr="00900F8E">
        <w:rPr>
          <w:rFonts w:ascii="Arial" w:hAnsi="Arial" w:cs="Arial"/>
        </w:rPr>
        <w:t xml:space="preserve">je prepočasno izvajanje ukrepov </w:t>
      </w:r>
      <w:r w:rsidR="00614B55">
        <w:rPr>
          <w:rFonts w:ascii="Arial" w:hAnsi="Arial" w:cs="Arial"/>
        </w:rPr>
        <w:t>in</w:t>
      </w:r>
      <w:r w:rsidR="00614B55" w:rsidRPr="00900F8E">
        <w:rPr>
          <w:rFonts w:ascii="Arial" w:hAnsi="Arial" w:cs="Arial"/>
        </w:rPr>
        <w:t xml:space="preserve"> </w:t>
      </w:r>
      <w:r w:rsidR="00D00F74" w:rsidRPr="00900F8E">
        <w:rPr>
          <w:rFonts w:ascii="Arial" w:hAnsi="Arial" w:cs="Arial"/>
        </w:rPr>
        <w:t xml:space="preserve">delež </w:t>
      </w:r>
      <w:r w:rsidR="00652B58" w:rsidRPr="00900F8E">
        <w:rPr>
          <w:rFonts w:ascii="Arial" w:hAnsi="Arial" w:cs="Arial"/>
        </w:rPr>
        <w:t xml:space="preserve">obnovljivih virov energije (v </w:t>
      </w:r>
      <w:r w:rsidR="00930529">
        <w:rPr>
          <w:rFonts w:ascii="Arial" w:hAnsi="Arial" w:cs="Arial"/>
        </w:rPr>
        <w:t>nadaljnjem besedilu</w:t>
      </w:r>
      <w:r w:rsidR="00652B58" w:rsidRPr="00900F8E">
        <w:rPr>
          <w:rFonts w:ascii="Arial" w:hAnsi="Arial" w:cs="Arial"/>
        </w:rPr>
        <w:t xml:space="preserve">: </w:t>
      </w:r>
      <w:r w:rsidR="00D00F74" w:rsidRPr="00900F8E">
        <w:rPr>
          <w:rFonts w:ascii="Arial" w:hAnsi="Arial" w:cs="Arial"/>
        </w:rPr>
        <w:t>OVE</w:t>
      </w:r>
      <w:r w:rsidR="00652B58" w:rsidRPr="00900F8E">
        <w:rPr>
          <w:rFonts w:ascii="Arial" w:hAnsi="Arial" w:cs="Arial"/>
        </w:rPr>
        <w:t>)</w:t>
      </w:r>
      <w:r w:rsidR="00D00F74" w:rsidRPr="00900F8E">
        <w:rPr>
          <w:rFonts w:ascii="Arial" w:hAnsi="Arial" w:cs="Arial"/>
        </w:rPr>
        <w:t xml:space="preserve"> v rabi goriv</w:t>
      </w:r>
      <w:r w:rsidR="00304E9B" w:rsidRPr="00900F8E">
        <w:rPr>
          <w:rFonts w:ascii="Arial" w:hAnsi="Arial" w:cs="Arial"/>
        </w:rPr>
        <w:t>, ki</w:t>
      </w:r>
      <w:r w:rsidR="00D00F74" w:rsidRPr="00900F8E">
        <w:rPr>
          <w:rFonts w:ascii="Arial" w:hAnsi="Arial" w:cs="Arial"/>
        </w:rPr>
        <w:t xml:space="preserve"> ni </w:t>
      </w:r>
      <w:r w:rsidR="00317DD7" w:rsidRPr="00900F8E">
        <w:rPr>
          <w:rFonts w:ascii="Arial" w:hAnsi="Arial" w:cs="Arial"/>
        </w:rPr>
        <w:t xml:space="preserve">dosegel zastavljenega indikativnega cilja. Pomemben dejavnik višjih emisij TGP je </w:t>
      </w:r>
      <w:r w:rsidR="00FD24F6" w:rsidRPr="00900F8E">
        <w:rPr>
          <w:rFonts w:ascii="Arial" w:hAnsi="Arial" w:cs="Arial"/>
        </w:rPr>
        <w:t xml:space="preserve">tudi </w:t>
      </w:r>
      <w:r w:rsidR="00317DD7" w:rsidRPr="00900F8E">
        <w:rPr>
          <w:rFonts w:ascii="Arial" w:hAnsi="Arial" w:cs="Arial"/>
        </w:rPr>
        <w:t>višja gospodarska rast</w:t>
      </w:r>
      <w:r w:rsidR="006400AC" w:rsidRPr="00900F8E">
        <w:rPr>
          <w:rFonts w:ascii="Arial" w:hAnsi="Arial" w:cs="Arial"/>
        </w:rPr>
        <w:t>,</w:t>
      </w:r>
      <w:r w:rsidR="00317DD7" w:rsidRPr="00900F8E">
        <w:rPr>
          <w:rFonts w:ascii="Arial" w:hAnsi="Arial" w:cs="Arial"/>
        </w:rPr>
        <w:t xml:space="preserve"> kot je bila predvidena v </w:t>
      </w:r>
      <w:r w:rsidR="00614B55">
        <w:rPr>
          <w:rFonts w:ascii="Arial" w:hAnsi="Arial" w:cs="Arial"/>
        </w:rPr>
        <w:t>napovedih</w:t>
      </w:r>
      <w:r w:rsidR="006400AC" w:rsidRPr="00900F8E">
        <w:rPr>
          <w:rFonts w:ascii="Arial" w:hAnsi="Arial" w:cs="Arial"/>
        </w:rPr>
        <w:t>. P</w:t>
      </w:r>
      <w:r w:rsidR="00317DD7" w:rsidRPr="00900F8E">
        <w:rPr>
          <w:rFonts w:ascii="Arial" w:hAnsi="Arial" w:cs="Arial"/>
        </w:rPr>
        <w:t xml:space="preserve">rav tako so bile v času priprave </w:t>
      </w:r>
      <w:r w:rsidR="00614B55">
        <w:rPr>
          <w:rFonts w:ascii="Arial" w:hAnsi="Arial" w:cs="Arial"/>
        </w:rPr>
        <w:t>napovedi</w:t>
      </w:r>
      <w:r w:rsidR="00614B55" w:rsidRPr="00900F8E">
        <w:rPr>
          <w:rFonts w:ascii="Arial" w:hAnsi="Arial" w:cs="Arial"/>
        </w:rPr>
        <w:t xml:space="preserve"> </w:t>
      </w:r>
      <w:r w:rsidR="00317DD7" w:rsidRPr="00900F8E">
        <w:rPr>
          <w:rFonts w:ascii="Arial" w:hAnsi="Arial" w:cs="Arial"/>
        </w:rPr>
        <w:t>emisije F-plinov podcenjene, kar sicer pomeni, da preseganje cilja ne nakazuje neizvajanja ukrepov na tem področju.</w:t>
      </w:r>
      <w:r w:rsidR="00FD24F6" w:rsidRPr="00900F8E">
        <w:rPr>
          <w:rFonts w:ascii="Arial" w:hAnsi="Arial" w:cs="Arial"/>
        </w:rPr>
        <w:t xml:space="preserve"> </w:t>
      </w:r>
      <w:r w:rsidR="00C54A87" w:rsidRPr="00900F8E">
        <w:rPr>
          <w:rFonts w:ascii="Arial" w:hAnsi="Arial" w:cs="Arial"/>
        </w:rPr>
        <w:t>V sektorju široka raba so v letu 2020 11,3</w:t>
      </w:r>
      <w:r w:rsidR="00614B55">
        <w:rPr>
          <w:rFonts w:ascii="Arial" w:hAnsi="Arial" w:cs="Arial"/>
        </w:rPr>
        <w:t> </w:t>
      </w:r>
      <w:r w:rsidR="00C54A87" w:rsidRPr="00900F8E">
        <w:rPr>
          <w:rFonts w:ascii="Arial" w:hAnsi="Arial" w:cs="Arial"/>
        </w:rPr>
        <w:t xml:space="preserve">% emisij TGP prispevale stavbe. Večina emisij </w:t>
      </w:r>
      <w:r w:rsidR="00E31933" w:rsidRPr="00900F8E">
        <w:rPr>
          <w:rFonts w:ascii="Arial" w:hAnsi="Arial" w:cs="Arial"/>
        </w:rPr>
        <w:t xml:space="preserve">TGP </w:t>
      </w:r>
      <w:r w:rsidR="00C54A87" w:rsidRPr="00900F8E">
        <w:rPr>
          <w:rFonts w:ascii="Arial" w:hAnsi="Arial" w:cs="Arial"/>
        </w:rPr>
        <w:t>v stavbah je posledica rabe goriv za ogrevanje stavb</w:t>
      </w:r>
      <w:r w:rsidR="00E31933" w:rsidRPr="00900F8E">
        <w:rPr>
          <w:rFonts w:ascii="Arial" w:hAnsi="Arial" w:cs="Arial"/>
        </w:rPr>
        <w:t xml:space="preserve">, ki se viša z nižanjem temperature zraka. </w:t>
      </w:r>
      <w:r w:rsidR="007A73EB" w:rsidRPr="00900F8E">
        <w:rPr>
          <w:rFonts w:ascii="Arial" w:hAnsi="Arial" w:cs="Arial"/>
        </w:rPr>
        <w:t>V letih 2015 in 2016 so se v stavbah emisije TGP povečale za skupaj 15,6 %, v letih 2017 in 2018 zmanjšale, v letih 2019 in 2020 pa so ostale skoraj nespremenjene v primerjavi z letom 2018.</w:t>
      </w:r>
    </w:p>
    <w:p w14:paraId="225E2014" w14:textId="77777777" w:rsidR="00162A66" w:rsidRPr="00900F8E" w:rsidRDefault="00162A66" w:rsidP="008B355C">
      <w:pPr>
        <w:spacing w:after="0" w:line="240" w:lineRule="auto"/>
        <w:jc w:val="both"/>
        <w:rPr>
          <w:rFonts w:ascii="Arial" w:hAnsi="Arial" w:cs="Arial"/>
        </w:rPr>
      </w:pPr>
    </w:p>
    <w:p w14:paraId="5AA8D8C6" w14:textId="72B532B9" w:rsidR="00BA25BC" w:rsidRPr="00900F8E" w:rsidRDefault="00BA25BC" w:rsidP="00BA25BC">
      <w:pPr>
        <w:spacing w:after="0" w:line="240" w:lineRule="auto"/>
        <w:jc w:val="both"/>
        <w:rPr>
          <w:rFonts w:ascii="Arial" w:hAnsi="Arial" w:cs="Arial"/>
        </w:rPr>
      </w:pPr>
      <w:r w:rsidRPr="00900F8E">
        <w:rPr>
          <w:rFonts w:ascii="Arial" w:hAnsi="Arial" w:cs="Arial"/>
        </w:rPr>
        <w:t xml:space="preserve">V letih 2019 in 2020 je sektor raba zemljišč, sprememba rabe zemljišč in gozdarstvo (v </w:t>
      </w:r>
      <w:r w:rsidR="00930529">
        <w:rPr>
          <w:rFonts w:ascii="Arial" w:hAnsi="Arial" w:cs="Arial"/>
        </w:rPr>
        <w:t>nadaljnjem besedilu</w:t>
      </w:r>
      <w:r w:rsidRPr="00900F8E">
        <w:rPr>
          <w:rFonts w:ascii="Arial" w:hAnsi="Arial" w:cs="Arial"/>
        </w:rPr>
        <w:t xml:space="preserve">: </w:t>
      </w:r>
      <w:r w:rsidR="00614B55" w:rsidRPr="00E615AF">
        <w:rPr>
          <w:rFonts w:ascii="Arial" w:hAnsi="Arial" w:cs="Arial"/>
          <w:b/>
        </w:rPr>
        <w:t>sektor</w:t>
      </w:r>
      <w:r w:rsidR="00614B55">
        <w:rPr>
          <w:rFonts w:ascii="Arial" w:hAnsi="Arial" w:cs="Arial"/>
        </w:rPr>
        <w:t xml:space="preserve"> </w:t>
      </w:r>
      <w:r w:rsidRPr="00900F8E">
        <w:rPr>
          <w:rFonts w:ascii="Arial" w:hAnsi="Arial" w:cs="Arial"/>
          <w:b/>
          <w:bCs/>
        </w:rPr>
        <w:t>LULUCF</w:t>
      </w:r>
      <w:r w:rsidRPr="00900F8E">
        <w:rPr>
          <w:rFonts w:ascii="Arial" w:hAnsi="Arial" w:cs="Arial"/>
        </w:rPr>
        <w:t xml:space="preserve">) predstavljal neto ponor v višini </w:t>
      </w:r>
      <w:r w:rsidR="000852F0">
        <w:rPr>
          <w:rFonts w:ascii="Arial" w:hAnsi="Arial" w:cs="Arial"/>
        </w:rPr>
        <w:t>–</w:t>
      </w:r>
      <w:r w:rsidRPr="00900F8E">
        <w:rPr>
          <w:rFonts w:ascii="Arial" w:hAnsi="Arial" w:cs="Arial"/>
        </w:rPr>
        <w:t>4888 kt</w:t>
      </w:r>
      <w:r w:rsidR="00F15480" w:rsidRPr="00900F8E">
        <w:rPr>
          <w:rFonts w:ascii="Arial" w:hAnsi="Arial" w:cs="Arial"/>
        </w:rPr>
        <w:t xml:space="preserve"> ekv. CO</w:t>
      </w:r>
      <w:r w:rsidR="00F15480" w:rsidRPr="00900F8E">
        <w:rPr>
          <w:rFonts w:ascii="Arial" w:hAnsi="Arial" w:cs="Arial"/>
          <w:vertAlign w:val="subscript"/>
        </w:rPr>
        <w:t>2</w:t>
      </w:r>
      <w:r w:rsidRPr="00900F8E">
        <w:rPr>
          <w:rFonts w:ascii="Arial" w:hAnsi="Arial" w:cs="Arial"/>
        </w:rPr>
        <w:t xml:space="preserve"> in</w:t>
      </w:r>
      <w:r w:rsidR="00837CCD">
        <w:rPr>
          <w:rFonts w:ascii="Arial" w:hAnsi="Arial" w:cs="Arial"/>
        </w:rPr>
        <w:t> </w:t>
      </w:r>
      <w:r w:rsidR="000852F0">
        <w:rPr>
          <w:rFonts w:ascii="Arial" w:hAnsi="Arial" w:cs="Arial"/>
        </w:rPr>
        <w:t>–</w:t>
      </w:r>
      <w:r w:rsidRPr="00900F8E">
        <w:rPr>
          <w:rFonts w:ascii="Arial" w:hAnsi="Arial" w:cs="Arial"/>
        </w:rPr>
        <w:t>4736</w:t>
      </w:r>
      <w:r w:rsidR="00837CCD">
        <w:rPr>
          <w:rFonts w:ascii="Arial" w:hAnsi="Arial" w:cs="Arial"/>
        </w:rPr>
        <w:t> </w:t>
      </w:r>
      <w:r w:rsidRPr="00900F8E">
        <w:rPr>
          <w:rFonts w:ascii="Arial" w:hAnsi="Arial" w:cs="Arial"/>
        </w:rPr>
        <w:t>kt</w:t>
      </w:r>
      <w:r w:rsidR="00F15480" w:rsidRPr="00900F8E">
        <w:rPr>
          <w:rFonts w:ascii="Arial" w:hAnsi="Arial" w:cs="Arial"/>
        </w:rPr>
        <w:t xml:space="preserve"> ekv. CO</w:t>
      </w:r>
      <w:r w:rsidR="00F15480" w:rsidRPr="00900F8E">
        <w:rPr>
          <w:rFonts w:ascii="Arial" w:hAnsi="Arial" w:cs="Arial"/>
          <w:vertAlign w:val="subscript"/>
        </w:rPr>
        <w:t>2</w:t>
      </w:r>
      <w:r w:rsidRPr="00900F8E">
        <w:rPr>
          <w:rFonts w:ascii="Arial" w:hAnsi="Arial" w:cs="Arial"/>
        </w:rPr>
        <w:t>. Z več kot 90 % so največ ponora prispevala gozdna zemljišča, sledili so travinje in pridobljeni lesni proizvodi. Odločba 406/2009/ES LULUCF sektorja sicer ne vključuje.</w:t>
      </w:r>
    </w:p>
    <w:p w14:paraId="1A87BF03" w14:textId="5B780C4B" w:rsidR="005B2B57" w:rsidRPr="00900F8E" w:rsidRDefault="00AB1EBD" w:rsidP="008B355C">
      <w:pPr>
        <w:spacing w:after="0" w:line="240" w:lineRule="auto"/>
        <w:jc w:val="both"/>
        <w:rPr>
          <w:rFonts w:ascii="Arial" w:hAnsi="Arial" w:cs="Arial"/>
          <w:b/>
          <w:bCs/>
          <w:sz w:val="20"/>
          <w:szCs w:val="20"/>
        </w:rPr>
      </w:pPr>
      <w:r w:rsidRPr="00900F8E">
        <w:rPr>
          <w:rFonts w:ascii="Arial" w:hAnsi="Arial" w:cs="Arial"/>
        </w:rPr>
        <w:t xml:space="preserve">  </w:t>
      </w:r>
    </w:p>
    <w:p w14:paraId="3D319EC3" w14:textId="33A47CF3" w:rsidR="00176271" w:rsidRPr="00900F8E" w:rsidRDefault="00176271" w:rsidP="00B44300">
      <w:pPr>
        <w:spacing w:after="0" w:line="240" w:lineRule="auto"/>
        <w:jc w:val="both"/>
        <w:rPr>
          <w:rFonts w:ascii="Arial" w:hAnsi="Arial" w:cs="Arial"/>
        </w:rPr>
      </w:pPr>
    </w:p>
    <w:p w14:paraId="5FC36531" w14:textId="5906C012" w:rsidR="00790AA5" w:rsidRDefault="004E0086" w:rsidP="00790AA5">
      <w:pPr>
        <w:keepNext/>
        <w:spacing w:after="0" w:line="240" w:lineRule="auto"/>
        <w:jc w:val="center"/>
      </w:pPr>
      <w:r w:rsidRPr="00900F8E">
        <w:rPr>
          <w:rFonts w:ascii="Arial" w:hAnsi="Arial" w:cs="Arial"/>
          <w:noProof/>
          <w:lang w:eastAsia="sl-SI"/>
        </w:rPr>
        <w:lastRenderedPageBreak/>
        <w:drawing>
          <wp:inline distT="0" distB="0" distL="0" distR="0" wp14:anchorId="0A429347" wp14:editId="1E335026">
            <wp:extent cx="4675517" cy="3432189"/>
            <wp:effectExtent l="0" t="0" r="1905" b="3175"/>
            <wp:docPr id="4" name="Slika 4" descr="Gibanje emisij ne-ETS po sektorjih v obdobju 2005−2020 v primerjavi s projekcijami za leto 2020 in linearno potjo do ciljev v obdobju 2012−2020 (črtkane črte) (Vir: IJS-C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ibanje emisij ne-ETS po sektorjih v obdobju 2005−2020 v primerjavi s projekcijami za leto 2020 in linearno potjo do ciljev v obdobju 2012−2020 (črtkane črte) (Vir: IJS-CEU)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5517" cy="3432189"/>
                    </a:xfrm>
                    <a:prstGeom prst="rect">
                      <a:avLst/>
                    </a:prstGeom>
                    <a:noFill/>
                  </pic:spPr>
                </pic:pic>
              </a:graphicData>
            </a:graphic>
          </wp:inline>
        </w:drawing>
      </w:r>
    </w:p>
    <w:p w14:paraId="73035E95" w14:textId="77777777" w:rsidR="00790AA5" w:rsidRDefault="00790AA5" w:rsidP="00790AA5">
      <w:pPr>
        <w:keepNext/>
        <w:spacing w:after="0" w:line="240" w:lineRule="auto"/>
        <w:jc w:val="center"/>
      </w:pPr>
    </w:p>
    <w:p w14:paraId="55D57670" w14:textId="5A2F65CC" w:rsidR="00F844A5" w:rsidRPr="00790AA5" w:rsidRDefault="00790AA5" w:rsidP="00790AA5">
      <w:pPr>
        <w:pStyle w:val="Napis"/>
        <w:jc w:val="center"/>
        <w:rPr>
          <w:rFonts w:ascii="Arial" w:hAnsi="Arial" w:cs="Arial"/>
          <w:b/>
          <w:bCs/>
          <w:i w:val="0"/>
          <w:iCs w:val="0"/>
          <w:color w:val="auto"/>
          <w:sz w:val="20"/>
          <w:szCs w:val="20"/>
        </w:rPr>
      </w:pPr>
      <w:bookmarkStart w:id="11" w:name="_Toc112840954"/>
      <w:r w:rsidRPr="00790AA5">
        <w:rPr>
          <w:rFonts w:ascii="Arial" w:hAnsi="Arial" w:cs="Arial"/>
          <w:b/>
          <w:bCs/>
          <w:i w:val="0"/>
          <w:iCs w:val="0"/>
          <w:color w:val="auto"/>
          <w:sz w:val="20"/>
          <w:szCs w:val="20"/>
        </w:rPr>
        <w:t xml:space="preserve">Slika </w:t>
      </w:r>
      <w:r w:rsidRPr="00790AA5">
        <w:rPr>
          <w:rFonts w:ascii="Arial" w:hAnsi="Arial" w:cs="Arial"/>
          <w:b/>
          <w:bCs/>
          <w:i w:val="0"/>
          <w:iCs w:val="0"/>
          <w:color w:val="auto"/>
          <w:sz w:val="20"/>
          <w:szCs w:val="20"/>
        </w:rPr>
        <w:fldChar w:fldCharType="begin"/>
      </w:r>
      <w:r w:rsidRPr="00790AA5">
        <w:rPr>
          <w:rFonts w:ascii="Arial" w:hAnsi="Arial" w:cs="Arial"/>
          <w:b/>
          <w:bCs/>
          <w:i w:val="0"/>
          <w:iCs w:val="0"/>
          <w:color w:val="auto"/>
          <w:sz w:val="20"/>
          <w:szCs w:val="20"/>
        </w:rPr>
        <w:instrText xml:space="preserve"> SEQ Slika \* ARABIC </w:instrText>
      </w:r>
      <w:r w:rsidRPr="00790AA5">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5</w:t>
      </w:r>
      <w:r w:rsidRPr="00790AA5">
        <w:rPr>
          <w:rFonts w:ascii="Arial" w:hAnsi="Arial" w:cs="Arial"/>
          <w:b/>
          <w:bCs/>
          <w:i w:val="0"/>
          <w:iCs w:val="0"/>
          <w:color w:val="auto"/>
          <w:sz w:val="20"/>
          <w:szCs w:val="20"/>
        </w:rPr>
        <w:fldChar w:fldCharType="end"/>
      </w:r>
      <w:r w:rsidRPr="00790AA5">
        <w:rPr>
          <w:rFonts w:ascii="Arial" w:hAnsi="Arial" w:cs="Arial"/>
          <w:b/>
          <w:bCs/>
          <w:i w:val="0"/>
          <w:iCs w:val="0"/>
          <w:color w:val="auto"/>
          <w:sz w:val="20"/>
          <w:szCs w:val="20"/>
        </w:rPr>
        <w:t>: Gibanje emisij neETS po sektorjih v obdobju 2005−2020 v primerjavi s projekcijami za leto 2020 in linearno potjo do ciljev v obdobju 2012−2020 (črtkane črte) (Vir: IJS-CEU)</w:t>
      </w:r>
      <w:bookmarkEnd w:id="11"/>
    </w:p>
    <w:p w14:paraId="52582521" w14:textId="77777777" w:rsidR="005A1C50" w:rsidRPr="00900F8E" w:rsidRDefault="005A1C50" w:rsidP="009D2CA4">
      <w:pPr>
        <w:spacing w:after="0" w:line="240" w:lineRule="auto"/>
        <w:jc w:val="center"/>
        <w:rPr>
          <w:rFonts w:ascii="Arial" w:hAnsi="Arial" w:cs="Arial"/>
        </w:rPr>
      </w:pPr>
    </w:p>
    <w:p w14:paraId="7C167799" w14:textId="229FE13E" w:rsidR="000A4838" w:rsidRPr="00900F8E" w:rsidRDefault="00136BA3" w:rsidP="00375984">
      <w:pPr>
        <w:pStyle w:val="Naslov1"/>
        <w:spacing w:before="9720"/>
        <w:rPr>
          <w:rFonts w:ascii="Arial" w:hAnsi="Arial" w:cs="Arial"/>
          <w:color w:val="auto"/>
        </w:rPr>
      </w:pPr>
      <w:bookmarkStart w:id="12" w:name="_Toc120166928"/>
      <w:r w:rsidRPr="00900F8E">
        <w:rPr>
          <w:rFonts w:ascii="Arial" w:hAnsi="Arial" w:cs="Arial"/>
          <w:color w:val="auto"/>
        </w:rPr>
        <w:lastRenderedPageBreak/>
        <w:t>3 Analiza glavnih kazalcev izvajanja OP TGP 2020</w:t>
      </w:r>
      <w:bookmarkEnd w:id="12"/>
    </w:p>
    <w:p w14:paraId="353A2ABE" w14:textId="77777777" w:rsidR="005431A8" w:rsidRPr="00900F8E" w:rsidRDefault="005431A8" w:rsidP="00C52E4C">
      <w:pPr>
        <w:spacing w:after="0" w:line="240" w:lineRule="auto"/>
        <w:jc w:val="both"/>
        <w:rPr>
          <w:rFonts w:ascii="Arial" w:hAnsi="Arial" w:cs="Arial"/>
          <w:b/>
          <w:sz w:val="24"/>
          <w:szCs w:val="24"/>
        </w:rPr>
      </w:pPr>
    </w:p>
    <w:p w14:paraId="13869BFC" w14:textId="2C67DE04" w:rsidR="005431A8" w:rsidRPr="00900F8E" w:rsidRDefault="00047B64" w:rsidP="00C52E4C">
      <w:pPr>
        <w:spacing w:after="0" w:line="240" w:lineRule="auto"/>
        <w:jc w:val="both"/>
        <w:rPr>
          <w:rFonts w:ascii="Arial" w:hAnsi="Arial" w:cs="Arial"/>
        </w:rPr>
      </w:pPr>
      <w:r w:rsidRPr="00900F8E">
        <w:rPr>
          <w:rFonts w:ascii="Arial" w:hAnsi="Arial" w:cs="Arial"/>
        </w:rPr>
        <w:t xml:space="preserve">V nadaljevanju je </w:t>
      </w:r>
      <w:r w:rsidR="00EE2B7D" w:rsidRPr="00900F8E">
        <w:rPr>
          <w:rFonts w:ascii="Arial" w:hAnsi="Arial" w:cs="Arial"/>
        </w:rPr>
        <w:t xml:space="preserve">po sektorjih </w:t>
      </w:r>
      <w:r w:rsidRPr="00900F8E">
        <w:rPr>
          <w:rFonts w:ascii="Arial" w:hAnsi="Arial" w:cs="Arial"/>
        </w:rPr>
        <w:t>prikazana analiza glavnih kazalcev za spremljanje izvajanja OP TGP 2020</w:t>
      </w:r>
      <w:r w:rsidR="002C641B" w:rsidRPr="00900F8E">
        <w:rPr>
          <w:rFonts w:ascii="Arial" w:hAnsi="Arial" w:cs="Arial"/>
        </w:rPr>
        <w:t xml:space="preserve"> </w:t>
      </w:r>
      <w:r w:rsidR="00837CCD">
        <w:rPr>
          <w:rFonts w:ascii="Arial" w:hAnsi="Arial" w:cs="Arial"/>
        </w:rPr>
        <w:t>in</w:t>
      </w:r>
      <w:r w:rsidR="00837CCD" w:rsidRPr="00900F8E">
        <w:rPr>
          <w:rFonts w:ascii="Arial" w:hAnsi="Arial" w:cs="Arial"/>
        </w:rPr>
        <w:t xml:space="preserve"> </w:t>
      </w:r>
      <w:r w:rsidR="002C641B" w:rsidRPr="00900F8E">
        <w:rPr>
          <w:rFonts w:ascii="Arial" w:hAnsi="Arial" w:cs="Arial"/>
        </w:rPr>
        <w:t>doseganje zastavljenih ciljev</w:t>
      </w:r>
      <w:r w:rsidRPr="00900F8E">
        <w:rPr>
          <w:rFonts w:ascii="Arial" w:hAnsi="Arial" w:cs="Arial"/>
        </w:rPr>
        <w:t>.</w:t>
      </w:r>
      <w:r w:rsidR="006341BA" w:rsidRPr="00900F8E">
        <w:rPr>
          <w:rFonts w:ascii="Arial" w:hAnsi="Arial" w:cs="Arial"/>
        </w:rPr>
        <w:t xml:space="preserve"> </w:t>
      </w:r>
    </w:p>
    <w:p w14:paraId="3B108971" w14:textId="77777777" w:rsidR="00210DCA" w:rsidRPr="00900F8E" w:rsidRDefault="00210DCA" w:rsidP="00C52E4C">
      <w:pPr>
        <w:spacing w:after="0" w:line="240" w:lineRule="auto"/>
        <w:jc w:val="both"/>
        <w:rPr>
          <w:rFonts w:ascii="Arial" w:hAnsi="Arial" w:cs="Arial"/>
        </w:rPr>
      </w:pPr>
    </w:p>
    <w:p w14:paraId="047597B6" w14:textId="5F067891" w:rsidR="00210DCA" w:rsidRPr="00900F8E" w:rsidRDefault="00210DCA" w:rsidP="00C52E4C">
      <w:pPr>
        <w:spacing w:after="0" w:line="240" w:lineRule="auto"/>
        <w:jc w:val="both"/>
        <w:rPr>
          <w:rFonts w:ascii="Arial" w:hAnsi="Arial" w:cs="Arial"/>
          <w:i/>
        </w:rPr>
      </w:pPr>
      <w:r w:rsidRPr="00900F8E">
        <w:rPr>
          <w:rFonts w:ascii="Arial" w:hAnsi="Arial" w:cs="Arial"/>
          <w:i/>
        </w:rPr>
        <w:t>Legenda:</w:t>
      </w:r>
    </w:p>
    <w:tbl>
      <w:tblPr>
        <w:tblStyle w:val="Tabelamrea"/>
        <w:tblW w:w="0" w:type="auto"/>
        <w:tblLook w:val="04A0" w:firstRow="1" w:lastRow="0" w:firstColumn="1" w:lastColumn="0" w:noHBand="0" w:noVBand="1"/>
      </w:tblPr>
      <w:tblGrid>
        <w:gridCol w:w="528"/>
        <w:gridCol w:w="3295"/>
      </w:tblGrid>
      <w:tr w:rsidR="00210DCA" w:rsidRPr="00900F8E" w14:paraId="306E6664" w14:textId="77777777" w:rsidTr="00342FCB">
        <w:tc>
          <w:tcPr>
            <w:tcW w:w="528" w:type="dxa"/>
            <w:shd w:val="clear" w:color="auto" w:fill="92D050"/>
          </w:tcPr>
          <w:p w14:paraId="2E42962B" w14:textId="1F9F1182" w:rsidR="00210DCA" w:rsidRPr="00900F8E" w:rsidRDefault="00210DCA" w:rsidP="000C49FC">
            <w:pPr>
              <w:spacing w:after="20"/>
              <w:jc w:val="center"/>
              <w:rPr>
                <w:rFonts w:ascii="Arial" w:hAnsi="Arial" w:cs="Arial"/>
              </w:rPr>
            </w:pPr>
          </w:p>
        </w:tc>
        <w:tc>
          <w:tcPr>
            <w:tcW w:w="3295" w:type="dxa"/>
          </w:tcPr>
          <w:p w14:paraId="4B87B66E" w14:textId="703C5C59" w:rsidR="00210DCA" w:rsidRPr="00900F8E" w:rsidRDefault="000C49FC" w:rsidP="000C49FC">
            <w:pPr>
              <w:jc w:val="both"/>
              <w:rPr>
                <w:rFonts w:ascii="Arial" w:hAnsi="Arial" w:cs="Arial"/>
              </w:rPr>
            </w:pPr>
            <w:r w:rsidRPr="00900F8E">
              <w:rPr>
                <w:rFonts w:ascii="Arial" w:hAnsi="Arial" w:cs="Arial"/>
              </w:rPr>
              <w:t>Cilj je dosežen</w:t>
            </w:r>
            <w:r w:rsidR="00210DCA" w:rsidRPr="00900F8E">
              <w:rPr>
                <w:rFonts w:ascii="Arial" w:hAnsi="Arial" w:cs="Arial"/>
              </w:rPr>
              <w:t>.</w:t>
            </w:r>
          </w:p>
        </w:tc>
      </w:tr>
      <w:tr w:rsidR="00210DCA" w:rsidRPr="00900F8E" w14:paraId="1AB18B9F" w14:textId="77777777" w:rsidTr="00342FCB">
        <w:tc>
          <w:tcPr>
            <w:tcW w:w="528" w:type="dxa"/>
            <w:shd w:val="clear" w:color="auto" w:fill="FF0000"/>
          </w:tcPr>
          <w:p w14:paraId="10C1BD04" w14:textId="3C7B3402" w:rsidR="00210DCA" w:rsidRPr="00900F8E" w:rsidRDefault="00210DCA" w:rsidP="000C49FC">
            <w:pPr>
              <w:jc w:val="center"/>
              <w:rPr>
                <w:rFonts w:ascii="Arial" w:hAnsi="Arial" w:cs="Arial"/>
              </w:rPr>
            </w:pPr>
          </w:p>
        </w:tc>
        <w:tc>
          <w:tcPr>
            <w:tcW w:w="3295" w:type="dxa"/>
          </w:tcPr>
          <w:p w14:paraId="737CED89" w14:textId="2C09A806" w:rsidR="00210DCA" w:rsidRPr="00900F8E" w:rsidRDefault="000C49FC" w:rsidP="000C49FC">
            <w:pPr>
              <w:jc w:val="both"/>
              <w:rPr>
                <w:rFonts w:ascii="Arial" w:hAnsi="Arial" w:cs="Arial"/>
              </w:rPr>
            </w:pPr>
            <w:r w:rsidRPr="00900F8E">
              <w:rPr>
                <w:rFonts w:ascii="Arial" w:hAnsi="Arial" w:cs="Arial"/>
              </w:rPr>
              <w:t>C</w:t>
            </w:r>
            <w:r w:rsidR="00210DCA" w:rsidRPr="00900F8E">
              <w:rPr>
                <w:rFonts w:ascii="Arial" w:hAnsi="Arial" w:cs="Arial"/>
              </w:rPr>
              <w:t xml:space="preserve">ilj </w:t>
            </w:r>
            <w:r w:rsidRPr="00900F8E">
              <w:rPr>
                <w:rFonts w:ascii="Arial" w:hAnsi="Arial" w:cs="Arial"/>
              </w:rPr>
              <w:t>ni</w:t>
            </w:r>
            <w:r w:rsidRPr="00900F8E">
              <w:rPr>
                <w:rFonts w:ascii="Arial" w:hAnsi="Arial" w:cs="Arial"/>
                <w:b/>
                <w:bCs/>
              </w:rPr>
              <w:t xml:space="preserve"> </w:t>
            </w:r>
            <w:r w:rsidRPr="00900F8E">
              <w:rPr>
                <w:rFonts w:ascii="Arial" w:hAnsi="Arial" w:cs="Arial"/>
              </w:rPr>
              <w:t>dosežen</w:t>
            </w:r>
            <w:r w:rsidR="00210DCA" w:rsidRPr="00900F8E">
              <w:rPr>
                <w:rFonts w:ascii="Arial" w:hAnsi="Arial" w:cs="Arial"/>
              </w:rPr>
              <w:t>.</w:t>
            </w:r>
          </w:p>
        </w:tc>
      </w:tr>
      <w:tr w:rsidR="000126D5" w:rsidRPr="00900F8E" w14:paraId="7208A7CF" w14:textId="77777777" w:rsidTr="00342FCB">
        <w:tc>
          <w:tcPr>
            <w:tcW w:w="528" w:type="dxa"/>
            <w:shd w:val="clear" w:color="auto" w:fill="FFC000"/>
          </w:tcPr>
          <w:p w14:paraId="0D38D6FA" w14:textId="77777777" w:rsidR="000126D5" w:rsidRPr="00900F8E" w:rsidRDefault="000126D5" w:rsidP="000C49FC">
            <w:pPr>
              <w:jc w:val="center"/>
              <w:rPr>
                <w:rFonts w:ascii="Arial" w:hAnsi="Arial" w:cs="Arial"/>
              </w:rPr>
            </w:pPr>
          </w:p>
        </w:tc>
        <w:tc>
          <w:tcPr>
            <w:tcW w:w="3295" w:type="dxa"/>
          </w:tcPr>
          <w:p w14:paraId="589BF4BC" w14:textId="217482AE" w:rsidR="000126D5" w:rsidRPr="00900F8E" w:rsidRDefault="000126D5" w:rsidP="000C49FC">
            <w:pPr>
              <w:jc w:val="both"/>
              <w:rPr>
                <w:rFonts w:ascii="Arial" w:hAnsi="Arial" w:cs="Arial"/>
              </w:rPr>
            </w:pPr>
            <w:r w:rsidRPr="00900F8E">
              <w:rPr>
                <w:rFonts w:ascii="Arial" w:hAnsi="Arial" w:cs="Arial"/>
              </w:rPr>
              <w:t>Ciljna vrednost ni opredeljena.</w:t>
            </w:r>
          </w:p>
        </w:tc>
      </w:tr>
    </w:tbl>
    <w:p w14:paraId="04F73048" w14:textId="49465B61" w:rsidR="000A4838" w:rsidRPr="00900F8E" w:rsidRDefault="000A4838" w:rsidP="00C52E4C">
      <w:pPr>
        <w:spacing w:after="0" w:line="240" w:lineRule="auto"/>
        <w:jc w:val="both"/>
        <w:rPr>
          <w:rFonts w:ascii="Arial" w:hAnsi="Arial" w:cs="Arial"/>
        </w:rPr>
      </w:pPr>
    </w:p>
    <w:p w14:paraId="2B2C65A4" w14:textId="77777777" w:rsidR="00C62B67" w:rsidRPr="00900F8E" w:rsidRDefault="00C62B67" w:rsidP="00C52E4C">
      <w:pPr>
        <w:spacing w:after="0" w:line="240" w:lineRule="auto"/>
        <w:jc w:val="both"/>
        <w:rPr>
          <w:rFonts w:ascii="Arial" w:hAnsi="Arial" w:cs="Arial"/>
        </w:rPr>
      </w:pPr>
    </w:p>
    <w:p w14:paraId="768774DC" w14:textId="77777777" w:rsidR="00BF58C4" w:rsidRPr="00900F8E" w:rsidRDefault="00BF58C4" w:rsidP="00C52E4C">
      <w:pPr>
        <w:spacing w:after="0" w:line="240" w:lineRule="auto"/>
        <w:jc w:val="both"/>
        <w:rPr>
          <w:rFonts w:ascii="Arial" w:hAnsi="Arial" w:cs="Arial"/>
        </w:rPr>
      </w:pPr>
    </w:p>
    <w:p w14:paraId="57EC7C1D" w14:textId="37A3FBFF" w:rsidR="00136BA3" w:rsidRPr="00900F8E" w:rsidRDefault="00136BA3" w:rsidP="0065545E">
      <w:pPr>
        <w:pStyle w:val="Naslov2"/>
        <w:rPr>
          <w:rFonts w:ascii="Arial" w:hAnsi="Arial" w:cs="Arial"/>
          <w:color w:val="auto"/>
        </w:rPr>
      </w:pPr>
      <w:bookmarkStart w:id="13" w:name="_Toc120166929"/>
      <w:r w:rsidRPr="00900F8E">
        <w:rPr>
          <w:rFonts w:ascii="Arial" w:hAnsi="Arial" w:cs="Arial"/>
          <w:color w:val="auto"/>
        </w:rPr>
        <w:t>3.1 Promet</w:t>
      </w:r>
      <w:bookmarkEnd w:id="13"/>
    </w:p>
    <w:p w14:paraId="42C3330E" w14:textId="77777777" w:rsidR="007B3ED0" w:rsidRPr="00900F8E" w:rsidRDefault="007B3ED0" w:rsidP="00136BA3">
      <w:pPr>
        <w:spacing w:after="0" w:line="240" w:lineRule="auto"/>
        <w:jc w:val="both"/>
        <w:rPr>
          <w:rFonts w:ascii="Arial" w:hAnsi="Arial" w:cs="Arial"/>
          <w:b/>
          <w:bCs/>
        </w:rPr>
      </w:pPr>
    </w:p>
    <w:tbl>
      <w:tblPr>
        <w:tblStyle w:val="Tabelamrea"/>
        <w:tblW w:w="0" w:type="auto"/>
        <w:tblLook w:val="04A0" w:firstRow="1" w:lastRow="0" w:firstColumn="1" w:lastColumn="0" w:noHBand="0" w:noVBand="1"/>
      </w:tblPr>
      <w:tblGrid>
        <w:gridCol w:w="4117"/>
        <w:gridCol w:w="1675"/>
        <w:gridCol w:w="1274"/>
        <w:gridCol w:w="1244"/>
        <w:gridCol w:w="706"/>
      </w:tblGrid>
      <w:tr w:rsidR="00130CBF" w:rsidRPr="00900F8E" w14:paraId="51F04D34" w14:textId="5D3742C4" w:rsidTr="0095618E">
        <w:tc>
          <w:tcPr>
            <w:tcW w:w="4248" w:type="dxa"/>
          </w:tcPr>
          <w:p w14:paraId="46F9BE31" w14:textId="47AB1600" w:rsidR="00130CBF" w:rsidRPr="00900F8E" w:rsidRDefault="00130CBF" w:rsidP="00136BA3">
            <w:pPr>
              <w:jc w:val="both"/>
              <w:rPr>
                <w:rFonts w:ascii="Arial" w:hAnsi="Arial" w:cs="Arial"/>
                <w:b/>
                <w:bCs/>
              </w:rPr>
            </w:pPr>
            <w:r w:rsidRPr="00900F8E">
              <w:rPr>
                <w:rFonts w:ascii="Arial" w:hAnsi="Arial" w:cs="Arial"/>
                <w:b/>
              </w:rPr>
              <w:t xml:space="preserve">Doseganje ciljev OP TGP 2020 se spremlja s kazalci: </w:t>
            </w:r>
          </w:p>
        </w:tc>
        <w:tc>
          <w:tcPr>
            <w:tcW w:w="1701" w:type="dxa"/>
            <w:shd w:val="clear" w:color="auto" w:fill="auto"/>
          </w:tcPr>
          <w:p w14:paraId="4C3BD785" w14:textId="77777777" w:rsidR="00130CBF" w:rsidRPr="00900F8E" w:rsidRDefault="00130CBF" w:rsidP="00772B2B">
            <w:pPr>
              <w:jc w:val="center"/>
              <w:rPr>
                <w:rFonts w:ascii="Arial" w:hAnsi="Arial" w:cs="Arial"/>
                <w:b/>
                <w:bCs/>
              </w:rPr>
            </w:pPr>
            <w:r w:rsidRPr="00900F8E">
              <w:rPr>
                <w:rFonts w:ascii="Arial" w:hAnsi="Arial" w:cs="Arial"/>
                <w:b/>
                <w:bCs/>
              </w:rPr>
              <w:t>Ciljna vrednost</w:t>
            </w:r>
          </w:p>
          <w:p w14:paraId="61AC10B3" w14:textId="44397378" w:rsidR="00764F88" w:rsidRPr="00900F8E" w:rsidRDefault="00764F88" w:rsidP="00772B2B">
            <w:pPr>
              <w:jc w:val="center"/>
              <w:rPr>
                <w:rFonts w:ascii="Arial" w:hAnsi="Arial" w:cs="Arial"/>
                <w:b/>
                <w:bCs/>
              </w:rPr>
            </w:pPr>
            <w:r w:rsidRPr="00900F8E">
              <w:rPr>
                <w:rFonts w:ascii="Arial" w:hAnsi="Arial" w:cs="Arial"/>
                <w:b/>
                <w:bCs/>
              </w:rPr>
              <w:t>v 2020</w:t>
            </w:r>
          </w:p>
        </w:tc>
        <w:tc>
          <w:tcPr>
            <w:tcW w:w="1276" w:type="dxa"/>
          </w:tcPr>
          <w:p w14:paraId="5B93617A" w14:textId="4646CB59" w:rsidR="00130CBF" w:rsidRPr="00900F8E" w:rsidRDefault="00130CBF" w:rsidP="00772B2B">
            <w:pPr>
              <w:jc w:val="center"/>
              <w:rPr>
                <w:rFonts w:ascii="Arial" w:hAnsi="Arial" w:cs="Arial"/>
                <w:b/>
                <w:bCs/>
              </w:rPr>
            </w:pPr>
            <w:r w:rsidRPr="00900F8E">
              <w:rPr>
                <w:rFonts w:ascii="Arial" w:hAnsi="Arial" w:cs="Arial"/>
                <w:b/>
                <w:bCs/>
              </w:rPr>
              <w:t xml:space="preserve">Dosežena vrednost </w:t>
            </w:r>
            <w:r w:rsidR="00D810FC" w:rsidRPr="00900F8E">
              <w:rPr>
                <w:rFonts w:ascii="Arial" w:hAnsi="Arial" w:cs="Arial"/>
                <w:b/>
                <w:bCs/>
              </w:rPr>
              <w:t xml:space="preserve">v </w:t>
            </w:r>
            <w:r w:rsidRPr="00900F8E">
              <w:rPr>
                <w:rFonts w:ascii="Arial" w:hAnsi="Arial" w:cs="Arial"/>
                <w:b/>
                <w:bCs/>
              </w:rPr>
              <w:t>2019</w:t>
            </w:r>
          </w:p>
        </w:tc>
        <w:tc>
          <w:tcPr>
            <w:tcW w:w="1128" w:type="dxa"/>
          </w:tcPr>
          <w:p w14:paraId="00AD48D4" w14:textId="3D565AB8" w:rsidR="00130CBF" w:rsidRPr="00900F8E" w:rsidRDefault="00130CBF" w:rsidP="00772B2B">
            <w:pPr>
              <w:jc w:val="center"/>
              <w:rPr>
                <w:rFonts w:ascii="Arial" w:hAnsi="Arial" w:cs="Arial"/>
                <w:b/>
                <w:bCs/>
              </w:rPr>
            </w:pPr>
            <w:r w:rsidRPr="00900F8E">
              <w:rPr>
                <w:rFonts w:ascii="Arial" w:hAnsi="Arial" w:cs="Arial"/>
                <w:b/>
                <w:bCs/>
              </w:rPr>
              <w:t xml:space="preserve">Dosežena vrednost </w:t>
            </w:r>
            <w:r w:rsidR="00D810FC" w:rsidRPr="00900F8E">
              <w:rPr>
                <w:rFonts w:ascii="Arial" w:hAnsi="Arial" w:cs="Arial"/>
                <w:b/>
                <w:bCs/>
              </w:rPr>
              <w:t xml:space="preserve">v </w:t>
            </w:r>
            <w:r w:rsidRPr="00900F8E">
              <w:rPr>
                <w:rFonts w:ascii="Arial" w:hAnsi="Arial" w:cs="Arial"/>
                <w:b/>
                <w:bCs/>
              </w:rPr>
              <w:t>2020</w:t>
            </w:r>
          </w:p>
        </w:tc>
        <w:tc>
          <w:tcPr>
            <w:tcW w:w="663" w:type="dxa"/>
          </w:tcPr>
          <w:p w14:paraId="4F1774FF" w14:textId="7D675824" w:rsidR="00130CBF" w:rsidRPr="00900F8E" w:rsidRDefault="00130CBF" w:rsidP="00772B2B">
            <w:pPr>
              <w:jc w:val="center"/>
              <w:rPr>
                <w:rFonts w:ascii="Arial" w:hAnsi="Arial" w:cs="Arial"/>
                <w:b/>
                <w:bCs/>
              </w:rPr>
            </w:pPr>
            <w:r w:rsidRPr="00900F8E">
              <w:rPr>
                <w:rFonts w:ascii="Arial" w:hAnsi="Arial" w:cs="Arial"/>
                <w:b/>
                <w:bCs/>
              </w:rPr>
              <w:t>2020</w:t>
            </w:r>
          </w:p>
        </w:tc>
      </w:tr>
      <w:tr w:rsidR="00130CBF" w:rsidRPr="00900F8E" w14:paraId="7221DC11" w14:textId="7A2B6551" w:rsidTr="0095618E">
        <w:tc>
          <w:tcPr>
            <w:tcW w:w="4248" w:type="dxa"/>
          </w:tcPr>
          <w:p w14:paraId="0ACE9351" w14:textId="07CC7CC6" w:rsidR="00130CBF" w:rsidRPr="00900F8E" w:rsidRDefault="002F2C64" w:rsidP="00136BA3">
            <w:pPr>
              <w:jc w:val="both"/>
              <w:rPr>
                <w:rFonts w:ascii="Arial" w:hAnsi="Arial" w:cs="Arial"/>
                <w:b/>
                <w:bCs/>
              </w:rPr>
            </w:pPr>
            <w:r w:rsidRPr="00900F8E">
              <w:rPr>
                <w:rFonts w:ascii="Arial" w:hAnsi="Arial" w:cs="Arial"/>
              </w:rPr>
              <w:t>Zmanjšanje e</w:t>
            </w:r>
            <w:r w:rsidR="00130CBF" w:rsidRPr="00900F8E">
              <w:rPr>
                <w:rFonts w:ascii="Arial" w:hAnsi="Arial" w:cs="Arial"/>
              </w:rPr>
              <w:t>misij CO</w:t>
            </w:r>
            <w:r w:rsidR="00130CBF" w:rsidRPr="00900F8E">
              <w:rPr>
                <w:rFonts w:ascii="Arial" w:hAnsi="Arial" w:cs="Arial"/>
                <w:vertAlign w:val="subscript"/>
              </w:rPr>
              <w:t xml:space="preserve">2 </w:t>
            </w:r>
            <w:r w:rsidR="00130CBF" w:rsidRPr="00900F8E">
              <w:rPr>
                <w:rFonts w:ascii="Arial" w:hAnsi="Arial" w:cs="Arial"/>
              </w:rPr>
              <w:t>iz novih osebnih vozil</w:t>
            </w:r>
          </w:p>
        </w:tc>
        <w:tc>
          <w:tcPr>
            <w:tcW w:w="1701" w:type="dxa"/>
            <w:shd w:val="clear" w:color="auto" w:fill="auto"/>
          </w:tcPr>
          <w:p w14:paraId="67E7D528" w14:textId="00A20E4B" w:rsidR="00130CBF" w:rsidRPr="00900F8E" w:rsidRDefault="00130CBF" w:rsidP="004675F0">
            <w:pPr>
              <w:spacing w:before="20" w:after="20"/>
              <w:jc w:val="center"/>
              <w:rPr>
                <w:rFonts w:ascii="Arial" w:hAnsi="Arial" w:cs="Arial"/>
              </w:rPr>
            </w:pPr>
            <w:r w:rsidRPr="00900F8E">
              <w:rPr>
                <w:rFonts w:ascii="Arial" w:hAnsi="Arial" w:cs="Arial"/>
              </w:rPr>
              <w:t>95</w:t>
            </w:r>
            <w:r w:rsidR="00CB286B" w:rsidRPr="00900F8E">
              <w:rPr>
                <w:rFonts w:ascii="Arial" w:hAnsi="Arial" w:cs="Arial"/>
              </w:rPr>
              <w:t>,0</w:t>
            </w:r>
            <w:r w:rsidRPr="00900F8E">
              <w:rPr>
                <w:rFonts w:ascii="Arial" w:hAnsi="Arial" w:cs="Arial"/>
              </w:rPr>
              <w:t xml:space="preserve"> g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rPr>
              <w:t xml:space="preserve">/km </w:t>
            </w:r>
          </w:p>
          <w:p w14:paraId="044D1F38" w14:textId="51987736" w:rsidR="00130CBF" w:rsidRPr="00900F8E" w:rsidRDefault="00130CBF" w:rsidP="004675F0">
            <w:pPr>
              <w:spacing w:before="20" w:after="20"/>
              <w:jc w:val="center"/>
              <w:rPr>
                <w:rFonts w:ascii="Arial" w:hAnsi="Arial" w:cs="Arial"/>
                <w:b/>
                <w:bCs/>
              </w:rPr>
            </w:pPr>
            <w:r w:rsidRPr="00900F8E">
              <w:rPr>
                <w:rFonts w:ascii="Arial" w:hAnsi="Arial" w:cs="Arial"/>
              </w:rPr>
              <w:t>(2021)</w:t>
            </w:r>
          </w:p>
        </w:tc>
        <w:tc>
          <w:tcPr>
            <w:tcW w:w="1276" w:type="dxa"/>
          </w:tcPr>
          <w:p w14:paraId="2B409CDC" w14:textId="20171DE5" w:rsidR="00130CBF" w:rsidRPr="00900F8E" w:rsidRDefault="00130CBF" w:rsidP="004675F0">
            <w:pPr>
              <w:spacing w:before="20" w:after="20"/>
              <w:jc w:val="center"/>
              <w:rPr>
                <w:rFonts w:ascii="Arial" w:hAnsi="Arial" w:cs="Arial"/>
              </w:rPr>
            </w:pPr>
            <w:r w:rsidRPr="00900F8E">
              <w:rPr>
                <w:rFonts w:ascii="Arial" w:hAnsi="Arial" w:cs="Arial"/>
              </w:rPr>
              <w:t>125,4 gCO</w:t>
            </w:r>
            <w:r w:rsidRPr="00900F8E">
              <w:rPr>
                <w:rFonts w:ascii="Arial" w:hAnsi="Arial" w:cs="Arial"/>
                <w:vertAlign w:val="subscript"/>
              </w:rPr>
              <w:t>2</w:t>
            </w:r>
            <w:r w:rsidRPr="00900F8E">
              <w:rPr>
                <w:rFonts w:ascii="Arial" w:hAnsi="Arial" w:cs="Arial"/>
              </w:rPr>
              <w:t>/km</w:t>
            </w:r>
          </w:p>
        </w:tc>
        <w:tc>
          <w:tcPr>
            <w:tcW w:w="1128" w:type="dxa"/>
          </w:tcPr>
          <w:p w14:paraId="3B170536" w14:textId="00A280B7" w:rsidR="00CB286B" w:rsidRPr="00900F8E" w:rsidRDefault="00130CBF" w:rsidP="004675F0">
            <w:pPr>
              <w:spacing w:before="20" w:after="20"/>
              <w:jc w:val="center"/>
              <w:rPr>
                <w:rFonts w:ascii="Arial" w:hAnsi="Arial" w:cs="Arial"/>
              </w:rPr>
            </w:pPr>
            <w:r w:rsidRPr="00900F8E">
              <w:rPr>
                <w:rFonts w:ascii="Arial" w:hAnsi="Arial" w:cs="Arial"/>
              </w:rPr>
              <w:t>113</w:t>
            </w:r>
            <w:r w:rsidR="00CB286B" w:rsidRPr="00900F8E">
              <w:rPr>
                <w:rFonts w:ascii="Arial" w:hAnsi="Arial" w:cs="Arial"/>
              </w:rPr>
              <w:t>,1</w:t>
            </w:r>
          </w:p>
          <w:p w14:paraId="4377C5FF" w14:textId="7D2FACF3" w:rsidR="00130CBF" w:rsidRPr="00900F8E" w:rsidRDefault="00130CBF" w:rsidP="00CB286B">
            <w:pPr>
              <w:spacing w:before="20" w:after="20"/>
              <w:jc w:val="center"/>
              <w:rPr>
                <w:rFonts w:ascii="Arial" w:hAnsi="Arial" w:cs="Arial"/>
              </w:rPr>
            </w:pPr>
            <w:r w:rsidRPr="00900F8E">
              <w:rPr>
                <w:rFonts w:ascii="Arial" w:hAnsi="Arial" w:cs="Arial"/>
              </w:rPr>
              <w:t>gCO</w:t>
            </w:r>
            <w:r w:rsidRPr="00900F8E">
              <w:rPr>
                <w:rFonts w:ascii="Arial" w:hAnsi="Arial" w:cs="Arial"/>
                <w:vertAlign w:val="subscript"/>
              </w:rPr>
              <w:t>2</w:t>
            </w:r>
            <w:r w:rsidRPr="00900F8E">
              <w:rPr>
                <w:rFonts w:ascii="Arial" w:hAnsi="Arial" w:cs="Arial"/>
              </w:rPr>
              <w:t>/km</w:t>
            </w:r>
          </w:p>
        </w:tc>
        <w:tc>
          <w:tcPr>
            <w:tcW w:w="663" w:type="dxa"/>
            <w:shd w:val="clear" w:color="auto" w:fill="FF0000"/>
          </w:tcPr>
          <w:p w14:paraId="51CAF4E5" w14:textId="12CFA849" w:rsidR="00130CBF" w:rsidRPr="00900F8E" w:rsidRDefault="00130CBF" w:rsidP="004675F0">
            <w:pPr>
              <w:spacing w:before="20" w:after="20"/>
              <w:jc w:val="center"/>
              <w:rPr>
                <w:rFonts w:ascii="Arial" w:hAnsi="Arial" w:cs="Arial"/>
                <w:b/>
                <w:bCs/>
              </w:rPr>
            </w:pPr>
          </w:p>
        </w:tc>
      </w:tr>
      <w:tr w:rsidR="00130CBF" w:rsidRPr="00900F8E" w14:paraId="499B0692" w14:textId="77777777" w:rsidTr="0095618E">
        <w:tc>
          <w:tcPr>
            <w:tcW w:w="4248" w:type="dxa"/>
          </w:tcPr>
          <w:p w14:paraId="56AA1330" w14:textId="06D2C242" w:rsidR="00130CBF" w:rsidRPr="00900F8E" w:rsidRDefault="002F2C64" w:rsidP="00540E1E">
            <w:pPr>
              <w:jc w:val="both"/>
              <w:rPr>
                <w:rFonts w:ascii="Arial" w:hAnsi="Arial" w:cs="Arial"/>
              </w:rPr>
            </w:pPr>
            <w:r w:rsidRPr="00900F8E">
              <w:rPr>
                <w:rFonts w:ascii="Arial" w:hAnsi="Arial" w:cs="Arial"/>
              </w:rPr>
              <w:t>Zmanjšanje e</w:t>
            </w:r>
            <w:r w:rsidR="00130CBF" w:rsidRPr="00900F8E">
              <w:rPr>
                <w:rFonts w:ascii="Arial" w:hAnsi="Arial" w:cs="Arial"/>
              </w:rPr>
              <w:t>misij CO</w:t>
            </w:r>
            <w:r w:rsidR="00130CBF" w:rsidRPr="00900F8E">
              <w:rPr>
                <w:rFonts w:ascii="Arial" w:hAnsi="Arial" w:cs="Arial"/>
                <w:vertAlign w:val="subscript"/>
              </w:rPr>
              <w:t xml:space="preserve">2 </w:t>
            </w:r>
            <w:r w:rsidR="00130CBF" w:rsidRPr="00900F8E">
              <w:rPr>
                <w:rFonts w:ascii="Arial" w:hAnsi="Arial" w:cs="Arial"/>
              </w:rPr>
              <w:t>iz vseh osebnih vozil</w:t>
            </w:r>
          </w:p>
        </w:tc>
        <w:tc>
          <w:tcPr>
            <w:tcW w:w="1701" w:type="dxa"/>
            <w:shd w:val="clear" w:color="auto" w:fill="auto"/>
          </w:tcPr>
          <w:p w14:paraId="55AEF041" w14:textId="1849BF26" w:rsidR="00130CBF" w:rsidRPr="00900F8E" w:rsidRDefault="00130CBF" w:rsidP="00012697">
            <w:pPr>
              <w:spacing w:before="20" w:after="20"/>
              <w:jc w:val="center"/>
              <w:rPr>
                <w:rFonts w:ascii="Arial" w:hAnsi="Arial" w:cs="Arial"/>
                <w:b/>
                <w:bCs/>
              </w:rPr>
            </w:pPr>
            <w:r w:rsidRPr="00900F8E">
              <w:rPr>
                <w:rFonts w:ascii="Arial" w:hAnsi="Arial" w:cs="Arial"/>
              </w:rPr>
              <w:t xml:space="preserve">152,3 g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rPr>
              <w:t xml:space="preserve">/km </w:t>
            </w:r>
          </w:p>
        </w:tc>
        <w:tc>
          <w:tcPr>
            <w:tcW w:w="1276" w:type="dxa"/>
          </w:tcPr>
          <w:p w14:paraId="4FCAAC6A" w14:textId="655D65BB" w:rsidR="00130CBF" w:rsidRPr="00900F8E" w:rsidRDefault="00130CBF" w:rsidP="00540E1E">
            <w:pPr>
              <w:spacing w:before="20" w:after="20"/>
              <w:jc w:val="center"/>
              <w:rPr>
                <w:rFonts w:ascii="Arial" w:hAnsi="Arial" w:cs="Arial"/>
              </w:rPr>
            </w:pPr>
            <w:r w:rsidRPr="00900F8E">
              <w:rPr>
                <w:rFonts w:ascii="Arial" w:hAnsi="Arial" w:cs="Arial"/>
              </w:rPr>
              <w:t>186,1 gCO</w:t>
            </w:r>
            <w:r w:rsidRPr="00900F8E">
              <w:rPr>
                <w:rFonts w:ascii="Arial" w:hAnsi="Arial" w:cs="Arial"/>
                <w:vertAlign w:val="subscript"/>
              </w:rPr>
              <w:t>2</w:t>
            </w:r>
            <w:r w:rsidRPr="00900F8E">
              <w:rPr>
                <w:rFonts w:ascii="Arial" w:hAnsi="Arial" w:cs="Arial"/>
              </w:rPr>
              <w:t>/km</w:t>
            </w:r>
          </w:p>
        </w:tc>
        <w:tc>
          <w:tcPr>
            <w:tcW w:w="1128" w:type="dxa"/>
          </w:tcPr>
          <w:p w14:paraId="203EE532" w14:textId="65C2E82F" w:rsidR="00CB286B" w:rsidRPr="00900F8E" w:rsidRDefault="00130CBF" w:rsidP="00540E1E">
            <w:pPr>
              <w:spacing w:before="20" w:after="20"/>
              <w:jc w:val="center"/>
              <w:rPr>
                <w:rFonts w:ascii="Arial" w:hAnsi="Arial" w:cs="Arial"/>
              </w:rPr>
            </w:pPr>
            <w:r w:rsidRPr="00900F8E">
              <w:rPr>
                <w:rFonts w:ascii="Arial" w:hAnsi="Arial" w:cs="Arial"/>
              </w:rPr>
              <w:t>183</w:t>
            </w:r>
            <w:r w:rsidR="00CB286B" w:rsidRPr="00900F8E">
              <w:rPr>
                <w:rFonts w:ascii="Arial" w:hAnsi="Arial" w:cs="Arial"/>
              </w:rPr>
              <w:t>,0</w:t>
            </w:r>
            <w:r w:rsidRPr="00900F8E">
              <w:rPr>
                <w:rFonts w:ascii="Arial" w:hAnsi="Arial" w:cs="Arial"/>
              </w:rPr>
              <w:t xml:space="preserve"> </w:t>
            </w:r>
          </w:p>
          <w:p w14:paraId="72319F55" w14:textId="27EB6590" w:rsidR="00130CBF" w:rsidRPr="00900F8E" w:rsidRDefault="00130CBF" w:rsidP="00CB286B">
            <w:pPr>
              <w:spacing w:before="20" w:after="20"/>
              <w:jc w:val="center"/>
              <w:rPr>
                <w:rFonts w:ascii="Arial" w:hAnsi="Arial" w:cs="Arial"/>
              </w:rPr>
            </w:pPr>
            <w:r w:rsidRPr="00900F8E">
              <w:rPr>
                <w:rFonts w:ascii="Arial" w:hAnsi="Arial" w:cs="Arial"/>
              </w:rPr>
              <w:t>gCO</w:t>
            </w:r>
            <w:r w:rsidRPr="00900F8E">
              <w:rPr>
                <w:rFonts w:ascii="Arial" w:hAnsi="Arial" w:cs="Arial"/>
                <w:vertAlign w:val="subscript"/>
              </w:rPr>
              <w:t>2</w:t>
            </w:r>
            <w:r w:rsidRPr="00900F8E">
              <w:rPr>
                <w:rFonts w:ascii="Arial" w:hAnsi="Arial" w:cs="Arial"/>
              </w:rPr>
              <w:t>/km</w:t>
            </w:r>
          </w:p>
        </w:tc>
        <w:tc>
          <w:tcPr>
            <w:tcW w:w="663" w:type="dxa"/>
            <w:shd w:val="clear" w:color="auto" w:fill="FF0000"/>
          </w:tcPr>
          <w:p w14:paraId="3343C2F5" w14:textId="64F3A5EF" w:rsidR="00130CBF" w:rsidRPr="00900F8E" w:rsidRDefault="00130CBF" w:rsidP="00540E1E">
            <w:pPr>
              <w:spacing w:before="20" w:after="20"/>
              <w:jc w:val="center"/>
              <w:rPr>
                <w:rFonts w:ascii="Arial" w:hAnsi="Arial" w:cs="Arial"/>
                <w:b/>
                <w:bCs/>
              </w:rPr>
            </w:pPr>
          </w:p>
        </w:tc>
      </w:tr>
      <w:tr w:rsidR="00130CBF" w:rsidRPr="00900F8E" w14:paraId="0E8CEE96" w14:textId="7EBA3AA1" w:rsidTr="0095618E">
        <w:tc>
          <w:tcPr>
            <w:tcW w:w="4248" w:type="dxa"/>
          </w:tcPr>
          <w:p w14:paraId="18046114" w14:textId="31A65C3F" w:rsidR="00130CBF" w:rsidRPr="00900F8E" w:rsidRDefault="00130CBF" w:rsidP="00540E1E">
            <w:pPr>
              <w:jc w:val="both"/>
              <w:rPr>
                <w:rFonts w:ascii="Arial" w:hAnsi="Arial" w:cs="Arial"/>
                <w:b/>
                <w:bCs/>
              </w:rPr>
            </w:pPr>
            <w:r w:rsidRPr="00900F8E">
              <w:rPr>
                <w:rFonts w:ascii="Arial" w:hAnsi="Arial" w:cs="Arial"/>
              </w:rPr>
              <w:t>Delež OVE v energiji goriv za pogon vozil</w:t>
            </w:r>
          </w:p>
        </w:tc>
        <w:tc>
          <w:tcPr>
            <w:tcW w:w="1701" w:type="dxa"/>
            <w:shd w:val="clear" w:color="auto" w:fill="auto"/>
          </w:tcPr>
          <w:p w14:paraId="070BA0CE" w14:textId="63FF8716" w:rsidR="00130CBF" w:rsidRPr="00900F8E" w:rsidRDefault="00A41B5B" w:rsidP="00540E1E">
            <w:pPr>
              <w:spacing w:before="20" w:after="20"/>
              <w:jc w:val="center"/>
              <w:rPr>
                <w:rFonts w:ascii="Arial" w:hAnsi="Arial" w:cs="Arial"/>
              </w:rPr>
            </w:pPr>
            <w:r w:rsidRPr="00900F8E">
              <w:rPr>
                <w:rFonts w:ascii="Arial" w:hAnsi="Arial" w:cs="Arial"/>
              </w:rPr>
              <w:t>10,0 %</w:t>
            </w:r>
          </w:p>
        </w:tc>
        <w:tc>
          <w:tcPr>
            <w:tcW w:w="1276" w:type="dxa"/>
          </w:tcPr>
          <w:p w14:paraId="55052F31" w14:textId="6650370D" w:rsidR="00130CBF" w:rsidRPr="00900F8E" w:rsidRDefault="00267CAA" w:rsidP="00540E1E">
            <w:pPr>
              <w:spacing w:before="20" w:after="20"/>
              <w:jc w:val="center"/>
              <w:rPr>
                <w:rFonts w:ascii="Arial" w:hAnsi="Arial" w:cs="Arial"/>
              </w:rPr>
            </w:pPr>
            <w:r w:rsidRPr="00900F8E">
              <w:rPr>
                <w:rFonts w:ascii="Arial" w:hAnsi="Arial" w:cs="Arial"/>
              </w:rPr>
              <w:t>8,0 %</w:t>
            </w:r>
          </w:p>
        </w:tc>
        <w:tc>
          <w:tcPr>
            <w:tcW w:w="1128" w:type="dxa"/>
          </w:tcPr>
          <w:p w14:paraId="30048C12" w14:textId="5217FCE2" w:rsidR="00130CBF" w:rsidRPr="00900F8E" w:rsidRDefault="00267CAA" w:rsidP="00540E1E">
            <w:pPr>
              <w:spacing w:before="20" w:after="20"/>
              <w:jc w:val="center"/>
              <w:rPr>
                <w:rFonts w:ascii="Arial" w:hAnsi="Arial" w:cs="Arial"/>
              </w:rPr>
            </w:pPr>
            <w:r w:rsidRPr="00900F8E">
              <w:rPr>
                <w:rFonts w:ascii="Arial" w:hAnsi="Arial" w:cs="Arial"/>
              </w:rPr>
              <w:t>10,9 %</w:t>
            </w:r>
          </w:p>
        </w:tc>
        <w:tc>
          <w:tcPr>
            <w:tcW w:w="663" w:type="dxa"/>
            <w:shd w:val="clear" w:color="auto" w:fill="92D050"/>
          </w:tcPr>
          <w:p w14:paraId="3C0B0A0A" w14:textId="74BA7417" w:rsidR="00130CBF" w:rsidRPr="00900F8E" w:rsidRDefault="00130CBF" w:rsidP="00540E1E">
            <w:pPr>
              <w:spacing w:before="20" w:after="20"/>
              <w:jc w:val="center"/>
              <w:rPr>
                <w:rFonts w:ascii="Arial" w:hAnsi="Arial" w:cs="Arial"/>
                <w:b/>
                <w:bCs/>
              </w:rPr>
            </w:pPr>
          </w:p>
        </w:tc>
      </w:tr>
      <w:tr w:rsidR="00130CBF" w:rsidRPr="00900F8E" w14:paraId="4A2A9804" w14:textId="3C6ACDB0" w:rsidTr="0095618E">
        <w:tc>
          <w:tcPr>
            <w:tcW w:w="4248" w:type="dxa"/>
          </w:tcPr>
          <w:p w14:paraId="4FA9B8DF" w14:textId="2F2953C3" w:rsidR="00130CBF" w:rsidRPr="00900F8E" w:rsidRDefault="00130CBF" w:rsidP="00540E1E">
            <w:pPr>
              <w:jc w:val="both"/>
              <w:rPr>
                <w:rFonts w:ascii="Arial" w:hAnsi="Arial" w:cs="Arial"/>
                <w:b/>
                <w:bCs/>
              </w:rPr>
            </w:pPr>
            <w:bookmarkStart w:id="14" w:name="_Hlk106880152"/>
            <w:r w:rsidRPr="00900F8E">
              <w:rPr>
                <w:rFonts w:ascii="Arial" w:hAnsi="Arial" w:cs="Arial"/>
              </w:rPr>
              <w:t xml:space="preserve">Potniški kilometri v javnem potniškem prometu </w:t>
            </w:r>
            <w:bookmarkEnd w:id="14"/>
          </w:p>
        </w:tc>
        <w:tc>
          <w:tcPr>
            <w:tcW w:w="1701" w:type="dxa"/>
            <w:shd w:val="clear" w:color="auto" w:fill="auto"/>
          </w:tcPr>
          <w:p w14:paraId="214B5606" w14:textId="77777777" w:rsidR="0031628D" w:rsidRPr="00900F8E" w:rsidRDefault="00751A8E" w:rsidP="00540E1E">
            <w:pPr>
              <w:spacing w:before="20" w:after="20"/>
              <w:jc w:val="center"/>
              <w:rPr>
                <w:rFonts w:ascii="Arial" w:hAnsi="Arial" w:cs="Arial"/>
              </w:rPr>
            </w:pPr>
            <w:r w:rsidRPr="00900F8E">
              <w:rPr>
                <w:rFonts w:ascii="Arial" w:hAnsi="Arial" w:cs="Arial"/>
              </w:rPr>
              <w:t>1.763</w:t>
            </w:r>
            <w:r w:rsidR="0031628D" w:rsidRPr="00900F8E">
              <w:rPr>
                <w:rFonts w:ascii="Arial" w:hAnsi="Arial" w:cs="Arial"/>
              </w:rPr>
              <w:t>,00</w:t>
            </w:r>
            <w:r w:rsidRPr="00900F8E">
              <w:rPr>
                <w:rFonts w:ascii="Arial" w:hAnsi="Arial" w:cs="Arial"/>
              </w:rPr>
              <w:t xml:space="preserve"> </w:t>
            </w:r>
          </w:p>
          <w:p w14:paraId="7151DC48" w14:textId="4D197ADD" w:rsidR="0095505B" w:rsidRPr="00900F8E" w:rsidRDefault="00751A8E" w:rsidP="00844067">
            <w:pPr>
              <w:spacing w:before="20" w:after="20"/>
              <w:jc w:val="center"/>
              <w:rPr>
                <w:rFonts w:ascii="Arial" w:hAnsi="Arial" w:cs="Arial"/>
              </w:rPr>
            </w:pPr>
            <w:r w:rsidRPr="00900F8E">
              <w:rPr>
                <w:rFonts w:ascii="Arial" w:hAnsi="Arial" w:cs="Arial"/>
              </w:rPr>
              <w:t>mio pkm</w:t>
            </w:r>
          </w:p>
        </w:tc>
        <w:tc>
          <w:tcPr>
            <w:tcW w:w="1276" w:type="dxa"/>
          </w:tcPr>
          <w:p w14:paraId="50FF016E" w14:textId="77777777" w:rsidR="00130CBF" w:rsidRPr="00900F8E" w:rsidRDefault="00751A8E" w:rsidP="00540E1E">
            <w:pPr>
              <w:spacing w:before="20" w:after="20"/>
              <w:jc w:val="center"/>
              <w:rPr>
                <w:rFonts w:ascii="Arial" w:hAnsi="Arial" w:cs="Arial"/>
              </w:rPr>
            </w:pPr>
            <w:r w:rsidRPr="00900F8E">
              <w:rPr>
                <w:rFonts w:ascii="Arial" w:hAnsi="Arial" w:cs="Arial"/>
              </w:rPr>
              <w:t>1505,77</w:t>
            </w:r>
          </w:p>
          <w:p w14:paraId="16A897B3" w14:textId="61E6CC93" w:rsidR="00751A8E" w:rsidRPr="00900F8E" w:rsidRDefault="00751A8E" w:rsidP="00540E1E">
            <w:pPr>
              <w:spacing w:before="20" w:after="20"/>
              <w:jc w:val="center"/>
              <w:rPr>
                <w:rFonts w:ascii="Arial" w:hAnsi="Arial" w:cs="Arial"/>
              </w:rPr>
            </w:pPr>
            <w:r w:rsidRPr="00900F8E">
              <w:rPr>
                <w:rFonts w:ascii="Arial" w:hAnsi="Arial" w:cs="Arial"/>
              </w:rPr>
              <w:t>mio pkm</w:t>
            </w:r>
          </w:p>
        </w:tc>
        <w:tc>
          <w:tcPr>
            <w:tcW w:w="1128" w:type="dxa"/>
          </w:tcPr>
          <w:p w14:paraId="3DC84D54" w14:textId="13221142" w:rsidR="00130CBF" w:rsidRPr="00900F8E" w:rsidRDefault="00751A8E" w:rsidP="00540E1E">
            <w:pPr>
              <w:spacing w:before="20" w:after="20"/>
              <w:jc w:val="center"/>
              <w:rPr>
                <w:rFonts w:ascii="Arial" w:hAnsi="Arial" w:cs="Arial"/>
              </w:rPr>
            </w:pPr>
            <w:r w:rsidRPr="00900F8E">
              <w:rPr>
                <w:rFonts w:ascii="Arial" w:hAnsi="Arial" w:cs="Arial"/>
              </w:rPr>
              <w:t>733,18 mio pkm</w:t>
            </w:r>
          </w:p>
        </w:tc>
        <w:tc>
          <w:tcPr>
            <w:tcW w:w="663" w:type="dxa"/>
            <w:shd w:val="clear" w:color="auto" w:fill="FF0000"/>
          </w:tcPr>
          <w:p w14:paraId="7CD9CA16" w14:textId="397E4FCD" w:rsidR="00130CBF" w:rsidRPr="00900F8E" w:rsidRDefault="00130CBF" w:rsidP="00540E1E">
            <w:pPr>
              <w:spacing w:before="20" w:after="20"/>
              <w:jc w:val="center"/>
              <w:rPr>
                <w:rFonts w:ascii="Arial" w:hAnsi="Arial" w:cs="Arial"/>
                <w:b/>
                <w:bCs/>
              </w:rPr>
            </w:pPr>
          </w:p>
        </w:tc>
      </w:tr>
      <w:tr w:rsidR="00130CBF" w:rsidRPr="00900F8E" w14:paraId="41D5EE80" w14:textId="0625B8B4" w:rsidTr="0095618E">
        <w:tc>
          <w:tcPr>
            <w:tcW w:w="4248" w:type="dxa"/>
          </w:tcPr>
          <w:p w14:paraId="5F16AC31" w14:textId="4461252D" w:rsidR="00130CBF" w:rsidRPr="00900F8E" w:rsidRDefault="00130CBF" w:rsidP="00540E1E">
            <w:pPr>
              <w:jc w:val="both"/>
              <w:rPr>
                <w:rFonts w:ascii="Arial" w:hAnsi="Arial" w:cs="Arial"/>
                <w:b/>
                <w:bCs/>
              </w:rPr>
            </w:pPr>
            <w:r w:rsidRPr="00900F8E">
              <w:rPr>
                <w:rFonts w:ascii="Arial" w:hAnsi="Arial" w:cs="Arial"/>
              </w:rPr>
              <w:t>Trajnostni tovorni promet</w:t>
            </w:r>
            <w:r w:rsidR="002F2C64" w:rsidRPr="00900F8E">
              <w:rPr>
                <w:rFonts w:ascii="Arial" w:hAnsi="Arial" w:cs="Arial"/>
              </w:rPr>
              <w:t xml:space="preserve"> (delež prepeljanega tovora po železnicah)</w:t>
            </w:r>
          </w:p>
        </w:tc>
        <w:tc>
          <w:tcPr>
            <w:tcW w:w="1701" w:type="dxa"/>
            <w:shd w:val="clear" w:color="auto" w:fill="auto"/>
          </w:tcPr>
          <w:p w14:paraId="03B823DA" w14:textId="47B8CCA0" w:rsidR="00130CBF" w:rsidRPr="00900F8E" w:rsidRDefault="00B21C99" w:rsidP="00540E1E">
            <w:pPr>
              <w:spacing w:before="20" w:after="20"/>
              <w:jc w:val="center"/>
              <w:rPr>
                <w:rFonts w:ascii="Arial" w:hAnsi="Arial" w:cs="Arial"/>
              </w:rPr>
            </w:pPr>
            <w:r w:rsidRPr="00900F8E">
              <w:rPr>
                <w:rFonts w:ascii="Arial" w:hAnsi="Arial" w:cs="Arial"/>
              </w:rPr>
              <w:t>25,6 %</w:t>
            </w:r>
          </w:p>
        </w:tc>
        <w:tc>
          <w:tcPr>
            <w:tcW w:w="1276" w:type="dxa"/>
          </w:tcPr>
          <w:p w14:paraId="453E753D" w14:textId="7A4781E9" w:rsidR="00130CBF" w:rsidRPr="00900F8E" w:rsidRDefault="00B21C99" w:rsidP="00540E1E">
            <w:pPr>
              <w:spacing w:before="20" w:after="20"/>
              <w:jc w:val="center"/>
              <w:rPr>
                <w:rFonts w:ascii="Arial" w:hAnsi="Arial" w:cs="Arial"/>
              </w:rPr>
            </w:pPr>
            <w:r w:rsidRPr="00900F8E">
              <w:rPr>
                <w:rFonts w:ascii="Arial" w:hAnsi="Arial" w:cs="Arial"/>
              </w:rPr>
              <w:t>24,8 %</w:t>
            </w:r>
          </w:p>
        </w:tc>
        <w:tc>
          <w:tcPr>
            <w:tcW w:w="1128" w:type="dxa"/>
          </w:tcPr>
          <w:p w14:paraId="115D4AFE" w14:textId="7B5BA6E6" w:rsidR="00130CBF" w:rsidRPr="00900F8E" w:rsidRDefault="00B21C99" w:rsidP="00540E1E">
            <w:pPr>
              <w:spacing w:before="20" w:after="20"/>
              <w:jc w:val="center"/>
              <w:rPr>
                <w:rFonts w:ascii="Arial" w:hAnsi="Arial" w:cs="Arial"/>
              </w:rPr>
            </w:pPr>
            <w:r w:rsidRPr="00900F8E">
              <w:rPr>
                <w:rFonts w:ascii="Arial" w:hAnsi="Arial" w:cs="Arial"/>
              </w:rPr>
              <w:t>22,</w:t>
            </w:r>
            <w:r w:rsidR="002F2C64" w:rsidRPr="00900F8E">
              <w:rPr>
                <w:rFonts w:ascii="Arial" w:hAnsi="Arial" w:cs="Arial"/>
              </w:rPr>
              <w:t>5</w:t>
            </w:r>
            <w:r w:rsidRPr="00900F8E">
              <w:rPr>
                <w:rFonts w:ascii="Arial" w:hAnsi="Arial" w:cs="Arial"/>
              </w:rPr>
              <w:t xml:space="preserve"> %</w:t>
            </w:r>
          </w:p>
        </w:tc>
        <w:tc>
          <w:tcPr>
            <w:tcW w:w="663" w:type="dxa"/>
            <w:shd w:val="clear" w:color="auto" w:fill="FF0000"/>
          </w:tcPr>
          <w:p w14:paraId="2A596073" w14:textId="484B71E5" w:rsidR="00130CBF" w:rsidRPr="00900F8E" w:rsidRDefault="00130CBF" w:rsidP="00540E1E">
            <w:pPr>
              <w:spacing w:before="20" w:after="20"/>
              <w:jc w:val="center"/>
              <w:rPr>
                <w:rFonts w:ascii="Arial" w:hAnsi="Arial" w:cs="Arial"/>
                <w:b/>
                <w:bCs/>
              </w:rPr>
            </w:pPr>
          </w:p>
        </w:tc>
      </w:tr>
    </w:tbl>
    <w:p w14:paraId="06F8C011" w14:textId="77777777" w:rsidR="0095505B" w:rsidRPr="00900F8E" w:rsidRDefault="0095505B" w:rsidP="00763958">
      <w:pPr>
        <w:spacing w:after="0" w:line="240" w:lineRule="auto"/>
        <w:jc w:val="both"/>
        <w:rPr>
          <w:rFonts w:ascii="Arial" w:hAnsi="Arial" w:cs="Arial"/>
        </w:rPr>
      </w:pPr>
    </w:p>
    <w:p w14:paraId="6DE6B1A2" w14:textId="77777777" w:rsidR="00BF58C4" w:rsidRPr="00900F8E" w:rsidRDefault="00BF58C4" w:rsidP="00763958">
      <w:pPr>
        <w:spacing w:after="0" w:line="240" w:lineRule="auto"/>
        <w:jc w:val="both"/>
        <w:rPr>
          <w:rFonts w:ascii="Arial" w:hAnsi="Arial" w:cs="Arial"/>
        </w:rPr>
      </w:pPr>
    </w:p>
    <w:p w14:paraId="27E6865F" w14:textId="77777777" w:rsidR="00BF58C4" w:rsidRPr="00900F8E" w:rsidRDefault="00BF58C4" w:rsidP="00763958">
      <w:pPr>
        <w:spacing w:after="0" w:line="240" w:lineRule="auto"/>
        <w:jc w:val="both"/>
        <w:rPr>
          <w:rFonts w:ascii="Arial" w:hAnsi="Arial" w:cs="Arial"/>
        </w:rPr>
      </w:pPr>
    </w:p>
    <w:p w14:paraId="59578A9D" w14:textId="27BD0E34" w:rsidR="000252F6" w:rsidRPr="00900F8E" w:rsidRDefault="006F1839" w:rsidP="00763958">
      <w:pPr>
        <w:spacing w:after="0" w:line="240" w:lineRule="auto"/>
        <w:jc w:val="both"/>
        <w:rPr>
          <w:rFonts w:ascii="Arial" w:hAnsi="Arial" w:cs="Arial"/>
        </w:rPr>
      </w:pPr>
      <w:r w:rsidRPr="00900F8E">
        <w:rPr>
          <w:rFonts w:ascii="Arial" w:hAnsi="Arial" w:cs="Arial"/>
        </w:rPr>
        <w:t>Povprečne e</w:t>
      </w:r>
      <w:r w:rsidR="00FA4A02" w:rsidRPr="00900F8E">
        <w:rPr>
          <w:rFonts w:ascii="Arial" w:hAnsi="Arial" w:cs="Arial"/>
        </w:rPr>
        <w:t xml:space="preserve">misije </w:t>
      </w:r>
      <w:r w:rsidR="00BF1321" w:rsidRPr="00900F8E">
        <w:rPr>
          <w:rFonts w:ascii="Arial" w:hAnsi="Arial" w:cs="Arial"/>
        </w:rPr>
        <w:t>CO</w:t>
      </w:r>
      <w:r w:rsidR="00BF1321" w:rsidRPr="00900F8E">
        <w:rPr>
          <w:rFonts w:ascii="Arial" w:hAnsi="Arial" w:cs="Arial"/>
          <w:vertAlign w:val="subscript"/>
        </w:rPr>
        <w:t>2</w:t>
      </w:r>
      <w:r w:rsidR="00FA4A02" w:rsidRPr="00900F8E">
        <w:rPr>
          <w:rFonts w:ascii="Arial" w:hAnsi="Arial" w:cs="Arial"/>
        </w:rPr>
        <w:t xml:space="preserve"> </w:t>
      </w:r>
      <w:r w:rsidRPr="00900F8E">
        <w:rPr>
          <w:rFonts w:ascii="Arial" w:hAnsi="Arial" w:cs="Arial"/>
        </w:rPr>
        <w:t>novih osebnih vozil so se v obdobju 2010</w:t>
      </w:r>
      <w:r w:rsidR="009B1AF1">
        <w:rPr>
          <w:rFonts w:ascii="Arial" w:hAnsi="Arial" w:cs="Arial"/>
        </w:rPr>
        <w:t>–</w:t>
      </w:r>
      <w:r w:rsidRPr="00900F8E">
        <w:rPr>
          <w:rFonts w:ascii="Arial" w:hAnsi="Arial" w:cs="Arial"/>
        </w:rPr>
        <w:t>2020 zmanjševale hitreje kot povprečne specifične emisije za vsa osebna vozila.</w:t>
      </w:r>
      <w:r w:rsidR="00620B22" w:rsidRPr="00900F8E">
        <w:rPr>
          <w:rFonts w:ascii="Arial" w:hAnsi="Arial" w:cs="Arial"/>
        </w:rPr>
        <w:t xml:space="preserve"> </w:t>
      </w:r>
      <w:r w:rsidR="006606F9" w:rsidRPr="00900F8E">
        <w:rPr>
          <w:rFonts w:ascii="Arial" w:hAnsi="Arial" w:cs="Arial"/>
        </w:rPr>
        <w:t>K</w:t>
      </w:r>
      <w:r w:rsidR="000252F6" w:rsidRPr="00900F8E">
        <w:rPr>
          <w:rFonts w:ascii="Arial" w:hAnsi="Arial" w:cs="Arial"/>
        </w:rPr>
        <w:t xml:space="preserve"> zniževanj</w:t>
      </w:r>
      <w:r w:rsidR="006606F9" w:rsidRPr="00900F8E">
        <w:rPr>
          <w:rFonts w:ascii="Arial" w:hAnsi="Arial" w:cs="Arial"/>
        </w:rPr>
        <w:t>u</w:t>
      </w:r>
      <w:r w:rsidR="000252F6" w:rsidRPr="00900F8E">
        <w:rPr>
          <w:rFonts w:ascii="Arial" w:hAnsi="Arial" w:cs="Arial"/>
        </w:rPr>
        <w:t xml:space="preserve"> specifičnih emisij novih vozil</w:t>
      </w:r>
      <w:r w:rsidR="006606F9" w:rsidRPr="00900F8E">
        <w:rPr>
          <w:rFonts w:ascii="Arial" w:hAnsi="Arial" w:cs="Arial"/>
        </w:rPr>
        <w:t xml:space="preserve"> je pripomoglo tudi</w:t>
      </w:r>
      <w:r w:rsidR="000252F6" w:rsidRPr="00900F8E">
        <w:rPr>
          <w:rFonts w:ascii="Arial" w:hAnsi="Arial" w:cs="Arial"/>
        </w:rPr>
        <w:t xml:space="preserve"> izkoriščanje pomanjkljivosti merilnega cikla, zaradi česar se je povečevala razlika med tovarniškimi podatki in dejansko rabo energije in specifičnimi emisijami </w:t>
      </w:r>
      <w:r w:rsidR="00BF1321" w:rsidRPr="00900F8E">
        <w:rPr>
          <w:rFonts w:ascii="Arial" w:hAnsi="Arial" w:cs="Arial"/>
        </w:rPr>
        <w:t>CO</w:t>
      </w:r>
      <w:r w:rsidR="00BF1321" w:rsidRPr="00900F8E">
        <w:rPr>
          <w:rFonts w:ascii="Arial" w:hAnsi="Arial" w:cs="Arial"/>
          <w:vertAlign w:val="subscript"/>
        </w:rPr>
        <w:t>2</w:t>
      </w:r>
      <w:r w:rsidR="000252F6" w:rsidRPr="00900F8E">
        <w:rPr>
          <w:rFonts w:ascii="Arial" w:hAnsi="Arial" w:cs="Arial"/>
        </w:rPr>
        <w:t>.</w:t>
      </w:r>
      <w:r w:rsidR="00BD4644" w:rsidRPr="00900F8E">
        <w:rPr>
          <w:rFonts w:ascii="Arial" w:hAnsi="Arial" w:cs="Arial"/>
        </w:rPr>
        <w:t xml:space="preserve"> </w:t>
      </w:r>
      <w:r w:rsidR="007D60A5" w:rsidRPr="00900F8E">
        <w:rPr>
          <w:rFonts w:ascii="Arial" w:hAnsi="Arial" w:cs="Arial"/>
        </w:rPr>
        <w:t>Razliko je z letom 2017 ustavila uvedba</w:t>
      </w:r>
      <w:r w:rsidR="00BD4644" w:rsidRPr="00900F8E">
        <w:rPr>
          <w:rFonts w:ascii="Arial" w:hAnsi="Arial" w:cs="Arial"/>
        </w:rPr>
        <w:t xml:space="preserve"> nov</w:t>
      </w:r>
      <w:r w:rsidR="007D60A5" w:rsidRPr="00900F8E">
        <w:rPr>
          <w:rFonts w:ascii="Arial" w:hAnsi="Arial" w:cs="Arial"/>
        </w:rPr>
        <w:t>ega</w:t>
      </w:r>
      <w:r w:rsidR="00BD4644" w:rsidRPr="00900F8E">
        <w:rPr>
          <w:rFonts w:ascii="Arial" w:hAnsi="Arial" w:cs="Arial"/>
        </w:rPr>
        <w:t xml:space="preserve"> meriln</w:t>
      </w:r>
      <w:r w:rsidR="007D60A5" w:rsidRPr="00900F8E">
        <w:rPr>
          <w:rFonts w:ascii="Arial" w:hAnsi="Arial" w:cs="Arial"/>
        </w:rPr>
        <w:t>ega</w:t>
      </w:r>
      <w:r w:rsidR="00BD4644" w:rsidRPr="00900F8E">
        <w:rPr>
          <w:rFonts w:ascii="Arial" w:hAnsi="Arial" w:cs="Arial"/>
        </w:rPr>
        <w:t xml:space="preserve"> cik</w:t>
      </w:r>
      <w:r w:rsidR="007D60A5" w:rsidRPr="00900F8E">
        <w:rPr>
          <w:rFonts w:ascii="Arial" w:hAnsi="Arial" w:cs="Arial"/>
        </w:rPr>
        <w:t>la</w:t>
      </w:r>
      <w:r w:rsidR="00BD4644" w:rsidRPr="00900F8E">
        <w:rPr>
          <w:rFonts w:ascii="Arial" w:hAnsi="Arial" w:cs="Arial"/>
        </w:rPr>
        <w:t xml:space="preserve"> WLTP (</w:t>
      </w:r>
      <w:proofErr w:type="spellStart"/>
      <w:r w:rsidR="00BD4644" w:rsidRPr="00E615AF">
        <w:rPr>
          <w:rFonts w:ascii="Arial" w:hAnsi="Arial" w:cs="Arial"/>
          <w:i/>
        </w:rPr>
        <w:t>Worldwide</w:t>
      </w:r>
      <w:proofErr w:type="spellEnd"/>
      <w:r w:rsidR="00BD4644" w:rsidRPr="00E615AF">
        <w:rPr>
          <w:rFonts w:ascii="Arial" w:hAnsi="Arial" w:cs="Arial"/>
          <w:i/>
        </w:rPr>
        <w:t xml:space="preserve"> </w:t>
      </w:r>
      <w:proofErr w:type="spellStart"/>
      <w:r w:rsidR="00BD4644" w:rsidRPr="00E615AF">
        <w:rPr>
          <w:rFonts w:ascii="Arial" w:hAnsi="Arial" w:cs="Arial"/>
          <w:i/>
        </w:rPr>
        <w:t>Harmonised</w:t>
      </w:r>
      <w:proofErr w:type="spellEnd"/>
      <w:r w:rsidR="00BD4644" w:rsidRPr="00E615AF">
        <w:rPr>
          <w:rFonts w:ascii="Arial" w:hAnsi="Arial" w:cs="Arial"/>
          <w:i/>
        </w:rPr>
        <w:t xml:space="preserve"> </w:t>
      </w:r>
      <w:proofErr w:type="spellStart"/>
      <w:r w:rsidR="00BD4644" w:rsidRPr="00E615AF">
        <w:rPr>
          <w:rFonts w:ascii="Arial" w:hAnsi="Arial" w:cs="Arial"/>
          <w:i/>
        </w:rPr>
        <w:t>Light</w:t>
      </w:r>
      <w:proofErr w:type="spellEnd"/>
      <w:r w:rsidR="00BD4644" w:rsidRPr="00E615AF">
        <w:rPr>
          <w:rFonts w:ascii="Arial" w:hAnsi="Arial" w:cs="Arial"/>
          <w:i/>
        </w:rPr>
        <w:t xml:space="preserve"> </w:t>
      </w:r>
      <w:proofErr w:type="spellStart"/>
      <w:r w:rsidR="00BD4644" w:rsidRPr="00E615AF">
        <w:rPr>
          <w:rFonts w:ascii="Arial" w:hAnsi="Arial" w:cs="Arial"/>
          <w:i/>
        </w:rPr>
        <w:t>Vehicle</w:t>
      </w:r>
      <w:proofErr w:type="spellEnd"/>
      <w:r w:rsidR="00BD4644" w:rsidRPr="00E615AF">
        <w:rPr>
          <w:rFonts w:ascii="Arial" w:hAnsi="Arial" w:cs="Arial"/>
          <w:i/>
        </w:rPr>
        <w:t xml:space="preserve"> Test Procedure</w:t>
      </w:r>
      <w:r w:rsidR="00BD4644" w:rsidRPr="00900F8E">
        <w:rPr>
          <w:rFonts w:ascii="Arial" w:hAnsi="Arial" w:cs="Arial"/>
        </w:rPr>
        <w:t>)</w:t>
      </w:r>
      <w:r w:rsidR="007D60A5" w:rsidRPr="00900F8E">
        <w:rPr>
          <w:rFonts w:ascii="Arial" w:hAnsi="Arial" w:cs="Arial"/>
        </w:rPr>
        <w:t>. Kljub povečevanju učinkovitosti vozil se povprečna specifična raba vozil ne zmanjšuje, ker se povečujeta velikost in teža vozil ter tudi moč njihovih motorjev.</w:t>
      </w:r>
    </w:p>
    <w:p w14:paraId="7A31B826" w14:textId="44FD06C0" w:rsidR="000322F7" w:rsidRPr="00900F8E" w:rsidRDefault="005335E3" w:rsidP="00763958">
      <w:pPr>
        <w:spacing w:after="0" w:line="240" w:lineRule="auto"/>
        <w:jc w:val="both"/>
        <w:rPr>
          <w:rFonts w:ascii="Arial" w:hAnsi="Arial" w:cs="Arial"/>
        </w:rPr>
      </w:pPr>
      <w:r w:rsidRPr="00900F8E">
        <w:rPr>
          <w:rFonts w:ascii="Arial" w:hAnsi="Arial" w:cs="Arial"/>
        </w:rPr>
        <w:t>Občutno znižanje specifičnih emisij</w:t>
      </w:r>
      <w:r w:rsidR="00BF1321" w:rsidRPr="00900F8E">
        <w:rPr>
          <w:rFonts w:ascii="Arial" w:hAnsi="Arial" w:cs="Arial"/>
        </w:rPr>
        <w:t xml:space="preserve"> CO</w:t>
      </w:r>
      <w:r w:rsidR="00BF1321" w:rsidRPr="00900F8E">
        <w:rPr>
          <w:rFonts w:ascii="Arial" w:hAnsi="Arial" w:cs="Arial"/>
          <w:vertAlign w:val="subscript"/>
        </w:rPr>
        <w:t>2</w:t>
      </w:r>
      <w:r w:rsidR="00BF1321" w:rsidRPr="00900F8E">
        <w:rPr>
          <w:rFonts w:ascii="Arial" w:hAnsi="Arial" w:cs="Arial"/>
        </w:rPr>
        <w:t xml:space="preserve"> </w:t>
      </w:r>
      <w:r w:rsidRPr="00900F8E">
        <w:rPr>
          <w:rFonts w:ascii="Arial" w:hAnsi="Arial" w:cs="Arial"/>
        </w:rPr>
        <w:t xml:space="preserve">leta 2020 je zlasti posledica znižanja emisij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rPr>
        <w:t xml:space="preserve"> vozil z motorji z notranjim zgorevanjem ter tudi povečanja deleža električnih vozil (</w:t>
      </w:r>
      <w:r w:rsidR="00C12203" w:rsidRPr="00900F8E">
        <w:rPr>
          <w:rFonts w:ascii="Arial" w:hAnsi="Arial" w:cs="Arial"/>
        </w:rPr>
        <w:t xml:space="preserve">baterijsko električnih </w:t>
      </w:r>
      <w:r w:rsidRPr="00900F8E">
        <w:rPr>
          <w:rFonts w:ascii="Arial" w:hAnsi="Arial" w:cs="Arial"/>
        </w:rPr>
        <w:t xml:space="preserve">in </w:t>
      </w:r>
      <w:r w:rsidR="00C12203" w:rsidRPr="00900F8E">
        <w:rPr>
          <w:rFonts w:ascii="Arial" w:hAnsi="Arial" w:cs="Arial"/>
        </w:rPr>
        <w:t>priključn</w:t>
      </w:r>
      <w:r w:rsidR="001E06A3" w:rsidRPr="00900F8E">
        <w:rPr>
          <w:rFonts w:ascii="Arial" w:hAnsi="Arial" w:cs="Arial"/>
        </w:rPr>
        <w:t>o hibridnih vozil</w:t>
      </w:r>
      <w:r w:rsidRPr="00900F8E">
        <w:rPr>
          <w:rFonts w:ascii="Arial" w:hAnsi="Arial" w:cs="Arial"/>
        </w:rPr>
        <w:t>).</w:t>
      </w:r>
    </w:p>
    <w:p w14:paraId="446C6D92" w14:textId="0035CDB2" w:rsidR="00A249FE" w:rsidRDefault="00694CF1" w:rsidP="00A249FE">
      <w:pPr>
        <w:keepNext/>
        <w:spacing w:after="0" w:line="240" w:lineRule="auto"/>
        <w:jc w:val="center"/>
      </w:pPr>
      <w:r>
        <w:rPr>
          <w:rFonts w:ascii="Arial" w:hAnsi="Arial" w:cs="Arial"/>
          <w:noProof/>
          <w:lang w:eastAsia="sl-SI"/>
        </w:rPr>
        <w:lastRenderedPageBreak/>
        <w:drawing>
          <wp:inline distT="0" distB="0" distL="0" distR="0" wp14:anchorId="7C9C4DE0" wp14:editId="349B546D">
            <wp:extent cx="5619750" cy="2952750"/>
            <wp:effectExtent l="0" t="0" r="0" b="0"/>
            <wp:docPr id="24" name="Slika 24" descr="Slika 6: Primerjava specifičnih emisij CO2 novih vozil s cilji za leto 2015 in 2021 ter s specifičnimi emisijami CO2 vseh vozil (Vir: ARSO,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descr="Slika 6: Primerjava specifičnih emisij CO2 novih vozil s cilji za leto 2015 in 2021 ter s specifičnimi emisijami CO2 vseh vozil (Vir: ARSO, IJS-C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2952750"/>
                    </a:xfrm>
                    <a:prstGeom prst="rect">
                      <a:avLst/>
                    </a:prstGeom>
                    <a:noFill/>
                    <a:ln>
                      <a:noFill/>
                    </a:ln>
                  </pic:spPr>
                </pic:pic>
              </a:graphicData>
            </a:graphic>
          </wp:inline>
        </w:drawing>
      </w:r>
    </w:p>
    <w:p w14:paraId="2B20DBEA" w14:textId="77777777" w:rsidR="00A249FE" w:rsidRDefault="00A249FE" w:rsidP="00A249FE">
      <w:pPr>
        <w:keepNext/>
        <w:spacing w:after="0" w:line="240" w:lineRule="auto"/>
        <w:jc w:val="center"/>
      </w:pPr>
    </w:p>
    <w:p w14:paraId="0D16A06A" w14:textId="1AD6B710" w:rsidR="00973DA8" w:rsidRPr="00A249FE" w:rsidRDefault="00A249FE" w:rsidP="00A249FE">
      <w:pPr>
        <w:pStyle w:val="Napis"/>
        <w:jc w:val="center"/>
        <w:rPr>
          <w:rFonts w:ascii="Arial" w:hAnsi="Arial" w:cs="Arial"/>
          <w:b/>
          <w:bCs/>
          <w:i w:val="0"/>
          <w:iCs w:val="0"/>
          <w:color w:val="auto"/>
          <w:sz w:val="20"/>
          <w:szCs w:val="20"/>
        </w:rPr>
      </w:pPr>
      <w:bookmarkStart w:id="15" w:name="_Toc112840955"/>
      <w:r w:rsidRPr="00A249FE">
        <w:rPr>
          <w:rFonts w:ascii="Arial" w:hAnsi="Arial" w:cs="Arial"/>
          <w:b/>
          <w:bCs/>
          <w:i w:val="0"/>
          <w:iCs w:val="0"/>
          <w:color w:val="auto"/>
          <w:sz w:val="20"/>
          <w:szCs w:val="20"/>
        </w:rPr>
        <w:t xml:space="preserve">Slika </w:t>
      </w:r>
      <w:r w:rsidRPr="00A249FE">
        <w:rPr>
          <w:rFonts w:ascii="Arial" w:hAnsi="Arial" w:cs="Arial"/>
          <w:b/>
          <w:bCs/>
          <w:i w:val="0"/>
          <w:iCs w:val="0"/>
          <w:color w:val="auto"/>
          <w:sz w:val="20"/>
          <w:szCs w:val="20"/>
        </w:rPr>
        <w:fldChar w:fldCharType="begin"/>
      </w:r>
      <w:r w:rsidRPr="00A249FE">
        <w:rPr>
          <w:rFonts w:ascii="Arial" w:hAnsi="Arial" w:cs="Arial"/>
          <w:b/>
          <w:bCs/>
          <w:i w:val="0"/>
          <w:iCs w:val="0"/>
          <w:color w:val="auto"/>
          <w:sz w:val="20"/>
          <w:szCs w:val="20"/>
        </w:rPr>
        <w:instrText xml:space="preserve"> SEQ Slika \* ARABIC </w:instrText>
      </w:r>
      <w:r w:rsidRPr="00A249FE">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6</w:t>
      </w:r>
      <w:r w:rsidRPr="00A249FE">
        <w:rPr>
          <w:rFonts w:ascii="Arial" w:hAnsi="Arial" w:cs="Arial"/>
          <w:b/>
          <w:bCs/>
          <w:i w:val="0"/>
          <w:iCs w:val="0"/>
          <w:color w:val="auto"/>
          <w:sz w:val="20"/>
          <w:szCs w:val="20"/>
        </w:rPr>
        <w:fldChar w:fldCharType="end"/>
      </w:r>
      <w:r w:rsidRPr="00A249FE">
        <w:rPr>
          <w:rFonts w:ascii="Arial" w:hAnsi="Arial" w:cs="Arial"/>
          <w:b/>
          <w:bCs/>
          <w:i w:val="0"/>
          <w:iCs w:val="0"/>
          <w:color w:val="auto"/>
          <w:sz w:val="20"/>
          <w:szCs w:val="20"/>
        </w:rPr>
        <w:t>: Primerjava specifičnih emisij CO2 novih vozil s cilji za let</w:t>
      </w:r>
      <w:r w:rsidR="00837CCD">
        <w:rPr>
          <w:rFonts w:ascii="Arial" w:hAnsi="Arial" w:cs="Arial"/>
          <w:b/>
          <w:bCs/>
          <w:i w:val="0"/>
          <w:iCs w:val="0"/>
          <w:color w:val="auto"/>
          <w:sz w:val="20"/>
          <w:szCs w:val="20"/>
        </w:rPr>
        <w:t>i</w:t>
      </w:r>
      <w:r w:rsidRPr="00A249FE">
        <w:rPr>
          <w:rFonts w:ascii="Arial" w:hAnsi="Arial" w:cs="Arial"/>
          <w:b/>
          <w:bCs/>
          <w:i w:val="0"/>
          <w:iCs w:val="0"/>
          <w:color w:val="auto"/>
          <w:sz w:val="20"/>
          <w:szCs w:val="20"/>
        </w:rPr>
        <w:t xml:space="preserve"> 2015 in 2021 ter s specifičnimi emisijami CO2 vseh vozil (Vir: ARSO, IJS-CEU)</w:t>
      </w:r>
      <w:bookmarkEnd w:id="15"/>
    </w:p>
    <w:p w14:paraId="622D74B8" w14:textId="77777777" w:rsidR="00694CF1" w:rsidRPr="00900F8E" w:rsidRDefault="00694CF1" w:rsidP="000322F7">
      <w:pPr>
        <w:spacing w:after="0" w:line="240" w:lineRule="auto"/>
        <w:jc w:val="center"/>
        <w:rPr>
          <w:rFonts w:ascii="Arial" w:hAnsi="Arial" w:cs="Arial"/>
        </w:rPr>
      </w:pPr>
    </w:p>
    <w:p w14:paraId="66D59483" w14:textId="77777777" w:rsidR="00BF58C4" w:rsidRPr="00900F8E" w:rsidRDefault="00BF58C4" w:rsidP="00763958">
      <w:pPr>
        <w:spacing w:after="0" w:line="240" w:lineRule="auto"/>
        <w:jc w:val="both"/>
        <w:rPr>
          <w:rFonts w:ascii="Arial" w:hAnsi="Arial" w:cs="Arial"/>
        </w:rPr>
      </w:pPr>
    </w:p>
    <w:p w14:paraId="76ADA977" w14:textId="7838A1CA" w:rsidR="00E153D6" w:rsidRDefault="0095505B" w:rsidP="00763958">
      <w:pPr>
        <w:spacing w:after="0" w:line="240" w:lineRule="auto"/>
        <w:jc w:val="both"/>
        <w:rPr>
          <w:rFonts w:ascii="Arial" w:hAnsi="Arial" w:cs="Arial"/>
        </w:rPr>
      </w:pPr>
      <w:r w:rsidRPr="00900F8E">
        <w:rPr>
          <w:rFonts w:ascii="Arial" w:hAnsi="Arial" w:cs="Arial"/>
        </w:rPr>
        <w:t xml:space="preserve">Po rasti v letu 2019 se je v letu 2020 število skupnih potniških kilometrov v javnem potniškem prevozu (v </w:t>
      </w:r>
      <w:r w:rsidR="00930529">
        <w:rPr>
          <w:rFonts w:ascii="Arial" w:hAnsi="Arial" w:cs="Arial"/>
        </w:rPr>
        <w:t>nadaljnjem besedilu</w:t>
      </w:r>
      <w:r w:rsidRPr="00900F8E">
        <w:rPr>
          <w:rFonts w:ascii="Arial" w:hAnsi="Arial" w:cs="Arial"/>
        </w:rPr>
        <w:t xml:space="preserve">: JPP) sunkovito zmanjšalo zaradi popolne ustavitve JPP </w:t>
      </w:r>
      <w:r w:rsidR="00B965D7" w:rsidRPr="00900F8E">
        <w:rPr>
          <w:rFonts w:ascii="Arial" w:hAnsi="Arial" w:cs="Arial"/>
        </w:rPr>
        <w:t>zaradi</w:t>
      </w:r>
      <w:r w:rsidRPr="00900F8E">
        <w:rPr>
          <w:rFonts w:ascii="Arial" w:hAnsi="Arial" w:cs="Arial"/>
        </w:rPr>
        <w:t xml:space="preserve"> ukrepov ob epidemiji covid</w:t>
      </w:r>
      <w:r w:rsidR="00837CCD">
        <w:rPr>
          <w:rFonts w:ascii="Arial" w:hAnsi="Arial" w:cs="Arial"/>
        </w:rPr>
        <w:t>a</w:t>
      </w:r>
      <w:r w:rsidRPr="00900F8E">
        <w:rPr>
          <w:rFonts w:ascii="Arial" w:hAnsi="Arial" w:cs="Arial"/>
        </w:rPr>
        <w:t>-19.</w:t>
      </w:r>
      <w:r w:rsidR="00C4182D" w:rsidRPr="00900F8E">
        <w:rPr>
          <w:rFonts w:ascii="Arial" w:hAnsi="Arial" w:cs="Arial"/>
        </w:rPr>
        <w:t xml:space="preserve"> Višj</w:t>
      </w:r>
      <w:r w:rsidR="00087079" w:rsidRPr="00900F8E">
        <w:rPr>
          <w:rFonts w:ascii="Arial" w:hAnsi="Arial" w:cs="Arial"/>
        </w:rPr>
        <w:t>a rast</w:t>
      </w:r>
      <w:r w:rsidR="00C4182D" w:rsidRPr="00900F8E">
        <w:rPr>
          <w:rFonts w:ascii="Arial" w:hAnsi="Arial" w:cs="Arial"/>
        </w:rPr>
        <w:t xml:space="preserve"> v letu 2017 </w:t>
      </w:r>
      <w:r w:rsidR="00087079" w:rsidRPr="00900F8E">
        <w:rPr>
          <w:rFonts w:ascii="Arial" w:hAnsi="Arial" w:cs="Arial"/>
        </w:rPr>
        <w:t>je</w:t>
      </w:r>
      <w:r w:rsidR="00C4182D" w:rsidRPr="00900F8E">
        <w:rPr>
          <w:rFonts w:ascii="Arial" w:hAnsi="Arial" w:cs="Arial"/>
        </w:rPr>
        <w:t xml:space="preserve"> posledica spremembe metodologije zbiranja nekaterih podatkov.</w:t>
      </w:r>
    </w:p>
    <w:p w14:paraId="32B41904" w14:textId="77777777" w:rsidR="00694CF1" w:rsidRPr="00900F8E" w:rsidRDefault="00694CF1" w:rsidP="00763958">
      <w:pPr>
        <w:spacing w:after="0" w:line="240" w:lineRule="auto"/>
        <w:jc w:val="both"/>
        <w:rPr>
          <w:rFonts w:ascii="Arial" w:hAnsi="Arial" w:cs="Arial"/>
        </w:rPr>
      </w:pPr>
    </w:p>
    <w:p w14:paraId="0647F4B7" w14:textId="77777777" w:rsidR="0095505B" w:rsidRPr="00900F8E" w:rsidRDefault="0095505B" w:rsidP="00763958">
      <w:pPr>
        <w:spacing w:after="0" w:line="240" w:lineRule="auto"/>
        <w:jc w:val="both"/>
        <w:rPr>
          <w:rFonts w:ascii="Arial" w:hAnsi="Arial" w:cs="Arial"/>
        </w:rPr>
      </w:pPr>
    </w:p>
    <w:p w14:paraId="5AD5F910" w14:textId="77777777" w:rsidR="00F678E7" w:rsidRDefault="00694CF1" w:rsidP="00A249FE">
      <w:pPr>
        <w:keepNext/>
        <w:spacing w:after="0" w:line="240" w:lineRule="auto"/>
        <w:jc w:val="center"/>
        <w:rPr>
          <w:rFonts w:ascii="Arial" w:hAnsi="Arial" w:cs="Arial"/>
          <w:b/>
          <w:bCs/>
          <w:sz w:val="20"/>
          <w:szCs w:val="20"/>
        </w:rPr>
      </w:pPr>
      <w:r>
        <w:rPr>
          <w:rFonts w:ascii="Arial" w:hAnsi="Arial" w:cs="Arial"/>
          <w:noProof/>
          <w:lang w:eastAsia="sl-SI"/>
        </w:rPr>
        <w:drawing>
          <wp:inline distT="0" distB="0" distL="0" distR="0" wp14:anchorId="4632FA9A" wp14:editId="0E7B371F">
            <wp:extent cx="5495925" cy="3137674"/>
            <wp:effectExtent l="0" t="0" r="0" b="5715"/>
            <wp:docPr id="26" name="Slika 26" descr="Slika 7: Gibanje potniških kilometrov po vrstah prevoza za leta 2005 in 2011−2020 (Vir: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descr="Slika 7: Gibanje potniških kilometrov po vrstah prevoza za leta 2005 in 2011−2020 (Vir: IJS-CE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8195" cy="3138970"/>
                    </a:xfrm>
                    <a:prstGeom prst="rect">
                      <a:avLst/>
                    </a:prstGeom>
                    <a:noFill/>
                    <a:ln>
                      <a:noFill/>
                    </a:ln>
                  </pic:spPr>
                </pic:pic>
              </a:graphicData>
            </a:graphic>
          </wp:inline>
        </w:drawing>
      </w:r>
    </w:p>
    <w:p w14:paraId="48BC0FDA" w14:textId="77777777" w:rsidR="00F678E7" w:rsidRDefault="00F678E7" w:rsidP="00A249FE">
      <w:pPr>
        <w:keepNext/>
        <w:spacing w:after="0" w:line="240" w:lineRule="auto"/>
        <w:jc w:val="center"/>
        <w:rPr>
          <w:rFonts w:ascii="Arial" w:hAnsi="Arial" w:cs="Arial"/>
          <w:b/>
          <w:bCs/>
          <w:sz w:val="20"/>
          <w:szCs w:val="20"/>
        </w:rPr>
      </w:pPr>
    </w:p>
    <w:p w14:paraId="48076EE4" w14:textId="60471E00" w:rsidR="0095505B" w:rsidRPr="00900F8E" w:rsidRDefault="00A249FE" w:rsidP="00A249FE">
      <w:pPr>
        <w:keepNext/>
        <w:spacing w:after="0" w:line="240" w:lineRule="auto"/>
        <w:jc w:val="center"/>
        <w:rPr>
          <w:rFonts w:ascii="Arial" w:hAnsi="Arial" w:cs="Arial"/>
        </w:rPr>
      </w:pPr>
      <w:bookmarkStart w:id="16" w:name="_Toc112840956"/>
      <w:r w:rsidRPr="00A249FE">
        <w:rPr>
          <w:rFonts w:ascii="Arial" w:hAnsi="Arial" w:cs="Arial"/>
          <w:b/>
          <w:bCs/>
          <w:sz w:val="20"/>
          <w:szCs w:val="20"/>
        </w:rPr>
        <w:t xml:space="preserve">Slika </w:t>
      </w:r>
      <w:r w:rsidRPr="00A249FE">
        <w:rPr>
          <w:rFonts w:ascii="Arial" w:hAnsi="Arial" w:cs="Arial"/>
          <w:b/>
          <w:bCs/>
          <w:sz w:val="20"/>
          <w:szCs w:val="20"/>
        </w:rPr>
        <w:fldChar w:fldCharType="begin"/>
      </w:r>
      <w:r w:rsidRPr="00A249FE">
        <w:rPr>
          <w:rFonts w:ascii="Arial" w:hAnsi="Arial" w:cs="Arial"/>
          <w:b/>
          <w:bCs/>
          <w:sz w:val="20"/>
          <w:szCs w:val="20"/>
        </w:rPr>
        <w:instrText xml:space="preserve"> SEQ Slika \* ARABIC </w:instrText>
      </w:r>
      <w:r w:rsidRPr="00A249FE">
        <w:rPr>
          <w:rFonts w:ascii="Arial" w:hAnsi="Arial" w:cs="Arial"/>
          <w:b/>
          <w:bCs/>
          <w:sz w:val="20"/>
          <w:szCs w:val="20"/>
        </w:rPr>
        <w:fldChar w:fldCharType="separate"/>
      </w:r>
      <w:r w:rsidR="009B48AB">
        <w:rPr>
          <w:rFonts w:ascii="Arial" w:hAnsi="Arial" w:cs="Arial"/>
          <w:b/>
          <w:bCs/>
          <w:noProof/>
          <w:sz w:val="20"/>
          <w:szCs w:val="20"/>
        </w:rPr>
        <w:t>7</w:t>
      </w:r>
      <w:r w:rsidRPr="00A249FE">
        <w:rPr>
          <w:rFonts w:ascii="Arial" w:hAnsi="Arial" w:cs="Arial"/>
          <w:b/>
          <w:bCs/>
          <w:sz w:val="20"/>
          <w:szCs w:val="20"/>
        </w:rPr>
        <w:fldChar w:fldCharType="end"/>
      </w:r>
      <w:r w:rsidRPr="00A249FE">
        <w:rPr>
          <w:rFonts w:ascii="Arial" w:hAnsi="Arial" w:cs="Arial"/>
          <w:b/>
          <w:bCs/>
          <w:sz w:val="20"/>
          <w:szCs w:val="20"/>
        </w:rPr>
        <w:t>: Gibanje potniških kilometrov po vrstah prevoza za leta 2005 in 2011−2020 (Vir: IJS-CEU)</w:t>
      </w:r>
      <w:bookmarkEnd w:id="16"/>
    </w:p>
    <w:p w14:paraId="703D3FA6" w14:textId="77777777" w:rsidR="00364900" w:rsidRPr="00900F8E" w:rsidRDefault="00364900" w:rsidP="0095505B">
      <w:pPr>
        <w:spacing w:after="0" w:line="240" w:lineRule="auto"/>
        <w:jc w:val="center"/>
        <w:rPr>
          <w:rFonts w:ascii="Arial" w:hAnsi="Arial" w:cs="Arial"/>
        </w:rPr>
      </w:pPr>
    </w:p>
    <w:p w14:paraId="67F9522D" w14:textId="77777777" w:rsidR="000322F7" w:rsidRPr="00900F8E" w:rsidRDefault="000322F7" w:rsidP="0095505B">
      <w:pPr>
        <w:spacing w:after="0" w:line="240" w:lineRule="auto"/>
        <w:jc w:val="center"/>
        <w:rPr>
          <w:rFonts w:ascii="Arial" w:hAnsi="Arial" w:cs="Arial"/>
          <w:b/>
          <w:bCs/>
        </w:rPr>
      </w:pPr>
    </w:p>
    <w:p w14:paraId="2F4E5AF5" w14:textId="2EE56E43" w:rsidR="00C4182D" w:rsidRPr="00900F8E" w:rsidRDefault="00C4182D" w:rsidP="001941C0">
      <w:pPr>
        <w:spacing w:after="0" w:line="240" w:lineRule="auto"/>
        <w:rPr>
          <w:rFonts w:ascii="Arial" w:eastAsia="SimSun" w:hAnsi="Arial" w:cs="Arial"/>
        </w:rPr>
      </w:pPr>
      <w:r w:rsidRPr="00900F8E">
        <w:rPr>
          <w:rFonts w:ascii="Arial" w:eastAsia="SimSun" w:hAnsi="Arial" w:cs="Arial"/>
        </w:rPr>
        <w:lastRenderedPageBreak/>
        <w:t xml:space="preserve">Rast cestnega </w:t>
      </w:r>
      <w:r w:rsidR="00595B34" w:rsidRPr="00900F8E">
        <w:rPr>
          <w:rFonts w:ascii="Arial" w:eastAsia="SimSun" w:hAnsi="Arial" w:cs="Arial"/>
        </w:rPr>
        <w:t xml:space="preserve">tovornega blagovnega </w:t>
      </w:r>
      <w:r w:rsidRPr="00900F8E">
        <w:rPr>
          <w:rFonts w:ascii="Arial" w:eastAsia="SimSun" w:hAnsi="Arial" w:cs="Arial"/>
        </w:rPr>
        <w:t xml:space="preserve">prevoza raste hitreje od rasti železniškega tovornega </w:t>
      </w:r>
      <w:r w:rsidR="00595B34" w:rsidRPr="00900F8E">
        <w:rPr>
          <w:rFonts w:ascii="Arial" w:eastAsia="SimSun" w:hAnsi="Arial" w:cs="Arial"/>
        </w:rPr>
        <w:t xml:space="preserve">blagovnega </w:t>
      </w:r>
      <w:r w:rsidRPr="00900F8E">
        <w:rPr>
          <w:rFonts w:ascii="Arial" w:eastAsia="SimSun" w:hAnsi="Arial" w:cs="Arial"/>
        </w:rPr>
        <w:t>prevoza, kar ni skladno z zastavljenimi cilji.</w:t>
      </w:r>
    </w:p>
    <w:p w14:paraId="6353E5A3" w14:textId="6D059E26" w:rsidR="00C4182D" w:rsidRDefault="00C4182D" w:rsidP="001941C0">
      <w:pPr>
        <w:spacing w:after="0" w:line="240" w:lineRule="auto"/>
        <w:rPr>
          <w:rFonts w:ascii="Arial" w:hAnsi="Arial" w:cs="Arial"/>
          <w:b/>
          <w:bCs/>
        </w:rPr>
      </w:pPr>
    </w:p>
    <w:p w14:paraId="0B90F817" w14:textId="77777777" w:rsidR="006841D8" w:rsidRPr="00900F8E" w:rsidRDefault="006841D8" w:rsidP="001941C0">
      <w:pPr>
        <w:spacing w:after="0" w:line="240" w:lineRule="auto"/>
        <w:rPr>
          <w:rFonts w:ascii="Arial" w:hAnsi="Arial" w:cs="Arial"/>
          <w:b/>
          <w:bCs/>
        </w:rPr>
      </w:pPr>
    </w:p>
    <w:p w14:paraId="2DC5DE95" w14:textId="0374F51C" w:rsidR="00A249FE" w:rsidRDefault="003E01A3" w:rsidP="00A249FE">
      <w:pPr>
        <w:keepNext/>
        <w:spacing w:after="0" w:line="240" w:lineRule="auto"/>
        <w:jc w:val="center"/>
      </w:pPr>
      <w:r>
        <w:rPr>
          <w:rFonts w:ascii="Arial" w:hAnsi="Arial" w:cs="Arial"/>
          <w:noProof/>
          <w:lang w:eastAsia="sl-SI"/>
        </w:rPr>
        <w:drawing>
          <wp:inline distT="0" distB="0" distL="0" distR="0" wp14:anchorId="15AA4800" wp14:editId="661C26AE">
            <wp:extent cx="5486400" cy="3365523"/>
            <wp:effectExtent l="0" t="0" r="0" b="6350"/>
            <wp:docPr id="13" name="Slika 13" descr="Slika 8: Gibanje tonskih kilometrov za cestni in železniški blagovni prevoz za leta 2005 in 2011−2020 (Vir: SURS,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8: Gibanje tonskih kilometrov za cestni in železniški blagovni prevoz za leta 2005 in 2011−2020 (Vir: SURS, IJS-CE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8857" cy="3367030"/>
                    </a:xfrm>
                    <a:prstGeom prst="rect">
                      <a:avLst/>
                    </a:prstGeom>
                    <a:noFill/>
                    <a:ln>
                      <a:noFill/>
                    </a:ln>
                  </pic:spPr>
                </pic:pic>
              </a:graphicData>
            </a:graphic>
          </wp:inline>
        </w:drawing>
      </w:r>
    </w:p>
    <w:p w14:paraId="38EBEAEB" w14:textId="77777777" w:rsidR="00A249FE" w:rsidRDefault="00A249FE" w:rsidP="00A249FE">
      <w:pPr>
        <w:keepNext/>
        <w:spacing w:after="0" w:line="240" w:lineRule="auto"/>
        <w:jc w:val="center"/>
      </w:pPr>
    </w:p>
    <w:p w14:paraId="1ECAF0CA" w14:textId="57B368C4" w:rsidR="002255B8" w:rsidRPr="00A249FE" w:rsidRDefault="00A249FE" w:rsidP="00A249FE">
      <w:pPr>
        <w:pStyle w:val="Napis"/>
        <w:jc w:val="center"/>
        <w:rPr>
          <w:rFonts w:ascii="Arial" w:hAnsi="Arial" w:cs="Arial"/>
          <w:b/>
          <w:bCs/>
          <w:i w:val="0"/>
          <w:iCs w:val="0"/>
          <w:color w:val="auto"/>
          <w:sz w:val="20"/>
          <w:szCs w:val="20"/>
        </w:rPr>
      </w:pPr>
      <w:bookmarkStart w:id="17" w:name="_Toc112840957"/>
      <w:r w:rsidRPr="00A249FE">
        <w:rPr>
          <w:rFonts w:ascii="Arial" w:hAnsi="Arial" w:cs="Arial"/>
          <w:b/>
          <w:bCs/>
          <w:i w:val="0"/>
          <w:iCs w:val="0"/>
          <w:color w:val="auto"/>
          <w:sz w:val="20"/>
          <w:szCs w:val="20"/>
        </w:rPr>
        <w:t xml:space="preserve">Slika </w:t>
      </w:r>
      <w:r w:rsidRPr="00A249FE">
        <w:rPr>
          <w:rFonts w:ascii="Arial" w:hAnsi="Arial" w:cs="Arial"/>
          <w:b/>
          <w:bCs/>
          <w:i w:val="0"/>
          <w:iCs w:val="0"/>
          <w:color w:val="auto"/>
          <w:sz w:val="20"/>
          <w:szCs w:val="20"/>
        </w:rPr>
        <w:fldChar w:fldCharType="begin"/>
      </w:r>
      <w:r w:rsidRPr="00A249FE">
        <w:rPr>
          <w:rFonts w:ascii="Arial" w:hAnsi="Arial" w:cs="Arial"/>
          <w:b/>
          <w:bCs/>
          <w:i w:val="0"/>
          <w:iCs w:val="0"/>
          <w:color w:val="auto"/>
          <w:sz w:val="20"/>
          <w:szCs w:val="20"/>
        </w:rPr>
        <w:instrText xml:space="preserve"> SEQ Slika \* ARABIC </w:instrText>
      </w:r>
      <w:r w:rsidRPr="00A249FE">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8</w:t>
      </w:r>
      <w:r w:rsidRPr="00A249FE">
        <w:rPr>
          <w:rFonts w:ascii="Arial" w:hAnsi="Arial" w:cs="Arial"/>
          <w:b/>
          <w:bCs/>
          <w:i w:val="0"/>
          <w:iCs w:val="0"/>
          <w:color w:val="auto"/>
          <w:sz w:val="20"/>
          <w:szCs w:val="20"/>
        </w:rPr>
        <w:fldChar w:fldCharType="end"/>
      </w:r>
      <w:r w:rsidRPr="00A249FE">
        <w:rPr>
          <w:rFonts w:ascii="Arial" w:hAnsi="Arial" w:cs="Arial"/>
          <w:b/>
          <w:bCs/>
          <w:i w:val="0"/>
          <w:iCs w:val="0"/>
          <w:color w:val="auto"/>
          <w:sz w:val="20"/>
          <w:szCs w:val="20"/>
        </w:rPr>
        <w:t>:</w:t>
      </w:r>
      <w:r>
        <w:rPr>
          <w:rFonts w:ascii="Arial" w:hAnsi="Arial" w:cs="Arial"/>
          <w:b/>
          <w:bCs/>
          <w:i w:val="0"/>
          <w:iCs w:val="0"/>
          <w:color w:val="auto"/>
          <w:sz w:val="20"/>
          <w:szCs w:val="20"/>
        </w:rPr>
        <w:t xml:space="preserve"> </w:t>
      </w:r>
      <w:r w:rsidRPr="00A249FE">
        <w:rPr>
          <w:rFonts w:ascii="Arial" w:hAnsi="Arial" w:cs="Arial"/>
          <w:b/>
          <w:bCs/>
          <w:i w:val="0"/>
          <w:iCs w:val="0"/>
          <w:color w:val="auto"/>
          <w:sz w:val="20"/>
          <w:szCs w:val="20"/>
        </w:rPr>
        <w:t>Gibanje tonskih kilometrov za cestni in železniški blagovni prevoz za leta 2005 in 2011−2020 (Vir: SURS, IJS-CEU)</w:t>
      </w:r>
      <w:bookmarkEnd w:id="17"/>
    </w:p>
    <w:p w14:paraId="5FDE013D" w14:textId="49B1467B" w:rsidR="00012AE5" w:rsidRDefault="00012AE5" w:rsidP="002255B8">
      <w:pPr>
        <w:spacing w:after="0" w:line="240" w:lineRule="auto"/>
        <w:jc w:val="both"/>
        <w:rPr>
          <w:rFonts w:ascii="Arial" w:hAnsi="Arial" w:cs="Arial"/>
        </w:rPr>
      </w:pPr>
    </w:p>
    <w:p w14:paraId="30E9C536" w14:textId="77777777" w:rsidR="00477F16" w:rsidRPr="00900F8E" w:rsidRDefault="00477F16" w:rsidP="002255B8">
      <w:pPr>
        <w:spacing w:after="0" w:line="240" w:lineRule="auto"/>
        <w:jc w:val="both"/>
        <w:rPr>
          <w:rFonts w:ascii="Arial" w:hAnsi="Arial" w:cs="Arial"/>
        </w:rPr>
      </w:pPr>
    </w:p>
    <w:p w14:paraId="5D57FA20" w14:textId="340FFE7A" w:rsidR="00136BA3" w:rsidRPr="00900F8E" w:rsidRDefault="00136BA3" w:rsidP="0065545E">
      <w:pPr>
        <w:pStyle w:val="Naslov2"/>
        <w:rPr>
          <w:rFonts w:ascii="Arial" w:hAnsi="Arial" w:cs="Arial"/>
          <w:color w:val="auto"/>
        </w:rPr>
      </w:pPr>
      <w:bookmarkStart w:id="18" w:name="_Toc120166930"/>
      <w:r w:rsidRPr="00900F8E">
        <w:rPr>
          <w:rFonts w:ascii="Arial" w:hAnsi="Arial" w:cs="Arial"/>
          <w:color w:val="auto"/>
        </w:rPr>
        <w:t>3.2 Kmetijstvo</w:t>
      </w:r>
      <w:bookmarkEnd w:id="18"/>
    </w:p>
    <w:p w14:paraId="1323815C" w14:textId="77777777" w:rsidR="00136BA3" w:rsidRPr="00900F8E" w:rsidRDefault="00136BA3" w:rsidP="00136BA3">
      <w:pPr>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4515"/>
        <w:gridCol w:w="1275"/>
        <w:gridCol w:w="1276"/>
        <w:gridCol w:w="1244"/>
        <w:gridCol w:w="706"/>
      </w:tblGrid>
      <w:tr w:rsidR="00B81DD7" w:rsidRPr="00900F8E" w14:paraId="11DED4E0" w14:textId="4FA09AFA" w:rsidTr="00C83DE5">
        <w:tc>
          <w:tcPr>
            <w:tcW w:w="4531" w:type="dxa"/>
          </w:tcPr>
          <w:p w14:paraId="16ADC016" w14:textId="0B401E32" w:rsidR="00B81DD7" w:rsidRPr="00900F8E" w:rsidRDefault="00B81DD7" w:rsidP="00B81DD7">
            <w:pPr>
              <w:jc w:val="both"/>
              <w:rPr>
                <w:rFonts w:ascii="Arial" w:hAnsi="Arial" w:cs="Arial"/>
              </w:rPr>
            </w:pPr>
            <w:r w:rsidRPr="00900F8E">
              <w:rPr>
                <w:rFonts w:ascii="Arial" w:hAnsi="Arial" w:cs="Arial"/>
                <w:b/>
              </w:rPr>
              <w:t>Doseganje ciljev OP TGP 2020 se spremlja s kazalci:</w:t>
            </w:r>
          </w:p>
        </w:tc>
        <w:tc>
          <w:tcPr>
            <w:tcW w:w="1276" w:type="dxa"/>
            <w:shd w:val="clear" w:color="auto" w:fill="auto"/>
          </w:tcPr>
          <w:p w14:paraId="15230270" w14:textId="77777777" w:rsidR="00B81DD7" w:rsidRPr="00900F8E" w:rsidRDefault="00B81DD7" w:rsidP="00B81DD7">
            <w:pPr>
              <w:jc w:val="center"/>
              <w:rPr>
                <w:rFonts w:ascii="Arial" w:hAnsi="Arial" w:cs="Arial"/>
                <w:b/>
                <w:bCs/>
              </w:rPr>
            </w:pPr>
            <w:r w:rsidRPr="00900F8E">
              <w:rPr>
                <w:rFonts w:ascii="Arial" w:hAnsi="Arial" w:cs="Arial"/>
                <w:b/>
                <w:bCs/>
              </w:rPr>
              <w:t>Ciljna vrednost</w:t>
            </w:r>
          </w:p>
          <w:p w14:paraId="24441AE7" w14:textId="38AB4F02" w:rsidR="00764F88" w:rsidRPr="00900F8E" w:rsidRDefault="00764F88" w:rsidP="00B81DD7">
            <w:pPr>
              <w:jc w:val="center"/>
              <w:rPr>
                <w:rFonts w:ascii="Arial" w:hAnsi="Arial" w:cs="Arial"/>
                <w:b/>
              </w:rPr>
            </w:pPr>
            <w:r w:rsidRPr="00900F8E">
              <w:rPr>
                <w:rFonts w:ascii="Arial" w:hAnsi="Arial" w:cs="Arial"/>
                <w:b/>
                <w:bCs/>
              </w:rPr>
              <w:t>v 2020</w:t>
            </w:r>
          </w:p>
        </w:tc>
        <w:tc>
          <w:tcPr>
            <w:tcW w:w="1276" w:type="dxa"/>
            <w:shd w:val="clear" w:color="auto" w:fill="auto"/>
          </w:tcPr>
          <w:p w14:paraId="3FAFFE69" w14:textId="0730062A" w:rsidR="00B81DD7" w:rsidRPr="00900F8E" w:rsidRDefault="00B81DD7" w:rsidP="00B81DD7">
            <w:pPr>
              <w:jc w:val="center"/>
              <w:rPr>
                <w:rFonts w:ascii="Arial" w:hAnsi="Arial" w:cs="Arial"/>
                <w:b/>
              </w:rPr>
            </w:pPr>
            <w:r w:rsidRPr="00900F8E">
              <w:rPr>
                <w:rFonts w:ascii="Arial" w:hAnsi="Arial" w:cs="Arial"/>
                <w:b/>
                <w:bCs/>
              </w:rPr>
              <w:t xml:space="preserve">Dosežena vrednost </w:t>
            </w:r>
            <w:r w:rsidR="00470AD7" w:rsidRPr="00900F8E">
              <w:rPr>
                <w:rFonts w:ascii="Arial" w:hAnsi="Arial" w:cs="Arial"/>
                <w:b/>
                <w:bCs/>
              </w:rPr>
              <w:t xml:space="preserve">v </w:t>
            </w:r>
            <w:r w:rsidRPr="00900F8E">
              <w:rPr>
                <w:rFonts w:ascii="Arial" w:hAnsi="Arial" w:cs="Arial"/>
                <w:b/>
                <w:bCs/>
              </w:rPr>
              <w:t>2019</w:t>
            </w:r>
          </w:p>
        </w:tc>
        <w:tc>
          <w:tcPr>
            <w:tcW w:w="1244" w:type="dxa"/>
            <w:shd w:val="clear" w:color="auto" w:fill="auto"/>
          </w:tcPr>
          <w:p w14:paraId="39A92924" w14:textId="589D9AAC" w:rsidR="00B81DD7" w:rsidRPr="00900F8E" w:rsidRDefault="00B81DD7" w:rsidP="00B81DD7">
            <w:pPr>
              <w:jc w:val="center"/>
              <w:rPr>
                <w:rFonts w:ascii="Arial" w:hAnsi="Arial" w:cs="Arial"/>
                <w:b/>
              </w:rPr>
            </w:pPr>
            <w:r w:rsidRPr="00900F8E">
              <w:rPr>
                <w:rFonts w:ascii="Arial" w:hAnsi="Arial" w:cs="Arial"/>
                <w:b/>
                <w:bCs/>
              </w:rPr>
              <w:t xml:space="preserve">Dosežena vrednost </w:t>
            </w:r>
            <w:r w:rsidR="00470AD7" w:rsidRPr="00900F8E">
              <w:rPr>
                <w:rFonts w:ascii="Arial" w:hAnsi="Arial" w:cs="Arial"/>
                <w:b/>
                <w:bCs/>
              </w:rPr>
              <w:t xml:space="preserve">v </w:t>
            </w:r>
            <w:r w:rsidRPr="00900F8E">
              <w:rPr>
                <w:rFonts w:ascii="Arial" w:hAnsi="Arial" w:cs="Arial"/>
                <w:b/>
                <w:bCs/>
              </w:rPr>
              <w:t>2020</w:t>
            </w:r>
          </w:p>
        </w:tc>
        <w:tc>
          <w:tcPr>
            <w:tcW w:w="689" w:type="dxa"/>
          </w:tcPr>
          <w:p w14:paraId="22AEBAD3" w14:textId="2C3CF5A9" w:rsidR="00B81DD7" w:rsidRPr="00900F8E" w:rsidRDefault="00B81DD7" w:rsidP="00B81DD7">
            <w:pPr>
              <w:jc w:val="center"/>
              <w:rPr>
                <w:rFonts w:ascii="Arial" w:hAnsi="Arial" w:cs="Arial"/>
                <w:b/>
              </w:rPr>
            </w:pPr>
            <w:r w:rsidRPr="00900F8E">
              <w:rPr>
                <w:rFonts w:ascii="Arial" w:hAnsi="Arial" w:cs="Arial"/>
                <w:b/>
              </w:rPr>
              <w:t>2020</w:t>
            </w:r>
          </w:p>
        </w:tc>
      </w:tr>
      <w:tr w:rsidR="00B81DD7" w:rsidRPr="00900F8E" w14:paraId="54C6B163" w14:textId="703AC906" w:rsidTr="00C83DE5">
        <w:tc>
          <w:tcPr>
            <w:tcW w:w="4531" w:type="dxa"/>
          </w:tcPr>
          <w:p w14:paraId="2C994C60" w14:textId="11FB23D9" w:rsidR="00B81DD7" w:rsidRPr="00900F8E" w:rsidRDefault="00B81DD7" w:rsidP="00136BA3">
            <w:pPr>
              <w:jc w:val="both"/>
              <w:rPr>
                <w:rFonts w:ascii="Arial" w:hAnsi="Arial" w:cs="Arial"/>
              </w:rPr>
            </w:pPr>
            <w:r w:rsidRPr="00900F8E">
              <w:rPr>
                <w:rFonts w:ascii="Arial" w:hAnsi="Arial" w:cs="Arial"/>
              </w:rPr>
              <w:t>Povečanje učinkovitosti reje domačih živali</w:t>
            </w:r>
          </w:p>
        </w:tc>
        <w:tc>
          <w:tcPr>
            <w:tcW w:w="1276" w:type="dxa"/>
            <w:shd w:val="clear" w:color="auto" w:fill="auto"/>
          </w:tcPr>
          <w:p w14:paraId="2C079CCF" w14:textId="203FE1F2" w:rsidR="00B81DD7" w:rsidRPr="00900F8E" w:rsidRDefault="00C83DE5" w:rsidP="004675F0">
            <w:pPr>
              <w:spacing w:before="20" w:after="20"/>
              <w:jc w:val="center"/>
              <w:rPr>
                <w:rFonts w:ascii="Arial" w:hAnsi="Arial" w:cs="Arial"/>
                <w:bCs/>
              </w:rPr>
            </w:pPr>
            <w:r w:rsidRPr="00900F8E">
              <w:rPr>
                <w:rFonts w:ascii="Arial" w:hAnsi="Arial" w:cs="Arial"/>
                <w:bCs/>
              </w:rPr>
              <w:t>0,77 kg</w:t>
            </w:r>
            <w:r w:rsidR="00F15480" w:rsidRPr="00900F8E">
              <w:rPr>
                <w:rFonts w:ascii="Arial" w:hAnsi="Arial" w:cs="Arial"/>
                <w:bCs/>
              </w:rPr>
              <w:t xml:space="preserve"> ekv. CO</w:t>
            </w:r>
            <w:r w:rsidR="00F15480" w:rsidRPr="00900F8E">
              <w:rPr>
                <w:rFonts w:ascii="Arial" w:hAnsi="Arial" w:cs="Arial"/>
                <w:bCs/>
                <w:vertAlign w:val="subscript"/>
              </w:rPr>
              <w:t>2</w:t>
            </w:r>
            <w:r w:rsidRPr="00900F8E">
              <w:rPr>
                <w:rFonts w:ascii="Arial" w:hAnsi="Arial" w:cs="Arial"/>
                <w:bCs/>
              </w:rPr>
              <w:t>/kg</w:t>
            </w:r>
          </w:p>
        </w:tc>
        <w:tc>
          <w:tcPr>
            <w:tcW w:w="1276" w:type="dxa"/>
            <w:shd w:val="clear" w:color="auto" w:fill="auto"/>
          </w:tcPr>
          <w:p w14:paraId="24EE3E24" w14:textId="1F40BF0C" w:rsidR="00B81DD7" w:rsidRPr="00900F8E" w:rsidRDefault="00C83DE5" w:rsidP="004675F0">
            <w:pPr>
              <w:spacing w:before="20" w:after="20"/>
              <w:jc w:val="center"/>
              <w:rPr>
                <w:rFonts w:ascii="Arial" w:hAnsi="Arial" w:cs="Arial"/>
                <w:bCs/>
              </w:rPr>
            </w:pPr>
            <w:r w:rsidRPr="00900F8E">
              <w:rPr>
                <w:rFonts w:ascii="Arial" w:hAnsi="Arial" w:cs="Arial"/>
                <w:bCs/>
              </w:rPr>
              <w:t>0,</w:t>
            </w:r>
            <w:r w:rsidR="00A25E6D" w:rsidRPr="00900F8E">
              <w:rPr>
                <w:rFonts w:ascii="Arial" w:hAnsi="Arial" w:cs="Arial"/>
                <w:bCs/>
              </w:rPr>
              <w:t>80</w:t>
            </w:r>
            <w:r w:rsidRPr="00900F8E">
              <w:rPr>
                <w:rFonts w:ascii="Arial" w:hAnsi="Arial" w:cs="Arial"/>
                <w:bCs/>
              </w:rPr>
              <w:t xml:space="preserve"> kg</w:t>
            </w:r>
            <w:r w:rsidR="00F15480" w:rsidRPr="00900F8E">
              <w:rPr>
                <w:rFonts w:ascii="Arial" w:hAnsi="Arial" w:cs="Arial"/>
                <w:bCs/>
              </w:rPr>
              <w:t xml:space="preserve"> ekv. CO</w:t>
            </w:r>
            <w:r w:rsidR="00F15480" w:rsidRPr="00900F8E">
              <w:rPr>
                <w:rFonts w:ascii="Arial" w:hAnsi="Arial" w:cs="Arial"/>
                <w:bCs/>
                <w:vertAlign w:val="subscript"/>
              </w:rPr>
              <w:t>2</w:t>
            </w:r>
            <w:r w:rsidRPr="00900F8E">
              <w:rPr>
                <w:rFonts w:ascii="Arial" w:hAnsi="Arial" w:cs="Arial"/>
                <w:bCs/>
              </w:rPr>
              <w:t>/kg</w:t>
            </w:r>
          </w:p>
        </w:tc>
        <w:tc>
          <w:tcPr>
            <w:tcW w:w="1244" w:type="dxa"/>
            <w:shd w:val="clear" w:color="auto" w:fill="auto"/>
          </w:tcPr>
          <w:p w14:paraId="62DC056B" w14:textId="71F55171" w:rsidR="00B81DD7" w:rsidRPr="00900F8E" w:rsidRDefault="00C83DE5" w:rsidP="004675F0">
            <w:pPr>
              <w:spacing w:before="20" w:after="20"/>
              <w:jc w:val="center"/>
              <w:rPr>
                <w:rFonts w:ascii="Arial" w:hAnsi="Arial" w:cs="Arial"/>
                <w:bCs/>
              </w:rPr>
            </w:pPr>
            <w:r w:rsidRPr="00900F8E">
              <w:rPr>
                <w:rFonts w:ascii="Arial" w:hAnsi="Arial" w:cs="Arial"/>
                <w:bCs/>
              </w:rPr>
              <w:t>0,</w:t>
            </w:r>
            <w:r w:rsidR="00A25E6D" w:rsidRPr="00900F8E">
              <w:rPr>
                <w:rFonts w:ascii="Arial" w:hAnsi="Arial" w:cs="Arial"/>
                <w:bCs/>
              </w:rPr>
              <w:t>79</w:t>
            </w:r>
            <w:r w:rsidRPr="00900F8E">
              <w:rPr>
                <w:rFonts w:ascii="Arial" w:hAnsi="Arial" w:cs="Arial"/>
                <w:bCs/>
              </w:rPr>
              <w:t xml:space="preserve"> kg</w:t>
            </w:r>
            <w:r w:rsidR="00F15480" w:rsidRPr="00900F8E">
              <w:rPr>
                <w:rFonts w:ascii="Arial" w:hAnsi="Arial" w:cs="Arial"/>
                <w:bCs/>
              </w:rPr>
              <w:t xml:space="preserve"> ekv. CO</w:t>
            </w:r>
            <w:r w:rsidR="00F15480" w:rsidRPr="00900F8E">
              <w:rPr>
                <w:rFonts w:ascii="Arial" w:hAnsi="Arial" w:cs="Arial"/>
                <w:bCs/>
                <w:vertAlign w:val="subscript"/>
              </w:rPr>
              <w:t>2</w:t>
            </w:r>
            <w:r w:rsidRPr="00900F8E">
              <w:rPr>
                <w:rFonts w:ascii="Arial" w:hAnsi="Arial" w:cs="Arial"/>
                <w:bCs/>
              </w:rPr>
              <w:t>/kg</w:t>
            </w:r>
          </w:p>
        </w:tc>
        <w:tc>
          <w:tcPr>
            <w:tcW w:w="689" w:type="dxa"/>
            <w:shd w:val="clear" w:color="auto" w:fill="FF0000"/>
          </w:tcPr>
          <w:p w14:paraId="1013BECB" w14:textId="299C0E44" w:rsidR="00B81DD7" w:rsidRPr="00900F8E" w:rsidRDefault="00B81DD7" w:rsidP="004675F0">
            <w:pPr>
              <w:spacing w:before="20" w:after="20"/>
              <w:jc w:val="center"/>
              <w:rPr>
                <w:rFonts w:ascii="Arial" w:hAnsi="Arial" w:cs="Arial"/>
                <w:b/>
              </w:rPr>
            </w:pPr>
          </w:p>
        </w:tc>
      </w:tr>
      <w:tr w:rsidR="00B81DD7" w:rsidRPr="00900F8E" w14:paraId="6EDF2CAC" w14:textId="76977149" w:rsidTr="00C83DE5">
        <w:tc>
          <w:tcPr>
            <w:tcW w:w="4531" w:type="dxa"/>
          </w:tcPr>
          <w:p w14:paraId="65900904" w14:textId="6479CD8B" w:rsidR="00B81DD7" w:rsidRPr="00900F8E" w:rsidRDefault="00B81DD7" w:rsidP="00136BA3">
            <w:pPr>
              <w:jc w:val="both"/>
              <w:rPr>
                <w:rFonts w:ascii="Arial" w:hAnsi="Arial" w:cs="Arial"/>
              </w:rPr>
            </w:pPr>
            <w:r w:rsidRPr="00900F8E">
              <w:rPr>
                <w:rFonts w:ascii="Arial" w:hAnsi="Arial" w:cs="Arial"/>
              </w:rPr>
              <w:t>Racionalno gnojenje kmetijskih rastlin z dušikom</w:t>
            </w:r>
          </w:p>
        </w:tc>
        <w:tc>
          <w:tcPr>
            <w:tcW w:w="1276" w:type="dxa"/>
            <w:shd w:val="clear" w:color="auto" w:fill="auto"/>
          </w:tcPr>
          <w:p w14:paraId="0D4FBD92" w14:textId="48022590" w:rsidR="00B81DD7" w:rsidRPr="00900F8E" w:rsidRDefault="0070232C" w:rsidP="004675F0">
            <w:pPr>
              <w:spacing w:before="20" w:after="20"/>
              <w:jc w:val="center"/>
              <w:rPr>
                <w:rFonts w:ascii="Arial" w:hAnsi="Arial" w:cs="Arial"/>
                <w:bCs/>
              </w:rPr>
            </w:pPr>
            <w:r w:rsidRPr="00900F8E">
              <w:rPr>
                <w:rFonts w:ascii="Arial" w:hAnsi="Arial" w:cs="Arial"/>
                <w:bCs/>
              </w:rPr>
              <w:t>28.000 t/leto</w:t>
            </w:r>
          </w:p>
        </w:tc>
        <w:tc>
          <w:tcPr>
            <w:tcW w:w="1276" w:type="dxa"/>
            <w:shd w:val="clear" w:color="auto" w:fill="auto"/>
          </w:tcPr>
          <w:p w14:paraId="4A80210D" w14:textId="32D7CA2C" w:rsidR="00B81DD7" w:rsidRPr="00900F8E" w:rsidRDefault="0070232C" w:rsidP="004675F0">
            <w:pPr>
              <w:spacing w:before="20" w:after="20"/>
              <w:jc w:val="center"/>
              <w:rPr>
                <w:rFonts w:ascii="Arial" w:hAnsi="Arial" w:cs="Arial"/>
                <w:bCs/>
              </w:rPr>
            </w:pPr>
            <w:r w:rsidRPr="00900F8E">
              <w:rPr>
                <w:rFonts w:ascii="Arial" w:hAnsi="Arial" w:cs="Arial"/>
                <w:bCs/>
              </w:rPr>
              <w:t>28.050 t/leto</w:t>
            </w:r>
          </w:p>
        </w:tc>
        <w:tc>
          <w:tcPr>
            <w:tcW w:w="1244" w:type="dxa"/>
            <w:shd w:val="clear" w:color="auto" w:fill="auto"/>
          </w:tcPr>
          <w:p w14:paraId="07D3FC98" w14:textId="3A718317" w:rsidR="00B81DD7" w:rsidRPr="00900F8E" w:rsidRDefault="0070232C" w:rsidP="004675F0">
            <w:pPr>
              <w:spacing w:before="20" w:after="20"/>
              <w:jc w:val="center"/>
              <w:rPr>
                <w:rFonts w:ascii="Arial" w:hAnsi="Arial" w:cs="Arial"/>
                <w:bCs/>
              </w:rPr>
            </w:pPr>
            <w:r w:rsidRPr="00900F8E">
              <w:rPr>
                <w:rFonts w:ascii="Arial" w:hAnsi="Arial" w:cs="Arial"/>
                <w:bCs/>
              </w:rPr>
              <w:t>27.690 t/leto</w:t>
            </w:r>
          </w:p>
        </w:tc>
        <w:tc>
          <w:tcPr>
            <w:tcW w:w="689" w:type="dxa"/>
            <w:shd w:val="clear" w:color="auto" w:fill="92D050"/>
          </w:tcPr>
          <w:p w14:paraId="61B6C76D" w14:textId="2DC8B4FC" w:rsidR="00B81DD7" w:rsidRPr="00900F8E" w:rsidRDefault="00B81DD7" w:rsidP="004675F0">
            <w:pPr>
              <w:spacing w:before="20" w:after="20"/>
              <w:jc w:val="center"/>
              <w:rPr>
                <w:rFonts w:ascii="Arial" w:hAnsi="Arial" w:cs="Arial"/>
                <w:b/>
              </w:rPr>
            </w:pPr>
          </w:p>
        </w:tc>
      </w:tr>
      <w:tr w:rsidR="00B81DD7" w:rsidRPr="00900F8E" w14:paraId="2A4B818E" w14:textId="3917A7D1" w:rsidTr="00C83DE5">
        <w:tc>
          <w:tcPr>
            <w:tcW w:w="4531" w:type="dxa"/>
          </w:tcPr>
          <w:p w14:paraId="02C1B607" w14:textId="1FA6FFDE" w:rsidR="00B81DD7" w:rsidRPr="00900F8E" w:rsidRDefault="00B81DD7" w:rsidP="00136BA3">
            <w:pPr>
              <w:jc w:val="both"/>
              <w:rPr>
                <w:rFonts w:ascii="Arial" w:hAnsi="Arial" w:cs="Arial"/>
              </w:rPr>
            </w:pPr>
            <w:r w:rsidRPr="00900F8E">
              <w:rPr>
                <w:rFonts w:ascii="Arial" w:hAnsi="Arial" w:cs="Arial"/>
                <w:bCs/>
              </w:rPr>
              <w:t>Učinkovitejše kroženje dušika v kmetijstvu – bruto bilančni presežek dušika</w:t>
            </w:r>
          </w:p>
        </w:tc>
        <w:tc>
          <w:tcPr>
            <w:tcW w:w="1276" w:type="dxa"/>
            <w:shd w:val="clear" w:color="auto" w:fill="auto"/>
          </w:tcPr>
          <w:p w14:paraId="712B1BD3" w14:textId="5F1ABBC0" w:rsidR="00B81DD7" w:rsidRPr="00900F8E" w:rsidRDefault="00F7111C" w:rsidP="004675F0">
            <w:pPr>
              <w:spacing w:before="20" w:after="20"/>
              <w:jc w:val="center"/>
              <w:rPr>
                <w:rFonts w:ascii="Arial" w:hAnsi="Arial" w:cs="Arial"/>
                <w:bCs/>
              </w:rPr>
            </w:pPr>
            <w:r w:rsidRPr="00900F8E">
              <w:rPr>
                <w:rFonts w:ascii="Arial" w:hAnsi="Arial" w:cs="Arial"/>
                <w:bCs/>
              </w:rPr>
              <w:t xml:space="preserve">&lt; </w:t>
            </w:r>
            <w:r w:rsidR="00D04AF9" w:rsidRPr="00900F8E">
              <w:rPr>
                <w:rFonts w:ascii="Arial" w:hAnsi="Arial" w:cs="Arial"/>
                <w:bCs/>
              </w:rPr>
              <w:t>53 kg/ha</w:t>
            </w:r>
          </w:p>
        </w:tc>
        <w:tc>
          <w:tcPr>
            <w:tcW w:w="1276" w:type="dxa"/>
            <w:shd w:val="clear" w:color="auto" w:fill="auto"/>
          </w:tcPr>
          <w:p w14:paraId="5995F5E7" w14:textId="43B3CA35" w:rsidR="00B81DD7" w:rsidRPr="00900F8E" w:rsidRDefault="00D04AF9" w:rsidP="004675F0">
            <w:pPr>
              <w:spacing w:before="20" w:after="20"/>
              <w:jc w:val="center"/>
              <w:rPr>
                <w:rFonts w:ascii="Arial" w:hAnsi="Arial" w:cs="Arial"/>
                <w:bCs/>
              </w:rPr>
            </w:pPr>
            <w:r w:rsidRPr="00900F8E">
              <w:rPr>
                <w:rFonts w:ascii="Arial" w:hAnsi="Arial" w:cs="Arial"/>
                <w:bCs/>
              </w:rPr>
              <w:t>43,22 kg/ha</w:t>
            </w:r>
          </w:p>
        </w:tc>
        <w:tc>
          <w:tcPr>
            <w:tcW w:w="1244" w:type="dxa"/>
            <w:shd w:val="clear" w:color="auto" w:fill="auto"/>
          </w:tcPr>
          <w:p w14:paraId="6692419A" w14:textId="7418084E" w:rsidR="00B81DD7" w:rsidRPr="00900F8E" w:rsidRDefault="00D04AF9" w:rsidP="004675F0">
            <w:pPr>
              <w:spacing w:before="20" w:after="20"/>
              <w:jc w:val="center"/>
              <w:rPr>
                <w:rFonts w:ascii="Arial" w:hAnsi="Arial" w:cs="Arial"/>
                <w:bCs/>
              </w:rPr>
            </w:pPr>
            <w:r w:rsidRPr="00900F8E">
              <w:rPr>
                <w:rFonts w:ascii="Arial" w:hAnsi="Arial" w:cs="Arial"/>
                <w:bCs/>
              </w:rPr>
              <w:t>32,03 kg/ha</w:t>
            </w:r>
          </w:p>
        </w:tc>
        <w:tc>
          <w:tcPr>
            <w:tcW w:w="689" w:type="dxa"/>
            <w:shd w:val="clear" w:color="auto" w:fill="92D050"/>
          </w:tcPr>
          <w:p w14:paraId="5C70E19D" w14:textId="6A8E0CE9" w:rsidR="00B81DD7" w:rsidRPr="00900F8E" w:rsidRDefault="00B81DD7" w:rsidP="004675F0">
            <w:pPr>
              <w:spacing w:before="20" w:after="20"/>
              <w:jc w:val="center"/>
              <w:rPr>
                <w:rFonts w:ascii="Arial" w:hAnsi="Arial" w:cs="Arial"/>
                <w:b/>
              </w:rPr>
            </w:pPr>
          </w:p>
        </w:tc>
      </w:tr>
      <w:tr w:rsidR="00B81DD7" w:rsidRPr="00900F8E" w14:paraId="429C146E" w14:textId="6A3B9CF8" w:rsidTr="00C83DE5">
        <w:tc>
          <w:tcPr>
            <w:tcW w:w="4531" w:type="dxa"/>
          </w:tcPr>
          <w:p w14:paraId="2DB5FBBB" w14:textId="2FA3C6EF" w:rsidR="00B81DD7" w:rsidRPr="00900F8E" w:rsidRDefault="00B81DD7" w:rsidP="00837CCD">
            <w:pPr>
              <w:jc w:val="both"/>
              <w:rPr>
                <w:rFonts w:ascii="Arial" w:hAnsi="Arial" w:cs="Arial"/>
              </w:rPr>
            </w:pPr>
            <w:r w:rsidRPr="00900F8E">
              <w:rPr>
                <w:rFonts w:ascii="Arial" w:hAnsi="Arial" w:cs="Arial"/>
              </w:rPr>
              <w:t xml:space="preserve">Učinkovitejše kroženje dušika v kmetijstvu – površina zemljišč v ukrepu </w:t>
            </w:r>
            <w:r w:rsidR="00837CCD">
              <w:rPr>
                <w:rFonts w:ascii="Arial" w:hAnsi="Arial" w:cs="Arial"/>
              </w:rPr>
              <w:t>e</w:t>
            </w:r>
            <w:r w:rsidRPr="00900F8E">
              <w:rPr>
                <w:rFonts w:ascii="Arial" w:hAnsi="Arial" w:cs="Arial"/>
              </w:rPr>
              <w:t>kološko kmetovanje</w:t>
            </w:r>
          </w:p>
        </w:tc>
        <w:tc>
          <w:tcPr>
            <w:tcW w:w="1276" w:type="dxa"/>
            <w:shd w:val="clear" w:color="auto" w:fill="auto"/>
          </w:tcPr>
          <w:p w14:paraId="6B3F8C15" w14:textId="65EA36AB" w:rsidR="00B81DD7" w:rsidRPr="00900F8E" w:rsidRDefault="00711BEA" w:rsidP="00CA52FA">
            <w:pPr>
              <w:spacing w:before="120"/>
              <w:jc w:val="center"/>
              <w:rPr>
                <w:rFonts w:ascii="Arial" w:hAnsi="Arial" w:cs="Arial"/>
                <w:bCs/>
              </w:rPr>
            </w:pPr>
            <w:r w:rsidRPr="00900F8E">
              <w:rPr>
                <w:rFonts w:ascii="Arial" w:hAnsi="Arial" w:cs="Arial"/>
                <w:bCs/>
              </w:rPr>
              <w:t>44.000 ha</w:t>
            </w:r>
          </w:p>
        </w:tc>
        <w:tc>
          <w:tcPr>
            <w:tcW w:w="1276" w:type="dxa"/>
            <w:shd w:val="clear" w:color="auto" w:fill="auto"/>
          </w:tcPr>
          <w:p w14:paraId="6170BC76" w14:textId="591F205E" w:rsidR="00B81DD7" w:rsidRPr="00900F8E" w:rsidRDefault="00711BEA" w:rsidP="00CA52FA">
            <w:pPr>
              <w:spacing w:before="120"/>
              <w:jc w:val="center"/>
              <w:rPr>
                <w:rFonts w:ascii="Arial" w:hAnsi="Arial" w:cs="Arial"/>
                <w:bCs/>
              </w:rPr>
            </w:pPr>
            <w:r w:rsidRPr="00900F8E">
              <w:rPr>
                <w:rFonts w:ascii="Arial" w:hAnsi="Arial" w:cs="Arial"/>
                <w:bCs/>
              </w:rPr>
              <w:t>47.420 ha</w:t>
            </w:r>
          </w:p>
        </w:tc>
        <w:tc>
          <w:tcPr>
            <w:tcW w:w="1244" w:type="dxa"/>
            <w:shd w:val="clear" w:color="auto" w:fill="auto"/>
          </w:tcPr>
          <w:p w14:paraId="4EA26DE8" w14:textId="54265717" w:rsidR="00B81DD7" w:rsidRPr="00900F8E" w:rsidRDefault="00711BEA" w:rsidP="00CA52FA">
            <w:pPr>
              <w:spacing w:before="120"/>
              <w:jc w:val="center"/>
              <w:rPr>
                <w:rFonts w:ascii="Arial" w:hAnsi="Arial" w:cs="Arial"/>
                <w:bCs/>
              </w:rPr>
            </w:pPr>
            <w:r w:rsidRPr="00900F8E">
              <w:rPr>
                <w:rFonts w:ascii="Arial" w:hAnsi="Arial" w:cs="Arial"/>
                <w:bCs/>
              </w:rPr>
              <w:t>47.730 ha</w:t>
            </w:r>
          </w:p>
        </w:tc>
        <w:tc>
          <w:tcPr>
            <w:tcW w:w="689" w:type="dxa"/>
            <w:shd w:val="clear" w:color="auto" w:fill="92D050"/>
          </w:tcPr>
          <w:p w14:paraId="3986F1ED" w14:textId="13EB8D8F" w:rsidR="00B81DD7" w:rsidRPr="00900F8E" w:rsidRDefault="00B81DD7" w:rsidP="00CA52FA">
            <w:pPr>
              <w:spacing w:before="120"/>
              <w:jc w:val="center"/>
              <w:rPr>
                <w:rFonts w:ascii="Arial" w:hAnsi="Arial" w:cs="Arial"/>
                <w:b/>
              </w:rPr>
            </w:pPr>
          </w:p>
        </w:tc>
      </w:tr>
      <w:tr w:rsidR="00B81DD7" w:rsidRPr="00900F8E" w14:paraId="60B31DDB" w14:textId="3BC96754" w:rsidTr="00C83DE5">
        <w:tc>
          <w:tcPr>
            <w:tcW w:w="4531" w:type="dxa"/>
          </w:tcPr>
          <w:p w14:paraId="78C89766" w14:textId="46B1FCA2" w:rsidR="00B81DD7" w:rsidRPr="00900F8E" w:rsidRDefault="00B81DD7" w:rsidP="00136BA3">
            <w:pPr>
              <w:jc w:val="both"/>
              <w:rPr>
                <w:rFonts w:ascii="Arial" w:hAnsi="Arial" w:cs="Arial"/>
              </w:rPr>
            </w:pPr>
            <w:r w:rsidRPr="00900F8E">
              <w:rPr>
                <w:rFonts w:ascii="Arial" w:hAnsi="Arial" w:cs="Arial"/>
              </w:rPr>
              <w:t>Učinkovitejše kroženje dušika v kmetijstvu – površine njiv in vrtov v ukrepih, ki zahtevajo gnojenje na podlagi hitrih talnih ali rastlinskih testov</w:t>
            </w:r>
          </w:p>
        </w:tc>
        <w:tc>
          <w:tcPr>
            <w:tcW w:w="1276" w:type="dxa"/>
            <w:shd w:val="clear" w:color="auto" w:fill="auto"/>
          </w:tcPr>
          <w:p w14:paraId="649EAA07" w14:textId="61BC55E4" w:rsidR="00B81DD7" w:rsidRPr="00900F8E" w:rsidRDefault="00F4567F" w:rsidP="00CA52FA">
            <w:pPr>
              <w:spacing w:before="120"/>
              <w:jc w:val="center"/>
              <w:rPr>
                <w:rFonts w:ascii="Arial" w:hAnsi="Arial" w:cs="Arial"/>
                <w:bCs/>
              </w:rPr>
            </w:pPr>
            <w:r w:rsidRPr="00900F8E">
              <w:rPr>
                <w:rFonts w:ascii="Arial" w:hAnsi="Arial" w:cs="Arial"/>
                <w:bCs/>
              </w:rPr>
              <w:t>50.000 ha</w:t>
            </w:r>
          </w:p>
        </w:tc>
        <w:tc>
          <w:tcPr>
            <w:tcW w:w="1276" w:type="dxa"/>
            <w:shd w:val="clear" w:color="auto" w:fill="auto"/>
          </w:tcPr>
          <w:p w14:paraId="0198E912" w14:textId="7E798D3D" w:rsidR="00B81DD7" w:rsidRPr="00900F8E" w:rsidRDefault="00F4567F" w:rsidP="00CA52FA">
            <w:pPr>
              <w:spacing w:before="120"/>
              <w:jc w:val="center"/>
              <w:rPr>
                <w:rFonts w:ascii="Arial" w:hAnsi="Arial" w:cs="Arial"/>
                <w:bCs/>
              </w:rPr>
            </w:pPr>
            <w:r w:rsidRPr="00900F8E">
              <w:rPr>
                <w:rFonts w:ascii="Arial" w:hAnsi="Arial" w:cs="Arial"/>
                <w:bCs/>
              </w:rPr>
              <w:t>64.850 ha</w:t>
            </w:r>
          </w:p>
        </w:tc>
        <w:tc>
          <w:tcPr>
            <w:tcW w:w="1244" w:type="dxa"/>
            <w:shd w:val="clear" w:color="auto" w:fill="auto"/>
          </w:tcPr>
          <w:p w14:paraId="07E69108" w14:textId="60BA2DFF" w:rsidR="00B81DD7" w:rsidRPr="00900F8E" w:rsidRDefault="00F4567F" w:rsidP="00CA52FA">
            <w:pPr>
              <w:spacing w:before="120"/>
              <w:jc w:val="center"/>
              <w:rPr>
                <w:rFonts w:ascii="Arial" w:hAnsi="Arial" w:cs="Arial"/>
                <w:bCs/>
              </w:rPr>
            </w:pPr>
            <w:r w:rsidRPr="00900F8E">
              <w:rPr>
                <w:rFonts w:ascii="Arial" w:hAnsi="Arial" w:cs="Arial"/>
                <w:bCs/>
              </w:rPr>
              <w:t>63.300 ha</w:t>
            </w:r>
          </w:p>
        </w:tc>
        <w:tc>
          <w:tcPr>
            <w:tcW w:w="689" w:type="dxa"/>
            <w:shd w:val="clear" w:color="auto" w:fill="92D050"/>
          </w:tcPr>
          <w:p w14:paraId="42652348" w14:textId="485F37A5" w:rsidR="00B81DD7" w:rsidRPr="00900F8E" w:rsidRDefault="00B81DD7" w:rsidP="00CA52FA">
            <w:pPr>
              <w:spacing w:before="120"/>
              <w:jc w:val="center"/>
              <w:rPr>
                <w:rFonts w:ascii="Arial" w:hAnsi="Arial" w:cs="Arial"/>
                <w:b/>
              </w:rPr>
            </w:pPr>
          </w:p>
        </w:tc>
      </w:tr>
    </w:tbl>
    <w:p w14:paraId="14F29503" w14:textId="77777777" w:rsidR="00C82A07" w:rsidRPr="00900F8E" w:rsidRDefault="00C82A07" w:rsidP="00136BA3">
      <w:pPr>
        <w:spacing w:after="0" w:line="240" w:lineRule="auto"/>
        <w:jc w:val="both"/>
        <w:rPr>
          <w:rFonts w:ascii="Arial" w:hAnsi="Arial" w:cs="Arial"/>
        </w:rPr>
      </w:pPr>
    </w:p>
    <w:p w14:paraId="27AEEB71" w14:textId="77777777" w:rsidR="006841D8" w:rsidRDefault="006841D8" w:rsidP="00136BA3">
      <w:pPr>
        <w:spacing w:after="0" w:line="240" w:lineRule="auto"/>
        <w:jc w:val="both"/>
        <w:rPr>
          <w:rFonts w:ascii="Arial" w:hAnsi="Arial" w:cs="Arial"/>
        </w:rPr>
      </w:pPr>
    </w:p>
    <w:p w14:paraId="67D07E6D" w14:textId="39137EBD" w:rsidR="00A049F3" w:rsidRDefault="00466160" w:rsidP="00136BA3">
      <w:pPr>
        <w:spacing w:after="0" w:line="240" w:lineRule="auto"/>
        <w:jc w:val="both"/>
        <w:rPr>
          <w:rFonts w:ascii="Arial" w:hAnsi="Arial" w:cs="Arial"/>
        </w:rPr>
      </w:pPr>
      <w:r w:rsidRPr="00900F8E">
        <w:rPr>
          <w:rFonts w:ascii="Arial" w:hAnsi="Arial" w:cs="Arial"/>
        </w:rPr>
        <w:lastRenderedPageBreak/>
        <w:t xml:space="preserve">Prvi kazalec </w:t>
      </w:r>
      <w:r w:rsidR="00837CCD">
        <w:rPr>
          <w:rFonts w:ascii="Arial" w:hAnsi="Arial" w:cs="Arial"/>
          <w:i/>
        </w:rPr>
        <w:t>p</w:t>
      </w:r>
      <w:r w:rsidR="00E72609" w:rsidRPr="00900F8E">
        <w:rPr>
          <w:rFonts w:ascii="Arial" w:hAnsi="Arial" w:cs="Arial"/>
          <w:i/>
        </w:rPr>
        <w:t>ovečanje učinkovitosti reje domačih živali</w:t>
      </w:r>
      <w:r w:rsidR="00E72609" w:rsidRPr="00900F8E">
        <w:rPr>
          <w:rFonts w:ascii="Arial" w:hAnsi="Arial" w:cs="Arial"/>
        </w:rPr>
        <w:t xml:space="preserve"> </w:t>
      </w:r>
      <w:r w:rsidRPr="00900F8E">
        <w:rPr>
          <w:rFonts w:ascii="Arial" w:hAnsi="Arial" w:cs="Arial"/>
        </w:rPr>
        <w:t>opisuje gibanje emisij toplogrednih plinov pri prireji mleka. Vrednosti po letu 201</w:t>
      </w:r>
      <w:r w:rsidR="00894C79" w:rsidRPr="00900F8E">
        <w:rPr>
          <w:rFonts w:ascii="Arial" w:hAnsi="Arial" w:cs="Arial"/>
        </w:rPr>
        <w:t>3</w:t>
      </w:r>
      <w:r w:rsidRPr="00900F8E">
        <w:rPr>
          <w:rFonts w:ascii="Arial" w:hAnsi="Arial" w:cs="Arial"/>
        </w:rPr>
        <w:t xml:space="preserve"> </w:t>
      </w:r>
      <w:r w:rsidR="00894C79" w:rsidRPr="00900F8E">
        <w:rPr>
          <w:rFonts w:ascii="Arial" w:hAnsi="Arial" w:cs="Arial"/>
        </w:rPr>
        <w:t xml:space="preserve">za emisije TGP na enoto prirejenega mleka </w:t>
      </w:r>
      <w:r w:rsidR="00280924" w:rsidRPr="00900F8E">
        <w:rPr>
          <w:rFonts w:ascii="Arial" w:hAnsi="Arial" w:cs="Arial"/>
        </w:rPr>
        <w:t>so kazale</w:t>
      </w:r>
      <w:r w:rsidR="00894C79" w:rsidRPr="00900F8E">
        <w:rPr>
          <w:rFonts w:ascii="Arial" w:hAnsi="Arial" w:cs="Arial"/>
        </w:rPr>
        <w:t xml:space="preserve"> ugoden trend zmanjševanja, </w:t>
      </w:r>
      <w:r w:rsidR="00280924" w:rsidRPr="00900F8E">
        <w:rPr>
          <w:rFonts w:ascii="Arial" w:hAnsi="Arial" w:cs="Arial"/>
        </w:rPr>
        <w:t>vendar naj bi bil</w:t>
      </w:r>
      <w:r w:rsidR="00894C79" w:rsidRPr="00900F8E">
        <w:rPr>
          <w:rFonts w:ascii="Arial" w:hAnsi="Arial" w:cs="Arial"/>
        </w:rPr>
        <w:t xml:space="preserve"> zastavljen</w:t>
      </w:r>
      <w:r w:rsidR="009570CA">
        <w:rPr>
          <w:rFonts w:ascii="Arial" w:hAnsi="Arial" w:cs="Arial"/>
        </w:rPr>
        <w:t>i</w:t>
      </w:r>
      <w:r w:rsidR="00894C79" w:rsidRPr="00900F8E">
        <w:rPr>
          <w:rFonts w:ascii="Arial" w:hAnsi="Arial" w:cs="Arial"/>
        </w:rPr>
        <w:t xml:space="preserve"> cilj dosežen leta 2022</w:t>
      </w:r>
      <w:r w:rsidRPr="00900F8E">
        <w:rPr>
          <w:rFonts w:ascii="Arial" w:hAnsi="Arial" w:cs="Arial"/>
        </w:rPr>
        <w:t>.</w:t>
      </w:r>
    </w:p>
    <w:p w14:paraId="25F1C8E1" w14:textId="77777777" w:rsidR="00995E58" w:rsidRPr="00900F8E" w:rsidRDefault="00995E58" w:rsidP="00136BA3">
      <w:pPr>
        <w:spacing w:after="0" w:line="240" w:lineRule="auto"/>
        <w:jc w:val="both"/>
        <w:rPr>
          <w:rFonts w:ascii="Arial" w:hAnsi="Arial" w:cs="Arial"/>
        </w:rPr>
      </w:pPr>
    </w:p>
    <w:p w14:paraId="0845357B" w14:textId="009D41D2" w:rsidR="008B2FFC" w:rsidRDefault="00137787" w:rsidP="00136BA3">
      <w:pPr>
        <w:spacing w:after="0" w:line="240" w:lineRule="auto"/>
        <w:jc w:val="both"/>
        <w:rPr>
          <w:rFonts w:ascii="Arial" w:hAnsi="Arial" w:cs="Arial"/>
        </w:rPr>
      </w:pPr>
      <w:r w:rsidRPr="00900F8E">
        <w:rPr>
          <w:rFonts w:ascii="Arial" w:hAnsi="Arial" w:cs="Arial"/>
        </w:rPr>
        <w:t xml:space="preserve">Četrti kazalec </w:t>
      </w:r>
      <w:r w:rsidR="00837CCD">
        <w:rPr>
          <w:rFonts w:ascii="Arial" w:hAnsi="Arial" w:cs="Arial"/>
          <w:i/>
        </w:rPr>
        <w:t>u</w:t>
      </w:r>
      <w:r w:rsidRPr="00900F8E">
        <w:rPr>
          <w:rFonts w:ascii="Arial" w:hAnsi="Arial" w:cs="Arial"/>
          <w:i/>
        </w:rPr>
        <w:t xml:space="preserve">činkovitejše kroženje dušika v kmetijstvu – površina zemljišč v ukrepu </w:t>
      </w:r>
      <w:r w:rsidR="00837CCD">
        <w:rPr>
          <w:rFonts w:ascii="Arial" w:hAnsi="Arial" w:cs="Arial"/>
          <w:i/>
        </w:rPr>
        <w:t>e</w:t>
      </w:r>
      <w:r w:rsidRPr="00900F8E">
        <w:rPr>
          <w:rFonts w:ascii="Arial" w:hAnsi="Arial" w:cs="Arial"/>
          <w:i/>
        </w:rPr>
        <w:t>kološko kmetovanje</w:t>
      </w:r>
      <w:r w:rsidR="008B2FFC" w:rsidRPr="00900F8E">
        <w:rPr>
          <w:rFonts w:ascii="Arial" w:hAnsi="Arial" w:cs="Arial"/>
        </w:rPr>
        <w:t xml:space="preserve"> je opisan z obsegom ekološkega kmetovanja, v katerem je prepovedana uporaba mineralnih dušikovih gnojil. Ciljna vrednost 44.000 ha je bila presežena že</w:t>
      </w:r>
      <w:r w:rsidR="00B81D38" w:rsidRPr="00900F8E">
        <w:rPr>
          <w:rFonts w:ascii="Arial" w:hAnsi="Arial" w:cs="Arial"/>
        </w:rPr>
        <w:t xml:space="preserve"> v letu 2018</w:t>
      </w:r>
      <w:r w:rsidR="008B2FFC" w:rsidRPr="00900F8E">
        <w:rPr>
          <w:rFonts w:ascii="Arial" w:hAnsi="Arial" w:cs="Arial"/>
        </w:rPr>
        <w:t>.</w:t>
      </w:r>
      <w:r w:rsidR="00B81D38" w:rsidRPr="00900F8E">
        <w:rPr>
          <w:rFonts w:ascii="Arial" w:hAnsi="Arial" w:cs="Arial"/>
        </w:rPr>
        <w:t xml:space="preserve"> </w:t>
      </w:r>
      <w:r w:rsidR="00E95120" w:rsidRPr="00900F8E">
        <w:rPr>
          <w:rFonts w:ascii="Arial" w:hAnsi="Arial" w:cs="Arial"/>
        </w:rPr>
        <w:t>Ciljna vrednost Programa razvoja podeželja 2014</w:t>
      </w:r>
      <w:r w:rsidR="009B1AF1">
        <w:rPr>
          <w:rFonts w:ascii="Arial" w:hAnsi="Arial" w:cs="Arial"/>
        </w:rPr>
        <w:t>–</w:t>
      </w:r>
      <w:r w:rsidR="00E95120" w:rsidRPr="00900F8E">
        <w:rPr>
          <w:rFonts w:ascii="Arial" w:hAnsi="Arial" w:cs="Arial"/>
        </w:rPr>
        <w:t>2020</w:t>
      </w:r>
      <w:r w:rsidR="00CB3637" w:rsidRPr="00900F8E">
        <w:rPr>
          <w:rFonts w:ascii="Arial" w:hAnsi="Arial" w:cs="Arial"/>
        </w:rPr>
        <w:t>, ki je bolj ambiciozna kot cilj OP TGP 2020 in</w:t>
      </w:r>
      <w:r w:rsidR="00E95120" w:rsidRPr="00900F8E">
        <w:rPr>
          <w:rFonts w:ascii="Arial" w:hAnsi="Arial" w:cs="Arial"/>
        </w:rPr>
        <w:t xml:space="preserve"> znaša 55.000 ha, n</w:t>
      </w:r>
      <w:r w:rsidR="00CB3637" w:rsidRPr="00900F8E">
        <w:rPr>
          <w:rFonts w:ascii="Arial" w:hAnsi="Arial" w:cs="Arial"/>
        </w:rPr>
        <w:t>i</w:t>
      </w:r>
      <w:r w:rsidR="00E95120" w:rsidRPr="00900F8E">
        <w:rPr>
          <w:rFonts w:ascii="Arial" w:hAnsi="Arial" w:cs="Arial"/>
        </w:rPr>
        <w:t xml:space="preserve"> b</w:t>
      </w:r>
      <w:r w:rsidR="00CB3637" w:rsidRPr="00900F8E">
        <w:rPr>
          <w:rFonts w:ascii="Arial" w:hAnsi="Arial" w:cs="Arial"/>
        </w:rPr>
        <w:t>ila</w:t>
      </w:r>
      <w:r w:rsidR="00E95120" w:rsidRPr="00900F8E">
        <w:rPr>
          <w:rFonts w:ascii="Arial" w:hAnsi="Arial" w:cs="Arial"/>
        </w:rPr>
        <w:t xml:space="preserve"> dosežena.</w:t>
      </w:r>
    </w:p>
    <w:p w14:paraId="7BCE8AE4" w14:textId="77777777" w:rsidR="006841D8" w:rsidRPr="00900F8E" w:rsidRDefault="006841D8" w:rsidP="00136BA3">
      <w:pPr>
        <w:spacing w:after="0" w:line="240" w:lineRule="auto"/>
        <w:jc w:val="both"/>
        <w:rPr>
          <w:rFonts w:ascii="Arial" w:hAnsi="Arial" w:cs="Arial"/>
        </w:rPr>
      </w:pPr>
    </w:p>
    <w:p w14:paraId="188B5352" w14:textId="0DA83114" w:rsidR="003F5CB9" w:rsidRPr="00900F8E" w:rsidRDefault="003F5CB9" w:rsidP="00136BA3">
      <w:pPr>
        <w:spacing w:after="0" w:line="240" w:lineRule="auto"/>
        <w:jc w:val="both"/>
        <w:rPr>
          <w:rFonts w:ascii="Arial" w:hAnsi="Arial" w:cs="Arial"/>
        </w:rPr>
      </w:pPr>
    </w:p>
    <w:p w14:paraId="5D45D434" w14:textId="4F9CA243" w:rsidR="00136BA3" w:rsidRPr="00900F8E" w:rsidRDefault="00136BA3" w:rsidP="0065545E">
      <w:pPr>
        <w:pStyle w:val="Naslov2"/>
        <w:rPr>
          <w:rFonts w:ascii="Arial" w:hAnsi="Arial" w:cs="Arial"/>
          <w:color w:val="auto"/>
        </w:rPr>
      </w:pPr>
      <w:bookmarkStart w:id="19" w:name="_Toc120166931"/>
      <w:r w:rsidRPr="00900F8E">
        <w:rPr>
          <w:rFonts w:ascii="Arial" w:hAnsi="Arial" w:cs="Arial"/>
          <w:color w:val="auto"/>
        </w:rPr>
        <w:t>3.3 Široka raba – stavbe</w:t>
      </w:r>
      <w:bookmarkEnd w:id="19"/>
    </w:p>
    <w:p w14:paraId="3A24965A" w14:textId="77777777" w:rsidR="00136BA3" w:rsidRPr="00900F8E" w:rsidRDefault="00136BA3" w:rsidP="00136BA3">
      <w:pPr>
        <w:spacing w:after="0" w:line="240" w:lineRule="auto"/>
        <w:jc w:val="both"/>
        <w:rPr>
          <w:rFonts w:ascii="Arial" w:hAnsi="Arial" w:cs="Arial"/>
        </w:rPr>
      </w:pPr>
    </w:p>
    <w:tbl>
      <w:tblPr>
        <w:tblStyle w:val="Tabelamrea"/>
        <w:tblW w:w="9067" w:type="dxa"/>
        <w:tblLayout w:type="fixed"/>
        <w:tblLook w:val="04A0" w:firstRow="1" w:lastRow="0" w:firstColumn="1" w:lastColumn="0" w:noHBand="0" w:noVBand="1"/>
      </w:tblPr>
      <w:tblGrid>
        <w:gridCol w:w="3256"/>
        <w:gridCol w:w="1701"/>
        <w:gridCol w:w="1701"/>
        <w:gridCol w:w="1701"/>
        <w:gridCol w:w="708"/>
      </w:tblGrid>
      <w:tr w:rsidR="00880A84" w:rsidRPr="00900F8E" w14:paraId="356707A6" w14:textId="77777777" w:rsidTr="003E4FE8">
        <w:tc>
          <w:tcPr>
            <w:tcW w:w="3256" w:type="dxa"/>
          </w:tcPr>
          <w:p w14:paraId="57C80B64" w14:textId="34DE0069" w:rsidR="00690297" w:rsidRPr="00900F8E" w:rsidRDefault="00690297" w:rsidP="00690297">
            <w:pPr>
              <w:jc w:val="both"/>
              <w:rPr>
                <w:rFonts w:ascii="Arial" w:hAnsi="Arial" w:cs="Arial"/>
              </w:rPr>
            </w:pPr>
            <w:r w:rsidRPr="00900F8E">
              <w:rPr>
                <w:rFonts w:ascii="Arial" w:hAnsi="Arial" w:cs="Arial"/>
                <w:b/>
              </w:rPr>
              <w:t>Doseganje ciljev OP TGP 2020 se spremlja s kazalci:</w:t>
            </w:r>
          </w:p>
        </w:tc>
        <w:tc>
          <w:tcPr>
            <w:tcW w:w="1701" w:type="dxa"/>
          </w:tcPr>
          <w:p w14:paraId="284D5798" w14:textId="77777777" w:rsidR="00690297" w:rsidRPr="00900F8E" w:rsidRDefault="00690297" w:rsidP="00690297">
            <w:pPr>
              <w:jc w:val="center"/>
              <w:rPr>
                <w:rFonts w:ascii="Arial" w:hAnsi="Arial" w:cs="Arial"/>
                <w:b/>
                <w:bCs/>
              </w:rPr>
            </w:pPr>
            <w:r w:rsidRPr="00900F8E">
              <w:rPr>
                <w:rFonts w:ascii="Arial" w:hAnsi="Arial" w:cs="Arial"/>
                <w:b/>
                <w:bCs/>
              </w:rPr>
              <w:t>Ciljna vrednost</w:t>
            </w:r>
          </w:p>
          <w:p w14:paraId="36A4077B" w14:textId="441D8586" w:rsidR="0022297F" w:rsidRPr="00900F8E" w:rsidRDefault="0022297F" w:rsidP="00690297">
            <w:pPr>
              <w:jc w:val="center"/>
              <w:rPr>
                <w:rFonts w:ascii="Arial" w:hAnsi="Arial" w:cs="Arial"/>
                <w:b/>
              </w:rPr>
            </w:pPr>
            <w:bookmarkStart w:id="20" w:name="_Hlk107209164"/>
            <w:r w:rsidRPr="00900F8E">
              <w:rPr>
                <w:rFonts w:ascii="Arial" w:hAnsi="Arial" w:cs="Arial"/>
                <w:b/>
                <w:bCs/>
              </w:rPr>
              <w:t xml:space="preserve"> v 2020</w:t>
            </w:r>
            <w:bookmarkEnd w:id="20"/>
          </w:p>
        </w:tc>
        <w:tc>
          <w:tcPr>
            <w:tcW w:w="1701" w:type="dxa"/>
          </w:tcPr>
          <w:p w14:paraId="75D73EE6" w14:textId="594A6AA9" w:rsidR="00690297" w:rsidRPr="00900F8E" w:rsidRDefault="00690297" w:rsidP="00690297">
            <w:pPr>
              <w:jc w:val="center"/>
              <w:rPr>
                <w:rFonts w:ascii="Arial" w:hAnsi="Arial" w:cs="Arial"/>
                <w:b/>
              </w:rPr>
            </w:pPr>
            <w:r w:rsidRPr="00900F8E">
              <w:rPr>
                <w:rFonts w:ascii="Arial" w:hAnsi="Arial" w:cs="Arial"/>
                <w:b/>
                <w:bCs/>
              </w:rPr>
              <w:t>Dosežena vrednost v 2019</w:t>
            </w:r>
          </w:p>
        </w:tc>
        <w:tc>
          <w:tcPr>
            <w:tcW w:w="1701" w:type="dxa"/>
          </w:tcPr>
          <w:p w14:paraId="2A0A402E" w14:textId="16EAAF03" w:rsidR="00690297" w:rsidRPr="00900F8E" w:rsidRDefault="00690297" w:rsidP="00690297">
            <w:pPr>
              <w:jc w:val="center"/>
              <w:rPr>
                <w:rFonts w:ascii="Arial" w:hAnsi="Arial" w:cs="Arial"/>
                <w:b/>
              </w:rPr>
            </w:pPr>
            <w:r w:rsidRPr="00900F8E">
              <w:rPr>
                <w:rFonts w:ascii="Arial" w:hAnsi="Arial" w:cs="Arial"/>
                <w:b/>
                <w:bCs/>
              </w:rPr>
              <w:t>Dosežena vrednost v 2020</w:t>
            </w:r>
          </w:p>
        </w:tc>
        <w:tc>
          <w:tcPr>
            <w:tcW w:w="708" w:type="dxa"/>
          </w:tcPr>
          <w:p w14:paraId="6ABB7AE8" w14:textId="38D3A268" w:rsidR="00690297" w:rsidRPr="00900F8E" w:rsidRDefault="00690297" w:rsidP="00690297">
            <w:pPr>
              <w:jc w:val="center"/>
              <w:rPr>
                <w:rFonts w:ascii="Arial" w:hAnsi="Arial" w:cs="Arial"/>
                <w:b/>
              </w:rPr>
            </w:pPr>
            <w:r w:rsidRPr="00900F8E">
              <w:rPr>
                <w:rFonts w:ascii="Arial" w:hAnsi="Arial" w:cs="Arial"/>
                <w:b/>
              </w:rPr>
              <w:t>2020</w:t>
            </w:r>
          </w:p>
        </w:tc>
      </w:tr>
      <w:tr w:rsidR="00F76F8D" w:rsidRPr="00900F8E" w14:paraId="40A2FADF" w14:textId="77777777" w:rsidTr="003E4FE8">
        <w:tc>
          <w:tcPr>
            <w:tcW w:w="3256" w:type="dxa"/>
          </w:tcPr>
          <w:p w14:paraId="4C9D3E53" w14:textId="079A1DBC" w:rsidR="00690297" w:rsidRPr="00900F8E" w:rsidRDefault="00690297" w:rsidP="00264E13">
            <w:pPr>
              <w:rPr>
                <w:rFonts w:ascii="Arial" w:hAnsi="Arial" w:cs="Arial"/>
              </w:rPr>
            </w:pPr>
            <w:r w:rsidRPr="00900F8E">
              <w:rPr>
                <w:rFonts w:ascii="Arial" w:hAnsi="Arial" w:cs="Arial"/>
              </w:rPr>
              <w:t>Finančni vzvod spodbud v javnem sektorju</w:t>
            </w:r>
          </w:p>
        </w:tc>
        <w:tc>
          <w:tcPr>
            <w:tcW w:w="1701" w:type="dxa"/>
            <w:shd w:val="clear" w:color="auto" w:fill="auto"/>
          </w:tcPr>
          <w:p w14:paraId="21601CD8" w14:textId="77777777" w:rsidR="00E87B1F" w:rsidRPr="00117D9A" w:rsidRDefault="00224CBA" w:rsidP="004675F0">
            <w:pPr>
              <w:spacing w:before="20" w:after="20"/>
              <w:jc w:val="center"/>
              <w:rPr>
                <w:rFonts w:ascii="Arial" w:hAnsi="Arial" w:cs="Arial"/>
                <w:bCs/>
              </w:rPr>
            </w:pPr>
            <w:r w:rsidRPr="00117D9A">
              <w:rPr>
                <w:rFonts w:ascii="Arial" w:hAnsi="Arial" w:cs="Arial"/>
                <w:bCs/>
              </w:rPr>
              <w:t>0,33</w:t>
            </w:r>
            <w:r w:rsidR="00C16460" w:rsidRPr="00117D9A">
              <w:rPr>
                <w:rFonts w:ascii="Arial" w:hAnsi="Arial" w:cs="Arial"/>
                <w:bCs/>
              </w:rPr>
              <w:t xml:space="preserve"> </w:t>
            </w:r>
          </w:p>
          <w:p w14:paraId="513FA314" w14:textId="01395592" w:rsidR="00690297" w:rsidRPr="00117D9A" w:rsidRDefault="00F10050" w:rsidP="00F10050">
            <w:pPr>
              <w:spacing w:before="20" w:after="20"/>
              <w:jc w:val="center"/>
              <w:rPr>
                <w:rFonts w:ascii="Arial" w:hAnsi="Arial" w:cs="Arial"/>
                <w:bCs/>
              </w:rPr>
            </w:pPr>
            <w:r w:rsidRPr="00117D9A">
              <w:rPr>
                <w:rFonts w:ascii="Arial" w:hAnsi="Arial" w:cs="Arial"/>
                <w:bCs/>
              </w:rPr>
              <w:t>EUR</w:t>
            </w:r>
            <w:r w:rsidR="00117D9A" w:rsidRPr="00117D9A">
              <w:rPr>
                <w:rFonts w:ascii="Arial" w:hAnsi="Arial" w:cs="Arial"/>
                <w:bCs/>
              </w:rPr>
              <w:t>/EUR</w:t>
            </w:r>
          </w:p>
        </w:tc>
        <w:tc>
          <w:tcPr>
            <w:tcW w:w="1701" w:type="dxa"/>
            <w:shd w:val="clear" w:color="auto" w:fill="auto"/>
          </w:tcPr>
          <w:p w14:paraId="3AE73FAD" w14:textId="77777777" w:rsidR="00E87B1F" w:rsidRPr="00117D9A" w:rsidRDefault="00224CBA" w:rsidP="004675F0">
            <w:pPr>
              <w:spacing w:before="20" w:after="20"/>
              <w:jc w:val="center"/>
              <w:rPr>
                <w:rFonts w:ascii="Arial" w:hAnsi="Arial" w:cs="Arial"/>
                <w:bCs/>
              </w:rPr>
            </w:pPr>
            <w:r w:rsidRPr="00117D9A">
              <w:rPr>
                <w:rFonts w:ascii="Arial" w:hAnsi="Arial" w:cs="Arial"/>
                <w:bCs/>
              </w:rPr>
              <w:t>0,3</w:t>
            </w:r>
            <w:r w:rsidR="00182CF4" w:rsidRPr="00117D9A">
              <w:rPr>
                <w:rFonts w:ascii="Arial" w:hAnsi="Arial" w:cs="Arial"/>
                <w:bCs/>
              </w:rPr>
              <w:t>7</w:t>
            </w:r>
            <w:r w:rsidRPr="00117D9A">
              <w:rPr>
                <w:rFonts w:ascii="Arial" w:hAnsi="Arial" w:cs="Arial"/>
                <w:bCs/>
              </w:rPr>
              <w:t xml:space="preserve"> </w:t>
            </w:r>
          </w:p>
          <w:p w14:paraId="37BDEE77" w14:textId="3A3AAF65" w:rsidR="00690297" w:rsidRPr="00117D9A" w:rsidRDefault="00F10050" w:rsidP="004675F0">
            <w:pPr>
              <w:spacing w:before="20" w:after="20"/>
              <w:jc w:val="center"/>
              <w:rPr>
                <w:rFonts w:ascii="Arial" w:hAnsi="Arial" w:cs="Arial"/>
                <w:bCs/>
              </w:rPr>
            </w:pPr>
            <w:r w:rsidRPr="00117D9A">
              <w:rPr>
                <w:rFonts w:ascii="Arial" w:hAnsi="Arial" w:cs="Arial"/>
                <w:bCs/>
              </w:rPr>
              <w:t>EUR/</w:t>
            </w:r>
            <w:r w:rsidR="00117D9A" w:rsidRPr="00117D9A">
              <w:rPr>
                <w:rFonts w:ascii="Arial" w:hAnsi="Arial" w:cs="Arial"/>
                <w:bCs/>
              </w:rPr>
              <w:t>EUR</w:t>
            </w:r>
          </w:p>
        </w:tc>
        <w:tc>
          <w:tcPr>
            <w:tcW w:w="1701" w:type="dxa"/>
            <w:shd w:val="clear" w:color="auto" w:fill="auto"/>
          </w:tcPr>
          <w:p w14:paraId="358641A9" w14:textId="77777777" w:rsidR="00E87B1F" w:rsidRPr="00117D9A" w:rsidRDefault="00224CBA" w:rsidP="004675F0">
            <w:pPr>
              <w:spacing w:before="20" w:after="20"/>
              <w:jc w:val="center"/>
              <w:rPr>
                <w:rFonts w:ascii="Arial" w:hAnsi="Arial" w:cs="Arial"/>
                <w:bCs/>
              </w:rPr>
            </w:pPr>
            <w:r w:rsidRPr="00117D9A">
              <w:rPr>
                <w:rFonts w:ascii="Arial" w:hAnsi="Arial" w:cs="Arial"/>
                <w:bCs/>
              </w:rPr>
              <w:t xml:space="preserve">0,34 </w:t>
            </w:r>
          </w:p>
          <w:p w14:paraId="323B9F7E" w14:textId="61626B71" w:rsidR="00690297" w:rsidRPr="00117D9A" w:rsidRDefault="00F10050" w:rsidP="00F10050">
            <w:pPr>
              <w:spacing w:before="20" w:after="20"/>
              <w:jc w:val="center"/>
              <w:rPr>
                <w:rFonts w:ascii="Arial" w:hAnsi="Arial" w:cs="Arial"/>
                <w:bCs/>
              </w:rPr>
            </w:pPr>
            <w:r w:rsidRPr="00117D9A">
              <w:rPr>
                <w:rFonts w:ascii="Arial" w:hAnsi="Arial" w:cs="Arial"/>
                <w:bCs/>
              </w:rPr>
              <w:t>EUR</w:t>
            </w:r>
            <w:r w:rsidR="00117D9A" w:rsidRPr="00117D9A">
              <w:rPr>
                <w:rFonts w:ascii="Arial" w:hAnsi="Arial" w:cs="Arial"/>
                <w:bCs/>
              </w:rPr>
              <w:t>/EUR</w:t>
            </w:r>
          </w:p>
        </w:tc>
        <w:tc>
          <w:tcPr>
            <w:tcW w:w="708" w:type="dxa"/>
            <w:shd w:val="clear" w:color="auto" w:fill="FF0000"/>
          </w:tcPr>
          <w:p w14:paraId="35EF83E0" w14:textId="664CFABA" w:rsidR="00690297" w:rsidRPr="00900F8E" w:rsidRDefault="00690297" w:rsidP="004675F0">
            <w:pPr>
              <w:spacing w:before="20" w:after="20"/>
              <w:jc w:val="center"/>
              <w:rPr>
                <w:rFonts w:ascii="Arial" w:hAnsi="Arial" w:cs="Arial"/>
                <w:b/>
              </w:rPr>
            </w:pPr>
          </w:p>
        </w:tc>
      </w:tr>
      <w:tr w:rsidR="00F76F8D" w:rsidRPr="00900F8E" w14:paraId="7C1ACC96" w14:textId="77777777" w:rsidTr="003E4FE8">
        <w:tc>
          <w:tcPr>
            <w:tcW w:w="3256" w:type="dxa"/>
          </w:tcPr>
          <w:p w14:paraId="477F1653" w14:textId="21F8D58C" w:rsidR="00690297" w:rsidRPr="00900F8E" w:rsidRDefault="00264E13" w:rsidP="00264E13">
            <w:pPr>
              <w:rPr>
                <w:rFonts w:ascii="Arial" w:hAnsi="Arial" w:cs="Arial"/>
              </w:rPr>
            </w:pPr>
            <w:r w:rsidRPr="00900F8E">
              <w:rPr>
                <w:rFonts w:ascii="Arial" w:hAnsi="Arial" w:cs="Arial"/>
              </w:rPr>
              <w:t>Izboljšanje energetske učinkovitosti v javnem sektorju</w:t>
            </w:r>
          </w:p>
        </w:tc>
        <w:tc>
          <w:tcPr>
            <w:tcW w:w="1701" w:type="dxa"/>
            <w:shd w:val="clear" w:color="auto" w:fill="auto"/>
          </w:tcPr>
          <w:p w14:paraId="76EAFCE8" w14:textId="77777777" w:rsidR="00690297" w:rsidRPr="00900F8E" w:rsidRDefault="006B3FFB" w:rsidP="006B3FFB">
            <w:pPr>
              <w:spacing w:before="20" w:after="20"/>
              <w:jc w:val="center"/>
              <w:rPr>
                <w:rFonts w:ascii="Arial" w:hAnsi="Arial" w:cs="Arial"/>
                <w:bCs/>
              </w:rPr>
            </w:pPr>
            <w:r w:rsidRPr="00900F8E">
              <w:rPr>
                <w:rFonts w:ascii="Arial" w:hAnsi="Arial" w:cs="Arial"/>
                <w:bCs/>
              </w:rPr>
              <w:t>310,2</w:t>
            </w:r>
          </w:p>
          <w:p w14:paraId="2D8A6B27" w14:textId="67383064" w:rsidR="006B3FFB" w:rsidRPr="00900F8E" w:rsidRDefault="006B3FFB" w:rsidP="006B3FFB">
            <w:pPr>
              <w:spacing w:before="20" w:after="20"/>
              <w:jc w:val="center"/>
              <w:rPr>
                <w:rFonts w:ascii="Arial" w:hAnsi="Arial" w:cs="Arial"/>
                <w:bCs/>
              </w:rPr>
            </w:pPr>
            <w:r w:rsidRPr="00900F8E">
              <w:rPr>
                <w:rFonts w:ascii="Arial" w:hAnsi="Arial" w:cs="Arial"/>
                <w:bCs/>
              </w:rPr>
              <w:t>GWh</w:t>
            </w:r>
          </w:p>
        </w:tc>
        <w:tc>
          <w:tcPr>
            <w:tcW w:w="1701" w:type="dxa"/>
            <w:shd w:val="clear" w:color="auto" w:fill="auto"/>
          </w:tcPr>
          <w:p w14:paraId="50C9D61E" w14:textId="77777777" w:rsidR="00690297" w:rsidRPr="00900F8E" w:rsidRDefault="006B3FFB" w:rsidP="004675F0">
            <w:pPr>
              <w:spacing w:before="20" w:after="20"/>
              <w:jc w:val="center"/>
              <w:rPr>
                <w:rFonts w:ascii="Arial" w:hAnsi="Arial" w:cs="Arial"/>
                <w:bCs/>
              </w:rPr>
            </w:pPr>
            <w:r w:rsidRPr="00900F8E">
              <w:rPr>
                <w:rFonts w:ascii="Arial" w:hAnsi="Arial" w:cs="Arial"/>
                <w:bCs/>
              </w:rPr>
              <w:t>202,2</w:t>
            </w:r>
          </w:p>
          <w:p w14:paraId="0E19C259" w14:textId="6A281A42" w:rsidR="006B3FFB" w:rsidRPr="00900F8E" w:rsidRDefault="006B3FFB" w:rsidP="004675F0">
            <w:pPr>
              <w:spacing w:before="20" w:after="20"/>
              <w:jc w:val="center"/>
              <w:rPr>
                <w:rFonts w:ascii="Arial" w:hAnsi="Arial" w:cs="Arial"/>
                <w:bCs/>
              </w:rPr>
            </w:pPr>
            <w:r w:rsidRPr="00900F8E">
              <w:rPr>
                <w:rFonts w:ascii="Arial" w:hAnsi="Arial" w:cs="Arial"/>
                <w:bCs/>
              </w:rPr>
              <w:t>GWh</w:t>
            </w:r>
          </w:p>
        </w:tc>
        <w:tc>
          <w:tcPr>
            <w:tcW w:w="1701" w:type="dxa"/>
            <w:shd w:val="clear" w:color="auto" w:fill="auto"/>
          </w:tcPr>
          <w:p w14:paraId="2F086122" w14:textId="77777777" w:rsidR="00690297" w:rsidRPr="00900F8E" w:rsidRDefault="006B3FFB" w:rsidP="004675F0">
            <w:pPr>
              <w:spacing w:before="20" w:after="20"/>
              <w:jc w:val="center"/>
              <w:rPr>
                <w:rFonts w:ascii="Arial" w:hAnsi="Arial" w:cs="Arial"/>
                <w:bCs/>
              </w:rPr>
            </w:pPr>
            <w:r w:rsidRPr="00900F8E">
              <w:rPr>
                <w:rFonts w:ascii="Arial" w:hAnsi="Arial" w:cs="Arial"/>
                <w:bCs/>
              </w:rPr>
              <w:t>228,4</w:t>
            </w:r>
          </w:p>
          <w:p w14:paraId="3E8F6203" w14:textId="6F830ED2" w:rsidR="006B3FFB" w:rsidRPr="00900F8E" w:rsidRDefault="006B3FFB" w:rsidP="004675F0">
            <w:pPr>
              <w:spacing w:before="20" w:after="20"/>
              <w:jc w:val="center"/>
              <w:rPr>
                <w:rFonts w:ascii="Arial" w:hAnsi="Arial" w:cs="Arial"/>
                <w:bCs/>
              </w:rPr>
            </w:pPr>
            <w:r w:rsidRPr="00900F8E">
              <w:rPr>
                <w:rFonts w:ascii="Arial" w:hAnsi="Arial" w:cs="Arial"/>
                <w:bCs/>
              </w:rPr>
              <w:t>GWh</w:t>
            </w:r>
          </w:p>
        </w:tc>
        <w:tc>
          <w:tcPr>
            <w:tcW w:w="708" w:type="dxa"/>
            <w:shd w:val="clear" w:color="auto" w:fill="FF0000"/>
          </w:tcPr>
          <w:p w14:paraId="17358ACE" w14:textId="34626A28" w:rsidR="00690297" w:rsidRPr="00900F8E" w:rsidRDefault="00690297" w:rsidP="004675F0">
            <w:pPr>
              <w:spacing w:before="20" w:after="20"/>
              <w:jc w:val="center"/>
              <w:rPr>
                <w:rFonts w:ascii="Arial" w:hAnsi="Arial" w:cs="Arial"/>
                <w:b/>
              </w:rPr>
            </w:pPr>
          </w:p>
        </w:tc>
      </w:tr>
      <w:tr w:rsidR="00F76F8D" w:rsidRPr="00900F8E" w14:paraId="22CB1B59" w14:textId="77777777" w:rsidTr="003E4FE8">
        <w:tc>
          <w:tcPr>
            <w:tcW w:w="3256" w:type="dxa"/>
          </w:tcPr>
          <w:p w14:paraId="2B2788D6" w14:textId="1976C6D0" w:rsidR="00690297" w:rsidRPr="00900F8E" w:rsidRDefault="00690297" w:rsidP="00264E13">
            <w:pPr>
              <w:rPr>
                <w:rFonts w:ascii="Arial" w:hAnsi="Arial" w:cs="Arial"/>
              </w:rPr>
            </w:pPr>
            <w:r w:rsidRPr="00900F8E">
              <w:rPr>
                <w:rFonts w:ascii="Arial" w:hAnsi="Arial" w:cs="Arial"/>
              </w:rPr>
              <w:t>Površina energetsko saniranih stavb v javnem sektorju</w:t>
            </w:r>
          </w:p>
        </w:tc>
        <w:tc>
          <w:tcPr>
            <w:tcW w:w="1701" w:type="dxa"/>
            <w:shd w:val="clear" w:color="auto" w:fill="auto"/>
          </w:tcPr>
          <w:p w14:paraId="06FC77B9" w14:textId="77777777" w:rsidR="00E87B1F" w:rsidRPr="00900F8E" w:rsidRDefault="00A6150B" w:rsidP="00E87B1F">
            <w:pPr>
              <w:spacing w:before="20" w:after="20"/>
              <w:jc w:val="center"/>
              <w:rPr>
                <w:rFonts w:ascii="Arial" w:hAnsi="Arial" w:cs="Arial"/>
                <w:bCs/>
              </w:rPr>
            </w:pPr>
            <w:r w:rsidRPr="00900F8E">
              <w:rPr>
                <w:rFonts w:ascii="Arial" w:hAnsi="Arial" w:cs="Arial"/>
                <w:bCs/>
              </w:rPr>
              <w:t>1.795.040</w:t>
            </w:r>
            <w:r w:rsidR="00E87B1F" w:rsidRPr="00900F8E">
              <w:rPr>
                <w:rFonts w:ascii="Arial" w:hAnsi="Arial" w:cs="Arial"/>
                <w:bCs/>
              </w:rPr>
              <w:t xml:space="preserve"> </w:t>
            </w:r>
          </w:p>
          <w:p w14:paraId="63A96664" w14:textId="54DEEB7A" w:rsidR="00A6150B" w:rsidRPr="00900F8E" w:rsidRDefault="00A6150B" w:rsidP="00E87B1F">
            <w:pPr>
              <w:spacing w:before="20" w:after="20"/>
              <w:jc w:val="center"/>
              <w:rPr>
                <w:rFonts w:ascii="Arial" w:hAnsi="Arial" w:cs="Arial"/>
                <w:bCs/>
              </w:rPr>
            </w:pPr>
            <w:r w:rsidRPr="00900F8E">
              <w:rPr>
                <w:rFonts w:ascii="Arial" w:hAnsi="Arial" w:cs="Arial"/>
                <w:bCs/>
              </w:rPr>
              <w:t>m2</w:t>
            </w:r>
          </w:p>
        </w:tc>
        <w:tc>
          <w:tcPr>
            <w:tcW w:w="1701" w:type="dxa"/>
            <w:shd w:val="clear" w:color="auto" w:fill="auto"/>
          </w:tcPr>
          <w:p w14:paraId="267D4D35" w14:textId="77777777" w:rsidR="00E87B1F" w:rsidRPr="00900F8E" w:rsidRDefault="00A6150B" w:rsidP="004675F0">
            <w:pPr>
              <w:spacing w:before="20" w:after="20"/>
              <w:jc w:val="center"/>
              <w:rPr>
                <w:rFonts w:ascii="Arial" w:hAnsi="Arial" w:cs="Arial"/>
                <w:bCs/>
              </w:rPr>
            </w:pPr>
            <w:r w:rsidRPr="00900F8E">
              <w:rPr>
                <w:rFonts w:ascii="Arial" w:hAnsi="Arial" w:cs="Arial"/>
                <w:bCs/>
              </w:rPr>
              <w:t>1.714.380</w:t>
            </w:r>
          </w:p>
          <w:p w14:paraId="47144852" w14:textId="0915DAF3" w:rsidR="00690297" w:rsidRPr="00900F8E" w:rsidRDefault="00A6150B" w:rsidP="004675F0">
            <w:pPr>
              <w:spacing w:before="20" w:after="20"/>
              <w:jc w:val="center"/>
              <w:rPr>
                <w:rFonts w:ascii="Arial" w:hAnsi="Arial" w:cs="Arial"/>
                <w:bCs/>
              </w:rPr>
            </w:pPr>
            <w:r w:rsidRPr="00900F8E">
              <w:rPr>
                <w:rFonts w:ascii="Arial" w:hAnsi="Arial" w:cs="Arial"/>
                <w:bCs/>
              </w:rPr>
              <w:t>m2</w:t>
            </w:r>
          </w:p>
        </w:tc>
        <w:tc>
          <w:tcPr>
            <w:tcW w:w="1701" w:type="dxa"/>
            <w:shd w:val="clear" w:color="auto" w:fill="auto"/>
          </w:tcPr>
          <w:p w14:paraId="786D02EB" w14:textId="77777777" w:rsidR="00E87B1F" w:rsidRPr="00900F8E" w:rsidRDefault="00A6150B" w:rsidP="004675F0">
            <w:pPr>
              <w:spacing w:before="20" w:after="20"/>
              <w:jc w:val="center"/>
              <w:rPr>
                <w:rFonts w:ascii="Arial" w:hAnsi="Arial" w:cs="Arial"/>
                <w:bCs/>
              </w:rPr>
            </w:pPr>
            <w:r w:rsidRPr="00900F8E">
              <w:rPr>
                <w:rFonts w:ascii="Arial" w:hAnsi="Arial" w:cs="Arial"/>
                <w:bCs/>
              </w:rPr>
              <w:t>1.841.430</w:t>
            </w:r>
            <w:r w:rsidR="00E87B1F" w:rsidRPr="00900F8E">
              <w:rPr>
                <w:rFonts w:ascii="Arial" w:hAnsi="Arial" w:cs="Arial"/>
                <w:bCs/>
              </w:rPr>
              <w:t xml:space="preserve"> </w:t>
            </w:r>
          </w:p>
          <w:p w14:paraId="682F1EE5" w14:textId="4854CDEE" w:rsidR="00690297" w:rsidRPr="00900F8E" w:rsidRDefault="00A6150B" w:rsidP="004675F0">
            <w:pPr>
              <w:spacing w:before="20" w:after="20"/>
              <w:jc w:val="center"/>
              <w:rPr>
                <w:rFonts w:ascii="Arial" w:hAnsi="Arial" w:cs="Arial"/>
                <w:bCs/>
              </w:rPr>
            </w:pPr>
            <w:r w:rsidRPr="00900F8E">
              <w:rPr>
                <w:rFonts w:ascii="Arial" w:hAnsi="Arial" w:cs="Arial"/>
                <w:bCs/>
              </w:rPr>
              <w:t>m2</w:t>
            </w:r>
          </w:p>
        </w:tc>
        <w:tc>
          <w:tcPr>
            <w:tcW w:w="708" w:type="dxa"/>
            <w:shd w:val="clear" w:color="auto" w:fill="92D050"/>
          </w:tcPr>
          <w:p w14:paraId="2A1C829A" w14:textId="4E492C23" w:rsidR="00690297" w:rsidRPr="00900F8E" w:rsidRDefault="00690297" w:rsidP="004675F0">
            <w:pPr>
              <w:spacing w:before="20" w:after="20"/>
              <w:jc w:val="center"/>
              <w:rPr>
                <w:rFonts w:ascii="Arial" w:hAnsi="Arial" w:cs="Arial"/>
                <w:b/>
              </w:rPr>
            </w:pPr>
          </w:p>
        </w:tc>
      </w:tr>
      <w:tr w:rsidR="00F76F8D" w:rsidRPr="00900F8E" w14:paraId="2E86018B" w14:textId="77777777" w:rsidTr="003E4FE8">
        <w:tc>
          <w:tcPr>
            <w:tcW w:w="3256" w:type="dxa"/>
          </w:tcPr>
          <w:p w14:paraId="64E4F128" w14:textId="2EC3BEC1" w:rsidR="00F76F8D" w:rsidRPr="00900F8E" w:rsidRDefault="00F76F8D" w:rsidP="00264E13">
            <w:pPr>
              <w:rPr>
                <w:rFonts w:ascii="Arial" w:hAnsi="Arial" w:cs="Arial"/>
              </w:rPr>
            </w:pPr>
            <w:r w:rsidRPr="00900F8E">
              <w:rPr>
                <w:rFonts w:ascii="Arial" w:hAnsi="Arial" w:cs="Arial"/>
              </w:rPr>
              <w:t>Intenzivnost CO</w:t>
            </w:r>
            <w:r w:rsidRPr="00900F8E">
              <w:rPr>
                <w:rFonts w:ascii="Arial" w:hAnsi="Arial" w:cs="Arial"/>
                <w:vertAlign w:val="subscript"/>
              </w:rPr>
              <w:t>2</w:t>
            </w:r>
            <w:r w:rsidRPr="00900F8E">
              <w:rPr>
                <w:rFonts w:ascii="Arial" w:hAnsi="Arial" w:cs="Arial"/>
              </w:rPr>
              <w:t xml:space="preserve"> v komercialnem in institucionalnem sektorju</w:t>
            </w:r>
          </w:p>
        </w:tc>
        <w:tc>
          <w:tcPr>
            <w:tcW w:w="1701" w:type="dxa"/>
            <w:shd w:val="clear" w:color="auto" w:fill="auto"/>
          </w:tcPr>
          <w:p w14:paraId="71B411B9" w14:textId="77777777" w:rsidR="00F76F8D" w:rsidRPr="00900F8E" w:rsidRDefault="00F76F8D" w:rsidP="00F76F8D">
            <w:pPr>
              <w:spacing w:before="20" w:after="20"/>
              <w:jc w:val="center"/>
              <w:rPr>
                <w:rFonts w:ascii="Arial" w:hAnsi="Arial" w:cs="Arial"/>
                <w:bCs/>
              </w:rPr>
            </w:pPr>
            <w:r w:rsidRPr="00900F8E">
              <w:rPr>
                <w:rFonts w:ascii="Arial" w:hAnsi="Arial" w:cs="Arial"/>
                <w:bCs/>
              </w:rPr>
              <w:t xml:space="preserve">32,29 </w:t>
            </w:r>
          </w:p>
          <w:p w14:paraId="01AA6722" w14:textId="3088240C" w:rsidR="00F76F8D" w:rsidRPr="00900F8E" w:rsidRDefault="00F76F8D" w:rsidP="00F76F8D">
            <w:pPr>
              <w:spacing w:before="20" w:after="20"/>
              <w:jc w:val="center"/>
              <w:rPr>
                <w:rFonts w:ascii="Arial" w:hAnsi="Arial" w:cs="Arial"/>
                <w:bCs/>
              </w:rPr>
            </w:pPr>
            <w:r w:rsidRPr="00900F8E">
              <w:rPr>
                <w:rFonts w:ascii="Arial" w:hAnsi="Arial" w:cs="Arial"/>
                <w:bCs/>
              </w:rPr>
              <w:t xml:space="preserve">t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bCs/>
              </w:rPr>
              <w:t>/mio EUR1995</w:t>
            </w:r>
          </w:p>
        </w:tc>
        <w:tc>
          <w:tcPr>
            <w:tcW w:w="1701" w:type="dxa"/>
            <w:shd w:val="clear" w:color="auto" w:fill="auto"/>
          </w:tcPr>
          <w:p w14:paraId="485FA4FD" w14:textId="35E9519C" w:rsidR="00F76F8D" w:rsidRPr="00900F8E" w:rsidRDefault="00F76F8D" w:rsidP="00F76F8D">
            <w:pPr>
              <w:spacing w:before="20" w:after="20"/>
              <w:jc w:val="center"/>
              <w:rPr>
                <w:rFonts w:ascii="Arial" w:hAnsi="Arial" w:cs="Arial"/>
                <w:bCs/>
              </w:rPr>
            </w:pPr>
            <w:r w:rsidRPr="00900F8E">
              <w:rPr>
                <w:rFonts w:ascii="Arial" w:hAnsi="Arial" w:cs="Arial"/>
                <w:bCs/>
              </w:rPr>
              <w:t xml:space="preserve">32,30 </w:t>
            </w:r>
          </w:p>
          <w:p w14:paraId="2F5F07B8" w14:textId="13F939EB" w:rsidR="00F76F8D" w:rsidRPr="00900F8E" w:rsidRDefault="00F76F8D" w:rsidP="00F76F8D">
            <w:pPr>
              <w:spacing w:before="20" w:after="20"/>
              <w:jc w:val="center"/>
              <w:rPr>
                <w:rFonts w:ascii="Arial" w:hAnsi="Arial" w:cs="Arial"/>
                <w:bCs/>
              </w:rPr>
            </w:pPr>
            <w:r w:rsidRPr="00900F8E">
              <w:rPr>
                <w:rFonts w:ascii="Arial" w:hAnsi="Arial" w:cs="Arial"/>
                <w:bCs/>
              </w:rPr>
              <w:t xml:space="preserve">t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bCs/>
              </w:rPr>
              <w:t>/mio EUR1995</w:t>
            </w:r>
          </w:p>
        </w:tc>
        <w:tc>
          <w:tcPr>
            <w:tcW w:w="1701" w:type="dxa"/>
            <w:shd w:val="clear" w:color="auto" w:fill="auto"/>
          </w:tcPr>
          <w:p w14:paraId="568FDA1C" w14:textId="3C671D24" w:rsidR="00F76F8D" w:rsidRPr="00900F8E" w:rsidRDefault="00F76F8D" w:rsidP="00F76F8D">
            <w:pPr>
              <w:spacing w:before="20" w:after="20"/>
              <w:jc w:val="center"/>
              <w:rPr>
                <w:rFonts w:ascii="Arial" w:hAnsi="Arial" w:cs="Arial"/>
                <w:bCs/>
              </w:rPr>
            </w:pPr>
            <w:r w:rsidRPr="00900F8E">
              <w:rPr>
                <w:rFonts w:ascii="Arial" w:hAnsi="Arial" w:cs="Arial"/>
                <w:bCs/>
              </w:rPr>
              <w:t xml:space="preserve">32,98 </w:t>
            </w:r>
          </w:p>
          <w:p w14:paraId="76521392" w14:textId="5124AAB0" w:rsidR="00F76F8D" w:rsidRPr="00900F8E" w:rsidRDefault="00F76F8D" w:rsidP="00F76F8D">
            <w:pPr>
              <w:spacing w:before="20" w:after="20"/>
              <w:jc w:val="center"/>
              <w:rPr>
                <w:rFonts w:ascii="Arial" w:hAnsi="Arial" w:cs="Arial"/>
                <w:bCs/>
              </w:rPr>
            </w:pPr>
            <w:r w:rsidRPr="00900F8E">
              <w:rPr>
                <w:rFonts w:ascii="Arial" w:hAnsi="Arial" w:cs="Arial"/>
                <w:bCs/>
              </w:rPr>
              <w:t xml:space="preserve">t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bCs/>
              </w:rPr>
              <w:t>/mio EUR1995</w:t>
            </w:r>
          </w:p>
        </w:tc>
        <w:tc>
          <w:tcPr>
            <w:tcW w:w="708" w:type="dxa"/>
            <w:shd w:val="clear" w:color="auto" w:fill="FF0000"/>
          </w:tcPr>
          <w:p w14:paraId="4E6908DE" w14:textId="72C12269" w:rsidR="00F76F8D" w:rsidRPr="00900F8E" w:rsidRDefault="00F76F8D" w:rsidP="00F76F8D">
            <w:pPr>
              <w:spacing w:before="20" w:after="20"/>
              <w:jc w:val="center"/>
              <w:rPr>
                <w:rFonts w:ascii="Arial" w:hAnsi="Arial" w:cs="Arial"/>
                <w:b/>
              </w:rPr>
            </w:pPr>
          </w:p>
        </w:tc>
      </w:tr>
      <w:tr w:rsidR="00991316" w:rsidRPr="00900F8E" w14:paraId="35560D07" w14:textId="77777777" w:rsidTr="003E4FE8">
        <w:tc>
          <w:tcPr>
            <w:tcW w:w="3256" w:type="dxa"/>
          </w:tcPr>
          <w:p w14:paraId="3FF4E46C" w14:textId="62252477" w:rsidR="00991316" w:rsidRPr="00900F8E" w:rsidRDefault="00991316" w:rsidP="00991316">
            <w:pPr>
              <w:rPr>
                <w:rFonts w:ascii="Arial" w:hAnsi="Arial" w:cs="Arial"/>
              </w:rPr>
            </w:pPr>
            <w:r w:rsidRPr="00900F8E">
              <w:rPr>
                <w:rFonts w:ascii="Arial" w:hAnsi="Arial" w:cs="Arial"/>
              </w:rPr>
              <w:t xml:space="preserve">Izboljšanje energetske učinkovitosti v stanovanjskem sektorju </w:t>
            </w:r>
          </w:p>
        </w:tc>
        <w:tc>
          <w:tcPr>
            <w:tcW w:w="1701" w:type="dxa"/>
            <w:shd w:val="clear" w:color="auto" w:fill="auto"/>
          </w:tcPr>
          <w:p w14:paraId="3AD7E45E" w14:textId="66FB799C" w:rsidR="00991316" w:rsidRPr="00900F8E" w:rsidRDefault="00991316" w:rsidP="00991316">
            <w:pPr>
              <w:spacing w:before="20" w:after="20"/>
              <w:jc w:val="center"/>
              <w:rPr>
                <w:rFonts w:ascii="Arial" w:hAnsi="Arial" w:cs="Arial"/>
                <w:bCs/>
              </w:rPr>
            </w:pPr>
            <w:r w:rsidRPr="00900F8E">
              <w:rPr>
                <w:rFonts w:ascii="Arial" w:hAnsi="Arial" w:cs="Arial"/>
                <w:bCs/>
              </w:rPr>
              <w:t>1.401</w:t>
            </w:r>
          </w:p>
          <w:p w14:paraId="081751AA" w14:textId="0760AB58" w:rsidR="00991316" w:rsidRPr="00900F8E" w:rsidRDefault="00991316" w:rsidP="00991316">
            <w:pPr>
              <w:spacing w:before="20" w:after="20"/>
              <w:jc w:val="center"/>
              <w:rPr>
                <w:rFonts w:ascii="Arial" w:hAnsi="Arial" w:cs="Arial"/>
                <w:bCs/>
              </w:rPr>
            </w:pPr>
            <w:r w:rsidRPr="00900F8E">
              <w:rPr>
                <w:rFonts w:ascii="Arial" w:hAnsi="Arial" w:cs="Arial"/>
                <w:bCs/>
              </w:rPr>
              <w:t>GWh</w:t>
            </w:r>
          </w:p>
        </w:tc>
        <w:tc>
          <w:tcPr>
            <w:tcW w:w="1701" w:type="dxa"/>
            <w:shd w:val="clear" w:color="auto" w:fill="auto"/>
          </w:tcPr>
          <w:p w14:paraId="2299F423" w14:textId="68B4663B" w:rsidR="00991316" w:rsidRPr="00900F8E" w:rsidRDefault="00991316" w:rsidP="00991316">
            <w:pPr>
              <w:spacing w:before="20" w:after="20"/>
              <w:jc w:val="center"/>
              <w:rPr>
                <w:rFonts w:ascii="Arial" w:hAnsi="Arial" w:cs="Arial"/>
                <w:bCs/>
              </w:rPr>
            </w:pPr>
            <w:r w:rsidRPr="00900F8E">
              <w:rPr>
                <w:rFonts w:ascii="Arial" w:hAnsi="Arial" w:cs="Arial"/>
                <w:bCs/>
              </w:rPr>
              <w:t>1.506</w:t>
            </w:r>
          </w:p>
          <w:p w14:paraId="0C803C6C" w14:textId="073799CA" w:rsidR="00991316" w:rsidRPr="00900F8E" w:rsidRDefault="00991316" w:rsidP="00991316">
            <w:pPr>
              <w:spacing w:before="20" w:after="20"/>
              <w:jc w:val="center"/>
              <w:rPr>
                <w:rFonts w:ascii="Arial" w:hAnsi="Arial" w:cs="Arial"/>
                <w:bCs/>
              </w:rPr>
            </w:pPr>
            <w:r w:rsidRPr="00900F8E">
              <w:rPr>
                <w:rFonts w:ascii="Arial" w:hAnsi="Arial" w:cs="Arial"/>
                <w:bCs/>
              </w:rPr>
              <w:t>GWh</w:t>
            </w:r>
          </w:p>
        </w:tc>
        <w:tc>
          <w:tcPr>
            <w:tcW w:w="1701" w:type="dxa"/>
            <w:shd w:val="clear" w:color="auto" w:fill="auto"/>
          </w:tcPr>
          <w:p w14:paraId="7B13A143" w14:textId="556950F0" w:rsidR="00991316" w:rsidRPr="00900F8E" w:rsidRDefault="00991316" w:rsidP="00991316">
            <w:pPr>
              <w:spacing w:before="20" w:after="20"/>
              <w:jc w:val="center"/>
              <w:rPr>
                <w:rFonts w:ascii="Arial" w:hAnsi="Arial" w:cs="Arial"/>
                <w:bCs/>
              </w:rPr>
            </w:pPr>
            <w:r w:rsidRPr="00900F8E">
              <w:rPr>
                <w:rFonts w:ascii="Arial" w:hAnsi="Arial" w:cs="Arial"/>
                <w:bCs/>
              </w:rPr>
              <w:t>1.750</w:t>
            </w:r>
          </w:p>
          <w:p w14:paraId="50073F9D" w14:textId="3B1E8119" w:rsidR="00991316" w:rsidRPr="00900F8E" w:rsidRDefault="00991316" w:rsidP="00991316">
            <w:pPr>
              <w:spacing w:before="20" w:after="20"/>
              <w:jc w:val="center"/>
              <w:rPr>
                <w:rFonts w:ascii="Arial" w:hAnsi="Arial" w:cs="Arial"/>
                <w:bCs/>
              </w:rPr>
            </w:pPr>
            <w:r w:rsidRPr="00900F8E">
              <w:rPr>
                <w:rFonts w:ascii="Arial" w:hAnsi="Arial" w:cs="Arial"/>
                <w:bCs/>
              </w:rPr>
              <w:t>GWh</w:t>
            </w:r>
          </w:p>
        </w:tc>
        <w:tc>
          <w:tcPr>
            <w:tcW w:w="708" w:type="dxa"/>
            <w:shd w:val="clear" w:color="auto" w:fill="92D050"/>
          </w:tcPr>
          <w:p w14:paraId="63A112AB" w14:textId="45C5CAF0" w:rsidR="00991316" w:rsidRPr="00900F8E" w:rsidRDefault="00991316" w:rsidP="00991316">
            <w:pPr>
              <w:spacing w:before="20" w:after="20"/>
              <w:jc w:val="center"/>
              <w:rPr>
                <w:rFonts w:ascii="Arial" w:hAnsi="Arial" w:cs="Arial"/>
                <w:b/>
              </w:rPr>
            </w:pPr>
          </w:p>
        </w:tc>
      </w:tr>
      <w:tr w:rsidR="00F76F8D" w:rsidRPr="00900F8E" w14:paraId="20A30627" w14:textId="77777777" w:rsidTr="003E4FE8">
        <w:tc>
          <w:tcPr>
            <w:tcW w:w="3256" w:type="dxa"/>
          </w:tcPr>
          <w:p w14:paraId="72EB502E" w14:textId="030699D6" w:rsidR="00F76F8D" w:rsidRPr="00900F8E" w:rsidRDefault="00F76F8D" w:rsidP="00264E13">
            <w:pPr>
              <w:rPr>
                <w:rFonts w:ascii="Arial" w:hAnsi="Arial" w:cs="Arial"/>
              </w:rPr>
            </w:pPr>
            <w:r w:rsidRPr="00900F8E">
              <w:rPr>
                <w:rFonts w:ascii="Arial" w:hAnsi="Arial" w:cs="Arial"/>
              </w:rPr>
              <w:t xml:space="preserve">Specifične emisije </w:t>
            </w:r>
            <w:r w:rsidR="0000664C" w:rsidRPr="00900F8E">
              <w:rPr>
                <w:rFonts w:ascii="Arial" w:hAnsi="Arial" w:cs="Arial"/>
              </w:rPr>
              <w:t>TGP</w:t>
            </w:r>
            <w:r w:rsidRPr="00900F8E">
              <w:rPr>
                <w:rFonts w:ascii="Arial" w:hAnsi="Arial" w:cs="Arial"/>
              </w:rPr>
              <w:t xml:space="preserve"> v stanovanjskem sektorju</w:t>
            </w:r>
          </w:p>
        </w:tc>
        <w:tc>
          <w:tcPr>
            <w:tcW w:w="1701" w:type="dxa"/>
            <w:shd w:val="clear" w:color="auto" w:fill="auto"/>
          </w:tcPr>
          <w:p w14:paraId="3D5EAA39" w14:textId="77777777" w:rsidR="00F76F8D" w:rsidRPr="00900F8E" w:rsidRDefault="00F76F8D" w:rsidP="00F76F8D">
            <w:pPr>
              <w:spacing w:before="20" w:after="20"/>
              <w:jc w:val="center"/>
              <w:rPr>
                <w:rFonts w:ascii="Arial" w:hAnsi="Arial" w:cs="Arial"/>
                <w:bCs/>
              </w:rPr>
            </w:pPr>
            <w:r w:rsidRPr="00900F8E">
              <w:rPr>
                <w:rFonts w:ascii="Arial" w:hAnsi="Arial" w:cs="Arial"/>
                <w:bCs/>
              </w:rPr>
              <w:t>8,83</w:t>
            </w:r>
          </w:p>
          <w:p w14:paraId="1772395A" w14:textId="68C65ECB" w:rsidR="00F76F8D" w:rsidRPr="00900F8E" w:rsidRDefault="00F76F8D" w:rsidP="00F76F8D">
            <w:pPr>
              <w:spacing w:before="20" w:after="20"/>
              <w:jc w:val="center"/>
              <w:rPr>
                <w:rFonts w:ascii="Arial" w:hAnsi="Arial" w:cs="Arial"/>
                <w:bCs/>
              </w:rPr>
            </w:pPr>
            <w:r w:rsidRPr="00900F8E">
              <w:rPr>
                <w:rFonts w:ascii="Arial" w:hAnsi="Arial" w:cs="Arial"/>
                <w:bCs/>
              </w:rPr>
              <w:t>kg</w:t>
            </w:r>
            <w:r w:rsidR="00F15480" w:rsidRPr="00900F8E">
              <w:rPr>
                <w:rFonts w:ascii="Arial" w:hAnsi="Arial" w:cs="Arial"/>
                <w:bCs/>
              </w:rPr>
              <w:t xml:space="preserve"> ekv. CO</w:t>
            </w:r>
            <w:r w:rsidR="00F15480" w:rsidRPr="00900F8E">
              <w:rPr>
                <w:rFonts w:ascii="Arial" w:hAnsi="Arial" w:cs="Arial"/>
                <w:bCs/>
                <w:vertAlign w:val="subscript"/>
              </w:rPr>
              <w:t>2</w:t>
            </w:r>
            <w:r w:rsidRPr="00900F8E">
              <w:rPr>
                <w:rFonts w:ascii="Arial" w:hAnsi="Arial" w:cs="Arial"/>
                <w:bCs/>
              </w:rPr>
              <w:t>/m2</w:t>
            </w:r>
          </w:p>
        </w:tc>
        <w:tc>
          <w:tcPr>
            <w:tcW w:w="1701" w:type="dxa"/>
            <w:shd w:val="clear" w:color="auto" w:fill="auto"/>
          </w:tcPr>
          <w:p w14:paraId="021A8DC7" w14:textId="77777777" w:rsidR="00F76F8D" w:rsidRPr="00900F8E" w:rsidRDefault="00F76F8D" w:rsidP="00F76F8D">
            <w:pPr>
              <w:spacing w:before="20" w:after="20"/>
              <w:jc w:val="center"/>
              <w:rPr>
                <w:rFonts w:ascii="Arial" w:hAnsi="Arial" w:cs="Arial"/>
                <w:bCs/>
              </w:rPr>
            </w:pPr>
            <w:r w:rsidRPr="00900F8E">
              <w:rPr>
                <w:rFonts w:ascii="Arial" w:hAnsi="Arial" w:cs="Arial"/>
                <w:bCs/>
              </w:rPr>
              <w:t>8,92</w:t>
            </w:r>
          </w:p>
          <w:p w14:paraId="7D774362" w14:textId="42BA4313" w:rsidR="00F76F8D" w:rsidRPr="00900F8E" w:rsidRDefault="00F76F8D" w:rsidP="00F76F8D">
            <w:pPr>
              <w:spacing w:before="20" w:after="20"/>
              <w:jc w:val="center"/>
              <w:rPr>
                <w:rFonts w:ascii="Arial" w:hAnsi="Arial" w:cs="Arial"/>
                <w:bCs/>
              </w:rPr>
            </w:pPr>
            <w:r w:rsidRPr="00900F8E">
              <w:rPr>
                <w:rFonts w:ascii="Arial" w:hAnsi="Arial" w:cs="Arial"/>
                <w:bCs/>
              </w:rPr>
              <w:t>kg</w:t>
            </w:r>
            <w:r w:rsidR="00F15480" w:rsidRPr="00900F8E">
              <w:rPr>
                <w:rFonts w:ascii="Arial" w:hAnsi="Arial" w:cs="Arial"/>
                <w:bCs/>
              </w:rPr>
              <w:t xml:space="preserve"> ekv. CO</w:t>
            </w:r>
            <w:r w:rsidR="00F15480" w:rsidRPr="00900F8E">
              <w:rPr>
                <w:rFonts w:ascii="Arial" w:hAnsi="Arial" w:cs="Arial"/>
                <w:bCs/>
                <w:vertAlign w:val="subscript"/>
              </w:rPr>
              <w:t>2</w:t>
            </w:r>
            <w:r w:rsidRPr="00900F8E">
              <w:rPr>
                <w:rFonts w:ascii="Arial" w:hAnsi="Arial" w:cs="Arial"/>
                <w:bCs/>
              </w:rPr>
              <w:t>/m2</w:t>
            </w:r>
          </w:p>
        </w:tc>
        <w:tc>
          <w:tcPr>
            <w:tcW w:w="1701" w:type="dxa"/>
            <w:shd w:val="clear" w:color="auto" w:fill="auto"/>
          </w:tcPr>
          <w:p w14:paraId="3BA5D041" w14:textId="18D00064" w:rsidR="00F76F8D" w:rsidRPr="00900F8E" w:rsidRDefault="00F76F8D" w:rsidP="00F76F8D">
            <w:pPr>
              <w:spacing w:before="20" w:after="20"/>
              <w:jc w:val="center"/>
              <w:rPr>
                <w:rFonts w:ascii="Arial" w:hAnsi="Arial" w:cs="Arial"/>
                <w:bCs/>
              </w:rPr>
            </w:pPr>
            <w:r w:rsidRPr="00900F8E">
              <w:rPr>
                <w:rFonts w:ascii="Arial" w:hAnsi="Arial" w:cs="Arial"/>
                <w:bCs/>
              </w:rPr>
              <w:t>9,21</w:t>
            </w:r>
          </w:p>
          <w:p w14:paraId="41AA1E67" w14:textId="2732A464" w:rsidR="00F76F8D" w:rsidRPr="00900F8E" w:rsidRDefault="00F76F8D" w:rsidP="00F76F8D">
            <w:pPr>
              <w:spacing w:before="20" w:after="20"/>
              <w:jc w:val="center"/>
              <w:rPr>
                <w:rFonts w:ascii="Arial" w:hAnsi="Arial" w:cs="Arial"/>
                <w:bCs/>
              </w:rPr>
            </w:pPr>
            <w:r w:rsidRPr="00900F8E">
              <w:rPr>
                <w:rFonts w:ascii="Arial" w:hAnsi="Arial" w:cs="Arial"/>
                <w:bCs/>
              </w:rPr>
              <w:t>kg</w:t>
            </w:r>
            <w:r w:rsidR="00F15480" w:rsidRPr="00900F8E">
              <w:rPr>
                <w:rFonts w:ascii="Arial" w:hAnsi="Arial" w:cs="Arial"/>
                <w:bCs/>
              </w:rPr>
              <w:t xml:space="preserve"> ekv. CO</w:t>
            </w:r>
            <w:r w:rsidR="00F15480" w:rsidRPr="00900F8E">
              <w:rPr>
                <w:rFonts w:ascii="Arial" w:hAnsi="Arial" w:cs="Arial"/>
                <w:bCs/>
                <w:vertAlign w:val="subscript"/>
              </w:rPr>
              <w:t>2</w:t>
            </w:r>
            <w:r w:rsidRPr="00900F8E">
              <w:rPr>
                <w:rFonts w:ascii="Arial" w:hAnsi="Arial" w:cs="Arial"/>
                <w:bCs/>
              </w:rPr>
              <w:t>/m2</w:t>
            </w:r>
          </w:p>
        </w:tc>
        <w:tc>
          <w:tcPr>
            <w:tcW w:w="708" w:type="dxa"/>
            <w:shd w:val="clear" w:color="auto" w:fill="FF0000"/>
          </w:tcPr>
          <w:p w14:paraId="080E1E09" w14:textId="130854CE" w:rsidR="00F76F8D" w:rsidRPr="00900F8E" w:rsidRDefault="00F76F8D" w:rsidP="00F76F8D">
            <w:pPr>
              <w:spacing w:before="20" w:after="20"/>
              <w:jc w:val="center"/>
              <w:rPr>
                <w:rFonts w:ascii="Arial" w:hAnsi="Arial" w:cs="Arial"/>
                <w:b/>
              </w:rPr>
            </w:pPr>
          </w:p>
        </w:tc>
      </w:tr>
      <w:tr w:rsidR="00F76F8D" w:rsidRPr="00900F8E" w14:paraId="19045F66" w14:textId="77777777" w:rsidTr="003E4FE8">
        <w:tc>
          <w:tcPr>
            <w:tcW w:w="3256" w:type="dxa"/>
          </w:tcPr>
          <w:p w14:paraId="65F6039E" w14:textId="4697BAE1" w:rsidR="00F76F8D" w:rsidRPr="00900F8E" w:rsidRDefault="00F76F8D" w:rsidP="00264E13">
            <w:pPr>
              <w:rPr>
                <w:rFonts w:ascii="Arial" w:hAnsi="Arial" w:cs="Arial"/>
              </w:rPr>
            </w:pPr>
            <w:r w:rsidRPr="00900F8E">
              <w:rPr>
                <w:rFonts w:ascii="Arial" w:hAnsi="Arial" w:cs="Arial"/>
              </w:rPr>
              <w:t>Delež OVE v rabi goriv v široki rabi</w:t>
            </w:r>
          </w:p>
        </w:tc>
        <w:tc>
          <w:tcPr>
            <w:tcW w:w="1701" w:type="dxa"/>
            <w:shd w:val="clear" w:color="auto" w:fill="auto"/>
          </w:tcPr>
          <w:p w14:paraId="1B63702F" w14:textId="1B3BB58D" w:rsidR="00F76F8D" w:rsidRPr="00900F8E" w:rsidRDefault="007A5B38" w:rsidP="00F76F8D">
            <w:pPr>
              <w:spacing w:before="20" w:after="20"/>
              <w:jc w:val="center"/>
              <w:rPr>
                <w:rFonts w:ascii="Arial" w:hAnsi="Arial" w:cs="Arial"/>
                <w:bCs/>
              </w:rPr>
            </w:pPr>
            <w:r w:rsidRPr="00900F8E">
              <w:rPr>
                <w:rFonts w:ascii="Arial" w:hAnsi="Arial" w:cs="Arial"/>
                <w:bCs/>
              </w:rPr>
              <w:t>61,0 %</w:t>
            </w:r>
          </w:p>
        </w:tc>
        <w:tc>
          <w:tcPr>
            <w:tcW w:w="1701" w:type="dxa"/>
            <w:shd w:val="clear" w:color="auto" w:fill="auto"/>
          </w:tcPr>
          <w:p w14:paraId="1BB0C5A0" w14:textId="728085D3" w:rsidR="00F76F8D" w:rsidRPr="00900F8E" w:rsidRDefault="007A5B38" w:rsidP="00F76F8D">
            <w:pPr>
              <w:spacing w:before="20" w:after="20"/>
              <w:jc w:val="center"/>
              <w:rPr>
                <w:rFonts w:ascii="Arial" w:hAnsi="Arial" w:cs="Arial"/>
                <w:bCs/>
              </w:rPr>
            </w:pPr>
            <w:r w:rsidRPr="00900F8E">
              <w:rPr>
                <w:rFonts w:ascii="Arial" w:hAnsi="Arial" w:cs="Arial"/>
                <w:bCs/>
              </w:rPr>
              <w:t>57,3 %</w:t>
            </w:r>
          </w:p>
        </w:tc>
        <w:tc>
          <w:tcPr>
            <w:tcW w:w="1701" w:type="dxa"/>
            <w:shd w:val="clear" w:color="auto" w:fill="auto"/>
          </w:tcPr>
          <w:p w14:paraId="323DCDE1" w14:textId="1BE9C6E8" w:rsidR="00F76F8D" w:rsidRPr="00900F8E" w:rsidRDefault="007A5B38" w:rsidP="00F76F8D">
            <w:pPr>
              <w:spacing w:before="20" w:after="20"/>
              <w:jc w:val="center"/>
              <w:rPr>
                <w:rFonts w:ascii="Arial" w:hAnsi="Arial" w:cs="Arial"/>
                <w:bCs/>
              </w:rPr>
            </w:pPr>
            <w:r w:rsidRPr="00900F8E">
              <w:rPr>
                <w:rFonts w:ascii="Arial" w:hAnsi="Arial" w:cs="Arial"/>
                <w:bCs/>
              </w:rPr>
              <w:t>56,4 %</w:t>
            </w:r>
          </w:p>
        </w:tc>
        <w:tc>
          <w:tcPr>
            <w:tcW w:w="708" w:type="dxa"/>
            <w:shd w:val="clear" w:color="auto" w:fill="FF0000"/>
          </w:tcPr>
          <w:p w14:paraId="4F3756A9" w14:textId="365D3EC5" w:rsidR="00F76F8D" w:rsidRPr="00900F8E" w:rsidRDefault="00F76F8D" w:rsidP="00F76F8D">
            <w:pPr>
              <w:spacing w:before="20" w:after="20"/>
              <w:jc w:val="center"/>
              <w:rPr>
                <w:rFonts w:ascii="Arial" w:hAnsi="Arial" w:cs="Arial"/>
                <w:b/>
              </w:rPr>
            </w:pPr>
          </w:p>
        </w:tc>
      </w:tr>
    </w:tbl>
    <w:p w14:paraId="6E94611C" w14:textId="77777777" w:rsidR="00CA52FA" w:rsidRPr="00900F8E" w:rsidRDefault="00CA52FA" w:rsidP="00136BA3">
      <w:pPr>
        <w:spacing w:after="0" w:line="240" w:lineRule="auto"/>
        <w:jc w:val="both"/>
        <w:rPr>
          <w:rFonts w:ascii="Arial" w:hAnsi="Arial" w:cs="Arial"/>
        </w:rPr>
      </w:pPr>
    </w:p>
    <w:p w14:paraId="0014B873" w14:textId="77777777" w:rsidR="00185158" w:rsidRPr="00900F8E" w:rsidRDefault="00185158" w:rsidP="00912FE6">
      <w:pPr>
        <w:spacing w:after="0" w:line="240" w:lineRule="auto"/>
        <w:jc w:val="both"/>
        <w:rPr>
          <w:rFonts w:ascii="Arial" w:hAnsi="Arial" w:cs="Arial"/>
        </w:rPr>
      </w:pPr>
    </w:p>
    <w:p w14:paraId="6C98A3D9" w14:textId="2BF2B4C3" w:rsidR="00136BA3" w:rsidRPr="00900F8E" w:rsidRDefault="00231FA7" w:rsidP="00912FE6">
      <w:pPr>
        <w:spacing w:after="0" w:line="240" w:lineRule="auto"/>
        <w:jc w:val="both"/>
        <w:rPr>
          <w:rFonts w:ascii="Arial" w:hAnsi="Arial" w:cs="Arial"/>
        </w:rPr>
      </w:pPr>
      <w:r w:rsidRPr="00900F8E">
        <w:rPr>
          <w:rFonts w:ascii="Arial" w:hAnsi="Arial" w:cs="Arial"/>
        </w:rPr>
        <w:t>P</w:t>
      </w:r>
      <w:r w:rsidR="00403EB8" w:rsidRPr="00900F8E">
        <w:rPr>
          <w:rFonts w:ascii="Arial" w:hAnsi="Arial" w:cs="Arial"/>
        </w:rPr>
        <w:t xml:space="preserve">osledica zmanjšanja rabe končne energije </w:t>
      </w:r>
      <w:r w:rsidRPr="00900F8E">
        <w:rPr>
          <w:rFonts w:ascii="Arial" w:hAnsi="Arial" w:cs="Arial"/>
        </w:rPr>
        <w:t xml:space="preserve">v javnem sektorju </w:t>
      </w:r>
      <w:r w:rsidR="00403EB8" w:rsidRPr="00900F8E">
        <w:rPr>
          <w:rFonts w:ascii="Arial" w:hAnsi="Arial" w:cs="Arial"/>
        </w:rPr>
        <w:t xml:space="preserve">zaradi izvajanja ukrepov </w:t>
      </w:r>
      <w:r w:rsidR="00005E5F" w:rsidRPr="00900F8E">
        <w:rPr>
          <w:rFonts w:ascii="Arial" w:hAnsi="Arial" w:cs="Arial"/>
        </w:rPr>
        <w:t>učinkovite rabe energije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00403EB8" w:rsidRPr="00900F8E">
        <w:rPr>
          <w:rFonts w:ascii="Arial" w:hAnsi="Arial" w:cs="Arial"/>
        </w:rPr>
        <w:t>URE</w:t>
      </w:r>
      <w:r w:rsidR="00005E5F" w:rsidRPr="00900F8E">
        <w:rPr>
          <w:rFonts w:ascii="Arial" w:hAnsi="Arial" w:cs="Arial"/>
        </w:rPr>
        <w:t>)</w:t>
      </w:r>
      <w:r w:rsidR="00403EB8" w:rsidRPr="00900F8E">
        <w:rPr>
          <w:rFonts w:ascii="Arial" w:hAnsi="Arial" w:cs="Arial"/>
        </w:rPr>
        <w:t xml:space="preserve"> in izrabe OVE</w:t>
      </w:r>
      <w:r w:rsidRPr="00900F8E">
        <w:rPr>
          <w:rFonts w:ascii="Arial" w:hAnsi="Arial" w:cs="Arial"/>
        </w:rPr>
        <w:t xml:space="preserve"> je zmanjšanje emisije CO</w:t>
      </w:r>
      <w:r w:rsidRPr="00900F8E">
        <w:rPr>
          <w:rFonts w:ascii="Arial" w:hAnsi="Arial" w:cs="Arial"/>
          <w:vertAlign w:val="subscript"/>
        </w:rPr>
        <w:t>2</w:t>
      </w:r>
      <w:r w:rsidR="00076642" w:rsidRPr="00900F8E">
        <w:rPr>
          <w:rFonts w:ascii="Arial" w:hAnsi="Arial" w:cs="Arial"/>
        </w:rPr>
        <w:t>. Do leta 20</w:t>
      </w:r>
      <w:r w:rsidR="00676CA9" w:rsidRPr="00900F8E">
        <w:rPr>
          <w:rFonts w:ascii="Arial" w:hAnsi="Arial" w:cs="Arial"/>
        </w:rPr>
        <w:t>20</w:t>
      </w:r>
      <w:r w:rsidR="00076642" w:rsidRPr="00900F8E">
        <w:rPr>
          <w:rFonts w:ascii="Arial" w:hAnsi="Arial" w:cs="Arial"/>
        </w:rPr>
        <w:t xml:space="preserve"> je bilo </w:t>
      </w:r>
      <w:r w:rsidR="00676CA9" w:rsidRPr="00900F8E">
        <w:rPr>
          <w:rFonts w:ascii="Arial" w:hAnsi="Arial" w:cs="Arial"/>
        </w:rPr>
        <w:t xml:space="preserve">v javnem sektorju kumulativno </w:t>
      </w:r>
      <w:r w:rsidR="00076642" w:rsidRPr="00900F8E">
        <w:rPr>
          <w:rFonts w:ascii="Arial" w:hAnsi="Arial" w:cs="Arial"/>
        </w:rPr>
        <w:t xml:space="preserve">doseženo zmanjšanje </w:t>
      </w:r>
      <w:r w:rsidRPr="00900F8E">
        <w:rPr>
          <w:rFonts w:ascii="Arial" w:hAnsi="Arial" w:cs="Arial"/>
        </w:rPr>
        <w:t>emisij</w:t>
      </w:r>
      <w:r w:rsidR="00AF5D76" w:rsidRPr="00900F8E">
        <w:rPr>
          <w:rFonts w:ascii="Arial" w:hAnsi="Arial" w:cs="Arial"/>
        </w:rPr>
        <w:t>e</w:t>
      </w:r>
      <w:r w:rsidRPr="00900F8E">
        <w:rPr>
          <w:rFonts w:ascii="Arial" w:hAnsi="Arial" w:cs="Arial"/>
        </w:rPr>
        <w:t xml:space="preserve">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rPr>
        <w:t xml:space="preserve"> za 56,3 kt</w:t>
      </w:r>
      <w:r w:rsidR="00676CA9" w:rsidRPr="00900F8E">
        <w:rPr>
          <w:rFonts w:ascii="Arial" w:hAnsi="Arial" w:cs="Arial"/>
        </w:rPr>
        <w:t xml:space="preserve">. </w:t>
      </w:r>
    </w:p>
    <w:p w14:paraId="024612BD" w14:textId="77777777" w:rsidR="00185158" w:rsidRPr="00900F8E" w:rsidRDefault="00185158" w:rsidP="00912FE6">
      <w:pPr>
        <w:spacing w:after="0" w:line="240" w:lineRule="auto"/>
        <w:jc w:val="both"/>
        <w:rPr>
          <w:rFonts w:ascii="Arial" w:hAnsi="Arial" w:cs="Arial"/>
        </w:rPr>
      </w:pPr>
    </w:p>
    <w:p w14:paraId="1260894F" w14:textId="77777777" w:rsidR="00A16534" w:rsidRPr="00900F8E" w:rsidRDefault="00A16534" w:rsidP="00912FE6">
      <w:pPr>
        <w:spacing w:after="0" w:line="240" w:lineRule="auto"/>
        <w:jc w:val="both"/>
        <w:rPr>
          <w:rFonts w:ascii="Arial" w:hAnsi="Arial" w:cs="Arial"/>
        </w:rPr>
      </w:pPr>
    </w:p>
    <w:p w14:paraId="64B59A3F" w14:textId="77777777" w:rsidR="00A249FE" w:rsidRDefault="00C620B3" w:rsidP="00A249FE">
      <w:pPr>
        <w:keepNext/>
        <w:spacing w:after="0" w:line="240" w:lineRule="auto"/>
        <w:jc w:val="center"/>
      </w:pPr>
      <w:r w:rsidRPr="00900F8E">
        <w:rPr>
          <w:rFonts w:ascii="Arial" w:eastAsia="DengXian" w:hAnsi="Arial" w:cs="Arial"/>
          <w:noProof/>
          <w:lang w:eastAsia="sl-SI"/>
        </w:rPr>
        <w:lastRenderedPageBreak/>
        <w:drawing>
          <wp:inline distT="0" distB="0" distL="0" distR="0" wp14:anchorId="3CD525A5" wp14:editId="6D723C0F">
            <wp:extent cx="4825674" cy="3150315"/>
            <wp:effectExtent l="0" t="0" r="0" b="0"/>
            <wp:docPr id="16" name="Picture 16" descr="Kumulativno zmanjšanje emisije CO2 z ukrepi v javnem sektorju v obdobju 2011-2020 in njegove ciljne vrednosti do leta 2020 (cilj ni dosež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Kumulativno zmanjšanje emisije CO2 z ukrepi v javnem sektorju v obdobju 2011-2020 in njegove ciljne vrednosti do leta 2020 (cilj ni dosež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2437" cy="3174315"/>
                    </a:xfrm>
                    <a:prstGeom prst="rect">
                      <a:avLst/>
                    </a:prstGeom>
                    <a:noFill/>
                    <a:ln>
                      <a:noFill/>
                    </a:ln>
                  </pic:spPr>
                </pic:pic>
              </a:graphicData>
            </a:graphic>
          </wp:inline>
        </w:drawing>
      </w:r>
    </w:p>
    <w:p w14:paraId="38DA309E" w14:textId="190D5B69" w:rsidR="00E070A5" w:rsidRPr="00A249FE" w:rsidRDefault="00A249FE" w:rsidP="00A249FE">
      <w:pPr>
        <w:pStyle w:val="Napis"/>
        <w:jc w:val="center"/>
        <w:rPr>
          <w:rFonts w:ascii="Arial" w:hAnsi="Arial" w:cs="Arial"/>
          <w:b/>
          <w:bCs/>
          <w:i w:val="0"/>
          <w:iCs w:val="0"/>
          <w:color w:val="auto"/>
          <w:sz w:val="20"/>
          <w:szCs w:val="20"/>
        </w:rPr>
      </w:pPr>
      <w:bookmarkStart w:id="21" w:name="_Toc112840958"/>
      <w:r w:rsidRPr="00A249FE">
        <w:rPr>
          <w:rFonts w:ascii="Arial" w:hAnsi="Arial" w:cs="Arial"/>
          <w:b/>
          <w:bCs/>
          <w:i w:val="0"/>
          <w:iCs w:val="0"/>
          <w:color w:val="auto"/>
          <w:sz w:val="20"/>
          <w:szCs w:val="20"/>
        </w:rPr>
        <w:t xml:space="preserve">Slika </w:t>
      </w:r>
      <w:r w:rsidRPr="00A249FE">
        <w:rPr>
          <w:rFonts w:ascii="Arial" w:hAnsi="Arial" w:cs="Arial"/>
          <w:b/>
          <w:bCs/>
          <w:i w:val="0"/>
          <w:iCs w:val="0"/>
          <w:color w:val="auto"/>
          <w:sz w:val="20"/>
          <w:szCs w:val="20"/>
        </w:rPr>
        <w:fldChar w:fldCharType="begin"/>
      </w:r>
      <w:r w:rsidRPr="00A249FE">
        <w:rPr>
          <w:rFonts w:ascii="Arial" w:hAnsi="Arial" w:cs="Arial"/>
          <w:b/>
          <w:bCs/>
          <w:i w:val="0"/>
          <w:iCs w:val="0"/>
          <w:color w:val="auto"/>
          <w:sz w:val="20"/>
          <w:szCs w:val="20"/>
        </w:rPr>
        <w:instrText xml:space="preserve"> SEQ Slika \* ARABIC </w:instrText>
      </w:r>
      <w:r w:rsidRPr="00A249FE">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9</w:t>
      </w:r>
      <w:r w:rsidRPr="00A249FE">
        <w:rPr>
          <w:rFonts w:ascii="Arial" w:hAnsi="Arial" w:cs="Arial"/>
          <w:b/>
          <w:bCs/>
          <w:i w:val="0"/>
          <w:iCs w:val="0"/>
          <w:color w:val="auto"/>
          <w:sz w:val="20"/>
          <w:szCs w:val="20"/>
        </w:rPr>
        <w:fldChar w:fldCharType="end"/>
      </w:r>
      <w:r w:rsidRPr="00A249FE">
        <w:rPr>
          <w:rFonts w:ascii="Arial" w:hAnsi="Arial" w:cs="Arial"/>
          <w:b/>
          <w:bCs/>
          <w:i w:val="0"/>
          <w:iCs w:val="0"/>
          <w:color w:val="auto"/>
          <w:sz w:val="20"/>
          <w:szCs w:val="20"/>
        </w:rPr>
        <w:t>: Kumulativno zmanjšanje emisije CO2 z ukrepi v javnem sektorju v obdobju 2011</w:t>
      </w:r>
      <w:r w:rsidR="00837CCD">
        <w:rPr>
          <w:rFonts w:ascii="Arial" w:hAnsi="Arial" w:cs="Arial"/>
          <w:b/>
          <w:bCs/>
          <w:i w:val="0"/>
          <w:iCs w:val="0"/>
          <w:color w:val="auto"/>
          <w:sz w:val="20"/>
          <w:szCs w:val="20"/>
        </w:rPr>
        <w:t>–</w:t>
      </w:r>
      <w:r w:rsidRPr="00A249FE">
        <w:rPr>
          <w:rFonts w:ascii="Arial" w:hAnsi="Arial" w:cs="Arial"/>
          <w:b/>
          <w:bCs/>
          <w:i w:val="0"/>
          <w:iCs w:val="0"/>
          <w:color w:val="auto"/>
          <w:sz w:val="20"/>
          <w:szCs w:val="20"/>
        </w:rPr>
        <w:t>2020 in njegove ciljne vrednosti do leta 2020 (Vir: IJS-CEU) (Vir: IJS-CEU)</w:t>
      </w:r>
      <w:bookmarkEnd w:id="21"/>
    </w:p>
    <w:p w14:paraId="7E58BA7B" w14:textId="77777777" w:rsidR="006841D8" w:rsidRPr="00900F8E" w:rsidRDefault="006841D8" w:rsidP="00136BA3">
      <w:pPr>
        <w:spacing w:after="0" w:line="240" w:lineRule="auto"/>
        <w:jc w:val="both"/>
        <w:rPr>
          <w:rFonts w:ascii="Arial" w:hAnsi="Arial" w:cs="Arial"/>
          <w:b/>
          <w:bCs/>
        </w:rPr>
      </w:pPr>
    </w:p>
    <w:p w14:paraId="6B6E5595" w14:textId="77777777" w:rsidR="005A17FE" w:rsidRPr="00900F8E" w:rsidRDefault="005A17FE" w:rsidP="00136BA3">
      <w:pPr>
        <w:spacing w:after="0" w:line="240" w:lineRule="auto"/>
        <w:jc w:val="both"/>
        <w:rPr>
          <w:rFonts w:ascii="Arial" w:hAnsi="Arial" w:cs="Arial"/>
          <w:b/>
          <w:bCs/>
        </w:rPr>
      </w:pPr>
    </w:p>
    <w:p w14:paraId="1BB23A44" w14:textId="7B6D5752" w:rsidR="00E151EB" w:rsidRPr="00900F8E" w:rsidRDefault="002E3997" w:rsidP="00136BA3">
      <w:pPr>
        <w:spacing w:after="0" w:line="240" w:lineRule="auto"/>
        <w:jc w:val="both"/>
        <w:rPr>
          <w:rFonts w:ascii="Arial" w:hAnsi="Arial" w:cs="Arial"/>
        </w:rPr>
      </w:pPr>
      <w:r w:rsidRPr="00900F8E">
        <w:rPr>
          <w:rFonts w:ascii="Arial" w:hAnsi="Arial" w:cs="Arial"/>
        </w:rPr>
        <w:t>Kumulativno zmanjšanje emisije CO</w:t>
      </w:r>
      <w:r w:rsidRPr="00900F8E">
        <w:rPr>
          <w:rFonts w:ascii="Arial" w:hAnsi="Arial" w:cs="Arial"/>
          <w:vertAlign w:val="subscript"/>
        </w:rPr>
        <w:t>2</w:t>
      </w:r>
      <w:r w:rsidRPr="00900F8E">
        <w:rPr>
          <w:rFonts w:ascii="Arial" w:hAnsi="Arial" w:cs="Arial"/>
        </w:rPr>
        <w:t xml:space="preserve"> </w:t>
      </w:r>
      <w:r w:rsidR="00AF5D76" w:rsidRPr="00900F8E">
        <w:rPr>
          <w:rFonts w:ascii="Arial" w:hAnsi="Arial" w:cs="Arial"/>
        </w:rPr>
        <w:t>zaradi izvajanja ukrepov URE in izrabe OVE v stanovanjskem sektorju je do leta 2020 znašal</w:t>
      </w:r>
      <w:r w:rsidR="00A82BB6" w:rsidRPr="00900F8E">
        <w:rPr>
          <w:rFonts w:ascii="Arial" w:hAnsi="Arial" w:cs="Arial"/>
        </w:rPr>
        <w:t>o 272,6 kt.</w:t>
      </w:r>
    </w:p>
    <w:p w14:paraId="2CBBEAC3" w14:textId="77777777" w:rsidR="00BF1321" w:rsidRPr="00900F8E" w:rsidRDefault="00BF1321" w:rsidP="00136BA3">
      <w:pPr>
        <w:spacing w:after="0" w:line="240" w:lineRule="auto"/>
        <w:jc w:val="both"/>
        <w:rPr>
          <w:rFonts w:ascii="Arial" w:hAnsi="Arial" w:cs="Arial"/>
        </w:rPr>
      </w:pPr>
    </w:p>
    <w:p w14:paraId="1D6F9D0B" w14:textId="15041FC7" w:rsidR="00A249FE" w:rsidRDefault="00AF5D76" w:rsidP="00A249FE">
      <w:pPr>
        <w:keepNext/>
        <w:spacing w:after="0" w:line="240" w:lineRule="auto"/>
        <w:jc w:val="center"/>
      </w:pPr>
      <w:r w:rsidRPr="00900F8E">
        <w:rPr>
          <w:rFonts w:ascii="Arial" w:eastAsia="DengXian" w:hAnsi="Arial" w:cs="Arial"/>
          <w:noProof/>
          <w:lang w:eastAsia="sl-SI"/>
        </w:rPr>
        <w:drawing>
          <wp:inline distT="0" distB="0" distL="0" distR="0" wp14:anchorId="46299557" wp14:editId="4B65A929">
            <wp:extent cx="5164608" cy="3343275"/>
            <wp:effectExtent l="0" t="0" r="0" b="0"/>
            <wp:docPr id="21" name="Picture 21" descr="Kumulativno zmanjšanje emisije CO2 zaradi izvajanja ukrepov URE in izrabe OVE v  stanovanjskem sektorju leta 2005 in v obdobju 2010-2020 ter njegove ciljne vrednosti do leta 2020 (cilj je dosež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Kumulativno zmanjšanje emisije CO2 zaradi izvajanja ukrepov URE in izrabe OVE v  stanovanjskem sektorju leta 2005 in v obdobju 2010-2020 ter njegove ciljne vrednosti do leta 2020 (cilj je dosež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2331" cy="3393589"/>
                    </a:xfrm>
                    <a:prstGeom prst="rect">
                      <a:avLst/>
                    </a:prstGeom>
                    <a:noFill/>
                    <a:ln>
                      <a:noFill/>
                    </a:ln>
                  </pic:spPr>
                </pic:pic>
              </a:graphicData>
            </a:graphic>
          </wp:inline>
        </w:drawing>
      </w:r>
    </w:p>
    <w:p w14:paraId="5A43C8C4" w14:textId="77777777" w:rsidR="00A249FE" w:rsidRDefault="00A249FE" w:rsidP="00A249FE">
      <w:pPr>
        <w:keepNext/>
        <w:spacing w:after="0" w:line="240" w:lineRule="auto"/>
        <w:jc w:val="center"/>
      </w:pPr>
    </w:p>
    <w:p w14:paraId="1E1AEB04" w14:textId="77EC1397" w:rsidR="0071203A" w:rsidRPr="00A249FE" w:rsidRDefault="00A249FE" w:rsidP="00A249FE">
      <w:pPr>
        <w:pStyle w:val="Napis"/>
        <w:jc w:val="center"/>
        <w:rPr>
          <w:rFonts w:ascii="Arial" w:hAnsi="Arial" w:cs="Arial"/>
          <w:b/>
          <w:bCs/>
          <w:i w:val="0"/>
          <w:iCs w:val="0"/>
          <w:color w:val="auto"/>
          <w:sz w:val="20"/>
          <w:szCs w:val="20"/>
          <w:u w:val="single"/>
        </w:rPr>
      </w:pPr>
      <w:bookmarkStart w:id="22" w:name="_Toc112840959"/>
      <w:r w:rsidRPr="00A249FE">
        <w:rPr>
          <w:rFonts w:ascii="Arial" w:hAnsi="Arial" w:cs="Arial"/>
          <w:b/>
          <w:bCs/>
          <w:i w:val="0"/>
          <w:iCs w:val="0"/>
          <w:color w:val="auto"/>
          <w:sz w:val="20"/>
          <w:szCs w:val="20"/>
        </w:rPr>
        <w:t xml:space="preserve">Slika </w:t>
      </w:r>
      <w:r w:rsidRPr="00A249FE">
        <w:rPr>
          <w:rFonts w:ascii="Arial" w:hAnsi="Arial" w:cs="Arial"/>
          <w:b/>
          <w:bCs/>
          <w:i w:val="0"/>
          <w:iCs w:val="0"/>
          <w:color w:val="auto"/>
          <w:sz w:val="20"/>
          <w:szCs w:val="20"/>
        </w:rPr>
        <w:fldChar w:fldCharType="begin"/>
      </w:r>
      <w:r w:rsidRPr="00A249FE">
        <w:rPr>
          <w:rFonts w:ascii="Arial" w:hAnsi="Arial" w:cs="Arial"/>
          <w:b/>
          <w:bCs/>
          <w:i w:val="0"/>
          <w:iCs w:val="0"/>
          <w:color w:val="auto"/>
          <w:sz w:val="20"/>
          <w:szCs w:val="20"/>
        </w:rPr>
        <w:instrText xml:space="preserve"> SEQ Slika \* ARABIC </w:instrText>
      </w:r>
      <w:r w:rsidRPr="00A249FE">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10</w:t>
      </w:r>
      <w:r w:rsidRPr="00A249FE">
        <w:rPr>
          <w:rFonts w:ascii="Arial" w:hAnsi="Arial" w:cs="Arial"/>
          <w:b/>
          <w:bCs/>
          <w:i w:val="0"/>
          <w:iCs w:val="0"/>
          <w:color w:val="auto"/>
          <w:sz w:val="20"/>
          <w:szCs w:val="20"/>
        </w:rPr>
        <w:fldChar w:fldCharType="end"/>
      </w:r>
      <w:r w:rsidRPr="00A249FE">
        <w:rPr>
          <w:rFonts w:ascii="Arial" w:hAnsi="Arial" w:cs="Arial"/>
          <w:b/>
          <w:bCs/>
          <w:i w:val="0"/>
          <w:iCs w:val="0"/>
          <w:color w:val="auto"/>
          <w:sz w:val="20"/>
          <w:szCs w:val="20"/>
        </w:rPr>
        <w:t>: Kumulativno zmanjšanje emisije CO2 zaradi izvajanja ukrepov URE in izrabe OVE v stanovanjskem sektorju leta 2005 in v obdobju 2010</w:t>
      </w:r>
      <w:r w:rsidR="009B1AF1">
        <w:rPr>
          <w:rFonts w:ascii="Arial" w:hAnsi="Arial" w:cs="Arial"/>
          <w:b/>
          <w:bCs/>
          <w:i w:val="0"/>
          <w:iCs w:val="0"/>
          <w:color w:val="auto"/>
          <w:sz w:val="20"/>
          <w:szCs w:val="20"/>
        </w:rPr>
        <w:t>–</w:t>
      </w:r>
      <w:r w:rsidRPr="00A249FE">
        <w:rPr>
          <w:rFonts w:ascii="Arial" w:hAnsi="Arial" w:cs="Arial"/>
          <w:b/>
          <w:bCs/>
          <w:i w:val="0"/>
          <w:iCs w:val="0"/>
          <w:color w:val="auto"/>
          <w:sz w:val="20"/>
          <w:szCs w:val="20"/>
        </w:rPr>
        <w:t>2020 ter njegove ciljne vrednosti do leta 2020 (Vir: IJS-CEU)</w:t>
      </w:r>
      <w:bookmarkEnd w:id="22"/>
    </w:p>
    <w:p w14:paraId="184BECA3" w14:textId="77777777" w:rsidR="006841D8" w:rsidRPr="00900F8E" w:rsidRDefault="006841D8" w:rsidP="00AF5D76">
      <w:pPr>
        <w:spacing w:after="0" w:line="240" w:lineRule="auto"/>
        <w:jc w:val="center"/>
        <w:rPr>
          <w:rFonts w:ascii="Arial" w:hAnsi="Arial" w:cs="Arial"/>
          <w:u w:val="single"/>
        </w:rPr>
      </w:pPr>
    </w:p>
    <w:p w14:paraId="32F3B92B" w14:textId="77777777" w:rsidR="006841D8" w:rsidRPr="00900F8E" w:rsidRDefault="006841D8" w:rsidP="007D400D">
      <w:pPr>
        <w:spacing w:after="0" w:line="240" w:lineRule="auto"/>
        <w:jc w:val="both"/>
        <w:rPr>
          <w:rFonts w:ascii="Arial" w:hAnsi="Arial" w:cs="Arial"/>
          <w:b/>
          <w:bCs/>
        </w:rPr>
      </w:pPr>
    </w:p>
    <w:p w14:paraId="09DED645" w14:textId="1E29FB30" w:rsidR="00136BA3" w:rsidRPr="00900F8E" w:rsidRDefault="00136BA3" w:rsidP="0065545E">
      <w:pPr>
        <w:pStyle w:val="Naslov2"/>
        <w:rPr>
          <w:rFonts w:ascii="Arial" w:hAnsi="Arial" w:cs="Arial"/>
          <w:color w:val="auto"/>
        </w:rPr>
      </w:pPr>
      <w:bookmarkStart w:id="23" w:name="_Toc120166932"/>
      <w:r w:rsidRPr="00900F8E">
        <w:rPr>
          <w:rFonts w:ascii="Arial" w:hAnsi="Arial" w:cs="Arial"/>
          <w:color w:val="auto"/>
        </w:rPr>
        <w:lastRenderedPageBreak/>
        <w:t xml:space="preserve">3.4 Industrija </w:t>
      </w:r>
      <w:r w:rsidR="00920F43" w:rsidRPr="00900F8E">
        <w:rPr>
          <w:rFonts w:ascii="Arial" w:hAnsi="Arial" w:cs="Arial"/>
          <w:color w:val="auto"/>
        </w:rPr>
        <w:t>neETS</w:t>
      </w:r>
      <w:bookmarkEnd w:id="23"/>
    </w:p>
    <w:p w14:paraId="77D898EC" w14:textId="77777777" w:rsidR="00136BA3" w:rsidRPr="00900F8E" w:rsidRDefault="00136BA3" w:rsidP="00136BA3">
      <w:pPr>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4071"/>
        <w:gridCol w:w="1274"/>
        <w:gridCol w:w="1555"/>
        <w:gridCol w:w="1410"/>
        <w:gridCol w:w="706"/>
      </w:tblGrid>
      <w:tr w:rsidR="003E4FE8" w:rsidRPr="00900F8E" w14:paraId="604B8AB3" w14:textId="77777777" w:rsidTr="00342EC8">
        <w:tc>
          <w:tcPr>
            <w:tcW w:w="4106" w:type="dxa"/>
          </w:tcPr>
          <w:p w14:paraId="36E1B4D0" w14:textId="253AACFF" w:rsidR="003E4FE8" w:rsidRPr="00900F8E" w:rsidRDefault="003E4FE8" w:rsidP="003E4FE8">
            <w:pPr>
              <w:jc w:val="both"/>
              <w:rPr>
                <w:rFonts w:ascii="Arial" w:hAnsi="Arial" w:cs="Arial"/>
              </w:rPr>
            </w:pPr>
            <w:r w:rsidRPr="00900F8E">
              <w:rPr>
                <w:rFonts w:ascii="Arial" w:hAnsi="Arial" w:cs="Arial"/>
                <w:b/>
              </w:rPr>
              <w:t>Doseganje ciljev OP TGP 2020 se spremlja s kazalci:</w:t>
            </w:r>
          </w:p>
        </w:tc>
        <w:tc>
          <w:tcPr>
            <w:tcW w:w="1276" w:type="dxa"/>
          </w:tcPr>
          <w:p w14:paraId="0E28D9A8" w14:textId="77777777" w:rsidR="003E4FE8" w:rsidRPr="00900F8E" w:rsidRDefault="003E4FE8" w:rsidP="003E4FE8">
            <w:pPr>
              <w:jc w:val="center"/>
              <w:rPr>
                <w:rFonts w:ascii="Arial" w:hAnsi="Arial" w:cs="Arial"/>
                <w:b/>
                <w:bCs/>
              </w:rPr>
            </w:pPr>
            <w:r w:rsidRPr="00900F8E">
              <w:rPr>
                <w:rFonts w:ascii="Arial" w:hAnsi="Arial" w:cs="Arial"/>
                <w:b/>
                <w:bCs/>
              </w:rPr>
              <w:t>Ciljna vrednost</w:t>
            </w:r>
          </w:p>
          <w:p w14:paraId="54007DEA" w14:textId="5032BDE6" w:rsidR="0022297F" w:rsidRPr="00900F8E" w:rsidRDefault="0022297F" w:rsidP="003E4FE8">
            <w:pPr>
              <w:jc w:val="center"/>
              <w:rPr>
                <w:rFonts w:ascii="Arial" w:hAnsi="Arial" w:cs="Arial"/>
                <w:b/>
              </w:rPr>
            </w:pPr>
            <w:r w:rsidRPr="00900F8E">
              <w:rPr>
                <w:rFonts w:ascii="Arial" w:hAnsi="Arial" w:cs="Arial"/>
                <w:b/>
                <w:bCs/>
              </w:rPr>
              <w:t>v 2020</w:t>
            </w:r>
          </w:p>
        </w:tc>
        <w:tc>
          <w:tcPr>
            <w:tcW w:w="1559" w:type="dxa"/>
          </w:tcPr>
          <w:p w14:paraId="00C6132D" w14:textId="4ED4EE4A" w:rsidR="003E4FE8" w:rsidRPr="00900F8E" w:rsidRDefault="003E4FE8" w:rsidP="003E4FE8">
            <w:pPr>
              <w:jc w:val="center"/>
              <w:rPr>
                <w:rFonts w:ascii="Arial" w:hAnsi="Arial" w:cs="Arial"/>
                <w:b/>
              </w:rPr>
            </w:pPr>
            <w:r w:rsidRPr="00900F8E">
              <w:rPr>
                <w:rFonts w:ascii="Arial" w:hAnsi="Arial" w:cs="Arial"/>
                <w:b/>
                <w:bCs/>
              </w:rPr>
              <w:t>Dosežena vrednost v 2019</w:t>
            </w:r>
          </w:p>
        </w:tc>
        <w:tc>
          <w:tcPr>
            <w:tcW w:w="1412" w:type="dxa"/>
          </w:tcPr>
          <w:p w14:paraId="60987E41" w14:textId="59C66406" w:rsidR="003E4FE8" w:rsidRPr="00900F8E" w:rsidRDefault="003E4FE8" w:rsidP="003E4FE8">
            <w:pPr>
              <w:jc w:val="center"/>
              <w:rPr>
                <w:rFonts w:ascii="Arial" w:hAnsi="Arial" w:cs="Arial"/>
                <w:b/>
              </w:rPr>
            </w:pPr>
            <w:r w:rsidRPr="00900F8E">
              <w:rPr>
                <w:rFonts w:ascii="Arial" w:hAnsi="Arial" w:cs="Arial"/>
                <w:b/>
                <w:bCs/>
              </w:rPr>
              <w:t>Dosežena vrednost v 2020</w:t>
            </w:r>
          </w:p>
        </w:tc>
        <w:tc>
          <w:tcPr>
            <w:tcW w:w="663" w:type="dxa"/>
          </w:tcPr>
          <w:p w14:paraId="0BE25014" w14:textId="0CE8F8AB" w:rsidR="003E4FE8" w:rsidRPr="00900F8E" w:rsidRDefault="003E4FE8" w:rsidP="003E4FE8">
            <w:pPr>
              <w:jc w:val="center"/>
              <w:rPr>
                <w:rFonts w:ascii="Arial" w:hAnsi="Arial" w:cs="Arial"/>
                <w:b/>
              </w:rPr>
            </w:pPr>
            <w:r w:rsidRPr="00900F8E">
              <w:rPr>
                <w:rFonts w:ascii="Arial" w:hAnsi="Arial" w:cs="Arial"/>
                <w:b/>
              </w:rPr>
              <w:t>2020</w:t>
            </w:r>
          </w:p>
        </w:tc>
      </w:tr>
      <w:tr w:rsidR="003E4FE8" w:rsidRPr="00900F8E" w14:paraId="1FB04F1A" w14:textId="77777777" w:rsidTr="00415E35">
        <w:tc>
          <w:tcPr>
            <w:tcW w:w="4106" w:type="dxa"/>
          </w:tcPr>
          <w:p w14:paraId="4D14DE14" w14:textId="595874BA" w:rsidR="003E4FE8" w:rsidRPr="00900F8E" w:rsidRDefault="003E4FE8" w:rsidP="00051E17">
            <w:pPr>
              <w:jc w:val="both"/>
              <w:rPr>
                <w:rFonts w:ascii="Arial" w:hAnsi="Arial" w:cs="Arial"/>
              </w:rPr>
            </w:pPr>
            <w:r w:rsidRPr="00900F8E">
              <w:rPr>
                <w:rFonts w:ascii="Arial" w:hAnsi="Arial" w:cs="Arial"/>
              </w:rPr>
              <w:t xml:space="preserve">Finančne spodbude za URE in OVE v industriji </w:t>
            </w:r>
            <w:r w:rsidR="00920F43" w:rsidRPr="00900F8E">
              <w:rPr>
                <w:rFonts w:ascii="Arial" w:hAnsi="Arial" w:cs="Arial"/>
              </w:rPr>
              <w:t>neETS</w:t>
            </w:r>
          </w:p>
        </w:tc>
        <w:tc>
          <w:tcPr>
            <w:tcW w:w="1276" w:type="dxa"/>
            <w:shd w:val="clear" w:color="auto" w:fill="auto"/>
          </w:tcPr>
          <w:p w14:paraId="2B8982AE" w14:textId="2B4345E6" w:rsidR="003E4FE8" w:rsidRPr="00900F8E" w:rsidRDefault="007E4532" w:rsidP="004675F0">
            <w:pPr>
              <w:spacing w:before="20" w:after="20"/>
              <w:jc w:val="center"/>
              <w:rPr>
                <w:rFonts w:ascii="Arial" w:hAnsi="Arial" w:cs="Arial"/>
                <w:bCs/>
              </w:rPr>
            </w:pPr>
            <w:r w:rsidRPr="00900F8E">
              <w:rPr>
                <w:rFonts w:ascii="Arial" w:hAnsi="Arial" w:cs="Arial"/>
                <w:bCs/>
              </w:rPr>
              <w:t>/</w:t>
            </w:r>
          </w:p>
        </w:tc>
        <w:tc>
          <w:tcPr>
            <w:tcW w:w="1559" w:type="dxa"/>
            <w:shd w:val="clear" w:color="auto" w:fill="auto"/>
          </w:tcPr>
          <w:p w14:paraId="1B4E8E4F" w14:textId="77777777" w:rsidR="003E4FE8" w:rsidRPr="00900F8E" w:rsidRDefault="007E4532" w:rsidP="004675F0">
            <w:pPr>
              <w:spacing w:before="20" w:after="20"/>
              <w:jc w:val="center"/>
              <w:rPr>
                <w:rFonts w:ascii="Arial" w:hAnsi="Arial" w:cs="Arial"/>
                <w:bCs/>
              </w:rPr>
            </w:pPr>
            <w:r w:rsidRPr="00900F8E">
              <w:rPr>
                <w:rFonts w:ascii="Arial" w:hAnsi="Arial" w:cs="Arial"/>
                <w:bCs/>
              </w:rPr>
              <w:t>1.423.480</w:t>
            </w:r>
          </w:p>
          <w:p w14:paraId="5AA7F024" w14:textId="1659A81F" w:rsidR="007E4532" w:rsidRPr="00900F8E" w:rsidRDefault="007E4532" w:rsidP="004675F0">
            <w:pPr>
              <w:spacing w:before="20" w:after="20"/>
              <w:jc w:val="center"/>
              <w:rPr>
                <w:rFonts w:ascii="Arial" w:hAnsi="Arial" w:cs="Arial"/>
                <w:bCs/>
              </w:rPr>
            </w:pPr>
            <w:r w:rsidRPr="00900F8E">
              <w:rPr>
                <w:rFonts w:ascii="Arial" w:hAnsi="Arial" w:cs="Arial"/>
                <w:bCs/>
              </w:rPr>
              <w:t>EUR</w:t>
            </w:r>
            <w:r w:rsidR="00B637D8">
              <w:rPr>
                <w:rFonts w:ascii="Arial" w:hAnsi="Arial" w:cs="Arial"/>
                <w:bCs/>
              </w:rPr>
              <w:t> </w:t>
            </w:r>
            <w:r w:rsidRPr="00900F8E">
              <w:rPr>
                <w:rFonts w:ascii="Arial" w:hAnsi="Arial" w:cs="Arial"/>
                <w:bCs/>
              </w:rPr>
              <w:t>2010</w:t>
            </w:r>
          </w:p>
        </w:tc>
        <w:tc>
          <w:tcPr>
            <w:tcW w:w="1412" w:type="dxa"/>
            <w:shd w:val="clear" w:color="auto" w:fill="auto"/>
          </w:tcPr>
          <w:p w14:paraId="0D0C1A61" w14:textId="02426A9C" w:rsidR="007E4532" w:rsidRPr="00900F8E" w:rsidRDefault="007E4532" w:rsidP="004675F0">
            <w:pPr>
              <w:spacing w:before="20" w:after="20"/>
              <w:jc w:val="center"/>
              <w:rPr>
                <w:rFonts w:ascii="Arial" w:hAnsi="Arial" w:cs="Arial"/>
                <w:bCs/>
              </w:rPr>
            </w:pPr>
            <w:r w:rsidRPr="00900F8E">
              <w:rPr>
                <w:rFonts w:ascii="Arial" w:hAnsi="Arial" w:cs="Arial"/>
                <w:bCs/>
              </w:rPr>
              <w:t>5.891.100</w:t>
            </w:r>
          </w:p>
          <w:p w14:paraId="3B94FBC7" w14:textId="08935C2C" w:rsidR="003E4FE8" w:rsidRPr="00900F8E" w:rsidRDefault="007E4532" w:rsidP="004675F0">
            <w:pPr>
              <w:spacing w:before="20" w:after="20"/>
              <w:jc w:val="center"/>
              <w:rPr>
                <w:rFonts w:ascii="Arial" w:hAnsi="Arial" w:cs="Arial"/>
                <w:bCs/>
              </w:rPr>
            </w:pPr>
            <w:r w:rsidRPr="00900F8E">
              <w:rPr>
                <w:rFonts w:ascii="Arial" w:hAnsi="Arial" w:cs="Arial"/>
                <w:bCs/>
              </w:rPr>
              <w:t>EUR</w:t>
            </w:r>
            <w:r w:rsidR="00B637D8">
              <w:rPr>
                <w:rFonts w:ascii="Arial" w:hAnsi="Arial" w:cs="Arial"/>
                <w:bCs/>
              </w:rPr>
              <w:t> </w:t>
            </w:r>
            <w:r w:rsidRPr="00900F8E">
              <w:rPr>
                <w:rFonts w:ascii="Arial" w:hAnsi="Arial" w:cs="Arial"/>
                <w:bCs/>
              </w:rPr>
              <w:t>2010</w:t>
            </w:r>
          </w:p>
        </w:tc>
        <w:tc>
          <w:tcPr>
            <w:tcW w:w="663" w:type="dxa"/>
            <w:shd w:val="clear" w:color="auto" w:fill="FFC000"/>
          </w:tcPr>
          <w:p w14:paraId="34987211" w14:textId="55305E0D" w:rsidR="003E4FE8" w:rsidRPr="00900F8E" w:rsidRDefault="003E4FE8" w:rsidP="004675F0">
            <w:pPr>
              <w:spacing w:before="20" w:after="20"/>
              <w:jc w:val="center"/>
              <w:rPr>
                <w:rFonts w:ascii="Arial" w:hAnsi="Arial" w:cs="Arial"/>
                <w:b/>
              </w:rPr>
            </w:pPr>
          </w:p>
        </w:tc>
      </w:tr>
      <w:tr w:rsidR="003E4FE8" w:rsidRPr="00900F8E" w14:paraId="1AE9C702" w14:textId="77777777" w:rsidTr="00342EC8">
        <w:tc>
          <w:tcPr>
            <w:tcW w:w="4106" w:type="dxa"/>
          </w:tcPr>
          <w:p w14:paraId="49D74BD9" w14:textId="4EFBA72C" w:rsidR="003E4FE8" w:rsidRPr="00900F8E" w:rsidRDefault="003E4FE8" w:rsidP="00837CCD">
            <w:pPr>
              <w:jc w:val="both"/>
              <w:rPr>
                <w:rFonts w:ascii="Arial" w:hAnsi="Arial" w:cs="Arial"/>
              </w:rPr>
            </w:pPr>
            <w:r w:rsidRPr="00900F8E">
              <w:rPr>
                <w:rFonts w:ascii="Arial" w:hAnsi="Arial" w:cs="Arial"/>
              </w:rPr>
              <w:t xml:space="preserve">Delež OVE v rabi goriv v </w:t>
            </w:r>
            <w:r w:rsidR="00837CCD">
              <w:rPr>
                <w:rFonts w:ascii="Arial" w:hAnsi="Arial" w:cs="Arial"/>
              </w:rPr>
              <w:t xml:space="preserve">industriji </w:t>
            </w:r>
            <w:r w:rsidR="00920F43" w:rsidRPr="00900F8E">
              <w:rPr>
                <w:rFonts w:ascii="Arial" w:hAnsi="Arial" w:cs="Arial"/>
              </w:rPr>
              <w:t>neETS</w:t>
            </w:r>
            <w:r w:rsidRPr="00900F8E">
              <w:rPr>
                <w:rFonts w:ascii="Arial" w:hAnsi="Arial" w:cs="Arial"/>
              </w:rPr>
              <w:t xml:space="preserve"> </w:t>
            </w:r>
          </w:p>
        </w:tc>
        <w:tc>
          <w:tcPr>
            <w:tcW w:w="1276" w:type="dxa"/>
            <w:shd w:val="clear" w:color="auto" w:fill="auto"/>
          </w:tcPr>
          <w:p w14:paraId="6D35DEBA" w14:textId="2CF2320A" w:rsidR="003E4FE8" w:rsidRPr="00900F8E" w:rsidRDefault="003D0433" w:rsidP="004675F0">
            <w:pPr>
              <w:spacing w:before="20" w:after="20"/>
              <w:jc w:val="center"/>
              <w:rPr>
                <w:rFonts w:ascii="Arial" w:hAnsi="Arial" w:cs="Arial"/>
                <w:bCs/>
              </w:rPr>
            </w:pPr>
            <w:r w:rsidRPr="00900F8E">
              <w:rPr>
                <w:rFonts w:ascii="Arial" w:hAnsi="Arial" w:cs="Arial"/>
                <w:bCs/>
              </w:rPr>
              <w:t>22,0 %</w:t>
            </w:r>
          </w:p>
        </w:tc>
        <w:tc>
          <w:tcPr>
            <w:tcW w:w="1559" w:type="dxa"/>
            <w:shd w:val="clear" w:color="auto" w:fill="auto"/>
          </w:tcPr>
          <w:p w14:paraId="613531DA" w14:textId="04BC6F07" w:rsidR="003E4FE8" w:rsidRPr="00900F8E" w:rsidRDefault="003D0433" w:rsidP="004675F0">
            <w:pPr>
              <w:spacing w:before="20" w:after="20"/>
              <w:jc w:val="center"/>
              <w:rPr>
                <w:rFonts w:ascii="Arial" w:hAnsi="Arial" w:cs="Arial"/>
                <w:bCs/>
              </w:rPr>
            </w:pPr>
            <w:r w:rsidRPr="00900F8E">
              <w:rPr>
                <w:rFonts w:ascii="Arial" w:hAnsi="Arial" w:cs="Arial"/>
                <w:bCs/>
              </w:rPr>
              <w:t>16,34 %</w:t>
            </w:r>
          </w:p>
        </w:tc>
        <w:tc>
          <w:tcPr>
            <w:tcW w:w="1412" w:type="dxa"/>
            <w:shd w:val="clear" w:color="auto" w:fill="auto"/>
          </w:tcPr>
          <w:p w14:paraId="5A20307D" w14:textId="1628FD6A" w:rsidR="003E4FE8" w:rsidRPr="00900F8E" w:rsidRDefault="003D0433" w:rsidP="004675F0">
            <w:pPr>
              <w:spacing w:before="20" w:after="20"/>
              <w:jc w:val="center"/>
              <w:rPr>
                <w:rFonts w:ascii="Arial" w:hAnsi="Arial" w:cs="Arial"/>
                <w:bCs/>
              </w:rPr>
            </w:pPr>
            <w:r w:rsidRPr="00900F8E">
              <w:rPr>
                <w:rFonts w:ascii="Arial" w:hAnsi="Arial" w:cs="Arial"/>
                <w:bCs/>
              </w:rPr>
              <w:t>17,58 %</w:t>
            </w:r>
          </w:p>
        </w:tc>
        <w:tc>
          <w:tcPr>
            <w:tcW w:w="663" w:type="dxa"/>
            <w:shd w:val="clear" w:color="auto" w:fill="FF0000"/>
          </w:tcPr>
          <w:p w14:paraId="63858E89" w14:textId="5D8BE013" w:rsidR="003E4FE8" w:rsidRPr="00900F8E" w:rsidRDefault="003E4FE8" w:rsidP="004675F0">
            <w:pPr>
              <w:spacing w:before="20" w:after="20"/>
              <w:jc w:val="center"/>
              <w:rPr>
                <w:rFonts w:ascii="Arial" w:hAnsi="Arial" w:cs="Arial"/>
                <w:b/>
              </w:rPr>
            </w:pPr>
          </w:p>
        </w:tc>
      </w:tr>
      <w:tr w:rsidR="003E4FE8" w:rsidRPr="00900F8E" w14:paraId="4FF78ED7" w14:textId="77777777" w:rsidTr="00342EC8">
        <w:tc>
          <w:tcPr>
            <w:tcW w:w="4106" w:type="dxa"/>
          </w:tcPr>
          <w:p w14:paraId="15846701" w14:textId="412279A0" w:rsidR="003E4FE8" w:rsidRPr="00900F8E" w:rsidRDefault="003E4FE8" w:rsidP="00136BA3">
            <w:pPr>
              <w:jc w:val="both"/>
              <w:rPr>
                <w:rFonts w:ascii="Arial" w:hAnsi="Arial" w:cs="Arial"/>
              </w:rPr>
            </w:pPr>
            <w:r w:rsidRPr="00900F8E">
              <w:rPr>
                <w:rFonts w:ascii="Arial" w:hAnsi="Arial" w:cs="Arial"/>
              </w:rPr>
              <w:t>Emisije TGP zaradi puščanja naprav z F-plini</w:t>
            </w:r>
          </w:p>
        </w:tc>
        <w:tc>
          <w:tcPr>
            <w:tcW w:w="1276" w:type="dxa"/>
            <w:shd w:val="clear" w:color="auto" w:fill="auto"/>
          </w:tcPr>
          <w:p w14:paraId="65F45391" w14:textId="5F21BD2E" w:rsidR="003E4FE8" w:rsidRPr="00900F8E" w:rsidRDefault="00A26C79" w:rsidP="004675F0">
            <w:pPr>
              <w:spacing w:before="20" w:after="20"/>
              <w:jc w:val="center"/>
              <w:rPr>
                <w:rFonts w:ascii="Arial" w:hAnsi="Arial" w:cs="Arial"/>
                <w:bCs/>
              </w:rPr>
            </w:pPr>
            <w:r w:rsidRPr="00900F8E">
              <w:rPr>
                <w:rFonts w:ascii="Arial" w:hAnsi="Arial" w:cs="Arial"/>
                <w:bCs/>
              </w:rPr>
              <w:t>91,70</w:t>
            </w:r>
          </w:p>
          <w:p w14:paraId="2C4F7CB8" w14:textId="17137B9D" w:rsidR="00722022" w:rsidRPr="00900F8E" w:rsidRDefault="00722022" w:rsidP="004675F0">
            <w:pPr>
              <w:spacing w:before="20" w:after="20"/>
              <w:jc w:val="center"/>
              <w:rPr>
                <w:rFonts w:ascii="Arial" w:hAnsi="Arial" w:cs="Arial"/>
                <w:bCs/>
              </w:rPr>
            </w:pPr>
            <w:r w:rsidRPr="00900F8E">
              <w:rPr>
                <w:rFonts w:ascii="Arial" w:hAnsi="Arial" w:cs="Arial"/>
                <w:bCs/>
              </w:rPr>
              <w:t>kt</w:t>
            </w:r>
            <w:r w:rsidR="00F15480" w:rsidRPr="00900F8E">
              <w:rPr>
                <w:rFonts w:ascii="Arial" w:hAnsi="Arial" w:cs="Arial"/>
                <w:bCs/>
              </w:rPr>
              <w:t xml:space="preserve"> ekv. CO</w:t>
            </w:r>
            <w:r w:rsidR="00F15480" w:rsidRPr="00900F8E">
              <w:rPr>
                <w:rFonts w:ascii="Arial" w:hAnsi="Arial" w:cs="Arial"/>
                <w:bCs/>
                <w:vertAlign w:val="subscript"/>
              </w:rPr>
              <w:t>2</w:t>
            </w:r>
          </w:p>
        </w:tc>
        <w:tc>
          <w:tcPr>
            <w:tcW w:w="1559" w:type="dxa"/>
            <w:shd w:val="clear" w:color="auto" w:fill="auto"/>
          </w:tcPr>
          <w:p w14:paraId="52FAE6B0" w14:textId="6B8781AE" w:rsidR="00722022" w:rsidRPr="00900F8E" w:rsidRDefault="00A26C79" w:rsidP="004675F0">
            <w:pPr>
              <w:spacing w:before="20" w:after="20"/>
              <w:jc w:val="center"/>
              <w:rPr>
                <w:rFonts w:ascii="Arial" w:hAnsi="Arial" w:cs="Arial"/>
                <w:bCs/>
              </w:rPr>
            </w:pPr>
            <w:r w:rsidRPr="00900F8E">
              <w:rPr>
                <w:rFonts w:ascii="Arial" w:hAnsi="Arial" w:cs="Arial"/>
                <w:bCs/>
              </w:rPr>
              <w:t>180,11</w:t>
            </w:r>
          </w:p>
          <w:p w14:paraId="6373F2DF" w14:textId="1D9B5148" w:rsidR="003E4FE8" w:rsidRPr="00900F8E" w:rsidRDefault="00722022" w:rsidP="004675F0">
            <w:pPr>
              <w:spacing w:before="20" w:after="20"/>
              <w:jc w:val="center"/>
              <w:rPr>
                <w:rFonts w:ascii="Arial" w:hAnsi="Arial" w:cs="Arial"/>
                <w:bCs/>
              </w:rPr>
            </w:pPr>
            <w:r w:rsidRPr="00900F8E">
              <w:rPr>
                <w:rFonts w:ascii="Arial" w:hAnsi="Arial" w:cs="Arial"/>
                <w:bCs/>
              </w:rPr>
              <w:t>kt</w:t>
            </w:r>
            <w:r w:rsidR="00F15480" w:rsidRPr="00900F8E">
              <w:rPr>
                <w:rFonts w:ascii="Arial" w:hAnsi="Arial" w:cs="Arial"/>
                <w:bCs/>
              </w:rPr>
              <w:t xml:space="preserve"> ekv. CO</w:t>
            </w:r>
            <w:r w:rsidR="00F15480" w:rsidRPr="00900F8E">
              <w:rPr>
                <w:rFonts w:ascii="Arial" w:hAnsi="Arial" w:cs="Arial"/>
                <w:bCs/>
                <w:vertAlign w:val="subscript"/>
              </w:rPr>
              <w:t>2</w:t>
            </w:r>
          </w:p>
        </w:tc>
        <w:tc>
          <w:tcPr>
            <w:tcW w:w="1412" w:type="dxa"/>
            <w:shd w:val="clear" w:color="auto" w:fill="auto"/>
          </w:tcPr>
          <w:p w14:paraId="47CC8D8B" w14:textId="58AF1ED6" w:rsidR="00722022" w:rsidRPr="00900F8E" w:rsidRDefault="00A26C79" w:rsidP="004675F0">
            <w:pPr>
              <w:spacing w:before="20" w:after="20"/>
              <w:jc w:val="center"/>
              <w:rPr>
                <w:rFonts w:ascii="Arial" w:hAnsi="Arial" w:cs="Arial"/>
                <w:bCs/>
              </w:rPr>
            </w:pPr>
            <w:r w:rsidRPr="00900F8E">
              <w:rPr>
                <w:rFonts w:ascii="Arial" w:hAnsi="Arial" w:cs="Arial"/>
                <w:bCs/>
              </w:rPr>
              <w:t>127,29</w:t>
            </w:r>
          </w:p>
          <w:p w14:paraId="7BCDC0A5" w14:textId="490F0E1C" w:rsidR="003E4FE8" w:rsidRPr="00900F8E" w:rsidRDefault="00722022" w:rsidP="004675F0">
            <w:pPr>
              <w:spacing w:before="20" w:after="20"/>
              <w:jc w:val="center"/>
              <w:rPr>
                <w:rFonts w:ascii="Arial" w:hAnsi="Arial" w:cs="Arial"/>
                <w:bCs/>
              </w:rPr>
            </w:pPr>
            <w:r w:rsidRPr="00900F8E">
              <w:rPr>
                <w:rFonts w:ascii="Arial" w:hAnsi="Arial" w:cs="Arial"/>
                <w:bCs/>
              </w:rPr>
              <w:t>kt</w:t>
            </w:r>
            <w:r w:rsidR="00F15480" w:rsidRPr="00900F8E">
              <w:rPr>
                <w:rFonts w:ascii="Arial" w:hAnsi="Arial" w:cs="Arial"/>
                <w:bCs/>
              </w:rPr>
              <w:t xml:space="preserve"> ekv. CO</w:t>
            </w:r>
            <w:r w:rsidR="00F15480" w:rsidRPr="00900F8E">
              <w:rPr>
                <w:rFonts w:ascii="Arial" w:hAnsi="Arial" w:cs="Arial"/>
                <w:bCs/>
                <w:vertAlign w:val="subscript"/>
              </w:rPr>
              <w:t>2</w:t>
            </w:r>
          </w:p>
        </w:tc>
        <w:tc>
          <w:tcPr>
            <w:tcW w:w="663" w:type="dxa"/>
            <w:shd w:val="clear" w:color="auto" w:fill="FF0000"/>
          </w:tcPr>
          <w:p w14:paraId="13704B96" w14:textId="1FF1015B" w:rsidR="003E4FE8" w:rsidRPr="00900F8E" w:rsidRDefault="003E4FE8" w:rsidP="004675F0">
            <w:pPr>
              <w:spacing w:before="20" w:after="20"/>
              <w:jc w:val="center"/>
              <w:rPr>
                <w:rFonts w:ascii="Arial" w:hAnsi="Arial" w:cs="Arial"/>
                <w:b/>
              </w:rPr>
            </w:pPr>
          </w:p>
        </w:tc>
      </w:tr>
    </w:tbl>
    <w:p w14:paraId="0017F910" w14:textId="798E9FD9" w:rsidR="000D5373" w:rsidRPr="00900F8E" w:rsidRDefault="000D5373" w:rsidP="00794155">
      <w:pPr>
        <w:pStyle w:val="Naslov2"/>
        <w:spacing w:before="600"/>
        <w:rPr>
          <w:rFonts w:ascii="Arial" w:hAnsi="Arial" w:cs="Arial"/>
          <w:color w:val="auto"/>
        </w:rPr>
      </w:pPr>
      <w:bookmarkStart w:id="24" w:name="_Toc120166933"/>
      <w:r w:rsidRPr="00900F8E">
        <w:rPr>
          <w:rFonts w:ascii="Arial" w:hAnsi="Arial" w:cs="Arial"/>
          <w:color w:val="auto"/>
        </w:rPr>
        <w:t>3.</w:t>
      </w:r>
      <w:r w:rsidR="00AF24A8" w:rsidRPr="00900F8E">
        <w:rPr>
          <w:rFonts w:ascii="Arial" w:hAnsi="Arial" w:cs="Arial"/>
          <w:color w:val="auto"/>
        </w:rPr>
        <w:t>5</w:t>
      </w:r>
      <w:r w:rsidRPr="00900F8E">
        <w:rPr>
          <w:rFonts w:ascii="Arial" w:hAnsi="Arial" w:cs="Arial"/>
          <w:color w:val="auto"/>
        </w:rPr>
        <w:t xml:space="preserve"> Odpadki</w:t>
      </w:r>
      <w:bookmarkEnd w:id="24"/>
    </w:p>
    <w:p w14:paraId="7348D784" w14:textId="77777777" w:rsidR="000D5373" w:rsidRPr="00900F8E" w:rsidRDefault="000D5373" w:rsidP="000D5373">
      <w:pPr>
        <w:spacing w:after="0" w:line="240" w:lineRule="auto"/>
        <w:jc w:val="both"/>
        <w:rPr>
          <w:rFonts w:ascii="Arial" w:hAnsi="Arial" w:cs="Arial"/>
          <w:b/>
          <w:bCs/>
        </w:rPr>
      </w:pPr>
    </w:p>
    <w:tbl>
      <w:tblPr>
        <w:tblStyle w:val="Tabelamrea"/>
        <w:tblW w:w="0" w:type="auto"/>
        <w:tblLook w:val="04A0" w:firstRow="1" w:lastRow="0" w:firstColumn="1" w:lastColumn="0" w:noHBand="0" w:noVBand="1"/>
      </w:tblPr>
      <w:tblGrid>
        <w:gridCol w:w="4375"/>
        <w:gridCol w:w="1274"/>
        <w:gridCol w:w="1417"/>
        <w:gridCol w:w="1244"/>
        <w:gridCol w:w="706"/>
      </w:tblGrid>
      <w:tr w:rsidR="00342EC8" w:rsidRPr="00900F8E" w14:paraId="53A17C72" w14:textId="77777777" w:rsidTr="00342EC8">
        <w:tc>
          <w:tcPr>
            <w:tcW w:w="4390" w:type="dxa"/>
          </w:tcPr>
          <w:p w14:paraId="574BD4F5" w14:textId="77777777" w:rsidR="00342EC8" w:rsidRPr="00900F8E" w:rsidRDefault="00342EC8" w:rsidP="00342EC8">
            <w:pPr>
              <w:jc w:val="both"/>
              <w:rPr>
                <w:rFonts w:ascii="Arial" w:hAnsi="Arial" w:cs="Arial"/>
              </w:rPr>
            </w:pPr>
            <w:r w:rsidRPr="00900F8E">
              <w:rPr>
                <w:rFonts w:ascii="Arial" w:hAnsi="Arial" w:cs="Arial"/>
                <w:b/>
              </w:rPr>
              <w:t>Doseganje ciljev OP TGP 2020 se spremlja s kazalci:</w:t>
            </w:r>
          </w:p>
        </w:tc>
        <w:tc>
          <w:tcPr>
            <w:tcW w:w="1275" w:type="dxa"/>
            <w:shd w:val="clear" w:color="auto" w:fill="auto"/>
          </w:tcPr>
          <w:p w14:paraId="72725DB2" w14:textId="77777777" w:rsidR="00342EC8" w:rsidRPr="00900F8E" w:rsidRDefault="00342EC8" w:rsidP="00342EC8">
            <w:pPr>
              <w:jc w:val="center"/>
              <w:rPr>
                <w:rFonts w:ascii="Arial" w:hAnsi="Arial" w:cs="Arial"/>
                <w:b/>
                <w:bCs/>
              </w:rPr>
            </w:pPr>
            <w:r w:rsidRPr="00900F8E">
              <w:rPr>
                <w:rFonts w:ascii="Arial" w:hAnsi="Arial" w:cs="Arial"/>
                <w:b/>
                <w:bCs/>
              </w:rPr>
              <w:t>Ciljna vrednost</w:t>
            </w:r>
          </w:p>
          <w:p w14:paraId="578DC46B" w14:textId="28816DDA" w:rsidR="0022297F" w:rsidRPr="00900F8E" w:rsidRDefault="0022297F" w:rsidP="00342EC8">
            <w:pPr>
              <w:jc w:val="center"/>
              <w:rPr>
                <w:rFonts w:ascii="Arial" w:hAnsi="Arial" w:cs="Arial"/>
                <w:b/>
              </w:rPr>
            </w:pPr>
            <w:r w:rsidRPr="00900F8E">
              <w:rPr>
                <w:rFonts w:ascii="Arial" w:hAnsi="Arial" w:cs="Arial"/>
                <w:b/>
                <w:bCs/>
              </w:rPr>
              <w:t>v 2020</w:t>
            </w:r>
          </w:p>
        </w:tc>
        <w:tc>
          <w:tcPr>
            <w:tcW w:w="1418" w:type="dxa"/>
            <w:shd w:val="clear" w:color="auto" w:fill="auto"/>
          </w:tcPr>
          <w:p w14:paraId="4E282F28" w14:textId="6E5D8534" w:rsidR="00342EC8" w:rsidRPr="00900F8E" w:rsidRDefault="00342EC8" w:rsidP="00342EC8">
            <w:pPr>
              <w:jc w:val="center"/>
              <w:rPr>
                <w:rFonts w:ascii="Arial" w:hAnsi="Arial" w:cs="Arial"/>
                <w:b/>
              </w:rPr>
            </w:pPr>
            <w:r w:rsidRPr="00900F8E">
              <w:rPr>
                <w:rFonts w:ascii="Arial" w:hAnsi="Arial" w:cs="Arial"/>
                <w:b/>
                <w:bCs/>
              </w:rPr>
              <w:t>Dosežena vrednost v 2019</w:t>
            </w:r>
          </w:p>
        </w:tc>
        <w:tc>
          <w:tcPr>
            <w:tcW w:w="1243" w:type="dxa"/>
            <w:shd w:val="clear" w:color="auto" w:fill="auto"/>
          </w:tcPr>
          <w:p w14:paraId="59C0DA36" w14:textId="14CC16B3" w:rsidR="00342EC8" w:rsidRPr="00900F8E" w:rsidRDefault="00342EC8" w:rsidP="00342EC8">
            <w:pPr>
              <w:jc w:val="center"/>
              <w:rPr>
                <w:rFonts w:ascii="Arial" w:hAnsi="Arial" w:cs="Arial"/>
                <w:b/>
              </w:rPr>
            </w:pPr>
            <w:r w:rsidRPr="00900F8E">
              <w:rPr>
                <w:rFonts w:ascii="Arial" w:hAnsi="Arial" w:cs="Arial"/>
                <w:b/>
                <w:bCs/>
              </w:rPr>
              <w:t>Dosežena vrednost v 2020</w:t>
            </w:r>
          </w:p>
        </w:tc>
        <w:tc>
          <w:tcPr>
            <w:tcW w:w="690" w:type="dxa"/>
          </w:tcPr>
          <w:p w14:paraId="1335A841" w14:textId="1500C637" w:rsidR="00342EC8" w:rsidRPr="00900F8E" w:rsidRDefault="00342EC8" w:rsidP="00342EC8">
            <w:pPr>
              <w:jc w:val="center"/>
              <w:rPr>
                <w:rFonts w:ascii="Arial" w:hAnsi="Arial" w:cs="Arial"/>
                <w:b/>
              </w:rPr>
            </w:pPr>
            <w:r w:rsidRPr="00900F8E">
              <w:rPr>
                <w:rFonts w:ascii="Arial" w:hAnsi="Arial" w:cs="Arial"/>
                <w:b/>
              </w:rPr>
              <w:t>2020</w:t>
            </w:r>
          </w:p>
        </w:tc>
      </w:tr>
      <w:tr w:rsidR="00342EC8" w:rsidRPr="00900F8E" w14:paraId="61D9957D" w14:textId="77777777" w:rsidTr="00342EC8">
        <w:tc>
          <w:tcPr>
            <w:tcW w:w="4390" w:type="dxa"/>
          </w:tcPr>
          <w:p w14:paraId="753004C4" w14:textId="62548C4E" w:rsidR="00342EC8" w:rsidRPr="00900F8E" w:rsidRDefault="00342EC8" w:rsidP="00BE139F">
            <w:pPr>
              <w:jc w:val="both"/>
              <w:rPr>
                <w:rFonts w:ascii="Arial" w:hAnsi="Arial" w:cs="Arial"/>
              </w:rPr>
            </w:pPr>
            <w:r w:rsidRPr="00900F8E">
              <w:rPr>
                <w:rFonts w:ascii="Arial" w:hAnsi="Arial" w:cs="Arial"/>
              </w:rPr>
              <w:t>Zmanjšanje količine odloženih biorazgradljivih odpadkov</w:t>
            </w:r>
          </w:p>
        </w:tc>
        <w:tc>
          <w:tcPr>
            <w:tcW w:w="1275" w:type="dxa"/>
            <w:shd w:val="clear" w:color="auto" w:fill="auto"/>
          </w:tcPr>
          <w:p w14:paraId="653D32DE" w14:textId="082F0F5D" w:rsidR="00342EC8" w:rsidRPr="00900F8E" w:rsidRDefault="00342EC8" w:rsidP="004675F0">
            <w:pPr>
              <w:spacing w:before="20" w:after="20"/>
              <w:jc w:val="center"/>
              <w:rPr>
                <w:rFonts w:ascii="Arial" w:hAnsi="Arial" w:cs="Arial"/>
                <w:bCs/>
              </w:rPr>
            </w:pPr>
            <w:r w:rsidRPr="00900F8E">
              <w:rPr>
                <w:rFonts w:ascii="Arial" w:hAnsi="Arial" w:cs="Arial"/>
                <w:bCs/>
              </w:rPr>
              <w:t>29,13 kt</w:t>
            </w:r>
          </w:p>
        </w:tc>
        <w:tc>
          <w:tcPr>
            <w:tcW w:w="1418" w:type="dxa"/>
            <w:shd w:val="clear" w:color="auto" w:fill="auto"/>
          </w:tcPr>
          <w:p w14:paraId="5948AA65" w14:textId="2E888705" w:rsidR="00342EC8" w:rsidRPr="00900F8E" w:rsidRDefault="00342EC8" w:rsidP="004675F0">
            <w:pPr>
              <w:spacing w:before="20" w:after="20"/>
              <w:jc w:val="center"/>
              <w:rPr>
                <w:rFonts w:ascii="Arial" w:hAnsi="Arial" w:cs="Arial"/>
                <w:bCs/>
              </w:rPr>
            </w:pPr>
            <w:r w:rsidRPr="00900F8E">
              <w:rPr>
                <w:rFonts w:ascii="Arial" w:hAnsi="Arial" w:cs="Arial"/>
                <w:bCs/>
              </w:rPr>
              <w:t>0 kt</w:t>
            </w:r>
          </w:p>
        </w:tc>
        <w:tc>
          <w:tcPr>
            <w:tcW w:w="1243" w:type="dxa"/>
            <w:shd w:val="clear" w:color="auto" w:fill="auto"/>
          </w:tcPr>
          <w:p w14:paraId="0D476C65" w14:textId="5B485C54" w:rsidR="00342EC8" w:rsidRPr="00900F8E" w:rsidRDefault="00342EC8" w:rsidP="004675F0">
            <w:pPr>
              <w:spacing w:before="20" w:after="20"/>
              <w:jc w:val="center"/>
              <w:rPr>
                <w:rFonts w:ascii="Arial" w:hAnsi="Arial" w:cs="Arial"/>
                <w:bCs/>
              </w:rPr>
            </w:pPr>
            <w:r w:rsidRPr="00900F8E">
              <w:rPr>
                <w:rFonts w:ascii="Arial" w:hAnsi="Arial" w:cs="Arial"/>
                <w:bCs/>
              </w:rPr>
              <w:t>0,09 kt</w:t>
            </w:r>
          </w:p>
        </w:tc>
        <w:tc>
          <w:tcPr>
            <w:tcW w:w="690" w:type="dxa"/>
            <w:shd w:val="clear" w:color="auto" w:fill="92D050"/>
          </w:tcPr>
          <w:p w14:paraId="4E33CDDC" w14:textId="5680263A" w:rsidR="00342EC8" w:rsidRPr="00900F8E" w:rsidRDefault="00342EC8" w:rsidP="004675F0">
            <w:pPr>
              <w:spacing w:before="20" w:after="20"/>
              <w:jc w:val="center"/>
              <w:rPr>
                <w:rFonts w:ascii="Arial" w:hAnsi="Arial" w:cs="Arial"/>
                <w:b/>
              </w:rPr>
            </w:pPr>
          </w:p>
        </w:tc>
      </w:tr>
    </w:tbl>
    <w:p w14:paraId="32BA799C" w14:textId="2CF70B14" w:rsidR="000D5373" w:rsidRDefault="000D5373" w:rsidP="000D5373">
      <w:pPr>
        <w:spacing w:after="0" w:line="240" w:lineRule="auto"/>
        <w:jc w:val="both"/>
        <w:rPr>
          <w:rFonts w:ascii="Arial" w:hAnsi="Arial" w:cs="Arial"/>
        </w:rPr>
      </w:pPr>
    </w:p>
    <w:p w14:paraId="1C70C4A0" w14:textId="77777777" w:rsidR="006841D8" w:rsidRPr="00900F8E" w:rsidRDefault="006841D8" w:rsidP="000D5373">
      <w:pPr>
        <w:spacing w:after="0" w:line="240" w:lineRule="auto"/>
        <w:jc w:val="both"/>
        <w:rPr>
          <w:rFonts w:ascii="Arial" w:hAnsi="Arial" w:cs="Arial"/>
        </w:rPr>
      </w:pPr>
    </w:p>
    <w:p w14:paraId="1A03EBD6" w14:textId="15D39FB6" w:rsidR="000A4838" w:rsidRPr="00900F8E" w:rsidRDefault="00BE139F" w:rsidP="0065545E">
      <w:pPr>
        <w:pStyle w:val="Naslov2"/>
        <w:rPr>
          <w:rFonts w:ascii="Arial" w:hAnsi="Arial" w:cs="Arial"/>
          <w:color w:val="auto"/>
        </w:rPr>
      </w:pPr>
      <w:bookmarkStart w:id="25" w:name="_Toc120166934"/>
      <w:r w:rsidRPr="00900F8E">
        <w:rPr>
          <w:rFonts w:ascii="Arial" w:hAnsi="Arial" w:cs="Arial"/>
          <w:color w:val="auto"/>
        </w:rPr>
        <w:t>3.</w:t>
      </w:r>
      <w:r w:rsidR="00AF24A8" w:rsidRPr="00900F8E">
        <w:rPr>
          <w:rFonts w:ascii="Arial" w:hAnsi="Arial" w:cs="Arial"/>
          <w:color w:val="auto"/>
        </w:rPr>
        <w:t>6</w:t>
      </w:r>
      <w:r w:rsidRPr="00900F8E">
        <w:rPr>
          <w:rFonts w:ascii="Arial" w:hAnsi="Arial" w:cs="Arial"/>
          <w:color w:val="auto"/>
        </w:rPr>
        <w:t xml:space="preserve"> Zelena gospodarska rast</w:t>
      </w:r>
      <w:bookmarkEnd w:id="25"/>
    </w:p>
    <w:p w14:paraId="4FD97232" w14:textId="77777777" w:rsidR="00BE139F" w:rsidRPr="00900F8E" w:rsidRDefault="00BE139F" w:rsidP="00C52E4C">
      <w:pPr>
        <w:spacing w:after="0" w:line="240" w:lineRule="auto"/>
        <w:jc w:val="both"/>
        <w:rPr>
          <w:rFonts w:ascii="Arial" w:hAnsi="Arial" w:cs="Arial"/>
          <w:b/>
        </w:rPr>
      </w:pPr>
    </w:p>
    <w:tbl>
      <w:tblPr>
        <w:tblStyle w:val="Tabelamrea"/>
        <w:tblW w:w="0" w:type="auto"/>
        <w:tblLook w:val="04A0" w:firstRow="1" w:lastRow="0" w:firstColumn="1" w:lastColumn="0" w:noHBand="0" w:noVBand="1"/>
      </w:tblPr>
      <w:tblGrid>
        <w:gridCol w:w="2863"/>
        <w:gridCol w:w="1586"/>
        <w:gridCol w:w="1931"/>
        <w:gridCol w:w="1930"/>
        <w:gridCol w:w="706"/>
      </w:tblGrid>
      <w:tr w:rsidR="001A5A4C" w:rsidRPr="00900F8E" w14:paraId="35DA34C3" w14:textId="77777777" w:rsidTr="000D530D">
        <w:tc>
          <w:tcPr>
            <w:tcW w:w="2972" w:type="dxa"/>
          </w:tcPr>
          <w:p w14:paraId="3FC2BCE4" w14:textId="77777777" w:rsidR="00043BEA" w:rsidRPr="00900F8E" w:rsidRDefault="00043BEA" w:rsidP="00043BEA">
            <w:pPr>
              <w:jc w:val="both"/>
              <w:rPr>
                <w:rFonts w:ascii="Arial" w:hAnsi="Arial" w:cs="Arial"/>
              </w:rPr>
            </w:pPr>
            <w:r w:rsidRPr="00900F8E">
              <w:rPr>
                <w:rFonts w:ascii="Arial" w:hAnsi="Arial" w:cs="Arial"/>
                <w:b/>
              </w:rPr>
              <w:t>Doseganje ciljev OP TGP 2020 se spremlja s kazalci:</w:t>
            </w:r>
          </w:p>
        </w:tc>
        <w:tc>
          <w:tcPr>
            <w:tcW w:w="1559" w:type="dxa"/>
          </w:tcPr>
          <w:p w14:paraId="66B2BBE0" w14:textId="77777777" w:rsidR="00043BEA" w:rsidRPr="00900F8E" w:rsidRDefault="00043BEA" w:rsidP="00043BEA">
            <w:pPr>
              <w:jc w:val="center"/>
              <w:rPr>
                <w:rFonts w:ascii="Arial" w:hAnsi="Arial" w:cs="Arial"/>
                <w:b/>
                <w:bCs/>
              </w:rPr>
            </w:pPr>
            <w:r w:rsidRPr="00900F8E">
              <w:rPr>
                <w:rFonts w:ascii="Arial" w:hAnsi="Arial" w:cs="Arial"/>
                <w:b/>
                <w:bCs/>
              </w:rPr>
              <w:t>Ciljna vrednost</w:t>
            </w:r>
          </w:p>
          <w:p w14:paraId="0D81E8EA" w14:textId="71DE733D" w:rsidR="0022297F" w:rsidRPr="00900F8E" w:rsidRDefault="0022297F" w:rsidP="00043BEA">
            <w:pPr>
              <w:jc w:val="center"/>
              <w:rPr>
                <w:rFonts w:ascii="Arial" w:hAnsi="Arial" w:cs="Arial"/>
                <w:b/>
              </w:rPr>
            </w:pPr>
            <w:r w:rsidRPr="00900F8E">
              <w:rPr>
                <w:rFonts w:ascii="Arial" w:hAnsi="Arial" w:cs="Arial"/>
                <w:b/>
                <w:bCs/>
              </w:rPr>
              <w:t>v 2020</w:t>
            </w:r>
          </w:p>
        </w:tc>
        <w:tc>
          <w:tcPr>
            <w:tcW w:w="1985" w:type="dxa"/>
          </w:tcPr>
          <w:p w14:paraId="538D4A20" w14:textId="3B2BC7EB" w:rsidR="00043BEA" w:rsidRPr="00900F8E" w:rsidRDefault="00043BEA" w:rsidP="00043BEA">
            <w:pPr>
              <w:jc w:val="center"/>
              <w:rPr>
                <w:rFonts w:ascii="Arial" w:hAnsi="Arial" w:cs="Arial"/>
                <w:b/>
              </w:rPr>
            </w:pPr>
            <w:r w:rsidRPr="00900F8E">
              <w:rPr>
                <w:rFonts w:ascii="Arial" w:hAnsi="Arial" w:cs="Arial"/>
                <w:b/>
                <w:bCs/>
              </w:rPr>
              <w:t>Dosežena vrednost v 2019</w:t>
            </w:r>
          </w:p>
        </w:tc>
        <w:tc>
          <w:tcPr>
            <w:tcW w:w="1984" w:type="dxa"/>
          </w:tcPr>
          <w:p w14:paraId="22C8A116" w14:textId="19A146EF" w:rsidR="00043BEA" w:rsidRPr="00900F8E" w:rsidRDefault="00043BEA" w:rsidP="00043BEA">
            <w:pPr>
              <w:jc w:val="center"/>
              <w:rPr>
                <w:rFonts w:ascii="Arial" w:hAnsi="Arial" w:cs="Arial"/>
                <w:b/>
              </w:rPr>
            </w:pPr>
            <w:r w:rsidRPr="00900F8E">
              <w:rPr>
                <w:rFonts w:ascii="Arial" w:hAnsi="Arial" w:cs="Arial"/>
                <w:b/>
                <w:bCs/>
              </w:rPr>
              <w:t>Dosežena vrednost v 2020</w:t>
            </w:r>
          </w:p>
        </w:tc>
        <w:tc>
          <w:tcPr>
            <w:tcW w:w="516" w:type="dxa"/>
          </w:tcPr>
          <w:p w14:paraId="0E3F84E6" w14:textId="1155C739" w:rsidR="00043BEA" w:rsidRPr="00900F8E" w:rsidRDefault="00043BEA" w:rsidP="00043BEA">
            <w:pPr>
              <w:jc w:val="center"/>
              <w:rPr>
                <w:rFonts w:ascii="Arial" w:hAnsi="Arial" w:cs="Arial"/>
                <w:b/>
              </w:rPr>
            </w:pPr>
            <w:r w:rsidRPr="00900F8E">
              <w:rPr>
                <w:rFonts w:ascii="Arial" w:hAnsi="Arial" w:cs="Arial"/>
                <w:b/>
              </w:rPr>
              <w:t>2020</w:t>
            </w:r>
          </w:p>
        </w:tc>
      </w:tr>
      <w:tr w:rsidR="001A5A4C" w:rsidRPr="00900F8E" w14:paraId="0117D53E" w14:textId="77777777" w:rsidTr="000D530D">
        <w:tc>
          <w:tcPr>
            <w:tcW w:w="2972" w:type="dxa"/>
          </w:tcPr>
          <w:p w14:paraId="0A40410F" w14:textId="77777777" w:rsidR="00043BEA" w:rsidRPr="00900F8E" w:rsidRDefault="00043BEA" w:rsidP="00BE139F">
            <w:pPr>
              <w:jc w:val="both"/>
              <w:rPr>
                <w:rFonts w:ascii="Arial" w:hAnsi="Arial" w:cs="Arial"/>
              </w:rPr>
            </w:pPr>
            <w:r w:rsidRPr="00900F8E">
              <w:rPr>
                <w:rFonts w:ascii="Arial" w:hAnsi="Arial" w:cs="Arial"/>
              </w:rPr>
              <w:t>Emisijska produktivnost</w:t>
            </w:r>
          </w:p>
          <w:p w14:paraId="1F7C7DD7" w14:textId="797DACC9" w:rsidR="00B82C34" w:rsidRPr="00900F8E" w:rsidRDefault="000D530D" w:rsidP="00B82C34">
            <w:pPr>
              <w:jc w:val="both"/>
              <w:rPr>
                <w:rFonts w:ascii="Arial" w:hAnsi="Arial" w:cs="Arial"/>
              </w:rPr>
            </w:pPr>
            <w:r w:rsidRPr="00900F8E">
              <w:rPr>
                <w:rFonts w:ascii="Arial" w:hAnsi="Arial" w:cs="Arial"/>
              </w:rPr>
              <w:t>(BDP/emisije TGP)</w:t>
            </w:r>
          </w:p>
          <w:p w14:paraId="0F26E214" w14:textId="768705AD" w:rsidR="002655FD" w:rsidRPr="00900F8E" w:rsidRDefault="002655FD" w:rsidP="00B82C34">
            <w:pPr>
              <w:jc w:val="both"/>
              <w:rPr>
                <w:rFonts w:ascii="Arial" w:hAnsi="Arial" w:cs="Arial"/>
              </w:rPr>
            </w:pPr>
          </w:p>
        </w:tc>
        <w:tc>
          <w:tcPr>
            <w:tcW w:w="1559" w:type="dxa"/>
            <w:shd w:val="clear" w:color="auto" w:fill="auto"/>
          </w:tcPr>
          <w:p w14:paraId="2CD0659F" w14:textId="75E0FB4B" w:rsidR="00DA7749" w:rsidRPr="00900F8E" w:rsidRDefault="00415E35" w:rsidP="00B82C34">
            <w:pPr>
              <w:spacing w:before="20" w:after="20"/>
              <w:jc w:val="center"/>
              <w:rPr>
                <w:rFonts w:ascii="Arial" w:hAnsi="Arial" w:cs="Arial"/>
                <w:bCs/>
              </w:rPr>
            </w:pPr>
            <w:r w:rsidRPr="00900F8E">
              <w:rPr>
                <w:rFonts w:ascii="Arial" w:hAnsi="Arial" w:cs="Arial"/>
                <w:bCs/>
              </w:rPr>
              <w:t>/</w:t>
            </w:r>
          </w:p>
        </w:tc>
        <w:tc>
          <w:tcPr>
            <w:tcW w:w="1985" w:type="dxa"/>
            <w:shd w:val="clear" w:color="auto" w:fill="auto"/>
          </w:tcPr>
          <w:p w14:paraId="4F5FDAA6" w14:textId="77777777" w:rsidR="00043BEA" w:rsidRPr="00900F8E" w:rsidRDefault="00B82C34" w:rsidP="00BE139F">
            <w:pPr>
              <w:spacing w:before="20" w:after="20"/>
              <w:jc w:val="center"/>
              <w:rPr>
                <w:rFonts w:ascii="Arial" w:hAnsi="Arial" w:cs="Arial"/>
                <w:bCs/>
              </w:rPr>
            </w:pPr>
            <w:r w:rsidRPr="00900F8E">
              <w:rPr>
                <w:rFonts w:ascii="Arial" w:hAnsi="Arial" w:cs="Arial"/>
                <w:bCs/>
              </w:rPr>
              <w:t>2,54</w:t>
            </w:r>
          </w:p>
          <w:p w14:paraId="2D3801AE" w14:textId="6251743A" w:rsidR="00B82C34" w:rsidRPr="00900F8E" w:rsidRDefault="00DA7749" w:rsidP="00BE139F">
            <w:pPr>
              <w:spacing w:before="20" w:after="20"/>
              <w:jc w:val="center"/>
              <w:rPr>
                <w:rFonts w:ascii="Arial" w:hAnsi="Arial" w:cs="Arial"/>
                <w:bCs/>
              </w:rPr>
            </w:pPr>
            <w:r w:rsidRPr="00900F8E">
              <w:rPr>
                <w:rFonts w:ascii="Arial" w:hAnsi="Arial" w:cs="Arial"/>
                <w:bCs/>
              </w:rPr>
              <w:t>EUR</w:t>
            </w:r>
            <w:r w:rsidRPr="00900F8E">
              <w:rPr>
                <w:rFonts w:ascii="Arial" w:hAnsi="Arial" w:cs="Arial"/>
                <w:bCs/>
                <w:vertAlign w:val="subscript"/>
              </w:rPr>
              <w:t>2010</w:t>
            </w:r>
            <w:r w:rsidRPr="00900F8E">
              <w:rPr>
                <w:rFonts w:ascii="Arial" w:hAnsi="Arial" w:cs="Arial"/>
                <w:bCs/>
              </w:rPr>
              <w:t>/kg</w:t>
            </w:r>
            <w:r w:rsidR="00F15480" w:rsidRPr="00900F8E">
              <w:rPr>
                <w:rFonts w:ascii="Arial" w:hAnsi="Arial" w:cs="Arial"/>
                <w:bCs/>
              </w:rPr>
              <w:t xml:space="preserve"> ekv. CO</w:t>
            </w:r>
            <w:r w:rsidR="00F15480" w:rsidRPr="00900F8E">
              <w:rPr>
                <w:rFonts w:ascii="Arial" w:hAnsi="Arial" w:cs="Arial"/>
                <w:bCs/>
                <w:vertAlign w:val="subscript"/>
              </w:rPr>
              <w:t>2</w:t>
            </w:r>
          </w:p>
        </w:tc>
        <w:tc>
          <w:tcPr>
            <w:tcW w:w="1984" w:type="dxa"/>
            <w:shd w:val="clear" w:color="auto" w:fill="auto"/>
          </w:tcPr>
          <w:p w14:paraId="540E8839" w14:textId="77777777" w:rsidR="00043BEA" w:rsidRPr="00900F8E" w:rsidRDefault="00B82C34" w:rsidP="00BE139F">
            <w:pPr>
              <w:spacing w:before="20" w:after="20"/>
              <w:jc w:val="center"/>
              <w:rPr>
                <w:rFonts w:ascii="Arial" w:hAnsi="Arial" w:cs="Arial"/>
                <w:bCs/>
              </w:rPr>
            </w:pPr>
            <w:r w:rsidRPr="00900F8E">
              <w:rPr>
                <w:rFonts w:ascii="Arial" w:hAnsi="Arial" w:cs="Arial"/>
                <w:bCs/>
              </w:rPr>
              <w:t>2,62</w:t>
            </w:r>
          </w:p>
          <w:p w14:paraId="615EE8E5" w14:textId="09CE3C01" w:rsidR="007C2627" w:rsidRPr="00900F8E" w:rsidRDefault="00DA7749" w:rsidP="00BE139F">
            <w:pPr>
              <w:spacing w:before="20" w:after="20"/>
              <w:jc w:val="center"/>
              <w:rPr>
                <w:rFonts w:ascii="Arial" w:hAnsi="Arial" w:cs="Arial"/>
                <w:bCs/>
              </w:rPr>
            </w:pPr>
            <w:r w:rsidRPr="00900F8E">
              <w:rPr>
                <w:rFonts w:ascii="Arial" w:hAnsi="Arial" w:cs="Arial"/>
                <w:bCs/>
              </w:rPr>
              <w:t>EUR</w:t>
            </w:r>
            <w:r w:rsidRPr="00900F8E">
              <w:rPr>
                <w:rFonts w:ascii="Arial" w:hAnsi="Arial" w:cs="Arial"/>
                <w:bCs/>
                <w:vertAlign w:val="subscript"/>
              </w:rPr>
              <w:t>2010</w:t>
            </w:r>
            <w:r w:rsidRPr="00900F8E">
              <w:rPr>
                <w:rFonts w:ascii="Arial" w:hAnsi="Arial" w:cs="Arial"/>
                <w:bCs/>
              </w:rPr>
              <w:t>/kg</w:t>
            </w:r>
            <w:r w:rsidR="00F15480" w:rsidRPr="00900F8E">
              <w:rPr>
                <w:rFonts w:ascii="Arial" w:hAnsi="Arial" w:cs="Arial"/>
                <w:bCs/>
              </w:rPr>
              <w:t xml:space="preserve"> ekv. CO</w:t>
            </w:r>
            <w:r w:rsidR="00F15480" w:rsidRPr="00900F8E">
              <w:rPr>
                <w:rFonts w:ascii="Arial" w:hAnsi="Arial" w:cs="Arial"/>
                <w:bCs/>
                <w:vertAlign w:val="subscript"/>
              </w:rPr>
              <w:t>2</w:t>
            </w:r>
          </w:p>
        </w:tc>
        <w:tc>
          <w:tcPr>
            <w:tcW w:w="516" w:type="dxa"/>
            <w:shd w:val="clear" w:color="auto" w:fill="FFC000"/>
          </w:tcPr>
          <w:p w14:paraId="7BB8F18E" w14:textId="05D8987F" w:rsidR="00043BEA" w:rsidRPr="00900F8E" w:rsidRDefault="00043BEA" w:rsidP="00BE139F">
            <w:pPr>
              <w:spacing w:before="20" w:after="20"/>
              <w:jc w:val="center"/>
              <w:rPr>
                <w:rFonts w:ascii="Arial" w:hAnsi="Arial" w:cs="Arial"/>
                <w:b/>
              </w:rPr>
            </w:pPr>
          </w:p>
        </w:tc>
      </w:tr>
      <w:tr w:rsidR="001A5A4C" w:rsidRPr="00900F8E" w14:paraId="3670E62E" w14:textId="77777777" w:rsidTr="000D530D">
        <w:tc>
          <w:tcPr>
            <w:tcW w:w="2972" w:type="dxa"/>
          </w:tcPr>
          <w:p w14:paraId="0A5C5A5B" w14:textId="50D37E71" w:rsidR="00043BEA" w:rsidRPr="00900F8E" w:rsidRDefault="00043BEA" w:rsidP="00BE139F">
            <w:pPr>
              <w:jc w:val="both"/>
              <w:rPr>
                <w:rFonts w:ascii="Arial" w:hAnsi="Arial" w:cs="Arial"/>
              </w:rPr>
            </w:pPr>
            <w:r w:rsidRPr="00900F8E">
              <w:rPr>
                <w:rFonts w:ascii="Arial" w:hAnsi="Arial" w:cs="Arial"/>
              </w:rPr>
              <w:t>Implicitna stopnja obdavčitve energije</w:t>
            </w:r>
          </w:p>
        </w:tc>
        <w:tc>
          <w:tcPr>
            <w:tcW w:w="1559" w:type="dxa"/>
            <w:shd w:val="clear" w:color="auto" w:fill="auto"/>
          </w:tcPr>
          <w:p w14:paraId="4C3B83CD" w14:textId="4433563A" w:rsidR="00DA7749" w:rsidRPr="00900F8E" w:rsidRDefault="00346C0F" w:rsidP="00BE139F">
            <w:pPr>
              <w:spacing w:before="20" w:after="20"/>
              <w:jc w:val="center"/>
              <w:rPr>
                <w:rFonts w:ascii="Arial" w:hAnsi="Arial" w:cs="Arial"/>
                <w:bCs/>
              </w:rPr>
            </w:pPr>
            <w:r w:rsidRPr="00900F8E">
              <w:rPr>
                <w:rFonts w:ascii="Arial" w:hAnsi="Arial" w:cs="Arial"/>
                <w:bCs/>
              </w:rPr>
              <w:t>/</w:t>
            </w:r>
          </w:p>
        </w:tc>
        <w:tc>
          <w:tcPr>
            <w:tcW w:w="1985" w:type="dxa"/>
            <w:shd w:val="clear" w:color="auto" w:fill="auto"/>
          </w:tcPr>
          <w:p w14:paraId="419C812E" w14:textId="77777777" w:rsidR="00043BEA" w:rsidRPr="00900F8E" w:rsidRDefault="007C2627" w:rsidP="00BE139F">
            <w:pPr>
              <w:spacing w:before="20" w:after="20"/>
              <w:jc w:val="center"/>
              <w:rPr>
                <w:rFonts w:ascii="Arial" w:hAnsi="Arial" w:cs="Arial"/>
                <w:bCs/>
              </w:rPr>
            </w:pPr>
            <w:r w:rsidRPr="00900F8E">
              <w:rPr>
                <w:rFonts w:ascii="Arial" w:hAnsi="Arial" w:cs="Arial"/>
                <w:bCs/>
              </w:rPr>
              <w:t>245,72</w:t>
            </w:r>
          </w:p>
          <w:p w14:paraId="58A0A030" w14:textId="4AD8111F" w:rsidR="007C2627" w:rsidRPr="00900F8E" w:rsidRDefault="007C2627" w:rsidP="00BE139F">
            <w:pPr>
              <w:spacing w:before="20" w:after="20"/>
              <w:jc w:val="center"/>
              <w:rPr>
                <w:rFonts w:ascii="Arial" w:hAnsi="Arial" w:cs="Arial"/>
                <w:bCs/>
              </w:rPr>
            </w:pPr>
            <w:r w:rsidRPr="00900F8E">
              <w:rPr>
                <w:rFonts w:ascii="Arial" w:hAnsi="Arial" w:cs="Arial"/>
                <w:bCs/>
              </w:rPr>
              <w:t xml:space="preserve"> EUR/toe</w:t>
            </w:r>
          </w:p>
        </w:tc>
        <w:tc>
          <w:tcPr>
            <w:tcW w:w="1984" w:type="dxa"/>
            <w:shd w:val="clear" w:color="auto" w:fill="auto"/>
          </w:tcPr>
          <w:p w14:paraId="6E978EEF" w14:textId="77777777" w:rsidR="00043BEA" w:rsidRPr="00900F8E" w:rsidRDefault="007C2627" w:rsidP="00BE139F">
            <w:pPr>
              <w:spacing w:before="20" w:after="20"/>
              <w:jc w:val="center"/>
              <w:rPr>
                <w:rFonts w:ascii="Arial" w:hAnsi="Arial" w:cs="Arial"/>
                <w:bCs/>
              </w:rPr>
            </w:pPr>
            <w:r w:rsidRPr="00900F8E">
              <w:rPr>
                <w:rFonts w:ascii="Arial" w:hAnsi="Arial" w:cs="Arial"/>
                <w:bCs/>
              </w:rPr>
              <w:t>222,37</w:t>
            </w:r>
          </w:p>
          <w:p w14:paraId="1D0A95C8" w14:textId="475368FA" w:rsidR="007C2627" w:rsidRPr="00900F8E" w:rsidRDefault="007C2627" w:rsidP="00BE139F">
            <w:pPr>
              <w:spacing w:before="20" w:after="20"/>
              <w:jc w:val="center"/>
              <w:rPr>
                <w:rFonts w:ascii="Arial" w:hAnsi="Arial" w:cs="Arial"/>
                <w:bCs/>
              </w:rPr>
            </w:pPr>
            <w:r w:rsidRPr="00900F8E">
              <w:rPr>
                <w:rFonts w:ascii="Arial" w:hAnsi="Arial" w:cs="Arial"/>
                <w:bCs/>
              </w:rPr>
              <w:t>EUR/toe</w:t>
            </w:r>
          </w:p>
        </w:tc>
        <w:tc>
          <w:tcPr>
            <w:tcW w:w="516" w:type="dxa"/>
            <w:shd w:val="clear" w:color="auto" w:fill="FFC000"/>
          </w:tcPr>
          <w:p w14:paraId="56708A27" w14:textId="11199234" w:rsidR="00043BEA" w:rsidRPr="00900F8E" w:rsidRDefault="00043BEA" w:rsidP="00BE139F">
            <w:pPr>
              <w:spacing w:before="20" w:after="20"/>
              <w:jc w:val="center"/>
              <w:rPr>
                <w:rFonts w:ascii="Arial" w:hAnsi="Arial" w:cs="Arial"/>
                <w:b/>
              </w:rPr>
            </w:pPr>
          </w:p>
        </w:tc>
      </w:tr>
      <w:tr w:rsidR="001A5A4C" w:rsidRPr="00900F8E" w14:paraId="2EB40D36" w14:textId="77777777" w:rsidTr="000D530D">
        <w:tc>
          <w:tcPr>
            <w:tcW w:w="2972" w:type="dxa"/>
          </w:tcPr>
          <w:p w14:paraId="243B3300" w14:textId="62E46D7F" w:rsidR="00043BEA" w:rsidRPr="00900F8E" w:rsidRDefault="00043BEA" w:rsidP="00BE139F">
            <w:pPr>
              <w:jc w:val="both"/>
              <w:rPr>
                <w:rFonts w:ascii="Arial" w:hAnsi="Arial" w:cs="Arial"/>
              </w:rPr>
            </w:pPr>
            <w:r w:rsidRPr="00900F8E">
              <w:rPr>
                <w:rFonts w:ascii="Arial" w:hAnsi="Arial" w:cs="Arial"/>
              </w:rPr>
              <w:t>Spodbude, ki so v nasprotju s cilji zmanjševanja emisij TGP</w:t>
            </w:r>
          </w:p>
        </w:tc>
        <w:tc>
          <w:tcPr>
            <w:tcW w:w="1559" w:type="dxa"/>
            <w:shd w:val="clear" w:color="auto" w:fill="auto"/>
          </w:tcPr>
          <w:p w14:paraId="7979CEB0" w14:textId="2DBDC3C3" w:rsidR="00043BEA" w:rsidRPr="00900F8E" w:rsidRDefault="001A5A4C" w:rsidP="00BE139F">
            <w:pPr>
              <w:spacing w:before="20" w:after="20"/>
              <w:jc w:val="center"/>
              <w:rPr>
                <w:rFonts w:ascii="Arial" w:hAnsi="Arial" w:cs="Arial"/>
                <w:bCs/>
              </w:rPr>
            </w:pPr>
            <w:r w:rsidRPr="00900F8E">
              <w:rPr>
                <w:rFonts w:ascii="Arial" w:hAnsi="Arial" w:cs="Arial"/>
                <w:bCs/>
              </w:rPr>
              <w:t>Zmanjševanje spodbud</w:t>
            </w:r>
          </w:p>
        </w:tc>
        <w:tc>
          <w:tcPr>
            <w:tcW w:w="1985" w:type="dxa"/>
            <w:shd w:val="clear" w:color="auto" w:fill="auto"/>
          </w:tcPr>
          <w:p w14:paraId="7647DF95" w14:textId="6D8D807D" w:rsidR="00043BEA" w:rsidRPr="00900F8E" w:rsidRDefault="001A5A4C" w:rsidP="00BE139F">
            <w:pPr>
              <w:spacing w:before="20" w:after="20"/>
              <w:jc w:val="center"/>
              <w:rPr>
                <w:rFonts w:ascii="Arial" w:hAnsi="Arial" w:cs="Arial"/>
                <w:bCs/>
              </w:rPr>
            </w:pPr>
            <w:r w:rsidRPr="00900F8E">
              <w:rPr>
                <w:rFonts w:ascii="Arial" w:hAnsi="Arial" w:cs="Arial"/>
                <w:bCs/>
              </w:rPr>
              <w:t>89,25 mio EUR</w:t>
            </w:r>
          </w:p>
        </w:tc>
        <w:tc>
          <w:tcPr>
            <w:tcW w:w="1984" w:type="dxa"/>
            <w:shd w:val="clear" w:color="auto" w:fill="auto"/>
          </w:tcPr>
          <w:p w14:paraId="19250F1C" w14:textId="7F0E4115" w:rsidR="00043BEA" w:rsidRPr="00900F8E" w:rsidRDefault="001A5A4C" w:rsidP="00BE139F">
            <w:pPr>
              <w:spacing w:before="20" w:after="20"/>
              <w:jc w:val="center"/>
              <w:rPr>
                <w:rFonts w:ascii="Arial" w:hAnsi="Arial" w:cs="Arial"/>
                <w:bCs/>
              </w:rPr>
            </w:pPr>
            <w:r w:rsidRPr="00900F8E">
              <w:rPr>
                <w:rFonts w:ascii="Arial" w:hAnsi="Arial" w:cs="Arial"/>
                <w:bCs/>
              </w:rPr>
              <w:t>81,10 mio EUR</w:t>
            </w:r>
          </w:p>
        </w:tc>
        <w:tc>
          <w:tcPr>
            <w:tcW w:w="516" w:type="dxa"/>
            <w:shd w:val="clear" w:color="auto" w:fill="92D050"/>
          </w:tcPr>
          <w:p w14:paraId="0A4FB3DE" w14:textId="3A20D8AC" w:rsidR="00043BEA" w:rsidRPr="00900F8E" w:rsidRDefault="00043BEA" w:rsidP="00BE139F">
            <w:pPr>
              <w:spacing w:before="20" w:after="20"/>
              <w:jc w:val="center"/>
              <w:rPr>
                <w:rFonts w:ascii="Arial" w:hAnsi="Arial" w:cs="Arial"/>
                <w:b/>
              </w:rPr>
            </w:pPr>
          </w:p>
        </w:tc>
      </w:tr>
      <w:tr w:rsidR="001A5A4C" w:rsidRPr="00900F8E" w14:paraId="7F0BA131" w14:textId="77777777" w:rsidTr="000D530D">
        <w:tc>
          <w:tcPr>
            <w:tcW w:w="2972" w:type="dxa"/>
          </w:tcPr>
          <w:p w14:paraId="4C6BA7FC" w14:textId="1FE5EC6D" w:rsidR="000634BA" w:rsidRPr="00900F8E" w:rsidRDefault="00043BEA" w:rsidP="00BE139F">
            <w:pPr>
              <w:jc w:val="both"/>
              <w:rPr>
                <w:rFonts w:ascii="Arial" w:hAnsi="Arial" w:cs="Arial"/>
              </w:rPr>
            </w:pPr>
            <w:r w:rsidRPr="00900F8E">
              <w:rPr>
                <w:rFonts w:ascii="Arial" w:hAnsi="Arial" w:cs="Arial"/>
              </w:rPr>
              <w:t>Zelena delovna mesta</w:t>
            </w:r>
          </w:p>
        </w:tc>
        <w:tc>
          <w:tcPr>
            <w:tcW w:w="1559" w:type="dxa"/>
            <w:shd w:val="clear" w:color="auto" w:fill="auto"/>
          </w:tcPr>
          <w:p w14:paraId="4F30C212" w14:textId="7611B9B6" w:rsidR="00043BEA" w:rsidRPr="00900F8E" w:rsidRDefault="002B79A0" w:rsidP="00BE139F">
            <w:pPr>
              <w:spacing w:before="20" w:after="20"/>
              <w:jc w:val="center"/>
              <w:rPr>
                <w:rFonts w:ascii="Arial" w:hAnsi="Arial" w:cs="Arial"/>
                <w:bCs/>
              </w:rPr>
            </w:pPr>
            <w:r w:rsidRPr="00900F8E">
              <w:rPr>
                <w:rFonts w:ascii="Arial" w:hAnsi="Arial" w:cs="Arial"/>
                <w:bCs/>
              </w:rPr>
              <w:t>Povečevanje</w:t>
            </w:r>
          </w:p>
        </w:tc>
        <w:tc>
          <w:tcPr>
            <w:tcW w:w="1985" w:type="dxa"/>
            <w:shd w:val="clear" w:color="auto" w:fill="auto"/>
          </w:tcPr>
          <w:p w14:paraId="05C59AA1" w14:textId="52ABE66A" w:rsidR="000634BA" w:rsidRPr="00900F8E" w:rsidRDefault="002B79A0" w:rsidP="006737D6">
            <w:pPr>
              <w:spacing w:before="20" w:after="20"/>
              <w:jc w:val="center"/>
              <w:rPr>
                <w:rFonts w:ascii="Arial" w:hAnsi="Arial" w:cs="Arial"/>
                <w:bCs/>
              </w:rPr>
            </w:pPr>
            <w:r w:rsidRPr="00900F8E">
              <w:rPr>
                <w:rFonts w:ascii="Arial" w:hAnsi="Arial" w:cs="Arial"/>
                <w:bCs/>
              </w:rPr>
              <w:t>3,1 %</w:t>
            </w:r>
          </w:p>
        </w:tc>
        <w:tc>
          <w:tcPr>
            <w:tcW w:w="1984" w:type="dxa"/>
            <w:shd w:val="clear" w:color="auto" w:fill="auto"/>
          </w:tcPr>
          <w:p w14:paraId="40020C7E" w14:textId="06A583C5" w:rsidR="00043BEA" w:rsidRPr="00900F8E" w:rsidRDefault="000634BA" w:rsidP="00BE139F">
            <w:pPr>
              <w:spacing w:before="20" w:after="20"/>
              <w:jc w:val="center"/>
              <w:rPr>
                <w:rFonts w:ascii="Arial" w:hAnsi="Arial" w:cs="Arial"/>
                <w:bCs/>
              </w:rPr>
            </w:pPr>
            <w:r w:rsidRPr="00900F8E">
              <w:rPr>
                <w:rFonts w:ascii="Arial" w:hAnsi="Arial" w:cs="Arial"/>
                <w:bCs/>
              </w:rPr>
              <w:t>/</w:t>
            </w:r>
          </w:p>
        </w:tc>
        <w:tc>
          <w:tcPr>
            <w:tcW w:w="516" w:type="dxa"/>
            <w:shd w:val="clear" w:color="auto" w:fill="FFC000"/>
          </w:tcPr>
          <w:p w14:paraId="126D1D59" w14:textId="3DC169BB" w:rsidR="00043BEA" w:rsidRPr="00900F8E" w:rsidRDefault="00043BEA" w:rsidP="00BE139F">
            <w:pPr>
              <w:spacing w:before="20" w:after="20"/>
              <w:jc w:val="center"/>
              <w:rPr>
                <w:rFonts w:ascii="Arial" w:hAnsi="Arial" w:cs="Arial"/>
                <w:b/>
              </w:rPr>
            </w:pPr>
          </w:p>
        </w:tc>
      </w:tr>
      <w:tr w:rsidR="001A5A4C" w:rsidRPr="00900F8E" w14:paraId="7F69AD31" w14:textId="77777777" w:rsidTr="000D530D">
        <w:tc>
          <w:tcPr>
            <w:tcW w:w="2972" w:type="dxa"/>
          </w:tcPr>
          <w:p w14:paraId="7C33C80A" w14:textId="27491136" w:rsidR="00043BEA" w:rsidRPr="00900F8E" w:rsidRDefault="00043BEA" w:rsidP="004577EB">
            <w:pPr>
              <w:jc w:val="both"/>
              <w:rPr>
                <w:rFonts w:ascii="Arial" w:hAnsi="Arial" w:cs="Arial"/>
              </w:rPr>
            </w:pPr>
            <w:r w:rsidRPr="00900F8E">
              <w:rPr>
                <w:rFonts w:ascii="Arial" w:hAnsi="Arial" w:cs="Arial"/>
              </w:rPr>
              <w:t xml:space="preserve">Spodbujanje </w:t>
            </w:r>
            <w:proofErr w:type="spellStart"/>
            <w:r w:rsidRPr="00900F8E">
              <w:rPr>
                <w:rFonts w:ascii="Arial" w:hAnsi="Arial" w:cs="Arial"/>
              </w:rPr>
              <w:t>ekoinovacij</w:t>
            </w:r>
            <w:proofErr w:type="spellEnd"/>
            <w:r w:rsidRPr="00900F8E">
              <w:rPr>
                <w:rFonts w:ascii="Arial" w:hAnsi="Arial" w:cs="Arial"/>
              </w:rPr>
              <w:t xml:space="preserve"> za prehod v nizkoogljično družbo</w:t>
            </w:r>
          </w:p>
        </w:tc>
        <w:tc>
          <w:tcPr>
            <w:tcW w:w="1559" w:type="dxa"/>
            <w:shd w:val="clear" w:color="auto" w:fill="auto"/>
          </w:tcPr>
          <w:p w14:paraId="286F97B1" w14:textId="607DDD34" w:rsidR="002B79A0" w:rsidRPr="00900F8E" w:rsidRDefault="007A1469" w:rsidP="00BE139F">
            <w:pPr>
              <w:spacing w:before="20" w:after="20"/>
              <w:jc w:val="center"/>
              <w:rPr>
                <w:rFonts w:ascii="Arial" w:hAnsi="Arial" w:cs="Arial"/>
              </w:rPr>
            </w:pPr>
            <w:r w:rsidRPr="00900F8E">
              <w:rPr>
                <w:rFonts w:ascii="Arial" w:hAnsi="Arial" w:cs="Arial"/>
                <w:bCs/>
              </w:rPr>
              <w:t>R</w:t>
            </w:r>
            <w:r w:rsidR="00DA7749" w:rsidRPr="00900F8E">
              <w:rPr>
                <w:rFonts w:ascii="Arial" w:hAnsi="Arial" w:cs="Arial"/>
                <w:bCs/>
              </w:rPr>
              <w:t>ast indeksa</w:t>
            </w:r>
            <w:r w:rsidR="002B79A0" w:rsidRPr="00900F8E">
              <w:rPr>
                <w:rFonts w:ascii="Arial" w:hAnsi="Arial" w:cs="Arial"/>
              </w:rPr>
              <w:t xml:space="preserve"> </w:t>
            </w:r>
          </w:p>
          <w:p w14:paraId="21B43F31" w14:textId="77777777" w:rsidR="008C27EB" w:rsidRDefault="008C27EB" w:rsidP="00BE139F">
            <w:pPr>
              <w:spacing w:before="20" w:after="20"/>
              <w:jc w:val="center"/>
              <w:rPr>
                <w:rFonts w:ascii="Arial" w:hAnsi="Arial" w:cs="Arial"/>
                <w:bCs/>
              </w:rPr>
            </w:pPr>
            <w:r>
              <w:rPr>
                <w:rFonts w:ascii="Arial" w:hAnsi="Arial" w:cs="Arial"/>
                <w:bCs/>
              </w:rPr>
              <w:t>(</w:t>
            </w:r>
            <w:r w:rsidR="002B79A0" w:rsidRPr="00900F8E">
              <w:rPr>
                <w:rFonts w:ascii="Arial" w:hAnsi="Arial" w:cs="Arial"/>
                <w:bCs/>
              </w:rPr>
              <w:t xml:space="preserve">EU28 = </w:t>
            </w:r>
          </w:p>
          <w:p w14:paraId="2959256C" w14:textId="1EEA6869" w:rsidR="00043BEA" w:rsidRPr="00900F8E" w:rsidRDefault="002B79A0" w:rsidP="00BE139F">
            <w:pPr>
              <w:spacing w:before="20" w:after="20"/>
              <w:jc w:val="center"/>
              <w:rPr>
                <w:rFonts w:ascii="Arial" w:hAnsi="Arial" w:cs="Arial"/>
                <w:bCs/>
              </w:rPr>
            </w:pPr>
            <w:r w:rsidRPr="00900F8E">
              <w:rPr>
                <w:rFonts w:ascii="Arial" w:hAnsi="Arial" w:cs="Arial"/>
                <w:bCs/>
              </w:rPr>
              <w:t>100 %</w:t>
            </w:r>
            <w:r w:rsidR="008C27EB">
              <w:rPr>
                <w:rFonts w:ascii="Arial" w:hAnsi="Arial" w:cs="Arial"/>
                <w:bCs/>
              </w:rPr>
              <w:t>)</w:t>
            </w:r>
          </w:p>
        </w:tc>
        <w:tc>
          <w:tcPr>
            <w:tcW w:w="1985" w:type="dxa"/>
            <w:shd w:val="clear" w:color="auto" w:fill="auto"/>
          </w:tcPr>
          <w:p w14:paraId="3E1019AC" w14:textId="46244F58" w:rsidR="00043BEA" w:rsidRPr="00900F8E" w:rsidRDefault="00DA7749" w:rsidP="00BE139F">
            <w:pPr>
              <w:spacing w:before="20" w:after="20"/>
              <w:jc w:val="center"/>
              <w:rPr>
                <w:rFonts w:ascii="Arial" w:hAnsi="Arial" w:cs="Arial"/>
                <w:bCs/>
              </w:rPr>
            </w:pPr>
            <w:r w:rsidRPr="00900F8E">
              <w:rPr>
                <w:rFonts w:ascii="Arial" w:hAnsi="Arial" w:cs="Arial"/>
                <w:bCs/>
              </w:rPr>
              <w:t>91</w:t>
            </w:r>
            <w:r w:rsidR="002B79A0" w:rsidRPr="00900F8E">
              <w:rPr>
                <w:rFonts w:ascii="Arial" w:hAnsi="Arial" w:cs="Arial"/>
                <w:bCs/>
              </w:rPr>
              <w:t xml:space="preserve"> %</w:t>
            </w:r>
          </w:p>
        </w:tc>
        <w:tc>
          <w:tcPr>
            <w:tcW w:w="1984" w:type="dxa"/>
            <w:shd w:val="clear" w:color="auto" w:fill="auto"/>
          </w:tcPr>
          <w:p w14:paraId="60FF1512" w14:textId="24B7ACC2" w:rsidR="00043BEA" w:rsidRPr="00900F8E" w:rsidRDefault="00DA7749" w:rsidP="00BE139F">
            <w:pPr>
              <w:spacing w:before="20" w:after="20"/>
              <w:jc w:val="center"/>
              <w:rPr>
                <w:rFonts w:ascii="Arial" w:hAnsi="Arial" w:cs="Arial"/>
                <w:bCs/>
              </w:rPr>
            </w:pPr>
            <w:r w:rsidRPr="00900F8E">
              <w:rPr>
                <w:rFonts w:ascii="Arial" w:hAnsi="Arial" w:cs="Arial"/>
                <w:bCs/>
              </w:rPr>
              <w:t>85</w:t>
            </w:r>
            <w:r w:rsidR="002B79A0" w:rsidRPr="00900F8E">
              <w:rPr>
                <w:rFonts w:ascii="Arial" w:hAnsi="Arial" w:cs="Arial"/>
                <w:bCs/>
              </w:rPr>
              <w:t xml:space="preserve"> %</w:t>
            </w:r>
          </w:p>
        </w:tc>
        <w:tc>
          <w:tcPr>
            <w:tcW w:w="516" w:type="dxa"/>
            <w:shd w:val="clear" w:color="auto" w:fill="FFC000"/>
          </w:tcPr>
          <w:p w14:paraId="09F7B865" w14:textId="29A60448" w:rsidR="00043BEA" w:rsidRPr="00900F8E" w:rsidRDefault="00043BEA" w:rsidP="00BE139F">
            <w:pPr>
              <w:spacing w:before="20" w:after="20"/>
              <w:jc w:val="center"/>
              <w:rPr>
                <w:rFonts w:ascii="Arial" w:hAnsi="Arial" w:cs="Arial"/>
                <w:b/>
              </w:rPr>
            </w:pPr>
          </w:p>
        </w:tc>
      </w:tr>
    </w:tbl>
    <w:p w14:paraId="2FF47767" w14:textId="53EC428E" w:rsidR="00621635" w:rsidRPr="00900F8E" w:rsidRDefault="00621635" w:rsidP="00C52E4C">
      <w:pPr>
        <w:spacing w:after="0" w:line="240" w:lineRule="auto"/>
        <w:jc w:val="both"/>
        <w:rPr>
          <w:rFonts w:ascii="Arial" w:hAnsi="Arial" w:cs="Arial"/>
        </w:rPr>
      </w:pPr>
    </w:p>
    <w:p w14:paraId="29C2277D" w14:textId="2D33F71B" w:rsidR="003F3F47" w:rsidRDefault="003F3F47" w:rsidP="00C52E4C">
      <w:pPr>
        <w:spacing w:after="0" w:line="240" w:lineRule="auto"/>
        <w:jc w:val="both"/>
        <w:rPr>
          <w:rFonts w:ascii="Arial" w:hAnsi="Arial" w:cs="Arial"/>
        </w:rPr>
      </w:pPr>
    </w:p>
    <w:p w14:paraId="3D9B9D80" w14:textId="15F61769" w:rsidR="006841D8" w:rsidRDefault="006841D8" w:rsidP="00C52E4C">
      <w:pPr>
        <w:spacing w:after="0" w:line="240" w:lineRule="auto"/>
        <w:jc w:val="both"/>
        <w:rPr>
          <w:rFonts w:ascii="Arial" w:hAnsi="Arial" w:cs="Arial"/>
        </w:rPr>
      </w:pPr>
    </w:p>
    <w:p w14:paraId="1CECDDCE" w14:textId="4605E653" w:rsidR="006841D8" w:rsidRDefault="006841D8" w:rsidP="00C52E4C">
      <w:pPr>
        <w:spacing w:after="0" w:line="240" w:lineRule="auto"/>
        <w:jc w:val="both"/>
        <w:rPr>
          <w:rFonts w:ascii="Arial" w:hAnsi="Arial" w:cs="Arial"/>
        </w:rPr>
      </w:pPr>
    </w:p>
    <w:p w14:paraId="6B61EAB9" w14:textId="26769C9E" w:rsidR="006841D8" w:rsidRDefault="006841D8" w:rsidP="00C52E4C">
      <w:pPr>
        <w:spacing w:after="0" w:line="240" w:lineRule="auto"/>
        <w:jc w:val="both"/>
        <w:rPr>
          <w:rFonts w:ascii="Arial" w:hAnsi="Arial" w:cs="Arial"/>
        </w:rPr>
      </w:pPr>
    </w:p>
    <w:p w14:paraId="2F6311F8" w14:textId="06B53642" w:rsidR="006841D8" w:rsidRDefault="006841D8" w:rsidP="00C52E4C">
      <w:pPr>
        <w:spacing w:after="0" w:line="240" w:lineRule="auto"/>
        <w:jc w:val="both"/>
        <w:rPr>
          <w:rFonts w:ascii="Arial" w:hAnsi="Arial" w:cs="Arial"/>
        </w:rPr>
      </w:pPr>
    </w:p>
    <w:p w14:paraId="70EF2950" w14:textId="2210C9C4" w:rsidR="006841D8" w:rsidRDefault="006841D8" w:rsidP="00C52E4C">
      <w:pPr>
        <w:spacing w:after="0" w:line="240" w:lineRule="auto"/>
        <w:jc w:val="both"/>
        <w:rPr>
          <w:rFonts w:ascii="Arial" w:hAnsi="Arial" w:cs="Arial"/>
        </w:rPr>
      </w:pPr>
    </w:p>
    <w:p w14:paraId="791926A9" w14:textId="54ED2604" w:rsidR="006841D8" w:rsidRDefault="006841D8" w:rsidP="00C52E4C">
      <w:pPr>
        <w:spacing w:after="0" w:line="240" w:lineRule="auto"/>
        <w:jc w:val="both"/>
        <w:rPr>
          <w:rFonts w:ascii="Arial" w:hAnsi="Arial" w:cs="Arial"/>
        </w:rPr>
      </w:pPr>
    </w:p>
    <w:p w14:paraId="28D854C6" w14:textId="0E390A4C" w:rsidR="006841D8" w:rsidRDefault="006841D8" w:rsidP="00C52E4C">
      <w:pPr>
        <w:spacing w:after="0" w:line="240" w:lineRule="auto"/>
        <w:jc w:val="both"/>
        <w:rPr>
          <w:rFonts w:ascii="Arial" w:hAnsi="Arial" w:cs="Arial"/>
        </w:rPr>
      </w:pPr>
    </w:p>
    <w:p w14:paraId="3D4CBB55" w14:textId="77777777" w:rsidR="006841D8" w:rsidRPr="00900F8E" w:rsidRDefault="006841D8" w:rsidP="00C52E4C">
      <w:pPr>
        <w:spacing w:after="0" w:line="240" w:lineRule="auto"/>
        <w:jc w:val="both"/>
        <w:rPr>
          <w:rFonts w:ascii="Arial" w:hAnsi="Arial" w:cs="Arial"/>
        </w:rPr>
      </w:pPr>
    </w:p>
    <w:p w14:paraId="7257F4B2" w14:textId="35F4B6B2" w:rsidR="007D26E1" w:rsidRPr="00900F8E" w:rsidRDefault="0093762C" w:rsidP="00C52E4C">
      <w:pPr>
        <w:spacing w:after="0" w:line="240" w:lineRule="auto"/>
        <w:jc w:val="both"/>
        <w:rPr>
          <w:rFonts w:ascii="Arial" w:hAnsi="Arial" w:cs="Arial"/>
        </w:rPr>
      </w:pPr>
      <w:r w:rsidRPr="00900F8E">
        <w:rPr>
          <w:rFonts w:ascii="Arial" w:hAnsi="Arial" w:cs="Arial"/>
        </w:rPr>
        <w:lastRenderedPageBreak/>
        <w:t>Emisijska produktivnost v Sloveniji se v primerjavi z EU povečuje prepočasi. Treba je še naprej krepiti povezavo med razvojem gospodarstva in ukrepi za zmanjšanje emisij TGP.</w:t>
      </w:r>
    </w:p>
    <w:p w14:paraId="081196DF" w14:textId="77777777" w:rsidR="00185158" w:rsidRPr="00900F8E" w:rsidRDefault="00185158" w:rsidP="00C52E4C">
      <w:pPr>
        <w:spacing w:after="0" w:line="240" w:lineRule="auto"/>
        <w:jc w:val="both"/>
        <w:rPr>
          <w:rFonts w:ascii="Arial" w:hAnsi="Arial" w:cs="Arial"/>
        </w:rPr>
      </w:pPr>
    </w:p>
    <w:p w14:paraId="53854391" w14:textId="05A0607F" w:rsidR="00A249FE" w:rsidRDefault="00C64B3C" w:rsidP="00A249FE">
      <w:pPr>
        <w:keepNext/>
        <w:spacing w:after="0" w:line="240" w:lineRule="auto"/>
        <w:jc w:val="center"/>
      </w:pPr>
      <w:r>
        <w:rPr>
          <w:rFonts w:ascii="Arial" w:hAnsi="Arial" w:cs="Arial"/>
          <w:noProof/>
          <w:lang w:eastAsia="sl-SI"/>
        </w:rPr>
        <w:drawing>
          <wp:inline distT="0" distB="0" distL="0" distR="0" wp14:anchorId="7F611119" wp14:editId="18092CB6">
            <wp:extent cx="4528868" cy="2970731"/>
            <wp:effectExtent l="0" t="0" r="5080" b="1270"/>
            <wp:docPr id="14" name="Slika 14" descr="Slika 11: Emisijska produktivnost v Sloveniji in EU v obdobju 2005−2020 (Vir: ARSO, SURS,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11: Emisijska produktivnost v Sloveniji in EU v obdobju 2005−2020 (Vir: ARSO, SURS, IJS-CE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6878" cy="2975985"/>
                    </a:xfrm>
                    <a:prstGeom prst="rect">
                      <a:avLst/>
                    </a:prstGeom>
                    <a:noFill/>
                    <a:ln>
                      <a:noFill/>
                    </a:ln>
                  </pic:spPr>
                </pic:pic>
              </a:graphicData>
            </a:graphic>
          </wp:inline>
        </w:drawing>
      </w:r>
    </w:p>
    <w:p w14:paraId="74A29338" w14:textId="77777777" w:rsidR="00A249FE" w:rsidRDefault="00A249FE" w:rsidP="00A249FE">
      <w:pPr>
        <w:keepNext/>
        <w:spacing w:after="0" w:line="240" w:lineRule="auto"/>
        <w:jc w:val="center"/>
      </w:pPr>
    </w:p>
    <w:p w14:paraId="45B58CF6" w14:textId="4B1BA1C3" w:rsidR="00036FA9" w:rsidRPr="00A249FE" w:rsidRDefault="00A249FE" w:rsidP="00A249FE">
      <w:pPr>
        <w:pStyle w:val="Napis"/>
        <w:jc w:val="center"/>
        <w:rPr>
          <w:rFonts w:ascii="Arial" w:hAnsi="Arial" w:cs="Arial"/>
          <w:b/>
          <w:bCs/>
          <w:i w:val="0"/>
          <w:iCs w:val="0"/>
          <w:color w:val="auto"/>
          <w:sz w:val="20"/>
          <w:szCs w:val="20"/>
        </w:rPr>
      </w:pPr>
      <w:bookmarkStart w:id="26" w:name="_Toc112840960"/>
      <w:r w:rsidRPr="00A249FE">
        <w:rPr>
          <w:rFonts w:ascii="Arial" w:hAnsi="Arial" w:cs="Arial"/>
          <w:b/>
          <w:bCs/>
          <w:i w:val="0"/>
          <w:iCs w:val="0"/>
          <w:color w:val="auto"/>
          <w:sz w:val="20"/>
          <w:szCs w:val="20"/>
        </w:rPr>
        <w:t xml:space="preserve">Slika </w:t>
      </w:r>
      <w:r w:rsidRPr="00A249FE">
        <w:rPr>
          <w:rFonts w:ascii="Arial" w:hAnsi="Arial" w:cs="Arial"/>
          <w:b/>
          <w:bCs/>
          <w:i w:val="0"/>
          <w:iCs w:val="0"/>
          <w:color w:val="auto"/>
          <w:sz w:val="20"/>
          <w:szCs w:val="20"/>
        </w:rPr>
        <w:fldChar w:fldCharType="begin"/>
      </w:r>
      <w:r w:rsidRPr="00A249FE">
        <w:rPr>
          <w:rFonts w:ascii="Arial" w:hAnsi="Arial" w:cs="Arial"/>
          <w:b/>
          <w:bCs/>
          <w:i w:val="0"/>
          <w:iCs w:val="0"/>
          <w:color w:val="auto"/>
          <w:sz w:val="20"/>
          <w:szCs w:val="20"/>
        </w:rPr>
        <w:instrText xml:space="preserve"> SEQ Slika \* ARABIC </w:instrText>
      </w:r>
      <w:r w:rsidRPr="00A249FE">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11</w:t>
      </w:r>
      <w:r w:rsidRPr="00A249FE">
        <w:rPr>
          <w:rFonts w:ascii="Arial" w:hAnsi="Arial" w:cs="Arial"/>
          <w:b/>
          <w:bCs/>
          <w:i w:val="0"/>
          <w:iCs w:val="0"/>
          <w:color w:val="auto"/>
          <w:sz w:val="20"/>
          <w:szCs w:val="20"/>
        </w:rPr>
        <w:fldChar w:fldCharType="end"/>
      </w:r>
      <w:r w:rsidRPr="00A249FE">
        <w:rPr>
          <w:rFonts w:ascii="Arial" w:hAnsi="Arial" w:cs="Arial"/>
          <w:b/>
          <w:bCs/>
          <w:i w:val="0"/>
          <w:iCs w:val="0"/>
          <w:color w:val="auto"/>
          <w:sz w:val="20"/>
          <w:szCs w:val="20"/>
        </w:rPr>
        <w:t>: Emisijska produktivnost v Sloveniji in EU v obdobju 2005−2020 (Vir: ARSO, SURS, IJS-CEU)</w:t>
      </w:r>
      <w:bookmarkEnd w:id="26"/>
    </w:p>
    <w:p w14:paraId="49498278" w14:textId="77777777" w:rsidR="00036FA9" w:rsidRPr="00900F8E" w:rsidRDefault="00036FA9" w:rsidP="00C52E4C">
      <w:pPr>
        <w:spacing w:after="0" w:line="240" w:lineRule="auto"/>
        <w:jc w:val="both"/>
        <w:rPr>
          <w:rFonts w:ascii="Arial" w:hAnsi="Arial" w:cs="Arial"/>
        </w:rPr>
      </w:pPr>
    </w:p>
    <w:p w14:paraId="1F876A44" w14:textId="3B6D1008" w:rsidR="004035E8" w:rsidRPr="00900F8E" w:rsidRDefault="004035E8" w:rsidP="00C52E4C">
      <w:pPr>
        <w:spacing w:after="0" w:line="240" w:lineRule="auto"/>
        <w:jc w:val="both"/>
        <w:rPr>
          <w:rFonts w:ascii="Arial" w:hAnsi="Arial" w:cs="Arial"/>
        </w:rPr>
      </w:pPr>
    </w:p>
    <w:p w14:paraId="620CD34D" w14:textId="044ED87E" w:rsidR="00CD4D4F" w:rsidRPr="00900F8E" w:rsidRDefault="00CD4D4F" w:rsidP="00346C0F">
      <w:pPr>
        <w:spacing w:after="0" w:line="240" w:lineRule="auto"/>
        <w:jc w:val="both"/>
        <w:rPr>
          <w:rFonts w:ascii="Arial" w:hAnsi="Arial" w:cs="Arial"/>
        </w:rPr>
      </w:pPr>
      <w:r w:rsidRPr="00900F8E">
        <w:rPr>
          <w:rFonts w:ascii="Arial" w:hAnsi="Arial" w:cs="Arial"/>
        </w:rPr>
        <w:t xml:space="preserve">Vrednost kazalca </w:t>
      </w:r>
      <w:r w:rsidR="004577EB">
        <w:rPr>
          <w:rFonts w:ascii="Arial" w:hAnsi="Arial" w:cs="Arial"/>
          <w:i/>
          <w:iCs/>
        </w:rPr>
        <w:t>i</w:t>
      </w:r>
      <w:r w:rsidRPr="00900F8E">
        <w:rPr>
          <w:rFonts w:ascii="Arial" w:hAnsi="Arial" w:cs="Arial"/>
          <w:i/>
          <w:iCs/>
        </w:rPr>
        <w:t>mplicitna stopnja obdavčitve energije</w:t>
      </w:r>
      <w:r w:rsidR="00894A35">
        <w:rPr>
          <w:rStyle w:val="Sprotnaopomba-sklic"/>
          <w:rFonts w:ascii="Arial" w:hAnsi="Arial" w:cs="Arial"/>
          <w:i/>
          <w:iCs/>
        </w:rPr>
        <w:footnoteReference w:id="15"/>
      </w:r>
      <w:r w:rsidRPr="00900F8E">
        <w:rPr>
          <w:rFonts w:ascii="Arial" w:hAnsi="Arial" w:cs="Arial"/>
        </w:rPr>
        <w:t xml:space="preserve"> za Slovenijo je v letu 2020 nižja od povprečja EU-27</w:t>
      </w:r>
      <w:r w:rsidR="00346C0F" w:rsidRPr="00900F8E">
        <w:rPr>
          <w:rFonts w:ascii="Arial" w:hAnsi="Arial" w:cs="Arial"/>
        </w:rPr>
        <w:t>, ki je v letu 2020 doseglo vrednost 232</w:t>
      </w:r>
      <w:r w:rsidRPr="00900F8E">
        <w:rPr>
          <w:rFonts w:ascii="Arial" w:hAnsi="Arial" w:cs="Arial"/>
        </w:rPr>
        <w:t xml:space="preserve"> </w:t>
      </w:r>
      <w:r w:rsidR="00346C0F" w:rsidRPr="00900F8E">
        <w:rPr>
          <w:rFonts w:ascii="Arial" w:hAnsi="Arial" w:cs="Arial"/>
        </w:rPr>
        <w:t>EUR/toe</w:t>
      </w:r>
      <w:r w:rsidRPr="00900F8E">
        <w:rPr>
          <w:rFonts w:ascii="Arial" w:hAnsi="Arial" w:cs="Arial"/>
        </w:rPr>
        <w:t>. Razloge za razlike gre iskati predvsem v razlikah v strukturi rabe energije in višini obdavčitve posameznih energentov.</w:t>
      </w:r>
    </w:p>
    <w:p w14:paraId="77BFC39D" w14:textId="12C049C9" w:rsidR="00CD4D4F" w:rsidRPr="00900F8E" w:rsidRDefault="00CD4D4F" w:rsidP="00C52E4C">
      <w:pPr>
        <w:spacing w:after="0" w:line="240" w:lineRule="auto"/>
        <w:jc w:val="both"/>
        <w:rPr>
          <w:rFonts w:ascii="Arial" w:hAnsi="Arial" w:cs="Arial"/>
        </w:rPr>
      </w:pPr>
    </w:p>
    <w:p w14:paraId="59C990E3" w14:textId="3CD8C0DC" w:rsidR="00A249FE" w:rsidRDefault="00C64B3C" w:rsidP="00A249FE">
      <w:pPr>
        <w:keepNext/>
        <w:spacing w:after="0" w:line="240" w:lineRule="auto"/>
        <w:jc w:val="center"/>
      </w:pPr>
      <w:r>
        <w:rPr>
          <w:rFonts w:ascii="Arial" w:hAnsi="Arial" w:cs="Arial"/>
          <w:noProof/>
          <w:lang w:eastAsia="sl-SI"/>
        </w:rPr>
        <w:drawing>
          <wp:inline distT="0" distB="0" distL="0" distR="0" wp14:anchorId="4BD1747C" wp14:editId="6A23A50A">
            <wp:extent cx="4399471" cy="2851159"/>
            <wp:effectExtent l="0" t="0" r="1270" b="6350"/>
            <wp:docPr id="15" name="Slika 15" descr="Slika 12: Implicitna stopnja obdavčitve energije v Sloveniji in v EU (Vir: Eurostat,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12: Implicitna stopnja obdavčitve energije v Sloveniji in v EU (Vir: Eurostat, IJS-CE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1346" cy="2858855"/>
                    </a:xfrm>
                    <a:prstGeom prst="rect">
                      <a:avLst/>
                    </a:prstGeom>
                    <a:noFill/>
                    <a:ln>
                      <a:noFill/>
                    </a:ln>
                  </pic:spPr>
                </pic:pic>
              </a:graphicData>
            </a:graphic>
          </wp:inline>
        </w:drawing>
      </w:r>
    </w:p>
    <w:p w14:paraId="626B8F10" w14:textId="77777777" w:rsidR="00A249FE" w:rsidRDefault="00A249FE" w:rsidP="00A249FE">
      <w:pPr>
        <w:keepNext/>
        <w:spacing w:after="0" w:line="240" w:lineRule="auto"/>
        <w:jc w:val="center"/>
      </w:pPr>
    </w:p>
    <w:p w14:paraId="75DB5F49" w14:textId="5FD4144A" w:rsidR="00CD4D4F" w:rsidRPr="00A249FE" w:rsidRDefault="00A249FE" w:rsidP="00A249FE">
      <w:pPr>
        <w:pStyle w:val="Napis"/>
        <w:jc w:val="center"/>
        <w:rPr>
          <w:rFonts w:ascii="Arial" w:hAnsi="Arial" w:cs="Arial"/>
          <w:b/>
          <w:bCs/>
          <w:i w:val="0"/>
          <w:iCs w:val="0"/>
          <w:color w:val="auto"/>
          <w:sz w:val="20"/>
          <w:szCs w:val="20"/>
        </w:rPr>
      </w:pPr>
      <w:bookmarkStart w:id="27" w:name="_Toc112840961"/>
      <w:r w:rsidRPr="00A249FE">
        <w:rPr>
          <w:rFonts w:ascii="Arial" w:hAnsi="Arial" w:cs="Arial"/>
          <w:b/>
          <w:bCs/>
          <w:i w:val="0"/>
          <w:iCs w:val="0"/>
          <w:color w:val="auto"/>
          <w:sz w:val="20"/>
          <w:szCs w:val="20"/>
        </w:rPr>
        <w:t xml:space="preserve">Slika </w:t>
      </w:r>
      <w:r w:rsidRPr="00A249FE">
        <w:rPr>
          <w:rFonts w:ascii="Arial" w:hAnsi="Arial" w:cs="Arial"/>
          <w:b/>
          <w:bCs/>
          <w:i w:val="0"/>
          <w:iCs w:val="0"/>
          <w:color w:val="auto"/>
          <w:sz w:val="20"/>
          <w:szCs w:val="20"/>
        </w:rPr>
        <w:fldChar w:fldCharType="begin"/>
      </w:r>
      <w:r w:rsidRPr="00A249FE">
        <w:rPr>
          <w:rFonts w:ascii="Arial" w:hAnsi="Arial" w:cs="Arial"/>
          <w:b/>
          <w:bCs/>
          <w:i w:val="0"/>
          <w:iCs w:val="0"/>
          <w:color w:val="auto"/>
          <w:sz w:val="20"/>
          <w:szCs w:val="20"/>
        </w:rPr>
        <w:instrText xml:space="preserve"> SEQ Slika \* ARABIC </w:instrText>
      </w:r>
      <w:r w:rsidRPr="00A249FE">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12</w:t>
      </w:r>
      <w:r w:rsidRPr="00A249FE">
        <w:rPr>
          <w:rFonts w:ascii="Arial" w:hAnsi="Arial" w:cs="Arial"/>
          <w:b/>
          <w:bCs/>
          <w:i w:val="0"/>
          <w:iCs w:val="0"/>
          <w:color w:val="auto"/>
          <w:sz w:val="20"/>
          <w:szCs w:val="20"/>
        </w:rPr>
        <w:fldChar w:fldCharType="end"/>
      </w:r>
      <w:r w:rsidRPr="00A249FE">
        <w:rPr>
          <w:rFonts w:ascii="Arial" w:hAnsi="Arial" w:cs="Arial"/>
          <w:b/>
          <w:bCs/>
          <w:i w:val="0"/>
          <w:iCs w:val="0"/>
          <w:color w:val="auto"/>
          <w:sz w:val="20"/>
          <w:szCs w:val="20"/>
        </w:rPr>
        <w:t>: Implicitna stopnja obdavčitve energije v Sloveniji in EU (Vir: Eurostat, IJS-CEU)</w:t>
      </w:r>
      <w:bookmarkEnd w:id="27"/>
    </w:p>
    <w:p w14:paraId="0949BD91" w14:textId="7D534068" w:rsidR="003F3F47" w:rsidRDefault="003F3F47" w:rsidP="003F3F47">
      <w:pPr>
        <w:spacing w:after="0" w:line="240" w:lineRule="auto"/>
        <w:jc w:val="both"/>
        <w:rPr>
          <w:rFonts w:ascii="Arial" w:hAnsi="Arial" w:cs="Arial"/>
        </w:rPr>
      </w:pPr>
      <w:r w:rsidRPr="00900F8E">
        <w:rPr>
          <w:rFonts w:ascii="Arial" w:hAnsi="Arial" w:cs="Arial"/>
        </w:rPr>
        <w:lastRenderedPageBreak/>
        <w:t>Med spodbudami, ki so v nasprotju s cilji zmanjševanja emisij TGP</w:t>
      </w:r>
      <w:r w:rsidR="00C51C15">
        <w:rPr>
          <w:rStyle w:val="Sprotnaopomba-sklic"/>
          <w:rFonts w:ascii="Arial" w:hAnsi="Arial" w:cs="Arial"/>
        </w:rPr>
        <w:footnoteReference w:id="16"/>
      </w:r>
      <w:r w:rsidRPr="00900F8E">
        <w:rPr>
          <w:rFonts w:ascii="Arial" w:hAnsi="Arial" w:cs="Arial"/>
        </w:rPr>
        <w:t xml:space="preserve">, najbolj izstopajo vračila trošarin za </w:t>
      </w:r>
      <w:r w:rsidR="00D32F25">
        <w:rPr>
          <w:rFonts w:ascii="Arial" w:hAnsi="Arial" w:cs="Arial"/>
        </w:rPr>
        <w:t>komercialni prevoz</w:t>
      </w:r>
      <w:r w:rsidRPr="00900F8E">
        <w:rPr>
          <w:rFonts w:ascii="Arial" w:hAnsi="Arial" w:cs="Arial"/>
        </w:rPr>
        <w:t xml:space="preserve">, ki </w:t>
      </w:r>
      <w:r w:rsidR="004D6EEE" w:rsidRPr="00900F8E">
        <w:rPr>
          <w:rFonts w:ascii="Arial" w:hAnsi="Arial" w:cs="Arial"/>
        </w:rPr>
        <w:t xml:space="preserve">so v letu 2020 </w:t>
      </w:r>
      <w:r w:rsidRPr="00900F8E">
        <w:rPr>
          <w:rFonts w:ascii="Arial" w:hAnsi="Arial" w:cs="Arial"/>
        </w:rPr>
        <w:t>še vedno predstavlja</w:t>
      </w:r>
      <w:r w:rsidR="004D6EEE" w:rsidRPr="00900F8E">
        <w:rPr>
          <w:rFonts w:ascii="Arial" w:hAnsi="Arial" w:cs="Arial"/>
        </w:rPr>
        <w:t>la</w:t>
      </w:r>
      <w:r w:rsidRPr="00900F8E">
        <w:rPr>
          <w:rFonts w:ascii="Arial" w:hAnsi="Arial" w:cs="Arial"/>
        </w:rPr>
        <w:t xml:space="preserve"> 37 % v skupnem znesku vseh spodbud, ki so v nasprotju z doseganjem ciljev zmanjševanja emisij TGP. Sledi</w:t>
      </w:r>
      <w:r w:rsidR="004D6EEE" w:rsidRPr="00900F8E">
        <w:rPr>
          <w:rFonts w:ascii="Arial" w:hAnsi="Arial" w:cs="Arial"/>
        </w:rPr>
        <w:t xml:space="preserve">la so </w:t>
      </w:r>
      <w:r w:rsidRPr="00900F8E">
        <w:rPr>
          <w:rFonts w:ascii="Arial" w:hAnsi="Arial" w:cs="Arial"/>
        </w:rPr>
        <w:t>oprostitev plačil trošarine pri proizvodnji električne energije in toplote</w:t>
      </w:r>
      <w:r w:rsidR="004D6EEE" w:rsidRPr="00900F8E">
        <w:rPr>
          <w:rFonts w:ascii="Arial" w:hAnsi="Arial" w:cs="Arial"/>
        </w:rPr>
        <w:t xml:space="preserve"> (25 %)</w:t>
      </w:r>
      <w:r w:rsidRPr="00900F8E">
        <w:rPr>
          <w:rFonts w:ascii="Arial" w:hAnsi="Arial" w:cs="Arial"/>
        </w:rPr>
        <w:t>, delna vračila trošarine za uporabo kmetijske in gozdarske mehanizacije</w:t>
      </w:r>
      <w:r w:rsidR="004D6EEE" w:rsidRPr="00900F8E">
        <w:rPr>
          <w:rFonts w:ascii="Arial" w:hAnsi="Arial" w:cs="Arial"/>
        </w:rPr>
        <w:t xml:space="preserve"> (23 %)</w:t>
      </w:r>
      <w:r w:rsidRPr="00900F8E">
        <w:rPr>
          <w:rFonts w:ascii="Arial" w:hAnsi="Arial" w:cs="Arial"/>
        </w:rPr>
        <w:t xml:space="preserve"> in delna vračila trošarine za industrijsko-komercialni namen</w:t>
      </w:r>
      <w:r w:rsidR="004D6EEE" w:rsidRPr="00900F8E">
        <w:rPr>
          <w:rFonts w:ascii="Arial" w:hAnsi="Arial" w:cs="Arial"/>
        </w:rPr>
        <w:t xml:space="preserve"> (15 %)</w:t>
      </w:r>
      <w:r w:rsidRPr="00900F8E">
        <w:rPr>
          <w:rFonts w:ascii="Arial" w:hAnsi="Arial" w:cs="Arial"/>
        </w:rPr>
        <w:t>.</w:t>
      </w:r>
    </w:p>
    <w:p w14:paraId="43DB91F5" w14:textId="52DFD58F" w:rsidR="006841D8" w:rsidRDefault="006841D8" w:rsidP="003F3F47">
      <w:pPr>
        <w:spacing w:after="0" w:line="240" w:lineRule="auto"/>
        <w:jc w:val="both"/>
        <w:rPr>
          <w:rFonts w:ascii="Arial" w:hAnsi="Arial" w:cs="Arial"/>
        </w:rPr>
      </w:pPr>
    </w:p>
    <w:p w14:paraId="7010A7A9" w14:textId="69D768B6" w:rsidR="00246DD8" w:rsidRPr="00900F8E" w:rsidRDefault="00246DD8" w:rsidP="003F3F47">
      <w:pPr>
        <w:spacing w:after="0" w:line="240" w:lineRule="auto"/>
        <w:jc w:val="both"/>
        <w:rPr>
          <w:rFonts w:ascii="Arial" w:hAnsi="Arial" w:cs="Arial"/>
        </w:rPr>
      </w:pPr>
      <w:r w:rsidRPr="00246DD8">
        <w:rPr>
          <w:rFonts w:ascii="Arial" w:hAnsi="Arial" w:cs="Arial"/>
        </w:rPr>
        <w:t>Pomemben obseg spodbud na področju obdavčitve energije, ki so v nasprotju s cilji zmanjšanja emisij TGP</w:t>
      </w:r>
      <w:r w:rsidR="004577EB">
        <w:rPr>
          <w:rFonts w:ascii="Arial" w:hAnsi="Arial" w:cs="Arial"/>
        </w:rPr>
        <w:t>,</w:t>
      </w:r>
      <w:r w:rsidRPr="00246DD8">
        <w:rPr>
          <w:rFonts w:ascii="Arial" w:hAnsi="Arial" w:cs="Arial"/>
        </w:rPr>
        <w:t xml:space="preserve"> izhaja in </w:t>
      </w:r>
      <w:r w:rsidR="004577EB">
        <w:rPr>
          <w:rFonts w:ascii="Arial" w:hAnsi="Arial" w:cs="Arial"/>
        </w:rPr>
        <w:t>je</w:t>
      </w:r>
      <w:r w:rsidRPr="00246DD8">
        <w:rPr>
          <w:rFonts w:ascii="Arial" w:hAnsi="Arial" w:cs="Arial"/>
        </w:rPr>
        <w:t xml:space="preserve"> določen z Direktivo Sveta 2003/96/ES z dne 27. oktobra 2003 o prestrukturiranju okvira Skupnosti za obdavčitev energentov in električne energije. </w:t>
      </w:r>
      <w:r w:rsidR="004577EB">
        <w:rPr>
          <w:rFonts w:ascii="Arial" w:hAnsi="Arial" w:cs="Arial"/>
        </w:rPr>
        <w:t>Z direktivo</w:t>
      </w:r>
      <w:r w:rsidRPr="00246DD8">
        <w:rPr>
          <w:rFonts w:ascii="Arial" w:hAnsi="Arial" w:cs="Arial"/>
        </w:rPr>
        <w:t>, ki je prenesena v slovenski pravni red, se na ravni EU določa</w:t>
      </w:r>
      <w:r w:rsidR="004577EB">
        <w:rPr>
          <w:rFonts w:ascii="Arial" w:hAnsi="Arial" w:cs="Arial"/>
        </w:rPr>
        <w:t>jo</w:t>
      </w:r>
      <w:r w:rsidRPr="00246DD8">
        <w:rPr>
          <w:rFonts w:ascii="Arial" w:hAnsi="Arial" w:cs="Arial"/>
        </w:rPr>
        <w:t xml:space="preserve"> vrste rabe energije, ki ni predmet obdavčitve (proizvodnja električne energije, proizvodnja nekovinskih mineralnih izdelkov, raba za kemijsko redukcijo, poraba v elektrolitskih in metalurških procesih, za pogon letal, plovil </w:t>
      </w:r>
      <w:proofErr w:type="spellStart"/>
      <w:r w:rsidRPr="00246DD8">
        <w:rPr>
          <w:rFonts w:ascii="Arial" w:hAnsi="Arial" w:cs="Arial"/>
        </w:rPr>
        <w:t>i</w:t>
      </w:r>
      <w:r w:rsidR="004577EB">
        <w:rPr>
          <w:rFonts w:ascii="Arial" w:hAnsi="Arial" w:cs="Arial"/>
        </w:rPr>
        <w:t>p</w:t>
      </w:r>
      <w:r w:rsidRPr="00246DD8">
        <w:rPr>
          <w:rFonts w:ascii="Arial" w:hAnsi="Arial" w:cs="Arial"/>
        </w:rPr>
        <w:t>d</w:t>
      </w:r>
      <w:proofErr w:type="spellEnd"/>
      <w:r w:rsidRPr="00246DD8">
        <w:rPr>
          <w:rFonts w:ascii="Arial" w:hAnsi="Arial" w:cs="Arial"/>
        </w:rPr>
        <w:t xml:space="preserve">). Omejevanje spodbud rabe energije bo </w:t>
      </w:r>
      <w:r w:rsidR="004577EB">
        <w:rPr>
          <w:rFonts w:ascii="Arial" w:hAnsi="Arial" w:cs="Arial"/>
        </w:rPr>
        <w:t>treba</w:t>
      </w:r>
      <w:r w:rsidR="004577EB" w:rsidRPr="00246DD8">
        <w:rPr>
          <w:rFonts w:ascii="Arial" w:hAnsi="Arial" w:cs="Arial"/>
        </w:rPr>
        <w:t xml:space="preserve"> </w:t>
      </w:r>
      <w:r w:rsidRPr="00246DD8">
        <w:rPr>
          <w:rFonts w:ascii="Arial" w:hAnsi="Arial" w:cs="Arial"/>
        </w:rPr>
        <w:t>predhodno urediti na ravni EU.</w:t>
      </w:r>
    </w:p>
    <w:p w14:paraId="68718659" w14:textId="77777777" w:rsidR="003F3F47" w:rsidRPr="00900F8E" w:rsidRDefault="003F3F47" w:rsidP="00A6320E">
      <w:pPr>
        <w:spacing w:after="0" w:line="240" w:lineRule="auto"/>
        <w:jc w:val="both"/>
        <w:rPr>
          <w:rFonts w:ascii="Arial" w:hAnsi="Arial" w:cs="Arial"/>
        </w:rPr>
      </w:pPr>
    </w:p>
    <w:p w14:paraId="54C9A0F3" w14:textId="19432D76" w:rsidR="004C4D01" w:rsidRDefault="00C64B3C" w:rsidP="004C4D01">
      <w:pPr>
        <w:keepNext/>
        <w:spacing w:after="0" w:line="240" w:lineRule="auto"/>
        <w:jc w:val="center"/>
      </w:pPr>
      <w:r>
        <w:rPr>
          <w:rFonts w:ascii="Arial" w:hAnsi="Arial" w:cs="Arial"/>
          <w:noProof/>
          <w:lang w:eastAsia="sl-SI"/>
        </w:rPr>
        <w:drawing>
          <wp:inline distT="0" distB="0" distL="0" distR="0" wp14:anchorId="07809EB1" wp14:editId="74C4A49A">
            <wp:extent cx="5724525" cy="2814646"/>
            <wp:effectExtent l="0" t="0" r="0" b="5080"/>
            <wp:docPr id="17" name="Slika 17" descr="Slika 13: Struktura spodbud, ki so v nasprotju s cilji zmanjševanja emisij TGP (Vir: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13: Struktura spodbud, ki so v nasprotju s cilji zmanjševanja emisij TGP (Vir: IJS-CE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487" cy="2817577"/>
                    </a:xfrm>
                    <a:prstGeom prst="rect">
                      <a:avLst/>
                    </a:prstGeom>
                    <a:noFill/>
                    <a:ln>
                      <a:noFill/>
                    </a:ln>
                  </pic:spPr>
                </pic:pic>
              </a:graphicData>
            </a:graphic>
          </wp:inline>
        </w:drawing>
      </w:r>
    </w:p>
    <w:p w14:paraId="4133D0EC" w14:textId="77777777" w:rsidR="004C4D01" w:rsidRDefault="004C4D01" w:rsidP="004C4D01">
      <w:pPr>
        <w:keepNext/>
        <w:spacing w:after="0" w:line="240" w:lineRule="auto"/>
        <w:jc w:val="center"/>
      </w:pPr>
    </w:p>
    <w:p w14:paraId="220A09A0" w14:textId="6097248F" w:rsidR="003F3F47" w:rsidRPr="004C4D01" w:rsidRDefault="004C4D01" w:rsidP="004C4D01">
      <w:pPr>
        <w:pStyle w:val="Napis"/>
        <w:jc w:val="center"/>
        <w:rPr>
          <w:rFonts w:ascii="Arial" w:hAnsi="Arial" w:cs="Arial"/>
          <w:b/>
          <w:bCs/>
          <w:i w:val="0"/>
          <w:iCs w:val="0"/>
          <w:color w:val="auto"/>
          <w:sz w:val="20"/>
          <w:szCs w:val="20"/>
        </w:rPr>
      </w:pPr>
      <w:bookmarkStart w:id="28" w:name="_Toc112840962"/>
      <w:r w:rsidRPr="004C4D01">
        <w:rPr>
          <w:rFonts w:ascii="Arial" w:hAnsi="Arial" w:cs="Arial"/>
          <w:b/>
          <w:bCs/>
          <w:i w:val="0"/>
          <w:iCs w:val="0"/>
          <w:color w:val="auto"/>
          <w:sz w:val="20"/>
          <w:szCs w:val="20"/>
        </w:rPr>
        <w:t xml:space="preserve">Slika </w:t>
      </w:r>
      <w:r w:rsidRPr="004C4D01">
        <w:rPr>
          <w:rFonts w:ascii="Arial" w:hAnsi="Arial" w:cs="Arial"/>
          <w:b/>
          <w:bCs/>
          <w:i w:val="0"/>
          <w:iCs w:val="0"/>
          <w:color w:val="auto"/>
          <w:sz w:val="20"/>
          <w:szCs w:val="20"/>
        </w:rPr>
        <w:fldChar w:fldCharType="begin"/>
      </w:r>
      <w:r w:rsidRPr="004C4D01">
        <w:rPr>
          <w:rFonts w:ascii="Arial" w:hAnsi="Arial" w:cs="Arial"/>
          <w:b/>
          <w:bCs/>
          <w:i w:val="0"/>
          <w:iCs w:val="0"/>
          <w:color w:val="auto"/>
          <w:sz w:val="20"/>
          <w:szCs w:val="20"/>
        </w:rPr>
        <w:instrText xml:space="preserve"> SEQ Slika \* ARABIC </w:instrText>
      </w:r>
      <w:r w:rsidRPr="004C4D01">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13</w:t>
      </w:r>
      <w:r w:rsidRPr="004C4D01">
        <w:rPr>
          <w:rFonts w:ascii="Arial" w:hAnsi="Arial" w:cs="Arial"/>
          <w:b/>
          <w:bCs/>
          <w:i w:val="0"/>
          <w:iCs w:val="0"/>
          <w:color w:val="auto"/>
          <w:sz w:val="20"/>
          <w:szCs w:val="20"/>
        </w:rPr>
        <w:fldChar w:fldCharType="end"/>
      </w:r>
      <w:r w:rsidRPr="004C4D01">
        <w:rPr>
          <w:rFonts w:ascii="Arial" w:hAnsi="Arial" w:cs="Arial"/>
          <w:b/>
          <w:bCs/>
          <w:i w:val="0"/>
          <w:iCs w:val="0"/>
          <w:color w:val="auto"/>
          <w:sz w:val="20"/>
          <w:szCs w:val="20"/>
        </w:rPr>
        <w:t>: Struktura spodbud, ki so v nasprotju s cilji zmanjševanja emisij TGP (Vir: IJS-CEU)</w:t>
      </w:r>
      <w:bookmarkEnd w:id="28"/>
    </w:p>
    <w:p w14:paraId="7A93AB84" w14:textId="77777777" w:rsidR="00C64B3C" w:rsidRPr="00900F8E" w:rsidRDefault="00C64B3C" w:rsidP="003F3F47">
      <w:pPr>
        <w:spacing w:after="0" w:line="240" w:lineRule="auto"/>
        <w:jc w:val="center"/>
        <w:rPr>
          <w:rFonts w:ascii="Arial" w:hAnsi="Arial" w:cs="Arial"/>
        </w:rPr>
      </w:pPr>
    </w:p>
    <w:p w14:paraId="72A2CC7A" w14:textId="77777777" w:rsidR="00AF24A8" w:rsidRPr="00900F8E" w:rsidRDefault="00AF24A8" w:rsidP="00C52E4C">
      <w:pPr>
        <w:spacing w:after="0" w:line="240" w:lineRule="auto"/>
        <w:jc w:val="both"/>
        <w:rPr>
          <w:rFonts w:ascii="Arial" w:hAnsi="Arial" w:cs="Arial"/>
        </w:rPr>
      </w:pPr>
    </w:p>
    <w:p w14:paraId="69985B93" w14:textId="4F7DDDAC" w:rsidR="00CA10BA" w:rsidRDefault="00323B2A" w:rsidP="00671F28">
      <w:pPr>
        <w:spacing w:after="0" w:line="240" w:lineRule="auto"/>
        <w:jc w:val="both"/>
        <w:rPr>
          <w:rFonts w:ascii="Arial" w:hAnsi="Arial" w:cs="Arial"/>
        </w:rPr>
      </w:pPr>
      <w:r w:rsidRPr="00900F8E">
        <w:rPr>
          <w:rFonts w:ascii="Arial" w:hAnsi="Arial" w:cs="Arial"/>
        </w:rPr>
        <w:t>K</w:t>
      </w:r>
      <w:r w:rsidR="007F3A17" w:rsidRPr="00900F8E">
        <w:rPr>
          <w:rFonts w:ascii="Arial" w:hAnsi="Arial" w:cs="Arial"/>
        </w:rPr>
        <w:t xml:space="preserve">azalec </w:t>
      </w:r>
      <w:r w:rsidR="004577EB">
        <w:rPr>
          <w:rFonts w:ascii="Arial" w:hAnsi="Arial" w:cs="Arial"/>
          <w:i/>
        </w:rPr>
        <w:t>z</w:t>
      </w:r>
      <w:r w:rsidR="00CD034F" w:rsidRPr="00900F8E">
        <w:rPr>
          <w:rFonts w:ascii="Arial" w:hAnsi="Arial" w:cs="Arial"/>
          <w:i/>
        </w:rPr>
        <w:t>elena delovna mesta</w:t>
      </w:r>
      <w:r w:rsidR="00CD034F" w:rsidRPr="00900F8E">
        <w:rPr>
          <w:rFonts w:ascii="Arial" w:hAnsi="Arial" w:cs="Arial"/>
        </w:rPr>
        <w:t xml:space="preserve"> </w:t>
      </w:r>
      <w:r w:rsidR="007F3A17" w:rsidRPr="00900F8E">
        <w:rPr>
          <w:rFonts w:ascii="Arial" w:hAnsi="Arial" w:cs="Arial"/>
        </w:rPr>
        <w:t>spremlja učinek podnebne politike na trg delovne sile.</w:t>
      </w:r>
      <w:r w:rsidR="00671F28" w:rsidRPr="00900F8E">
        <w:rPr>
          <w:rFonts w:ascii="Arial" w:hAnsi="Arial" w:cs="Arial"/>
        </w:rPr>
        <w:t xml:space="preserve"> </w:t>
      </w:r>
      <w:r w:rsidR="00CA10BA" w:rsidRPr="00900F8E">
        <w:rPr>
          <w:rFonts w:ascii="Arial" w:hAnsi="Arial" w:cs="Arial"/>
        </w:rPr>
        <w:t>V Sloveniji je bilo leta 2019 v sektorju okoljskega blaga in storitev 29.689 zaposlenih, kar je za 1 % več kot leto pred tem. Zaposlenih v sektorju okoljskega blaga na področju upravljanja energetski</w:t>
      </w:r>
      <w:r w:rsidR="004577EB">
        <w:rPr>
          <w:rFonts w:ascii="Arial" w:hAnsi="Arial" w:cs="Arial"/>
        </w:rPr>
        <w:t>h</w:t>
      </w:r>
      <w:r w:rsidR="00CA10BA" w:rsidRPr="00900F8E">
        <w:rPr>
          <w:rFonts w:ascii="Arial" w:hAnsi="Arial" w:cs="Arial"/>
        </w:rPr>
        <w:t xml:space="preserve"> vir</w:t>
      </w:r>
      <w:r w:rsidR="004577EB">
        <w:rPr>
          <w:rFonts w:ascii="Arial" w:hAnsi="Arial" w:cs="Arial"/>
        </w:rPr>
        <w:t>ov</w:t>
      </w:r>
      <w:r w:rsidR="00CA10BA" w:rsidRPr="00900F8E">
        <w:rPr>
          <w:rFonts w:ascii="Arial" w:hAnsi="Arial" w:cs="Arial"/>
        </w:rPr>
        <w:t xml:space="preserve"> je bilo leta 2019 skupaj 8.540, med njimi jih je bilo največ</w:t>
      </w:r>
      <w:r w:rsidR="00CC140B" w:rsidRPr="00900F8E">
        <w:rPr>
          <w:rFonts w:ascii="Arial" w:hAnsi="Arial" w:cs="Arial"/>
        </w:rPr>
        <w:t>, 42 %,</w:t>
      </w:r>
      <w:r w:rsidR="00CA10BA" w:rsidRPr="00900F8E">
        <w:rPr>
          <w:rFonts w:ascii="Arial" w:hAnsi="Arial" w:cs="Arial"/>
        </w:rPr>
        <w:t xml:space="preserve"> zaposlenih v gradbeni dejavnosti.</w:t>
      </w:r>
    </w:p>
    <w:p w14:paraId="68D7EF70" w14:textId="3F099945" w:rsidR="006841D8" w:rsidRDefault="006841D8" w:rsidP="00671F28">
      <w:pPr>
        <w:spacing w:after="0" w:line="240" w:lineRule="auto"/>
        <w:jc w:val="both"/>
        <w:rPr>
          <w:rFonts w:ascii="Arial" w:hAnsi="Arial" w:cs="Arial"/>
        </w:rPr>
      </w:pPr>
    </w:p>
    <w:p w14:paraId="6E49B006" w14:textId="1BF2CCB8" w:rsidR="006841D8" w:rsidRDefault="006841D8" w:rsidP="00671F28">
      <w:pPr>
        <w:spacing w:after="0" w:line="240" w:lineRule="auto"/>
        <w:jc w:val="both"/>
        <w:rPr>
          <w:rFonts w:ascii="Arial" w:hAnsi="Arial" w:cs="Arial"/>
        </w:rPr>
      </w:pPr>
    </w:p>
    <w:p w14:paraId="4CA4701B" w14:textId="5B6D9DAA" w:rsidR="006841D8" w:rsidRDefault="006841D8" w:rsidP="00671F28">
      <w:pPr>
        <w:spacing w:after="0" w:line="240" w:lineRule="auto"/>
        <w:jc w:val="both"/>
        <w:rPr>
          <w:rFonts w:ascii="Arial" w:hAnsi="Arial" w:cs="Arial"/>
        </w:rPr>
      </w:pPr>
    </w:p>
    <w:p w14:paraId="17466524" w14:textId="02A2DC84" w:rsidR="006841D8" w:rsidRDefault="006841D8" w:rsidP="00671F28">
      <w:pPr>
        <w:spacing w:after="0" w:line="240" w:lineRule="auto"/>
        <w:jc w:val="both"/>
        <w:rPr>
          <w:rFonts w:ascii="Arial" w:hAnsi="Arial" w:cs="Arial"/>
        </w:rPr>
      </w:pPr>
    </w:p>
    <w:p w14:paraId="3CF25D8A" w14:textId="38FB49B5" w:rsidR="006841D8" w:rsidRDefault="006841D8" w:rsidP="00671F28">
      <w:pPr>
        <w:spacing w:after="0" w:line="240" w:lineRule="auto"/>
        <w:jc w:val="both"/>
        <w:rPr>
          <w:rFonts w:ascii="Arial" w:hAnsi="Arial" w:cs="Arial"/>
        </w:rPr>
      </w:pPr>
    </w:p>
    <w:p w14:paraId="1B4775AE" w14:textId="1F7A4E48" w:rsidR="006841D8" w:rsidRDefault="006841D8" w:rsidP="00671F28">
      <w:pPr>
        <w:spacing w:after="0" w:line="240" w:lineRule="auto"/>
        <w:jc w:val="both"/>
        <w:rPr>
          <w:rFonts w:ascii="Arial" w:hAnsi="Arial" w:cs="Arial"/>
        </w:rPr>
      </w:pPr>
    </w:p>
    <w:p w14:paraId="3219F13B" w14:textId="28482C71" w:rsidR="006841D8" w:rsidRDefault="006841D8" w:rsidP="00671F28">
      <w:pPr>
        <w:spacing w:after="0" w:line="240" w:lineRule="auto"/>
        <w:jc w:val="both"/>
        <w:rPr>
          <w:rFonts w:ascii="Arial" w:hAnsi="Arial" w:cs="Arial"/>
        </w:rPr>
      </w:pPr>
    </w:p>
    <w:p w14:paraId="73DDB3E1" w14:textId="1B4AADDC" w:rsidR="006841D8" w:rsidRDefault="006841D8" w:rsidP="00671F28">
      <w:pPr>
        <w:spacing w:after="0" w:line="240" w:lineRule="auto"/>
        <w:jc w:val="both"/>
        <w:rPr>
          <w:rFonts w:ascii="Arial" w:hAnsi="Arial" w:cs="Arial"/>
        </w:rPr>
      </w:pPr>
    </w:p>
    <w:p w14:paraId="3C67D2A0" w14:textId="250C2F85" w:rsidR="00010AC2" w:rsidRPr="00900F8E" w:rsidRDefault="00010AC2" w:rsidP="00E9410B">
      <w:pPr>
        <w:spacing w:before="240" w:after="0" w:line="240" w:lineRule="auto"/>
        <w:jc w:val="both"/>
        <w:rPr>
          <w:rFonts w:ascii="Arial" w:hAnsi="Arial" w:cs="Arial"/>
        </w:rPr>
      </w:pPr>
    </w:p>
    <w:p w14:paraId="61A88CB7" w14:textId="5FC285CD" w:rsidR="00F844A5" w:rsidRPr="00900F8E" w:rsidRDefault="000D7DFD" w:rsidP="00010AC2">
      <w:pPr>
        <w:pStyle w:val="Naslov1"/>
        <w:spacing w:before="0"/>
        <w:rPr>
          <w:rFonts w:ascii="Arial" w:hAnsi="Arial" w:cs="Arial"/>
          <w:color w:val="auto"/>
        </w:rPr>
      </w:pPr>
      <w:bookmarkStart w:id="29" w:name="_Toc120166935"/>
      <w:r w:rsidRPr="00900F8E">
        <w:rPr>
          <w:rFonts w:ascii="Arial" w:hAnsi="Arial" w:cs="Arial"/>
          <w:color w:val="auto"/>
        </w:rPr>
        <w:lastRenderedPageBreak/>
        <w:t>4</w:t>
      </w:r>
      <w:r w:rsidR="00F844A5" w:rsidRPr="00900F8E">
        <w:rPr>
          <w:rFonts w:ascii="Arial" w:hAnsi="Arial" w:cs="Arial"/>
          <w:color w:val="auto"/>
        </w:rPr>
        <w:t xml:space="preserve"> </w:t>
      </w:r>
      <w:r w:rsidR="0045170E" w:rsidRPr="00900F8E">
        <w:rPr>
          <w:rFonts w:ascii="Arial" w:hAnsi="Arial" w:cs="Arial"/>
          <w:color w:val="auto"/>
        </w:rPr>
        <w:t>Pregled ukrepanja po sektorjih</w:t>
      </w:r>
      <w:bookmarkEnd w:id="29"/>
    </w:p>
    <w:p w14:paraId="489DB1D6" w14:textId="6ACD2455" w:rsidR="00817A98" w:rsidRPr="00900F8E" w:rsidRDefault="000D7DFD" w:rsidP="00611109">
      <w:pPr>
        <w:pStyle w:val="Naslov2"/>
        <w:rPr>
          <w:rFonts w:ascii="Arial" w:hAnsi="Arial" w:cs="Arial"/>
          <w:color w:val="auto"/>
        </w:rPr>
      </w:pPr>
      <w:bookmarkStart w:id="30" w:name="_Toc120166936"/>
      <w:r w:rsidRPr="00900F8E">
        <w:rPr>
          <w:rFonts w:ascii="Arial" w:hAnsi="Arial" w:cs="Arial"/>
          <w:color w:val="auto"/>
        </w:rPr>
        <w:t>4</w:t>
      </w:r>
      <w:r w:rsidR="00104ECF" w:rsidRPr="00900F8E">
        <w:rPr>
          <w:rFonts w:ascii="Arial" w:hAnsi="Arial" w:cs="Arial"/>
          <w:color w:val="auto"/>
        </w:rPr>
        <w:t xml:space="preserve">.1 </w:t>
      </w:r>
      <w:r w:rsidR="00EE70D5" w:rsidRPr="00900F8E">
        <w:rPr>
          <w:rFonts w:ascii="Arial" w:hAnsi="Arial" w:cs="Arial"/>
          <w:color w:val="auto"/>
        </w:rPr>
        <w:t>Zelena gospodarska rast</w:t>
      </w:r>
      <w:bookmarkEnd w:id="30"/>
    </w:p>
    <w:p w14:paraId="0104C15B" w14:textId="2E7A6A3F" w:rsidR="007D0280" w:rsidRPr="00900F8E" w:rsidRDefault="007D0280" w:rsidP="009661A0">
      <w:pPr>
        <w:spacing w:after="0" w:line="240" w:lineRule="auto"/>
        <w:jc w:val="both"/>
        <w:rPr>
          <w:rFonts w:ascii="Arial" w:hAnsi="Arial" w:cs="Arial"/>
        </w:rPr>
      </w:pPr>
    </w:p>
    <w:p w14:paraId="294AB07B" w14:textId="791F03FC" w:rsidR="007D0280" w:rsidRPr="00900F8E" w:rsidRDefault="00783FA3" w:rsidP="009661A0">
      <w:pPr>
        <w:spacing w:after="0" w:line="240" w:lineRule="auto"/>
        <w:jc w:val="both"/>
        <w:rPr>
          <w:rFonts w:ascii="Arial" w:hAnsi="Arial" w:cs="Arial"/>
        </w:rPr>
      </w:pPr>
      <w:r w:rsidRPr="00900F8E">
        <w:rPr>
          <w:rFonts w:ascii="Arial" w:hAnsi="Arial" w:cs="Arial"/>
        </w:rPr>
        <w:t>S ciljem prehoda v gospodarstvo, katerega rast ne temelji na povečani rabi naravnih virov in energije, ampak z učinkovitostjo in inovacijami zmanjšuje emisije toplogrednih plinov, izboljšuje konkurenčnost in spodbuja večjo varnost oskrbe z energijo, so bili v letu 2020 izvedeni naslednji ukrepi:</w:t>
      </w:r>
    </w:p>
    <w:p w14:paraId="35E8DA13" w14:textId="6C196F9E" w:rsidR="00783FA3" w:rsidRPr="00900F8E" w:rsidRDefault="00244E1A" w:rsidP="00E02BBA">
      <w:pPr>
        <w:pStyle w:val="Odstavekseznama"/>
        <w:numPr>
          <w:ilvl w:val="0"/>
          <w:numId w:val="12"/>
        </w:numPr>
        <w:spacing w:after="0" w:line="240" w:lineRule="auto"/>
        <w:jc w:val="both"/>
        <w:rPr>
          <w:rFonts w:ascii="Arial" w:hAnsi="Arial" w:cs="Arial"/>
        </w:rPr>
      </w:pPr>
      <w:r w:rsidRPr="00900F8E">
        <w:rPr>
          <w:rFonts w:ascii="Arial" w:hAnsi="Arial" w:cs="Arial"/>
        </w:rPr>
        <w:t xml:space="preserve">v okviru </w:t>
      </w:r>
      <w:r w:rsidR="00D77B68">
        <w:rPr>
          <w:rFonts w:ascii="Arial" w:hAnsi="Arial" w:cs="Arial"/>
        </w:rPr>
        <w:t>pobude</w:t>
      </w:r>
      <w:r w:rsidR="00D77B68" w:rsidRPr="00900F8E">
        <w:rPr>
          <w:rFonts w:ascii="Arial" w:hAnsi="Arial" w:cs="Arial"/>
        </w:rPr>
        <w:t xml:space="preserve"> </w:t>
      </w:r>
      <w:r w:rsidRPr="00900F8E">
        <w:rPr>
          <w:rFonts w:ascii="Arial" w:hAnsi="Arial" w:cs="Arial"/>
        </w:rPr>
        <w:t>EUREKA je bil objavljen razpis za izvajanje programa Eurostars, ki s sofinanciranjem podpira majhna in srednja podjetja ter njihove partnerje, ki se intenzivno ukvarjajo z raziskavami in razvojem pri izvajanju njihovih skupnih inovativnih projektov, ki imajo predviden kratek čas vstopa na trg</w:t>
      </w:r>
      <w:r w:rsidR="00E86A71" w:rsidRPr="00900F8E">
        <w:rPr>
          <w:rFonts w:ascii="Arial" w:hAnsi="Arial" w:cs="Arial"/>
        </w:rPr>
        <w:t>. Za nacionalno sofinanciranje projektov Eurostars je bilo za leto 2020 predvidenih 503.582,75 evr</w:t>
      </w:r>
      <w:r w:rsidR="00D77B68">
        <w:rPr>
          <w:rFonts w:ascii="Arial" w:hAnsi="Arial" w:cs="Arial"/>
        </w:rPr>
        <w:t>a</w:t>
      </w:r>
      <w:r w:rsidR="00E86A71" w:rsidRPr="00900F8E">
        <w:rPr>
          <w:rFonts w:ascii="Arial" w:hAnsi="Arial" w:cs="Arial"/>
        </w:rPr>
        <w:t>;</w:t>
      </w:r>
    </w:p>
    <w:p w14:paraId="1601D99D" w14:textId="5CFF5482" w:rsidR="00E86A71" w:rsidRPr="00900F8E" w:rsidRDefault="006059A3" w:rsidP="00E02BBA">
      <w:pPr>
        <w:pStyle w:val="Odstavekseznama"/>
        <w:numPr>
          <w:ilvl w:val="0"/>
          <w:numId w:val="12"/>
        </w:numPr>
        <w:spacing w:after="0" w:line="240" w:lineRule="auto"/>
        <w:jc w:val="both"/>
        <w:rPr>
          <w:rFonts w:ascii="Arial" w:hAnsi="Arial" w:cs="Arial"/>
        </w:rPr>
      </w:pPr>
      <w:r w:rsidRPr="00900F8E">
        <w:rPr>
          <w:rFonts w:ascii="Arial" w:hAnsi="Arial" w:cs="Arial"/>
        </w:rPr>
        <w:t xml:space="preserve">spodbude podjetjem za prehod v nizkoogljično družbo so bile namenjene lesarski industriji in energetski prenovi turističnih destinacij. </w:t>
      </w:r>
      <w:r w:rsidR="008B3EF3" w:rsidRPr="00900F8E">
        <w:rPr>
          <w:rFonts w:ascii="Arial" w:hAnsi="Arial" w:cs="Arial"/>
        </w:rPr>
        <w:t>Objavljen je bil razpis Spodbude za MSP za razvoj in uvajanje novih produktov v lesarstvu 4.0. Namen razpisa je izvajanje operacij v mikro, malih in srednje velik</w:t>
      </w:r>
      <w:r w:rsidR="00D77B68">
        <w:rPr>
          <w:rFonts w:ascii="Arial" w:hAnsi="Arial" w:cs="Arial"/>
        </w:rPr>
        <w:t>ih</w:t>
      </w:r>
      <w:r w:rsidR="008B3EF3" w:rsidRPr="00900F8E">
        <w:rPr>
          <w:rFonts w:ascii="Arial" w:hAnsi="Arial" w:cs="Arial"/>
        </w:rPr>
        <w:t xml:space="preserve"> podjetjih na področju rabe lesa, ki vključujejo učinkovito ravnanje z viri (material, voda, poraba energije, spodbujanje uporabe lesnih ostankov i</w:t>
      </w:r>
      <w:r w:rsidR="00D77B68">
        <w:rPr>
          <w:rFonts w:ascii="Arial" w:hAnsi="Arial" w:cs="Arial"/>
        </w:rPr>
        <w:t>p</w:t>
      </w:r>
      <w:r w:rsidR="008B3EF3" w:rsidRPr="00900F8E">
        <w:rPr>
          <w:rFonts w:ascii="Arial" w:hAnsi="Arial" w:cs="Arial"/>
        </w:rPr>
        <w:t xml:space="preserve">d.), zato so do sredstev upravičene le organizacije iz lesnih panog C16 Obdelava in predelava lesa, proizvodnja izdelkov iz lesa, plute, slame in protja, razen pohištva, in C31 Proizvodnja pohištva. Javni razpis med drugim spodbuja </w:t>
      </w:r>
      <w:r w:rsidR="00F524B6">
        <w:rPr>
          <w:rFonts w:ascii="Arial" w:hAnsi="Arial" w:cs="Arial"/>
        </w:rPr>
        <w:t>URE</w:t>
      </w:r>
      <w:r w:rsidR="008B3EF3" w:rsidRPr="00900F8E">
        <w:rPr>
          <w:rFonts w:ascii="Arial" w:hAnsi="Arial" w:cs="Arial"/>
        </w:rPr>
        <w:t xml:space="preserve"> in izrabe </w:t>
      </w:r>
      <w:r w:rsidR="00272EDB">
        <w:rPr>
          <w:rFonts w:ascii="Arial" w:hAnsi="Arial" w:cs="Arial"/>
        </w:rPr>
        <w:t>OVE</w:t>
      </w:r>
      <w:r w:rsidR="008B3EF3" w:rsidRPr="00900F8E">
        <w:rPr>
          <w:rFonts w:ascii="Arial" w:hAnsi="Arial" w:cs="Arial"/>
        </w:rPr>
        <w:t xml:space="preserve"> ter izvedbo ukrepov za izboljšanje učinkovite rabe virov, ki bodo prispevali k prehodu Slovenije v krožno gospodarstvo. Drugi javni razpis Podpora mikro, malim in srednje velikim podjetjem s področja turizma za povečanje snovne in energetske učinkovitosti sofinancira projekte za uvajanje ukrepov snovne in energetske učinkovitosti oziroma rabe obnovljivih virov energije v malih in srednje velikih podjetjih s področja turizma. Izbranih je bilo skupaj 180 projektov</w:t>
      </w:r>
      <w:r w:rsidR="0094070B" w:rsidRPr="00900F8E">
        <w:rPr>
          <w:rFonts w:ascii="Arial" w:hAnsi="Arial" w:cs="Arial"/>
        </w:rPr>
        <w:t xml:space="preserve"> v </w:t>
      </w:r>
      <w:r w:rsidR="008B3EF3" w:rsidRPr="00900F8E">
        <w:rPr>
          <w:rFonts w:ascii="Arial" w:hAnsi="Arial" w:cs="Arial"/>
        </w:rPr>
        <w:t xml:space="preserve">skupni višini </w:t>
      </w:r>
      <w:r w:rsidR="0094070B" w:rsidRPr="00900F8E">
        <w:rPr>
          <w:rFonts w:ascii="Arial" w:hAnsi="Arial" w:cs="Arial"/>
        </w:rPr>
        <w:t>dobrih</w:t>
      </w:r>
      <w:r w:rsidR="008B3EF3" w:rsidRPr="00900F8E">
        <w:rPr>
          <w:rFonts w:ascii="Arial" w:hAnsi="Arial" w:cs="Arial"/>
        </w:rPr>
        <w:t xml:space="preserve"> 24</w:t>
      </w:r>
      <w:r w:rsidR="0094070B" w:rsidRPr="00900F8E">
        <w:rPr>
          <w:rFonts w:ascii="Arial" w:hAnsi="Arial" w:cs="Arial"/>
        </w:rPr>
        <w:t xml:space="preserve"> milijonov evrov;</w:t>
      </w:r>
    </w:p>
    <w:p w14:paraId="6CB7F7FE" w14:textId="4A59DB3D" w:rsidR="0094070B" w:rsidRPr="00900F8E" w:rsidRDefault="00235BA9" w:rsidP="00E02BBA">
      <w:pPr>
        <w:pStyle w:val="Odstavekseznama"/>
        <w:numPr>
          <w:ilvl w:val="0"/>
          <w:numId w:val="12"/>
        </w:numPr>
        <w:spacing w:after="0" w:line="240" w:lineRule="auto"/>
        <w:jc w:val="both"/>
        <w:rPr>
          <w:rFonts w:ascii="Arial" w:hAnsi="Arial" w:cs="Arial"/>
        </w:rPr>
      </w:pPr>
      <w:r w:rsidRPr="00900F8E">
        <w:rPr>
          <w:rFonts w:ascii="Arial" w:hAnsi="Arial" w:cs="Arial"/>
        </w:rPr>
        <w:t xml:space="preserve">v okviru Podnebne poti 2050 je bilo pripravljeno poročilo Ukrep v središču − </w:t>
      </w:r>
      <w:r w:rsidR="00D77B68">
        <w:rPr>
          <w:rFonts w:ascii="Arial" w:hAnsi="Arial" w:cs="Arial"/>
        </w:rPr>
        <w:t>z</w:t>
      </w:r>
      <w:r w:rsidRPr="00900F8E">
        <w:rPr>
          <w:rFonts w:ascii="Arial" w:hAnsi="Arial" w:cs="Arial"/>
        </w:rPr>
        <w:t xml:space="preserve">elena javnofinančna reforma, kjer se je opravila podrobna analiza zelene </w:t>
      </w:r>
      <w:r w:rsidR="005133FE">
        <w:rPr>
          <w:rFonts w:ascii="Arial" w:hAnsi="Arial" w:cs="Arial"/>
        </w:rPr>
        <w:t>proračunske</w:t>
      </w:r>
      <w:r w:rsidR="005133FE" w:rsidRPr="00900F8E">
        <w:rPr>
          <w:rFonts w:ascii="Arial" w:hAnsi="Arial" w:cs="Arial"/>
        </w:rPr>
        <w:t xml:space="preserve"> </w:t>
      </w:r>
      <w:r w:rsidRPr="00900F8E">
        <w:rPr>
          <w:rFonts w:ascii="Arial" w:hAnsi="Arial" w:cs="Arial"/>
        </w:rPr>
        <w:t>reforme;</w:t>
      </w:r>
    </w:p>
    <w:p w14:paraId="52426212" w14:textId="524A870D" w:rsidR="004E2104" w:rsidRPr="00900F8E" w:rsidRDefault="002713F1" w:rsidP="00E02BBA">
      <w:pPr>
        <w:pStyle w:val="Odstavekseznama"/>
        <w:numPr>
          <w:ilvl w:val="0"/>
          <w:numId w:val="12"/>
        </w:numPr>
        <w:spacing w:after="0" w:line="240" w:lineRule="auto"/>
        <w:jc w:val="both"/>
        <w:rPr>
          <w:rFonts w:ascii="Arial" w:hAnsi="Arial" w:cs="Arial"/>
        </w:rPr>
      </w:pPr>
      <w:r>
        <w:rPr>
          <w:rFonts w:ascii="Arial" w:hAnsi="Arial" w:cs="Arial"/>
        </w:rPr>
        <w:t xml:space="preserve">v letu 2019 so </w:t>
      </w:r>
      <w:r w:rsidR="009839C3" w:rsidRPr="00900F8E">
        <w:rPr>
          <w:rFonts w:ascii="Arial" w:hAnsi="Arial" w:cs="Arial"/>
        </w:rPr>
        <w:t>t</w:t>
      </w:r>
      <w:r w:rsidR="004E2104" w:rsidRPr="00900F8E">
        <w:rPr>
          <w:rFonts w:ascii="Arial" w:hAnsi="Arial" w:cs="Arial"/>
        </w:rPr>
        <w:t xml:space="preserve">rošarine </w:t>
      </w:r>
      <w:r w:rsidR="00E93EC5" w:rsidRPr="00900F8E">
        <w:rPr>
          <w:rFonts w:ascii="Arial" w:hAnsi="Arial" w:cs="Arial"/>
        </w:rPr>
        <w:t>za bencin in dizelsko gorivo</w:t>
      </w:r>
      <w:r>
        <w:rPr>
          <w:rFonts w:ascii="Arial" w:hAnsi="Arial" w:cs="Arial"/>
        </w:rPr>
        <w:t xml:space="preserve"> v primerjavi z drugimi obremenitvami (</w:t>
      </w:r>
      <w:r w:rsidR="00D77B68" w:rsidRPr="002713F1">
        <w:rPr>
          <w:rFonts w:ascii="Arial" w:hAnsi="Arial" w:cs="Arial"/>
        </w:rPr>
        <w:t xml:space="preserve">dajatev </w:t>
      </w:r>
      <w:r w:rsidRPr="002713F1">
        <w:rPr>
          <w:rFonts w:ascii="Arial" w:hAnsi="Arial" w:cs="Arial"/>
        </w:rPr>
        <w:t>CO</w:t>
      </w:r>
      <w:r w:rsidRPr="002713F1">
        <w:rPr>
          <w:rFonts w:ascii="Arial" w:hAnsi="Arial" w:cs="Arial"/>
          <w:vertAlign w:val="subscript"/>
        </w:rPr>
        <w:t>2</w:t>
      </w:r>
      <w:r w:rsidRPr="002713F1">
        <w:rPr>
          <w:rFonts w:ascii="Arial" w:hAnsi="Arial" w:cs="Arial"/>
        </w:rPr>
        <w:t xml:space="preserve">, prispevek URE, prispevek OVE, </w:t>
      </w:r>
      <w:r w:rsidR="00607DEC">
        <w:rPr>
          <w:rFonts w:ascii="Arial" w:hAnsi="Arial" w:cs="Arial"/>
        </w:rPr>
        <w:t xml:space="preserve">vse tehtano po dnevih, </w:t>
      </w:r>
      <w:r w:rsidRPr="002713F1">
        <w:rPr>
          <w:rFonts w:ascii="Arial" w:hAnsi="Arial" w:cs="Arial"/>
        </w:rPr>
        <w:t>brez DDV</w:t>
      </w:r>
      <w:r w:rsidR="00607DEC">
        <w:rPr>
          <w:rFonts w:ascii="Arial" w:hAnsi="Arial" w:cs="Arial"/>
        </w:rPr>
        <w:t xml:space="preserve"> v evrih</w:t>
      </w:r>
      <w:r>
        <w:rPr>
          <w:rFonts w:ascii="Arial" w:hAnsi="Arial" w:cs="Arial"/>
        </w:rPr>
        <w:t>)</w:t>
      </w:r>
      <w:r w:rsidR="00E93EC5" w:rsidRPr="00900F8E">
        <w:rPr>
          <w:rFonts w:ascii="Arial" w:hAnsi="Arial" w:cs="Arial"/>
        </w:rPr>
        <w:t xml:space="preserve"> </w:t>
      </w:r>
      <w:r w:rsidR="004E2104" w:rsidRPr="00900F8E">
        <w:rPr>
          <w:rFonts w:ascii="Arial" w:hAnsi="Arial" w:cs="Arial"/>
        </w:rPr>
        <w:t xml:space="preserve">znašale </w:t>
      </w:r>
      <w:r w:rsidR="00607DEC" w:rsidRPr="00607DEC">
        <w:rPr>
          <w:rFonts w:ascii="Arial" w:hAnsi="Arial" w:cs="Arial"/>
        </w:rPr>
        <w:t xml:space="preserve">0,48/0,53 </w:t>
      </w:r>
      <w:r w:rsidR="00607DEC">
        <w:rPr>
          <w:rFonts w:ascii="Arial" w:hAnsi="Arial" w:cs="Arial"/>
        </w:rPr>
        <w:t>in</w:t>
      </w:r>
      <w:r w:rsidR="00607DEC" w:rsidRPr="00607DEC">
        <w:rPr>
          <w:rFonts w:ascii="Arial" w:hAnsi="Arial" w:cs="Arial"/>
        </w:rPr>
        <w:t xml:space="preserve"> 0,39/0,4</w:t>
      </w:r>
      <w:r w:rsidR="00607DEC">
        <w:rPr>
          <w:rFonts w:ascii="Arial" w:hAnsi="Arial" w:cs="Arial"/>
        </w:rPr>
        <w:t xml:space="preserve">6, v letu 2020 pa </w:t>
      </w:r>
      <w:r w:rsidR="00607DEC" w:rsidRPr="00607DEC">
        <w:rPr>
          <w:rFonts w:ascii="Arial" w:hAnsi="Arial" w:cs="Arial"/>
        </w:rPr>
        <w:t>0,4</w:t>
      </w:r>
      <w:r w:rsidR="00607DEC">
        <w:rPr>
          <w:rFonts w:ascii="Arial" w:hAnsi="Arial" w:cs="Arial"/>
        </w:rPr>
        <w:t>3</w:t>
      </w:r>
      <w:r w:rsidR="00607DEC" w:rsidRPr="00607DEC">
        <w:rPr>
          <w:rFonts w:ascii="Arial" w:hAnsi="Arial" w:cs="Arial"/>
        </w:rPr>
        <w:t>/0,48</w:t>
      </w:r>
      <w:r w:rsidR="00607DEC">
        <w:rPr>
          <w:rFonts w:ascii="Arial" w:hAnsi="Arial" w:cs="Arial"/>
        </w:rPr>
        <w:t xml:space="preserve"> in</w:t>
      </w:r>
      <w:r w:rsidR="00607DEC" w:rsidRPr="00607DEC">
        <w:rPr>
          <w:rFonts w:ascii="Arial" w:hAnsi="Arial" w:cs="Arial"/>
        </w:rPr>
        <w:t xml:space="preserve"> 0,3</w:t>
      </w:r>
      <w:r w:rsidR="00607DEC">
        <w:rPr>
          <w:rFonts w:ascii="Arial" w:hAnsi="Arial" w:cs="Arial"/>
        </w:rPr>
        <w:t>9</w:t>
      </w:r>
      <w:r w:rsidR="00607DEC" w:rsidRPr="00607DEC">
        <w:rPr>
          <w:rFonts w:ascii="Arial" w:hAnsi="Arial" w:cs="Arial"/>
        </w:rPr>
        <w:t>/0,45</w:t>
      </w:r>
      <w:r w:rsidR="00607DEC">
        <w:rPr>
          <w:rFonts w:ascii="Arial" w:hAnsi="Arial" w:cs="Arial"/>
        </w:rPr>
        <w:t>;</w:t>
      </w:r>
    </w:p>
    <w:p w14:paraId="61D5D4D3" w14:textId="2E3ED4CF" w:rsidR="00F72D97" w:rsidRPr="00900F8E" w:rsidRDefault="009839C3" w:rsidP="00F72D97">
      <w:pPr>
        <w:pStyle w:val="Odstavekseznama"/>
        <w:numPr>
          <w:ilvl w:val="0"/>
          <w:numId w:val="12"/>
        </w:numPr>
        <w:spacing w:after="0" w:line="240" w:lineRule="auto"/>
        <w:jc w:val="both"/>
        <w:rPr>
          <w:rFonts w:ascii="Arial" w:hAnsi="Arial" w:cs="Arial"/>
        </w:rPr>
      </w:pPr>
      <w:r w:rsidRPr="00900F8E">
        <w:rPr>
          <w:rFonts w:ascii="Arial" w:hAnsi="Arial" w:cs="Arial"/>
        </w:rPr>
        <w:t>s</w:t>
      </w:r>
      <w:r w:rsidR="00C11120" w:rsidRPr="00900F8E">
        <w:rPr>
          <w:rFonts w:ascii="Arial" w:hAnsi="Arial" w:cs="Arial"/>
        </w:rPr>
        <w:t>tatistično poročilo o</w:t>
      </w:r>
      <w:r w:rsidR="00D71BEC" w:rsidRPr="00900F8E">
        <w:rPr>
          <w:rFonts w:ascii="Arial" w:hAnsi="Arial" w:cs="Arial"/>
        </w:rPr>
        <w:t xml:space="preserve"> oddanih</w:t>
      </w:r>
      <w:r w:rsidR="00C11120" w:rsidRPr="00900F8E">
        <w:rPr>
          <w:rFonts w:ascii="Arial" w:hAnsi="Arial" w:cs="Arial"/>
        </w:rPr>
        <w:t xml:space="preserve"> javnih naročilih, oddanih v letu 2019, kaže, da je bilo oddanih 17.363 naročil, ki so skupaj znašala skoraj 3,7 milijarde evrov. Od teh je en okoljski vidik vključevalo 32,9</w:t>
      </w:r>
      <w:r w:rsidR="00D71BEC" w:rsidRPr="00900F8E">
        <w:rPr>
          <w:rFonts w:ascii="Arial" w:hAnsi="Arial" w:cs="Arial"/>
        </w:rPr>
        <w:t xml:space="preserve"> </w:t>
      </w:r>
      <w:r w:rsidR="00C11120" w:rsidRPr="00900F8E">
        <w:rPr>
          <w:rFonts w:ascii="Arial" w:hAnsi="Arial" w:cs="Arial"/>
        </w:rPr>
        <w:t>%</w:t>
      </w:r>
      <w:r w:rsidR="00D71BEC" w:rsidRPr="00900F8E">
        <w:rPr>
          <w:rFonts w:ascii="Arial" w:hAnsi="Arial" w:cs="Arial"/>
        </w:rPr>
        <w:t xml:space="preserve"> naročil,</w:t>
      </w:r>
      <w:r w:rsidR="00C11120" w:rsidRPr="00900F8E">
        <w:rPr>
          <w:rFonts w:ascii="Arial" w:hAnsi="Arial" w:cs="Arial"/>
        </w:rPr>
        <w:t xml:space="preserve"> kar vrednostno znaša 720 </w:t>
      </w:r>
      <w:r w:rsidR="00D71BEC" w:rsidRPr="00900F8E">
        <w:rPr>
          <w:rFonts w:ascii="Arial" w:hAnsi="Arial" w:cs="Arial"/>
        </w:rPr>
        <w:t>milijon</w:t>
      </w:r>
      <w:r w:rsidR="00192A19" w:rsidRPr="00900F8E">
        <w:rPr>
          <w:rFonts w:ascii="Arial" w:hAnsi="Arial" w:cs="Arial"/>
        </w:rPr>
        <w:t>ov</w:t>
      </w:r>
      <w:r w:rsidR="00D71BEC" w:rsidRPr="00900F8E">
        <w:rPr>
          <w:rFonts w:ascii="Arial" w:hAnsi="Arial" w:cs="Arial"/>
        </w:rPr>
        <w:t xml:space="preserve"> evrov,</w:t>
      </w:r>
      <w:r w:rsidR="00C11120" w:rsidRPr="00900F8E">
        <w:rPr>
          <w:rFonts w:ascii="Arial" w:hAnsi="Arial" w:cs="Arial"/>
        </w:rPr>
        <w:t xml:space="preserve"> 2.297 </w:t>
      </w:r>
      <w:r w:rsidR="00D71BEC" w:rsidRPr="00900F8E">
        <w:rPr>
          <w:rFonts w:ascii="Arial" w:hAnsi="Arial" w:cs="Arial"/>
        </w:rPr>
        <w:t xml:space="preserve">naročil v vrednosti 355 milijonov evrov </w:t>
      </w:r>
      <w:r w:rsidR="00C11120" w:rsidRPr="00900F8E">
        <w:rPr>
          <w:rFonts w:ascii="Arial" w:hAnsi="Arial" w:cs="Arial"/>
        </w:rPr>
        <w:t xml:space="preserve">ni vključevalo okoljskega vidika. Glede na predmet naročanja je </w:t>
      </w:r>
      <w:r w:rsidR="00A96B0F" w:rsidRPr="00900F8E">
        <w:rPr>
          <w:rFonts w:ascii="Arial" w:hAnsi="Arial" w:cs="Arial"/>
        </w:rPr>
        <w:t xml:space="preserve">količinsko </w:t>
      </w:r>
      <w:r w:rsidR="00C11120" w:rsidRPr="00900F8E">
        <w:rPr>
          <w:rFonts w:ascii="Arial" w:hAnsi="Arial" w:cs="Arial"/>
        </w:rPr>
        <w:t>največ zelenih naročil pri naročilih blaga</w:t>
      </w:r>
      <w:r w:rsidR="00A96B0F" w:rsidRPr="00900F8E">
        <w:rPr>
          <w:rFonts w:ascii="Arial" w:hAnsi="Arial" w:cs="Arial"/>
        </w:rPr>
        <w:t xml:space="preserve">, in sicer </w:t>
      </w:r>
      <w:r w:rsidR="00C11120" w:rsidRPr="00900F8E">
        <w:rPr>
          <w:rFonts w:ascii="Arial" w:hAnsi="Arial" w:cs="Arial"/>
        </w:rPr>
        <w:t>81,9 %, po vrednosti pa pri gradnjah 51,8 %. Največ naročil, pri katerih je bil upoštevan okoljski vidik, so oddali javni zavodi, in sicer 4.264 naročil v vrednosti 204 mi</w:t>
      </w:r>
      <w:r w:rsidR="00081950">
        <w:rPr>
          <w:rFonts w:ascii="Arial" w:hAnsi="Arial" w:cs="Arial"/>
        </w:rPr>
        <w:t>lijonov evrov</w:t>
      </w:r>
      <w:r w:rsidR="00C11120" w:rsidRPr="00900F8E">
        <w:rPr>
          <w:rFonts w:ascii="Arial" w:hAnsi="Arial" w:cs="Arial"/>
        </w:rPr>
        <w:t xml:space="preserve">, po številu jim potem sledijo še samoupravne lokalne skupnosti s 585 naročili </w:t>
      </w:r>
      <w:r w:rsidR="00A96B0F" w:rsidRPr="00900F8E">
        <w:rPr>
          <w:rFonts w:ascii="Arial" w:hAnsi="Arial" w:cs="Arial"/>
        </w:rPr>
        <w:t xml:space="preserve">v vrednosti </w:t>
      </w:r>
      <w:r w:rsidR="00C11120" w:rsidRPr="00900F8E">
        <w:rPr>
          <w:rFonts w:ascii="Arial" w:hAnsi="Arial" w:cs="Arial"/>
        </w:rPr>
        <w:t>174 mi</w:t>
      </w:r>
      <w:r w:rsidR="00A96B0F" w:rsidRPr="00900F8E">
        <w:rPr>
          <w:rFonts w:ascii="Arial" w:hAnsi="Arial" w:cs="Arial"/>
        </w:rPr>
        <w:t>lijonov evrov</w:t>
      </w:r>
      <w:r w:rsidR="00C11120" w:rsidRPr="00900F8E">
        <w:rPr>
          <w:rFonts w:ascii="Arial" w:hAnsi="Arial" w:cs="Arial"/>
        </w:rPr>
        <w:t xml:space="preserve"> in drugi naročniki, kot so osebe javnega prava, javna podjetja, subjekt</w:t>
      </w:r>
      <w:r w:rsidR="006D3E31">
        <w:rPr>
          <w:rFonts w:ascii="Arial" w:hAnsi="Arial" w:cs="Arial"/>
        </w:rPr>
        <w:t>i</w:t>
      </w:r>
      <w:r w:rsidR="00C11120" w:rsidRPr="00900F8E">
        <w:rPr>
          <w:rFonts w:ascii="Arial" w:hAnsi="Arial" w:cs="Arial"/>
        </w:rPr>
        <w:t xml:space="preserve"> s posebnimi infrastrukturnimi pravicami s 446 naročili</w:t>
      </w:r>
      <w:r w:rsidR="00A96B0F" w:rsidRPr="00900F8E">
        <w:rPr>
          <w:rFonts w:ascii="Arial" w:hAnsi="Arial" w:cs="Arial"/>
        </w:rPr>
        <w:t xml:space="preserve"> v vrednosti </w:t>
      </w:r>
      <w:r w:rsidR="00C11120" w:rsidRPr="00900F8E">
        <w:rPr>
          <w:rFonts w:ascii="Arial" w:hAnsi="Arial" w:cs="Arial"/>
        </w:rPr>
        <w:t>120 mi</w:t>
      </w:r>
      <w:r w:rsidR="00A96B0F" w:rsidRPr="00900F8E">
        <w:rPr>
          <w:rFonts w:ascii="Arial" w:hAnsi="Arial" w:cs="Arial"/>
        </w:rPr>
        <w:t>lijonov evrov;</w:t>
      </w:r>
    </w:p>
    <w:p w14:paraId="0E16EEF7" w14:textId="7CE28204" w:rsidR="00F72D97" w:rsidRPr="00900F8E" w:rsidRDefault="00F72D97" w:rsidP="00640804">
      <w:pPr>
        <w:pStyle w:val="Odstavekseznama"/>
        <w:numPr>
          <w:ilvl w:val="0"/>
          <w:numId w:val="12"/>
        </w:numPr>
        <w:spacing w:after="0" w:line="240" w:lineRule="auto"/>
        <w:jc w:val="both"/>
        <w:rPr>
          <w:rFonts w:ascii="Arial" w:hAnsi="Arial" w:cs="Arial"/>
        </w:rPr>
      </w:pPr>
      <w:r w:rsidRPr="00900F8E">
        <w:rPr>
          <w:rFonts w:ascii="Arial" w:hAnsi="Arial" w:cs="Arial"/>
        </w:rPr>
        <w:t>v poročilu Statistični podatki o javnih naročilih</w:t>
      </w:r>
      <w:r w:rsidR="00D77B68">
        <w:rPr>
          <w:rFonts w:ascii="Arial" w:hAnsi="Arial" w:cs="Arial"/>
        </w:rPr>
        <w:t>,</w:t>
      </w:r>
      <w:r w:rsidRPr="00900F8E">
        <w:rPr>
          <w:rFonts w:ascii="Arial" w:hAnsi="Arial" w:cs="Arial"/>
        </w:rPr>
        <w:t xml:space="preserve"> oddanih v letu 2020, podatki kažejo, da je bilo oddanih 16.872 naročil v vrednosti skoraj 3,9 milijarde evrov. Od teh je najmanj en okoljski vidik vključevalo 4.361 naročil v vrednosti 752 milijonov evrov, znotraj naročil, ki so predmet zelenega javnega naročanja, jih 2.316, za skoraj 312 milijonov evrov</w:t>
      </w:r>
      <w:r w:rsidR="00D77B68">
        <w:rPr>
          <w:rFonts w:ascii="Arial" w:hAnsi="Arial" w:cs="Arial"/>
        </w:rPr>
        <w:t>,</w:t>
      </w:r>
      <w:r w:rsidRPr="00900F8E">
        <w:rPr>
          <w:rFonts w:ascii="Arial" w:hAnsi="Arial" w:cs="Arial"/>
        </w:rPr>
        <w:t xml:space="preserve"> ni vključevalo okoljskega vidika. Glede na predmet naročanja je največ</w:t>
      </w:r>
      <w:r w:rsidR="003F0F7C">
        <w:rPr>
          <w:rFonts w:ascii="Arial" w:hAnsi="Arial" w:cs="Arial"/>
        </w:rPr>
        <w:t xml:space="preserve"> količinsko</w:t>
      </w:r>
      <w:r w:rsidRPr="00900F8E">
        <w:rPr>
          <w:rFonts w:ascii="Arial" w:hAnsi="Arial" w:cs="Arial"/>
        </w:rPr>
        <w:t xml:space="preserve"> zelenih naročil pri naročilih blaga </w:t>
      </w:r>
      <w:r w:rsidR="000852F0">
        <w:rPr>
          <w:rFonts w:ascii="Arial" w:hAnsi="Arial" w:cs="Arial"/>
        </w:rPr>
        <w:t>–</w:t>
      </w:r>
      <w:r w:rsidRPr="00900F8E">
        <w:rPr>
          <w:rFonts w:ascii="Arial" w:hAnsi="Arial" w:cs="Arial"/>
        </w:rPr>
        <w:t xml:space="preserve"> kar 80 %, po vrednosti pa pri gradnjah, in sicer 45,5 % od skupne vrednosti. Največ naročil, pri katerih je bil upoštevan okoljski vidik, so oddali javni zavodi, in sicer 3.149 naročil v vrednosti skoraj 230 milijonov evrov, sledijo samoupravne lokalne skupnosti s 453 naročili v vrednosti 192 milijonov evrov in drugi naročniki, kot so osebe javnega prava, javna podjetja, subjekti s posebnimi infrastrukturnimi pravicami s 409 naročili </w:t>
      </w:r>
      <w:r w:rsidR="000852F0">
        <w:rPr>
          <w:rFonts w:ascii="Arial" w:hAnsi="Arial" w:cs="Arial"/>
        </w:rPr>
        <w:t>–</w:t>
      </w:r>
      <w:r w:rsidRPr="00900F8E">
        <w:rPr>
          <w:rFonts w:ascii="Arial" w:hAnsi="Arial" w:cs="Arial"/>
        </w:rPr>
        <w:t xml:space="preserve"> skoraj 86 milijonov evrov;</w:t>
      </w:r>
    </w:p>
    <w:p w14:paraId="5435ED82" w14:textId="38BE6FDE" w:rsidR="00A96B0F" w:rsidRPr="00900F8E" w:rsidRDefault="00AF6317" w:rsidP="00640804">
      <w:pPr>
        <w:pStyle w:val="Odstavekseznama"/>
        <w:numPr>
          <w:ilvl w:val="0"/>
          <w:numId w:val="12"/>
        </w:numPr>
        <w:spacing w:after="0" w:line="240" w:lineRule="auto"/>
        <w:jc w:val="both"/>
        <w:rPr>
          <w:rFonts w:ascii="Arial" w:hAnsi="Arial" w:cs="Arial"/>
        </w:rPr>
      </w:pPr>
      <w:r w:rsidRPr="00900F8E">
        <w:rPr>
          <w:rFonts w:ascii="Arial" w:hAnsi="Arial" w:cs="Arial"/>
        </w:rPr>
        <w:lastRenderedPageBreak/>
        <w:t>na evropski ravni je bila sprejeta nova Delegirana uredba Komisije (EU) 2021/340</w:t>
      </w:r>
      <w:r w:rsidR="00B5493E" w:rsidRPr="00900F8E">
        <w:rPr>
          <w:rFonts w:ascii="Arial" w:hAnsi="Arial" w:cs="Arial"/>
        </w:rPr>
        <w:t xml:space="preserve"> (UL št. 68 z dne 26.</w:t>
      </w:r>
      <w:r w:rsidR="006D3E31">
        <w:rPr>
          <w:rFonts w:ascii="Arial" w:hAnsi="Arial" w:cs="Arial"/>
        </w:rPr>
        <w:t> </w:t>
      </w:r>
      <w:r w:rsidR="00B5493E" w:rsidRPr="00900F8E">
        <w:rPr>
          <w:rFonts w:ascii="Arial" w:hAnsi="Arial" w:cs="Arial"/>
        </w:rPr>
        <w:t>2.</w:t>
      </w:r>
      <w:r w:rsidR="006D3E31">
        <w:rPr>
          <w:rFonts w:ascii="Arial" w:hAnsi="Arial" w:cs="Arial"/>
        </w:rPr>
        <w:t> </w:t>
      </w:r>
      <w:r w:rsidR="00B5493E" w:rsidRPr="00900F8E">
        <w:rPr>
          <w:rFonts w:ascii="Arial" w:hAnsi="Arial" w:cs="Arial"/>
        </w:rPr>
        <w:t>2021, str. 62)</w:t>
      </w:r>
      <w:r w:rsidRPr="00900F8E">
        <w:rPr>
          <w:rFonts w:ascii="Arial" w:hAnsi="Arial" w:cs="Arial"/>
        </w:rPr>
        <w:t xml:space="preserve"> s področja energijskega označevanja in okoljsko primerne zasnove, ki je prinesla spremembe glede zahtev za označevanje z energijskimi nalepkami za elektronske prikazovalnike, gospodinjske pralne in pralno-sušilne stroje, svetlobne vire, hladilne aparate, gospodinjske pomivalne stroje ter hladilne aparate z neposredno prodajno funkcijo;</w:t>
      </w:r>
    </w:p>
    <w:p w14:paraId="1F82F8C9" w14:textId="473497F5" w:rsidR="00AF6317" w:rsidRPr="00900F8E" w:rsidRDefault="00AF6317" w:rsidP="00E02BBA">
      <w:pPr>
        <w:pStyle w:val="Odstavekseznama"/>
        <w:numPr>
          <w:ilvl w:val="0"/>
          <w:numId w:val="12"/>
        </w:numPr>
        <w:spacing w:after="0" w:line="240" w:lineRule="auto"/>
        <w:jc w:val="both"/>
        <w:rPr>
          <w:rFonts w:ascii="Arial" w:hAnsi="Arial" w:cs="Arial"/>
        </w:rPr>
      </w:pPr>
      <w:r w:rsidRPr="00900F8E">
        <w:rPr>
          <w:rFonts w:ascii="Arial" w:hAnsi="Arial" w:cs="Arial"/>
        </w:rPr>
        <w:t>sprejeta je bila Uredba 2020/740 /EU</w:t>
      </w:r>
      <w:r w:rsidR="00ED4FED" w:rsidRPr="00900F8E">
        <w:rPr>
          <w:rFonts w:ascii="Arial" w:hAnsi="Arial" w:cs="Arial"/>
        </w:rPr>
        <w:t xml:space="preserve"> (UL št. 177 z dne 5.</w:t>
      </w:r>
      <w:r w:rsidR="006D3E31">
        <w:rPr>
          <w:rFonts w:ascii="Arial" w:hAnsi="Arial" w:cs="Arial"/>
        </w:rPr>
        <w:t> </w:t>
      </w:r>
      <w:r w:rsidR="00ED4FED" w:rsidRPr="00900F8E">
        <w:rPr>
          <w:rFonts w:ascii="Arial" w:hAnsi="Arial" w:cs="Arial"/>
        </w:rPr>
        <w:t>6.</w:t>
      </w:r>
      <w:r w:rsidR="006D3E31">
        <w:rPr>
          <w:rFonts w:ascii="Arial" w:hAnsi="Arial" w:cs="Arial"/>
        </w:rPr>
        <w:t> </w:t>
      </w:r>
      <w:r w:rsidR="00ED4FED" w:rsidRPr="00900F8E">
        <w:rPr>
          <w:rFonts w:ascii="Arial" w:hAnsi="Arial" w:cs="Arial"/>
        </w:rPr>
        <w:t>2020, str. 1)</w:t>
      </w:r>
      <w:r w:rsidRPr="00900F8E">
        <w:rPr>
          <w:rFonts w:ascii="Arial" w:hAnsi="Arial" w:cs="Arial"/>
        </w:rPr>
        <w:t xml:space="preserve"> o označevanju pnevmatik glede na izkoristek goriva in druge parametre;</w:t>
      </w:r>
    </w:p>
    <w:p w14:paraId="725867B2" w14:textId="6C545466" w:rsidR="004134DE" w:rsidRPr="00900F8E" w:rsidRDefault="009839C3" w:rsidP="00E02BBA">
      <w:pPr>
        <w:pStyle w:val="Odstavekseznama"/>
        <w:numPr>
          <w:ilvl w:val="0"/>
          <w:numId w:val="12"/>
        </w:numPr>
        <w:spacing w:after="0" w:line="240" w:lineRule="auto"/>
        <w:jc w:val="both"/>
        <w:rPr>
          <w:rFonts w:ascii="Arial" w:hAnsi="Arial" w:cs="Arial"/>
        </w:rPr>
      </w:pPr>
      <w:r w:rsidRPr="00900F8E">
        <w:rPr>
          <w:rFonts w:ascii="Arial" w:hAnsi="Arial" w:cs="Arial"/>
        </w:rPr>
        <w:t>t</w:t>
      </w:r>
      <w:r w:rsidR="004134DE" w:rsidRPr="00900F8E">
        <w:rPr>
          <w:rFonts w:ascii="Arial" w:hAnsi="Arial" w:cs="Arial"/>
        </w:rPr>
        <w:t>ržni inšpektorat je opravil administrativni nadzor energijskega označevanja gospodinjskih pečic in kuhinjskih nap. Pregledanih je bilo 69 pečic in 45 kuhinjskih nap pri 47, predvsem spletnih, prodajalcih in enem proizvajalcu. Nadzor je pokazal, da nepravilnosti niso bile ugotovljene samo pri tretjini spletnih trgovin. V okviru pregleda se je prvič preverjal</w:t>
      </w:r>
      <w:r w:rsidR="00D77B68">
        <w:rPr>
          <w:rFonts w:ascii="Arial" w:hAnsi="Arial" w:cs="Arial"/>
        </w:rPr>
        <w:t>a</w:t>
      </w:r>
      <w:r w:rsidR="004134DE" w:rsidRPr="00900F8E">
        <w:rPr>
          <w:rFonts w:ascii="Arial" w:hAnsi="Arial" w:cs="Arial"/>
        </w:rPr>
        <w:t xml:space="preserve"> tudi vsebin</w:t>
      </w:r>
      <w:r w:rsidR="00D77B68">
        <w:rPr>
          <w:rFonts w:ascii="Arial" w:hAnsi="Arial" w:cs="Arial"/>
        </w:rPr>
        <w:t>a</w:t>
      </w:r>
      <w:r w:rsidR="004134DE" w:rsidRPr="00900F8E">
        <w:rPr>
          <w:rFonts w:ascii="Arial" w:hAnsi="Arial" w:cs="Arial"/>
        </w:rPr>
        <w:t xml:space="preserve"> vpisa podatkov za posamezni proizvod v podatkovno zbirko EPREL. Inšpektorat je preverjal tudi okoljsko primerno zasnovo kuhinjskih nap in okoljsko primerno zasnovo gospodinjskih električnih in plinskih pečic, danih na trg po 20. </w:t>
      </w:r>
      <w:r w:rsidR="00D77B68">
        <w:rPr>
          <w:rFonts w:ascii="Arial" w:hAnsi="Arial" w:cs="Arial"/>
        </w:rPr>
        <w:t>januarju</w:t>
      </w:r>
      <w:r w:rsidR="004134DE" w:rsidRPr="00900F8E">
        <w:rPr>
          <w:rFonts w:ascii="Arial" w:hAnsi="Arial" w:cs="Arial"/>
        </w:rPr>
        <w:t xml:space="preserve"> 2015</w:t>
      </w:r>
      <w:r w:rsidR="002855B8" w:rsidRPr="00900F8E">
        <w:rPr>
          <w:rFonts w:ascii="Arial" w:hAnsi="Arial" w:cs="Arial"/>
        </w:rPr>
        <w:t>, vendar n</w:t>
      </w:r>
      <w:r w:rsidR="004134DE" w:rsidRPr="00900F8E">
        <w:rPr>
          <w:rFonts w:ascii="Arial" w:hAnsi="Arial" w:cs="Arial"/>
        </w:rPr>
        <w:t xml:space="preserve">eskladnosti ni bilo. </w:t>
      </w:r>
      <w:r w:rsidR="002855B8" w:rsidRPr="00900F8E">
        <w:rPr>
          <w:rFonts w:ascii="Arial" w:hAnsi="Arial" w:cs="Arial"/>
        </w:rPr>
        <w:t>K</w:t>
      </w:r>
      <w:r w:rsidR="004134DE" w:rsidRPr="00900F8E">
        <w:rPr>
          <w:rFonts w:ascii="Arial" w:hAnsi="Arial" w:cs="Arial"/>
        </w:rPr>
        <w:t>ončal</w:t>
      </w:r>
      <w:r w:rsidR="002855B8" w:rsidRPr="00900F8E">
        <w:rPr>
          <w:rFonts w:ascii="Arial" w:hAnsi="Arial" w:cs="Arial"/>
        </w:rPr>
        <w:t xml:space="preserve"> se je</w:t>
      </w:r>
      <w:r w:rsidR="004134DE" w:rsidRPr="00900F8E">
        <w:rPr>
          <w:rFonts w:ascii="Arial" w:hAnsi="Arial" w:cs="Arial"/>
        </w:rPr>
        <w:t xml:space="preserve"> evropski projekt skupnega nadzora energijskih nalepk in izpolnjevanja zahtev energijsko primerne zasnove proizvodov EEPLIANT2, v katerem je sodeloval tudi Tržni inšpektorat RS</w:t>
      </w:r>
      <w:r w:rsidR="002855B8" w:rsidRPr="00900F8E">
        <w:rPr>
          <w:rFonts w:ascii="Arial" w:hAnsi="Arial" w:cs="Arial"/>
        </w:rPr>
        <w:t>;</w:t>
      </w:r>
    </w:p>
    <w:p w14:paraId="08D165F1" w14:textId="7A36C28A" w:rsidR="00AF6317" w:rsidRPr="00900F8E" w:rsidRDefault="004134DE" w:rsidP="00E02BBA">
      <w:pPr>
        <w:pStyle w:val="Odstavekseznama"/>
        <w:numPr>
          <w:ilvl w:val="0"/>
          <w:numId w:val="12"/>
        </w:numPr>
        <w:spacing w:after="0" w:line="240" w:lineRule="auto"/>
        <w:jc w:val="both"/>
        <w:rPr>
          <w:rFonts w:ascii="Arial" w:hAnsi="Arial" w:cs="Arial"/>
        </w:rPr>
      </w:pPr>
      <w:r w:rsidRPr="00900F8E">
        <w:rPr>
          <w:rFonts w:ascii="Arial" w:hAnsi="Arial" w:cs="Arial"/>
        </w:rPr>
        <w:t xml:space="preserve">Inšpektorat RS za infrastrukturo je izvedel </w:t>
      </w:r>
      <w:r w:rsidR="00D77B68">
        <w:rPr>
          <w:rFonts w:ascii="Arial" w:hAnsi="Arial" w:cs="Arial"/>
        </w:rPr>
        <w:t>tri</w:t>
      </w:r>
      <w:r w:rsidRPr="00900F8E">
        <w:rPr>
          <w:rFonts w:ascii="Arial" w:hAnsi="Arial" w:cs="Arial"/>
        </w:rPr>
        <w:t xml:space="preserve"> inšpekcijske preglede na področju okoljsko primerne zasnove izdelkov, ki rabijo energijo.</w:t>
      </w:r>
    </w:p>
    <w:p w14:paraId="597568FA" w14:textId="06DC5F50" w:rsidR="0053092F" w:rsidRPr="00900F8E" w:rsidRDefault="0053092F" w:rsidP="0053092F">
      <w:pPr>
        <w:spacing w:after="0" w:line="240" w:lineRule="auto"/>
        <w:jc w:val="both"/>
        <w:rPr>
          <w:rFonts w:ascii="Arial" w:hAnsi="Arial" w:cs="Arial"/>
        </w:rPr>
      </w:pPr>
    </w:p>
    <w:p w14:paraId="140F7F0C" w14:textId="77777777" w:rsidR="00C83956" w:rsidRPr="00900F8E" w:rsidRDefault="00C83956" w:rsidP="00C83956">
      <w:pPr>
        <w:pStyle w:val="Default"/>
        <w:jc w:val="both"/>
        <w:rPr>
          <w:sz w:val="22"/>
          <w:szCs w:val="22"/>
          <w:lang w:val="sl-SI"/>
        </w:rPr>
      </w:pPr>
      <w:r w:rsidRPr="00900F8E">
        <w:rPr>
          <w:sz w:val="22"/>
          <w:szCs w:val="22"/>
          <w:lang w:val="sl-SI"/>
        </w:rPr>
        <w:t>V letu 2021 so se izvajali naslednji ukrepi:</w:t>
      </w:r>
    </w:p>
    <w:p w14:paraId="4F413809" w14:textId="27558BB5" w:rsidR="00C83956" w:rsidRPr="00900F8E" w:rsidRDefault="00E25C4C" w:rsidP="00E25C4C">
      <w:pPr>
        <w:pStyle w:val="Odstavekseznama"/>
        <w:numPr>
          <w:ilvl w:val="0"/>
          <w:numId w:val="30"/>
        </w:numPr>
        <w:spacing w:after="0" w:line="240" w:lineRule="auto"/>
        <w:jc w:val="both"/>
        <w:rPr>
          <w:rFonts w:ascii="Arial" w:hAnsi="Arial" w:cs="Arial"/>
        </w:rPr>
      </w:pPr>
      <w:r w:rsidRPr="00900F8E">
        <w:rPr>
          <w:rFonts w:ascii="Arial" w:hAnsi="Arial" w:cs="Arial"/>
        </w:rPr>
        <w:t>spodbujanje raziskav in inovacij za prehod v podnebno nevtralno družbo</w:t>
      </w:r>
      <w:r w:rsidR="00FB5C08" w:rsidRPr="00900F8E">
        <w:rPr>
          <w:rFonts w:ascii="Arial" w:hAnsi="Arial" w:cs="Arial"/>
        </w:rPr>
        <w:t xml:space="preserve"> se je nadaljevalo z izvajanjem </w:t>
      </w:r>
      <w:r w:rsidR="00B84396" w:rsidRPr="00900F8E">
        <w:rPr>
          <w:rFonts w:ascii="Arial" w:hAnsi="Arial" w:cs="Arial"/>
        </w:rPr>
        <w:t xml:space="preserve">programa Eurostars </w:t>
      </w:r>
      <w:r w:rsidR="00D77B68">
        <w:rPr>
          <w:rFonts w:ascii="Arial" w:hAnsi="Arial" w:cs="Arial"/>
        </w:rPr>
        <w:t>in</w:t>
      </w:r>
      <w:r w:rsidR="00D77B68" w:rsidRPr="00900F8E">
        <w:rPr>
          <w:rFonts w:ascii="Arial" w:hAnsi="Arial" w:cs="Arial"/>
        </w:rPr>
        <w:t xml:space="preserve"> </w:t>
      </w:r>
      <w:r w:rsidR="00B84396" w:rsidRPr="00900F8E">
        <w:rPr>
          <w:rFonts w:ascii="Arial" w:hAnsi="Arial" w:cs="Arial"/>
        </w:rPr>
        <w:t xml:space="preserve">se spodbujalo </w:t>
      </w:r>
      <w:r w:rsidR="00D77B68">
        <w:rPr>
          <w:rFonts w:ascii="Arial" w:hAnsi="Arial" w:cs="Arial"/>
        </w:rPr>
        <w:t>z</w:t>
      </w:r>
      <w:r w:rsidR="00D77B68" w:rsidRPr="00900F8E">
        <w:rPr>
          <w:rFonts w:ascii="Arial" w:hAnsi="Arial" w:cs="Arial"/>
        </w:rPr>
        <w:t xml:space="preserve"> </w:t>
      </w:r>
      <w:r w:rsidR="00B84396" w:rsidRPr="00900F8E">
        <w:rPr>
          <w:rFonts w:ascii="Arial" w:hAnsi="Arial" w:cs="Arial"/>
        </w:rPr>
        <w:t>bilateraln</w:t>
      </w:r>
      <w:r w:rsidR="00D77B68">
        <w:rPr>
          <w:rFonts w:ascii="Arial" w:hAnsi="Arial" w:cs="Arial"/>
        </w:rPr>
        <w:t>imi</w:t>
      </w:r>
      <w:r w:rsidR="00B84396" w:rsidRPr="00900F8E">
        <w:rPr>
          <w:rFonts w:ascii="Arial" w:hAnsi="Arial" w:cs="Arial"/>
        </w:rPr>
        <w:t xml:space="preserve"> razpis</w:t>
      </w:r>
      <w:r w:rsidR="00D77B68">
        <w:rPr>
          <w:rFonts w:ascii="Arial" w:hAnsi="Arial" w:cs="Arial"/>
        </w:rPr>
        <w:t>i</w:t>
      </w:r>
      <w:r w:rsidR="00B84396" w:rsidRPr="00900F8E">
        <w:rPr>
          <w:rFonts w:ascii="Arial" w:hAnsi="Arial" w:cs="Arial"/>
        </w:rPr>
        <w:t xml:space="preserve">, kot je </w:t>
      </w:r>
      <w:proofErr w:type="spellStart"/>
      <w:r w:rsidR="00B84396" w:rsidRPr="00900F8E">
        <w:rPr>
          <w:rFonts w:ascii="Arial" w:hAnsi="Arial" w:cs="Arial"/>
        </w:rPr>
        <w:t>Interreg</w:t>
      </w:r>
      <w:proofErr w:type="spellEnd"/>
      <w:r w:rsidR="00B84396" w:rsidRPr="00900F8E">
        <w:rPr>
          <w:rFonts w:ascii="Arial" w:hAnsi="Arial" w:cs="Arial"/>
        </w:rPr>
        <w:t xml:space="preserve"> </w:t>
      </w:r>
      <w:proofErr w:type="spellStart"/>
      <w:r w:rsidR="00B84396" w:rsidRPr="00900F8E">
        <w:rPr>
          <w:rFonts w:ascii="Arial" w:hAnsi="Arial" w:cs="Arial"/>
        </w:rPr>
        <w:t>Europe</w:t>
      </w:r>
      <w:proofErr w:type="spellEnd"/>
      <w:r w:rsidR="00B84396" w:rsidRPr="00900F8E">
        <w:rPr>
          <w:rFonts w:ascii="Arial" w:hAnsi="Arial" w:cs="Arial"/>
        </w:rPr>
        <w:t>;</w:t>
      </w:r>
    </w:p>
    <w:p w14:paraId="37B666B4" w14:textId="653E9A2D" w:rsidR="00DF648F" w:rsidRPr="00900F8E" w:rsidRDefault="009839C3" w:rsidP="00640804">
      <w:pPr>
        <w:pStyle w:val="Odstavekseznama"/>
        <w:numPr>
          <w:ilvl w:val="0"/>
          <w:numId w:val="30"/>
        </w:numPr>
        <w:spacing w:after="0" w:line="240" w:lineRule="auto"/>
        <w:jc w:val="both"/>
        <w:rPr>
          <w:rFonts w:ascii="Arial" w:hAnsi="Arial" w:cs="Arial"/>
        </w:rPr>
      </w:pPr>
      <w:r w:rsidRPr="00900F8E">
        <w:rPr>
          <w:rFonts w:ascii="Arial" w:hAnsi="Arial" w:cs="Arial"/>
        </w:rPr>
        <w:t>pripravljena</w:t>
      </w:r>
      <w:r w:rsidR="00DF648F" w:rsidRPr="00900F8E">
        <w:rPr>
          <w:rFonts w:ascii="Arial" w:hAnsi="Arial" w:cs="Arial"/>
        </w:rPr>
        <w:t xml:space="preserve"> je bila</w:t>
      </w:r>
      <w:r w:rsidRPr="00900F8E">
        <w:rPr>
          <w:rFonts w:ascii="Arial" w:hAnsi="Arial" w:cs="Arial"/>
        </w:rPr>
        <w:t xml:space="preserve"> Raziskovalna in inovacijska strategija Slovenije 2030, ki je ključni strateški dokument za področje raziskav in inovacij</w:t>
      </w:r>
      <w:r w:rsidR="00DF648F" w:rsidRPr="00900F8E">
        <w:rPr>
          <w:rFonts w:ascii="Arial" w:hAnsi="Arial" w:cs="Arial"/>
        </w:rPr>
        <w:t>;</w:t>
      </w:r>
    </w:p>
    <w:p w14:paraId="21EE0394" w14:textId="45B1769D" w:rsidR="00BC5449" w:rsidRPr="00900F8E" w:rsidRDefault="00596548" w:rsidP="00640804">
      <w:pPr>
        <w:pStyle w:val="Odstavekseznama"/>
        <w:numPr>
          <w:ilvl w:val="0"/>
          <w:numId w:val="30"/>
        </w:numPr>
        <w:spacing w:after="0" w:line="240" w:lineRule="auto"/>
        <w:jc w:val="both"/>
        <w:rPr>
          <w:rFonts w:ascii="Arial" w:hAnsi="Arial" w:cs="Arial"/>
        </w:rPr>
      </w:pPr>
      <w:r w:rsidRPr="00900F8E">
        <w:rPr>
          <w:rFonts w:ascii="Arial" w:hAnsi="Arial" w:cs="Arial"/>
        </w:rPr>
        <w:t xml:space="preserve">prek zelene obveznice, ki jo je izdala SID banka z namenom financiranja projektov energetske učinkovitosti v podjetjih, izdelkov, proizvodnih tehnologij in postopkov, ki ustrezajo ekološko učinkovitemu, tudi krožnemu gospodarstvu, in drugih trajnostno naravnanih </w:t>
      </w:r>
      <w:r w:rsidR="00E07C48">
        <w:rPr>
          <w:rFonts w:ascii="Arial" w:hAnsi="Arial" w:cs="Arial"/>
        </w:rPr>
        <w:t>dejavnosti</w:t>
      </w:r>
      <w:r w:rsidR="003E4371">
        <w:rPr>
          <w:rFonts w:ascii="Arial" w:hAnsi="Arial" w:cs="Arial"/>
        </w:rPr>
        <w:t xml:space="preserve"> je bilo v</w:t>
      </w:r>
      <w:r w:rsidRPr="00900F8E">
        <w:rPr>
          <w:rFonts w:ascii="Arial" w:hAnsi="Arial" w:cs="Arial"/>
        </w:rPr>
        <w:t xml:space="preserve"> letu 2021 financiranih osem projektov;</w:t>
      </w:r>
    </w:p>
    <w:p w14:paraId="5DE0A489" w14:textId="2E0A5039" w:rsidR="00596548" w:rsidRPr="00900F8E" w:rsidRDefault="00EF740E" w:rsidP="00640804">
      <w:pPr>
        <w:pStyle w:val="Odstavekseznama"/>
        <w:numPr>
          <w:ilvl w:val="0"/>
          <w:numId w:val="30"/>
        </w:numPr>
        <w:spacing w:after="0" w:line="240" w:lineRule="auto"/>
        <w:jc w:val="both"/>
        <w:rPr>
          <w:rFonts w:ascii="Arial" w:hAnsi="Arial" w:cs="Arial"/>
        </w:rPr>
      </w:pPr>
      <w:r w:rsidRPr="00900F8E">
        <w:rPr>
          <w:rFonts w:ascii="Arial" w:hAnsi="Arial" w:cs="Arial"/>
        </w:rPr>
        <w:t>sprejet je bil Načrt za okrevanje in odpornost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 xml:space="preserve">NOO) kot podlaga za koriščenje razpoložljivih sredstev iz </w:t>
      </w:r>
      <w:r w:rsidR="00880E3A">
        <w:rPr>
          <w:rFonts w:ascii="Arial" w:hAnsi="Arial" w:cs="Arial"/>
        </w:rPr>
        <w:t>s</w:t>
      </w:r>
      <w:r w:rsidRPr="00900F8E">
        <w:rPr>
          <w:rFonts w:ascii="Arial" w:hAnsi="Arial" w:cs="Arial"/>
        </w:rPr>
        <w:t>klada za okrevanje in odpornost. Gre za finančno najobsežnejši mehanizem iz evropskega svežnja</w:t>
      </w:r>
      <w:r w:rsidR="004626AA">
        <w:rPr>
          <w:rFonts w:ascii="Arial" w:hAnsi="Arial" w:cs="Arial"/>
        </w:rPr>
        <w:t xml:space="preserve"> </w:t>
      </w:r>
      <w:r w:rsidR="00C46D17">
        <w:rPr>
          <w:rFonts w:ascii="Arial" w:hAnsi="Arial" w:cs="Arial"/>
        </w:rPr>
        <w:t>N</w:t>
      </w:r>
      <w:r w:rsidR="004626AA">
        <w:rPr>
          <w:rFonts w:ascii="Arial" w:hAnsi="Arial" w:cs="Arial"/>
        </w:rPr>
        <w:t>aslednja generacija EU</w:t>
      </w:r>
      <w:r w:rsidRPr="00900F8E">
        <w:rPr>
          <w:rFonts w:ascii="Arial" w:hAnsi="Arial" w:cs="Arial"/>
        </w:rPr>
        <w:t xml:space="preserve"> </w:t>
      </w:r>
      <w:r w:rsidR="004626AA">
        <w:rPr>
          <w:rFonts w:ascii="Arial" w:hAnsi="Arial" w:cs="Arial"/>
        </w:rPr>
        <w:t>(</w:t>
      </w:r>
      <w:proofErr w:type="spellStart"/>
      <w:r w:rsidRPr="00E615AF">
        <w:rPr>
          <w:rFonts w:ascii="Arial" w:hAnsi="Arial" w:cs="Arial"/>
          <w:i/>
        </w:rPr>
        <w:t>Next</w:t>
      </w:r>
      <w:proofErr w:type="spellEnd"/>
      <w:r w:rsidRPr="00900F8E">
        <w:rPr>
          <w:rFonts w:ascii="Arial" w:hAnsi="Arial" w:cs="Arial"/>
        </w:rPr>
        <w:t xml:space="preserve"> </w:t>
      </w:r>
      <w:proofErr w:type="spellStart"/>
      <w:r w:rsidRPr="00E615AF">
        <w:rPr>
          <w:rFonts w:ascii="Arial" w:hAnsi="Arial" w:cs="Arial"/>
          <w:i/>
        </w:rPr>
        <w:t>Generation</w:t>
      </w:r>
      <w:proofErr w:type="spellEnd"/>
      <w:r w:rsidRPr="00900F8E">
        <w:rPr>
          <w:rFonts w:ascii="Arial" w:hAnsi="Arial" w:cs="Arial"/>
        </w:rPr>
        <w:t xml:space="preserve"> EU</w:t>
      </w:r>
      <w:r w:rsidR="004626AA">
        <w:rPr>
          <w:rFonts w:ascii="Arial" w:hAnsi="Arial" w:cs="Arial"/>
        </w:rPr>
        <w:t>)</w:t>
      </w:r>
      <w:r w:rsidRPr="00900F8E">
        <w:rPr>
          <w:rFonts w:ascii="Arial" w:hAnsi="Arial" w:cs="Arial"/>
        </w:rPr>
        <w:t xml:space="preserve">, v okviru katerega bodo Sloveniji na voljo tudi sredstva pobude </w:t>
      </w:r>
      <w:proofErr w:type="spellStart"/>
      <w:r w:rsidRPr="00E615AF">
        <w:rPr>
          <w:rFonts w:ascii="Arial" w:hAnsi="Arial" w:cs="Arial"/>
          <w:i/>
        </w:rPr>
        <w:t>React</w:t>
      </w:r>
      <w:proofErr w:type="spellEnd"/>
      <w:r w:rsidRPr="00900F8E">
        <w:rPr>
          <w:rFonts w:ascii="Arial" w:hAnsi="Arial" w:cs="Arial"/>
        </w:rPr>
        <w:t>-</w:t>
      </w:r>
      <w:r w:rsidRPr="00E615AF">
        <w:rPr>
          <w:rFonts w:ascii="Arial" w:hAnsi="Arial" w:cs="Arial"/>
          <w:i/>
        </w:rPr>
        <w:t>EU</w:t>
      </w:r>
      <w:r w:rsidR="00A36498">
        <w:rPr>
          <w:rFonts w:ascii="Arial" w:hAnsi="Arial" w:cs="Arial"/>
        </w:rPr>
        <w:t xml:space="preserve"> (</w:t>
      </w:r>
      <w:proofErr w:type="spellStart"/>
      <w:r w:rsidR="00A36498" w:rsidRPr="00E615AF">
        <w:rPr>
          <w:rFonts w:ascii="Arial" w:hAnsi="Arial" w:cs="Arial"/>
          <w:i/>
        </w:rPr>
        <w:t>Recovery</w:t>
      </w:r>
      <w:proofErr w:type="spellEnd"/>
      <w:r w:rsidR="00A36498" w:rsidRPr="00E615AF">
        <w:rPr>
          <w:rFonts w:ascii="Arial" w:hAnsi="Arial" w:cs="Arial"/>
          <w:i/>
        </w:rPr>
        <w:t xml:space="preserve"> </w:t>
      </w:r>
      <w:proofErr w:type="spellStart"/>
      <w:r w:rsidR="00A36498" w:rsidRPr="00E615AF">
        <w:rPr>
          <w:rFonts w:ascii="Arial" w:hAnsi="Arial" w:cs="Arial"/>
          <w:i/>
        </w:rPr>
        <w:t>Assistance</w:t>
      </w:r>
      <w:proofErr w:type="spellEnd"/>
      <w:r w:rsidR="00A36498" w:rsidRPr="00E615AF">
        <w:rPr>
          <w:rFonts w:ascii="Arial" w:hAnsi="Arial" w:cs="Arial"/>
          <w:i/>
        </w:rPr>
        <w:t xml:space="preserve"> for </w:t>
      </w:r>
      <w:proofErr w:type="spellStart"/>
      <w:r w:rsidR="00A36498" w:rsidRPr="00E615AF">
        <w:rPr>
          <w:rFonts w:ascii="Arial" w:hAnsi="Arial" w:cs="Arial"/>
          <w:i/>
        </w:rPr>
        <w:t>Cohesion</w:t>
      </w:r>
      <w:proofErr w:type="spellEnd"/>
      <w:r w:rsidR="00A36498" w:rsidRPr="00E615AF">
        <w:rPr>
          <w:rFonts w:ascii="Arial" w:hAnsi="Arial" w:cs="Arial"/>
          <w:i/>
        </w:rPr>
        <w:t xml:space="preserve"> and the </w:t>
      </w:r>
      <w:proofErr w:type="spellStart"/>
      <w:r w:rsidR="00A36498" w:rsidRPr="00E615AF">
        <w:rPr>
          <w:rFonts w:ascii="Arial" w:hAnsi="Arial" w:cs="Arial"/>
          <w:i/>
        </w:rPr>
        <w:t>Territories</w:t>
      </w:r>
      <w:proofErr w:type="spellEnd"/>
      <w:r w:rsidR="00A36498" w:rsidRPr="00E615AF">
        <w:rPr>
          <w:rFonts w:ascii="Arial" w:hAnsi="Arial" w:cs="Arial"/>
          <w:i/>
        </w:rPr>
        <w:t xml:space="preserve"> of </w:t>
      </w:r>
      <w:proofErr w:type="spellStart"/>
      <w:r w:rsidR="00A36498" w:rsidRPr="00E615AF">
        <w:rPr>
          <w:rFonts w:ascii="Arial" w:hAnsi="Arial" w:cs="Arial"/>
          <w:i/>
        </w:rPr>
        <w:t>Europe</w:t>
      </w:r>
      <w:proofErr w:type="spellEnd"/>
      <w:r w:rsidR="00A36498">
        <w:rPr>
          <w:rFonts w:ascii="Arial" w:hAnsi="Arial" w:cs="Arial"/>
        </w:rPr>
        <w:t>)</w:t>
      </w:r>
      <w:r w:rsidRPr="00900F8E">
        <w:rPr>
          <w:rFonts w:ascii="Arial" w:hAnsi="Arial" w:cs="Arial"/>
        </w:rPr>
        <w:t xml:space="preserve">, </w:t>
      </w:r>
      <w:r w:rsidR="00880E3A">
        <w:rPr>
          <w:rFonts w:ascii="Arial" w:hAnsi="Arial" w:cs="Arial"/>
        </w:rPr>
        <w:t>s</w:t>
      </w:r>
      <w:r w:rsidRPr="00900F8E">
        <w:rPr>
          <w:rFonts w:ascii="Arial" w:hAnsi="Arial" w:cs="Arial"/>
        </w:rPr>
        <w:t xml:space="preserve">klada za pravični prehod in </w:t>
      </w:r>
      <w:r w:rsidR="004626AA">
        <w:rPr>
          <w:rFonts w:ascii="Arial" w:hAnsi="Arial" w:cs="Arial"/>
        </w:rPr>
        <w:t>s</w:t>
      </w:r>
      <w:r w:rsidR="001B6C8F">
        <w:rPr>
          <w:rFonts w:ascii="Arial" w:hAnsi="Arial" w:cs="Arial"/>
        </w:rPr>
        <w:t>klada za r</w:t>
      </w:r>
      <w:r w:rsidRPr="00900F8E">
        <w:rPr>
          <w:rFonts w:ascii="Arial" w:hAnsi="Arial" w:cs="Arial"/>
        </w:rPr>
        <w:t>azvoj podeželja;</w:t>
      </w:r>
    </w:p>
    <w:p w14:paraId="08EAC74E" w14:textId="5CB46ABB" w:rsidR="00607DEC" w:rsidRPr="00607DEC" w:rsidRDefault="00607DEC" w:rsidP="00F92B3F">
      <w:pPr>
        <w:pStyle w:val="Odstavekseznama"/>
        <w:numPr>
          <w:ilvl w:val="0"/>
          <w:numId w:val="30"/>
        </w:numPr>
        <w:jc w:val="both"/>
        <w:rPr>
          <w:rFonts w:ascii="Arial" w:hAnsi="Arial" w:cs="Arial"/>
        </w:rPr>
      </w:pPr>
      <w:r w:rsidRPr="00607DEC">
        <w:rPr>
          <w:rFonts w:ascii="Arial" w:hAnsi="Arial" w:cs="Arial"/>
        </w:rPr>
        <w:t>v letu 20</w:t>
      </w:r>
      <w:r>
        <w:rPr>
          <w:rFonts w:ascii="Arial" w:hAnsi="Arial" w:cs="Arial"/>
        </w:rPr>
        <w:t>21</w:t>
      </w:r>
      <w:r w:rsidRPr="00607DEC">
        <w:rPr>
          <w:rFonts w:ascii="Arial" w:hAnsi="Arial" w:cs="Arial"/>
        </w:rPr>
        <w:t xml:space="preserve"> so trošarine za bencin in dizelsko gorivo v primerjavi z drugimi obremenitvami (</w:t>
      </w:r>
      <w:r w:rsidR="00C46D17">
        <w:rPr>
          <w:rFonts w:ascii="Arial" w:hAnsi="Arial" w:cs="Arial"/>
        </w:rPr>
        <w:t xml:space="preserve">dajatev </w:t>
      </w:r>
      <w:r w:rsidRPr="00607DEC">
        <w:rPr>
          <w:rFonts w:ascii="Arial" w:hAnsi="Arial" w:cs="Arial"/>
        </w:rPr>
        <w:t>CO2, prispevek URE, prispevek OVE, vse tehtano po dnevih, brez DDV v evrih) znašale 0,</w:t>
      </w:r>
      <w:r>
        <w:rPr>
          <w:rFonts w:ascii="Arial" w:hAnsi="Arial" w:cs="Arial"/>
        </w:rPr>
        <w:t>38</w:t>
      </w:r>
      <w:r w:rsidRPr="00607DEC">
        <w:rPr>
          <w:rFonts w:ascii="Arial" w:hAnsi="Arial" w:cs="Arial"/>
        </w:rPr>
        <w:t>/0,</w:t>
      </w:r>
      <w:r>
        <w:rPr>
          <w:rFonts w:ascii="Arial" w:hAnsi="Arial" w:cs="Arial"/>
        </w:rPr>
        <w:t>43</w:t>
      </w:r>
      <w:r w:rsidRPr="00607DEC">
        <w:rPr>
          <w:rFonts w:ascii="Arial" w:hAnsi="Arial" w:cs="Arial"/>
        </w:rPr>
        <w:t xml:space="preserve"> in 0,39/0,4</w:t>
      </w:r>
      <w:r>
        <w:rPr>
          <w:rFonts w:ascii="Arial" w:hAnsi="Arial" w:cs="Arial"/>
        </w:rPr>
        <w:t>5</w:t>
      </w:r>
      <w:r w:rsidRPr="00607DEC">
        <w:rPr>
          <w:rFonts w:ascii="Arial" w:hAnsi="Arial" w:cs="Arial"/>
        </w:rPr>
        <w:t>;</w:t>
      </w:r>
    </w:p>
    <w:p w14:paraId="18C1EF8A" w14:textId="1BFB3B1F" w:rsidR="00A35C67" w:rsidRDefault="001B6C8F" w:rsidP="00640804">
      <w:pPr>
        <w:pStyle w:val="Odstavekseznama"/>
        <w:numPr>
          <w:ilvl w:val="0"/>
          <w:numId w:val="30"/>
        </w:numPr>
        <w:spacing w:after="0" w:line="240" w:lineRule="auto"/>
        <w:jc w:val="both"/>
        <w:rPr>
          <w:rFonts w:ascii="Arial" w:hAnsi="Arial" w:cs="Arial"/>
        </w:rPr>
      </w:pPr>
      <w:r>
        <w:rPr>
          <w:rFonts w:ascii="Arial" w:hAnsi="Arial" w:cs="Arial"/>
        </w:rPr>
        <w:t>t</w:t>
      </w:r>
      <w:r w:rsidR="00A35C67" w:rsidRPr="00900F8E">
        <w:rPr>
          <w:rFonts w:ascii="Arial" w:hAnsi="Arial" w:cs="Arial"/>
        </w:rPr>
        <w:t xml:space="preserve">rošarine za bencin so se </w:t>
      </w:r>
      <w:r>
        <w:rPr>
          <w:rFonts w:ascii="Arial" w:hAnsi="Arial" w:cs="Arial"/>
        </w:rPr>
        <w:t>znova</w:t>
      </w:r>
      <w:r w:rsidRPr="00900F8E">
        <w:rPr>
          <w:rFonts w:ascii="Arial" w:hAnsi="Arial" w:cs="Arial"/>
        </w:rPr>
        <w:t xml:space="preserve"> </w:t>
      </w:r>
      <w:r w:rsidR="00A35C67" w:rsidRPr="00900F8E">
        <w:rPr>
          <w:rFonts w:ascii="Arial" w:hAnsi="Arial" w:cs="Arial"/>
        </w:rPr>
        <w:t xml:space="preserve">zmanjšale in so znašale 0,38 </w:t>
      </w:r>
      <w:r>
        <w:rPr>
          <w:rFonts w:ascii="Arial" w:hAnsi="Arial" w:cs="Arial"/>
        </w:rPr>
        <w:t>EUR</w:t>
      </w:r>
      <w:r w:rsidR="00A35C67" w:rsidRPr="00900F8E">
        <w:rPr>
          <w:rFonts w:ascii="Arial" w:hAnsi="Arial" w:cs="Arial"/>
        </w:rPr>
        <w:t>/l. Trošarine za dizelsko gorivo in kurilno olje so ostale enake kot v letu 2020;</w:t>
      </w:r>
    </w:p>
    <w:p w14:paraId="3D23567C" w14:textId="0F80A744" w:rsidR="00580600" w:rsidRPr="00580600" w:rsidRDefault="00580600" w:rsidP="00640804">
      <w:pPr>
        <w:pStyle w:val="Odstavekseznama"/>
        <w:numPr>
          <w:ilvl w:val="0"/>
          <w:numId w:val="30"/>
        </w:numPr>
        <w:spacing w:after="0" w:line="240" w:lineRule="auto"/>
        <w:jc w:val="both"/>
        <w:rPr>
          <w:rFonts w:ascii="Arial" w:hAnsi="Arial" w:cs="Arial"/>
        </w:rPr>
      </w:pPr>
      <w:r w:rsidRPr="00580600">
        <w:rPr>
          <w:rFonts w:ascii="Arial" w:hAnsi="Arial" w:cs="Arial"/>
        </w:rPr>
        <w:t>novelirana je bila Uredba o zelenem javnem naročanju (U</w:t>
      </w:r>
      <w:r w:rsidR="001B6C8F">
        <w:rPr>
          <w:rFonts w:ascii="Arial" w:hAnsi="Arial" w:cs="Arial"/>
        </w:rPr>
        <w:t xml:space="preserve">radni list RS, </w:t>
      </w:r>
      <w:r w:rsidRPr="00580600">
        <w:rPr>
          <w:rFonts w:ascii="Arial" w:hAnsi="Arial" w:cs="Arial"/>
        </w:rPr>
        <w:t>t. 121/21)</w:t>
      </w:r>
      <w:r>
        <w:rPr>
          <w:rFonts w:ascii="Arial" w:hAnsi="Arial" w:cs="Arial"/>
        </w:rPr>
        <w:t xml:space="preserve"> </w:t>
      </w:r>
      <w:r w:rsidRPr="00580600">
        <w:rPr>
          <w:rFonts w:ascii="Arial" w:hAnsi="Arial" w:cs="Arial"/>
        </w:rPr>
        <w:t>z naslednjimi spremembami: med predmete obveznega zelenega javnega naročanj</w:t>
      </w:r>
      <w:r w:rsidR="00C10BD6">
        <w:rPr>
          <w:rFonts w:ascii="Arial" w:hAnsi="Arial" w:cs="Arial"/>
        </w:rPr>
        <w:t>a</w:t>
      </w:r>
      <w:r w:rsidRPr="00580600">
        <w:rPr>
          <w:rFonts w:ascii="Arial" w:hAnsi="Arial" w:cs="Arial"/>
        </w:rPr>
        <w:t xml:space="preserve"> se vključijo stavbno pohištvo in protihrupne cestne ograje; povečuje se nabor stavb javnega sektorja, kjer se zahteva obvezen delež lesa ali lesenih tvoriv (na stavbe splošnega družbenega pomena (CC-SI 126, razen </w:t>
      </w:r>
      <w:r w:rsidR="009D7B94">
        <w:rPr>
          <w:rFonts w:ascii="Arial" w:hAnsi="Arial" w:cs="Arial"/>
        </w:rPr>
        <w:t>s</w:t>
      </w:r>
      <w:r w:rsidRPr="00580600">
        <w:rPr>
          <w:rFonts w:ascii="Arial" w:hAnsi="Arial" w:cs="Arial"/>
        </w:rPr>
        <w:t>tavb za zdravstveno oskrbo (CC-SI 1264 oziroma CC)</w:t>
      </w:r>
      <w:r w:rsidR="001B6C8F">
        <w:rPr>
          <w:rFonts w:ascii="Arial" w:hAnsi="Arial" w:cs="Arial"/>
        </w:rPr>
        <w:t>)</w:t>
      </w:r>
      <w:r w:rsidRPr="00580600">
        <w:rPr>
          <w:rFonts w:ascii="Arial" w:hAnsi="Arial" w:cs="Arial"/>
        </w:rPr>
        <w:t>, povečuje se tudi delež čistih vozil, spreminjajo se tehnični pogoji pri naročanju vozil, ki se skladno z direktivo imenujejo »čista vozila« ter »</w:t>
      </w:r>
      <w:proofErr w:type="spellStart"/>
      <w:r w:rsidRPr="00580600">
        <w:rPr>
          <w:rFonts w:ascii="Arial" w:hAnsi="Arial" w:cs="Arial"/>
        </w:rPr>
        <w:t>brezemisijska</w:t>
      </w:r>
      <w:proofErr w:type="spellEnd"/>
      <w:r w:rsidRPr="00580600">
        <w:rPr>
          <w:rFonts w:ascii="Arial" w:hAnsi="Arial" w:cs="Arial"/>
        </w:rPr>
        <w:t xml:space="preserve"> vozila«, predmet »</w:t>
      </w:r>
      <w:r w:rsidR="001B6C8F">
        <w:rPr>
          <w:rFonts w:ascii="Arial" w:hAnsi="Arial" w:cs="Arial"/>
        </w:rPr>
        <w:t>c</w:t>
      </w:r>
      <w:r w:rsidRPr="00580600">
        <w:rPr>
          <w:rFonts w:ascii="Arial" w:hAnsi="Arial" w:cs="Arial"/>
        </w:rPr>
        <w:t>estna vozila« se razširja tudi na nekatere storitve prevoza (poštne in kurirske dejavnosti, storitve zbiranja odpadkov, storitve javnega cestnega prevoza, ki se ne izvajajo kot gospodarska javna služba</w:t>
      </w:r>
      <w:r w:rsidR="001B6C8F">
        <w:rPr>
          <w:rFonts w:ascii="Arial" w:hAnsi="Arial" w:cs="Arial"/>
        </w:rPr>
        <w:t>,</w:t>
      </w:r>
      <w:r w:rsidRPr="00580600">
        <w:rPr>
          <w:rFonts w:ascii="Arial" w:hAnsi="Arial" w:cs="Arial"/>
        </w:rPr>
        <w:t xml:space="preserve"> in cestni potniški prevoz za posebne namene) in za ta predmet se določajo tudi novi, drugačni cilji, in sicer so ti opredeljeni v </w:t>
      </w:r>
      <w:r w:rsidR="001B6C8F">
        <w:rPr>
          <w:rFonts w:ascii="Arial" w:hAnsi="Arial" w:cs="Arial"/>
        </w:rPr>
        <w:t>p</w:t>
      </w:r>
      <w:r w:rsidRPr="00580600">
        <w:rPr>
          <w:rFonts w:ascii="Arial" w:hAnsi="Arial" w:cs="Arial"/>
        </w:rPr>
        <w:t xml:space="preserve">rilogi 2 </w:t>
      </w:r>
      <w:r>
        <w:rPr>
          <w:rFonts w:ascii="Arial" w:hAnsi="Arial" w:cs="Arial"/>
        </w:rPr>
        <w:t>u</w:t>
      </w:r>
      <w:r w:rsidRPr="00580600">
        <w:rPr>
          <w:rFonts w:ascii="Arial" w:hAnsi="Arial" w:cs="Arial"/>
        </w:rPr>
        <w:t xml:space="preserve">redbe, slednja pa tudi opredeljuje mejne vrednosti emisij za čista lahka vozila. Sprememba tudi </w:t>
      </w:r>
      <w:r w:rsidR="001B6C8F">
        <w:rPr>
          <w:rFonts w:ascii="Arial" w:hAnsi="Arial" w:cs="Arial"/>
        </w:rPr>
        <w:t>splošno</w:t>
      </w:r>
      <w:r w:rsidR="001B6C8F" w:rsidRPr="00580600">
        <w:rPr>
          <w:rFonts w:ascii="Arial" w:hAnsi="Arial" w:cs="Arial"/>
        </w:rPr>
        <w:t xml:space="preserve"> </w:t>
      </w:r>
      <w:r w:rsidRPr="00580600">
        <w:rPr>
          <w:rFonts w:ascii="Arial" w:hAnsi="Arial" w:cs="Arial"/>
        </w:rPr>
        <w:lastRenderedPageBreak/>
        <w:t xml:space="preserve">določa, da je pri javnem naročanju treba </w:t>
      </w:r>
      <w:r w:rsidR="001B6C8F">
        <w:rPr>
          <w:rFonts w:ascii="Arial" w:hAnsi="Arial" w:cs="Arial"/>
        </w:rPr>
        <w:t xml:space="preserve">dati </w:t>
      </w:r>
      <w:r w:rsidRPr="00580600">
        <w:rPr>
          <w:rFonts w:ascii="Arial" w:hAnsi="Arial" w:cs="Arial"/>
        </w:rPr>
        <w:t>prednost bolj trajnostnim proizvodom, bodisi proizvodom, ki ne vsebujejo plastike</w:t>
      </w:r>
      <w:r w:rsidR="001B6C8F">
        <w:rPr>
          <w:rFonts w:ascii="Arial" w:hAnsi="Arial" w:cs="Arial"/>
        </w:rPr>
        <w:t>,</w:t>
      </w:r>
      <w:r w:rsidRPr="00580600">
        <w:rPr>
          <w:rFonts w:ascii="Arial" w:hAnsi="Arial" w:cs="Arial"/>
        </w:rPr>
        <w:t xml:space="preserve"> ali proizvodom, ki so trajnejše zasnovani in jih je </w:t>
      </w:r>
      <w:r w:rsidR="001B6C8F">
        <w:rPr>
          <w:rFonts w:ascii="Arial" w:hAnsi="Arial" w:cs="Arial"/>
        </w:rPr>
        <w:t>mogoče</w:t>
      </w:r>
      <w:r w:rsidR="001B6C8F" w:rsidRPr="00580600">
        <w:rPr>
          <w:rFonts w:ascii="Arial" w:hAnsi="Arial" w:cs="Arial"/>
        </w:rPr>
        <w:t xml:space="preserve"> </w:t>
      </w:r>
      <w:r w:rsidRPr="00580600">
        <w:rPr>
          <w:rFonts w:ascii="Arial" w:hAnsi="Arial" w:cs="Arial"/>
        </w:rPr>
        <w:t>večkrat uporabiti. S to spremembo uredbe pa tako prehajamo že na 22 različnih segmentov oz</w:t>
      </w:r>
      <w:r w:rsidR="001B6C8F">
        <w:rPr>
          <w:rFonts w:ascii="Arial" w:hAnsi="Arial" w:cs="Arial"/>
        </w:rPr>
        <w:t>iroma</w:t>
      </w:r>
      <w:r w:rsidRPr="00580600">
        <w:rPr>
          <w:rFonts w:ascii="Arial" w:hAnsi="Arial" w:cs="Arial"/>
        </w:rPr>
        <w:t xml:space="preserve"> skupin produktov in storitev, kjer morajo biti doseženi zeleni cilji, kar nas uvršča v sam vrh držav članic po številu obveznih zelenih javnih naročil;</w:t>
      </w:r>
    </w:p>
    <w:p w14:paraId="039249EC" w14:textId="6664820E" w:rsidR="00580600" w:rsidRDefault="00580600" w:rsidP="00580600">
      <w:pPr>
        <w:pStyle w:val="Odstavekseznama"/>
        <w:numPr>
          <w:ilvl w:val="0"/>
          <w:numId w:val="30"/>
        </w:numPr>
        <w:spacing w:after="0" w:line="240" w:lineRule="auto"/>
        <w:jc w:val="both"/>
        <w:rPr>
          <w:rFonts w:ascii="Arial" w:hAnsi="Arial" w:cs="Arial"/>
        </w:rPr>
      </w:pPr>
      <w:r w:rsidRPr="00900F8E">
        <w:rPr>
          <w:rFonts w:ascii="Arial" w:hAnsi="Arial" w:cs="Arial"/>
        </w:rPr>
        <w:t xml:space="preserve">v okviru projekta LIFE IP CARE4CLIMATE </w:t>
      </w:r>
      <w:r>
        <w:rPr>
          <w:rFonts w:ascii="Arial" w:hAnsi="Arial" w:cs="Arial"/>
        </w:rPr>
        <w:t xml:space="preserve">se </w:t>
      </w:r>
      <w:r w:rsidRPr="00900F8E">
        <w:rPr>
          <w:rFonts w:ascii="Arial" w:hAnsi="Arial" w:cs="Arial"/>
        </w:rPr>
        <w:t xml:space="preserve">je </w:t>
      </w:r>
      <w:r>
        <w:rPr>
          <w:rFonts w:ascii="Arial" w:hAnsi="Arial" w:cs="Arial"/>
        </w:rPr>
        <w:t>pripravljalo</w:t>
      </w:r>
      <w:r w:rsidRPr="00900F8E">
        <w:rPr>
          <w:rFonts w:ascii="Arial" w:hAnsi="Arial" w:cs="Arial"/>
        </w:rPr>
        <w:t xml:space="preserve"> poročilo o Analizi trga ponudnikov in stroškovnih koristi zelenega javnega naročanja</w:t>
      </w:r>
      <w:r>
        <w:rPr>
          <w:rFonts w:ascii="Arial" w:hAnsi="Arial" w:cs="Arial"/>
        </w:rPr>
        <w:t>;</w:t>
      </w:r>
    </w:p>
    <w:p w14:paraId="1E2AA19A" w14:textId="721406D7" w:rsidR="00580600" w:rsidRPr="00900F8E" w:rsidRDefault="00580600" w:rsidP="00580600">
      <w:pPr>
        <w:pStyle w:val="Odstavekseznama"/>
        <w:numPr>
          <w:ilvl w:val="0"/>
          <w:numId w:val="30"/>
        </w:numPr>
        <w:spacing w:after="0" w:line="240" w:lineRule="auto"/>
        <w:jc w:val="both"/>
        <w:rPr>
          <w:rFonts w:ascii="Arial" w:hAnsi="Arial" w:cs="Arial"/>
        </w:rPr>
      </w:pPr>
      <w:r w:rsidRPr="00900F8E">
        <w:rPr>
          <w:rFonts w:ascii="Arial" w:hAnsi="Arial" w:cs="Arial"/>
        </w:rPr>
        <w:t xml:space="preserve">v okviru projekta LIFE IP CARE4CLIMATE </w:t>
      </w:r>
      <w:r w:rsidR="001B6C8F">
        <w:rPr>
          <w:rFonts w:ascii="Arial" w:hAnsi="Arial" w:cs="Arial"/>
        </w:rPr>
        <w:t xml:space="preserve">je bilo </w:t>
      </w:r>
      <w:r>
        <w:rPr>
          <w:rFonts w:ascii="Arial" w:hAnsi="Arial" w:cs="Arial"/>
        </w:rPr>
        <w:t>izvedenih</w:t>
      </w:r>
      <w:r w:rsidRPr="00900F8E">
        <w:rPr>
          <w:rFonts w:ascii="Arial" w:hAnsi="Arial" w:cs="Arial"/>
        </w:rPr>
        <w:t xml:space="preserve"> 24 delavnic za krepitev in prenos znanj, </w:t>
      </w:r>
      <w:r w:rsidR="001B6C8F">
        <w:rPr>
          <w:rFonts w:ascii="Arial" w:hAnsi="Arial" w:cs="Arial"/>
        </w:rPr>
        <w:t xml:space="preserve">ki so bile </w:t>
      </w:r>
      <w:r w:rsidRPr="00900F8E">
        <w:rPr>
          <w:rFonts w:ascii="Arial" w:hAnsi="Arial" w:cs="Arial"/>
        </w:rPr>
        <w:t>namenjene javn</w:t>
      </w:r>
      <w:r w:rsidR="001B6C8F">
        <w:rPr>
          <w:rFonts w:ascii="Arial" w:hAnsi="Arial" w:cs="Arial"/>
        </w:rPr>
        <w:t>im</w:t>
      </w:r>
      <w:r w:rsidRPr="00900F8E">
        <w:rPr>
          <w:rFonts w:ascii="Arial" w:hAnsi="Arial" w:cs="Arial"/>
        </w:rPr>
        <w:t xml:space="preserve"> naročnik</w:t>
      </w:r>
      <w:r w:rsidR="001B6C8F">
        <w:rPr>
          <w:rFonts w:ascii="Arial" w:hAnsi="Arial" w:cs="Arial"/>
        </w:rPr>
        <w:t>om</w:t>
      </w:r>
      <w:r w:rsidRPr="00900F8E">
        <w:rPr>
          <w:rFonts w:ascii="Arial" w:hAnsi="Arial" w:cs="Arial"/>
        </w:rPr>
        <w:t xml:space="preserve"> in ponudnik</w:t>
      </w:r>
      <w:r w:rsidR="001B6C8F">
        <w:rPr>
          <w:rFonts w:ascii="Arial" w:hAnsi="Arial" w:cs="Arial"/>
        </w:rPr>
        <w:t>om</w:t>
      </w:r>
      <w:r>
        <w:rPr>
          <w:rFonts w:ascii="Arial" w:hAnsi="Arial" w:cs="Arial"/>
        </w:rPr>
        <w:t xml:space="preserve">, </w:t>
      </w:r>
      <w:r w:rsidR="001B6C8F">
        <w:rPr>
          <w:rFonts w:ascii="Arial" w:hAnsi="Arial" w:cs="Arial"/>
        </w:rPr>
        <w:t>udeležilo pa</w:t>
      </w:r>
      <w:r>
        <w:rPr>
          <w:rFonts w:ascii="Arial" w:hAnsi="Arial" w:cs="Arial"/>
        </w:rPr>
        <w:t xml:space="preserve"> se jih je  </w:t>
      </w:r>
      <w:r w:rsidR="001B6C8F">
        <w:rPr>
          <w:rFonts w:ascii="Arial" w:hAnsi="Arial" w:cs="Arial"/>
        </w:rPr>
        <w:t>več kot</w:t>
      </w:r>
      <w:r>
        <w:rPr>
          <w:rFonts w:ascii="Arial" w:hAnsi="Arial" w:cs="Arial"/>
        </w:rPr>
        <w:t xml:space="preserve"> 600 udeležencev</w:t>
      </w:r>
      <w:r w:rsidRPr="00900F8E">
        <w:rPr>
          <w:rFonts w:ascii="Arial" w:hAnsi="Arial" w:cs="Arial"/>
        </w:rPr>
        <w:t>.</w:t>
      </w:r>
    </w:p>
    <w:p w14:paraId="7C4FE3A6" w14:textId="1FDD418E" w:rsidR="00BC5449" w:rsidRPr="00900F8E" w:rsidRDefault="00BC5449" w:rsidP="00BC5449">
      <w:pPr>
        <w:spacing w:after="0" w:line="240" w:lineRule="auto"/>
        <w:jc w:val="both"/>
        <w:rPr>
          <w:rFonts w:ascii="Arial" w:hAnsi="Arial" w:cs="Arial"/>
        </w:rPr>
      </w:pPr>
    </w:p>
    <w:p w14:paraId="21DF1BAF" w14:textId="5CF6CA30" w:rsidR="00EE70D5" w:rsidRPr="00900F8E" w:rsidRDefault="003825D3" w:rsidP="0065545E">
      <w:pPr>
        <w:pStyle w:val="Naslov2"/>
        <w:rPr>
          <w:rFonts w:ascii="Arial" w:hAnsi="Arial" w:cs="Arial"/>
          <w:color w:val="auto"/>
        </w:rPr>
      </w:pPr>
      <w:bookmarkStart w:id="31" w:name="_Toc120166937"/>
      <w:r w:rsidRPr="00900F8E">
        <w:rPr>
          <w:rFonts w:ascii="Arial" w:hAnsi="Arial" w:cs="Arial"/>
          <w:color w:val="auto"/>
        </w:rPr>
        <w:t>4</w:t>
      </w:r>
      <w:r w:rsidR="00EE70D5" w:rsidRPr="00900F8E">
        <w:rPr>
          <w:rFonts w:ascii="Arial" w:hAnsi="Arial" w:cs="Arial"/>
          <w:color w:val="auto"/>
        </w:rPr>
        <w:t>.2 Promet</w:t>
      </w:r>
      <w:bookmarkEnd w:id="31"/>
    </w:p>
    <w:p w14:paraId="41599800" w14:textId="46916B8E" w:rsidR="00620BDA" w:rsidRPr="00900F8E" w:rsidRDefault="00620BDA" w:rsidP="00C52E4C">
      <w:pPr>
        <w:spacing w:after="0" w:line="240" w:lineRule="auto"/>
        <w:jc w:val="both"/>
        <w:rPr>
          <w:rFonts w:ascii="Arial" w:hAnsi="Arial" w:cs="Arial"/>
          <w:sz w:val="16"/>
          <w:szCs w:val="16"/>
        </w:rPr>
      </w:pPr>
    </w:p>
    <w:p w14:paraId="71EC1D1C" w14:textId="5BE64B3A" w:rsidR="00637F22" w:rsidRPr="00900F8E" w:rsidRDefault="00637F22" w:rsidP="00C52E4C">
      <w:pPr>
        <w:spacing w:after="0" w:line="240" w:lineRule="auto"/>
        <w:jc w:val="both"/>
        <w:rPr>
          <w:rFonts w:ascii="Arial" w:hAnsi="Arial" w:cs="Arial"/>
        </w:rPr>
      </w:pPr>
      <w:r w:rsidRPr="00900F8E">
        <w:rPr>
          <w:rFonts w:ascii="Arial" w:hAnsi="Arial" w:cs="Arial"/>
        </w:rPr>
        <w:t xml:space="preserve">Področje </w:t>
      </w:r>
      <w:r w:rsidR="007B15CF" w:rsidRPr="00900F8E">
        <w:rPr>
          <w:rFonts w:ascii="Arial" w:hAnsi="Arial" w:cs="Arial"/>
        </w:rPr>
        <w:t>ukrepanja v sektorju promet zajema spodbujanje trajnostnega prometa, spodbujanje javnega potniškega prometa, trajnostnega tovornega prometa, izboljšanje učinkovitosti vozil, vožnje in zasedenosti vozil, alternativne rabe goriv in nemotoriziranih oblik prometa.</w:t>
      </w:r>
    </w:p>
    <w:p w14:paraId="6102ECB1" w14:textId="7DFC53F9" w:rsidR="00637F22" w:rsidRPr="00900F8E" w:rsidRDefault="00637F22" w:rsidP="00C52E4C">
      <w:pPr>
        <w:spacing w:after="0" w:line="240" w:lineRule="auto"/>
        <w:jc w:val="both"/>
        <w:rPr>
          <w:rFonts w:ascii="Arial" w:hAnsi="Arial" w:cs="Arial"/>
        </w:rPr>
      </w:pPr>
    </w:p>
    <w:p w14:paraId="542E6766" w14:textId="0557518E" w:rsidR="007B15CF" w:rsidRPr="00900F8E" w:rsidRDefault="007B15CF" w:rsidP="00C52E4C">
      <w:pPr>
        <w:spacing w:after="0" w:line="240" w:lineRule="auto"/>
        <w:jc w:val="both"/>
        <w:rPr>
          <w:rFonts w:ascii="Arial" w:hAnsi="Arial" w:cs="Arial"/>
        </w:rPr>
      </w:pPr>
      <w:r w:rsidRPr="00900F8E">
        <w:rPr>
          <w:rFonts w:ascii="Arial" w:hAnsi="Arial" w:cs="Arial"/>
        </w:rPr>
        <w:t xml:space="preserve">V letu 2020 so bile izvedene naslednje </w:t>
      </w:r>
      <w:r w:rsidR="00E07C48">
        <w:rPr>
          <w:rFonts w:ascii="Arial" w:hAnsi="Arial" w:cs="Arial"/>
        </w:rPr>
        <w:t>dejavnosti</w:t>
      </w:r>
      <w:r w:rsidRPr="00900F8E">
        <w:rPr>
          <w:rFonts w:ascii="Arial" w:hAnsi="Arial" w:cs="Arial"/>
        </w:rPr>
        <w:t>:</w:t>
      </w:r>
    </w:p>
    <w:p w14:paraId="6D996CD8" w14:textId="7150CD6B" w:rsidR="004B29A0" w:rsidRPr="00900F8E" w:rsidRDefault="001B6C8F" w:rsidP="00E02BBA">
      <w:pPr>
        <w:pStyle w:val="Odstavekseznama"/>
        <w:numPr>
          <w:ilvl w:val="0"/>
          <w:numId w:val="4"/>
        </w:numPr>
        <w:spacing w:after="0" w:line="240" w:lineRule="auto"/>
        <w:jc w:val="both"/>
        <w:rPr>
          <w:rFonts w:ascii="Arial" w:hAnsi="Arial" w:cs="Arial"/>
        </w:rPr>
      </w:pPr>
      <w:r>
        <w:rPr>
          <w:rFonts w:ascii="Arial" w:hAnsi="Arial" w:cs="Arial"/>
        </w:rPr>
        <w:t>c</w:t>
      </w:r>
      <w:r w:rsidR="005F1F2D" w:rsidRPr="00900F8E">
        <w:rPr>
          <w:rFonts w:ascii="Arial" w:hAnsi="Arial" w:cs="Arial"/>
        </w:rPr>
        <w:t>elostno prometno strategijo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005F1F2D" w:rsidRPr="00900F8E">
        <w:rPr>
          <w:rFonts w:ascii="Arial" w:hAnsi="Arial" w:cs="Arial"/>
        </w:rPr>
        <w:t>CPS) sta sprejeli še občina Ankaran in Dob</w:t>
      </w:r>
      <w:r>
        <w:rPr>
          <w:rFonts w:ascii="Arial" w:hAnsi="Arial" w:cs="Arial"/>
        </w:rPr>
        <w:t>r</w:t>
      </w:r>
      <w:r w:rsidR="005F1F2D" w:rsidRPr="00900F8E">
        <w:rPr>
          <w:rFonts w:ascii="Arial" w:hAnsi="Arial" w:cs="Arial"/>
        </w:rPr>
        <w:t xml:space="preserve">ova </w:t>
      </w:r>
      <w:r>
        <w:rPr>
          <w:rFonts w:ascii="Arial" w:hAnsi="Arial" w:cs="Arial"/>
        </w:rPr>
        <w:t>-</w:t>
      </w:r>
      <w:r w:rsidRPr="00900F8E">
        <w:rPr>
          <w:rFonts w:ascii="Arial" w:hAnsi="Arial" w:cs="Arial"/>
        </w:rPr>
        <w:t xml:space="preserve"> </w:t>
      </w:r>
      <w:r w:rsidR="005F1F2D" w:rsidRPr="00900F8E">
        <w:rPr>
          <w:rFonts w:ascii="Arial" w:hAnsi="Arial" w:cs="Arial"/>
        </w:rPr>
        <w:t>Polhov Gradec. Skupno je CPS sprejelo že 86 občin.</w:t>
      </w:r>
      <w:r w:rsidR="003F3573" w:rsidRPr="00900F8E">
        <w:rPr>
          <w:rFonts w:ascii="Arial" w:hAnsi="Arial" w:cs="Arial"/>
        </w:rPr>
        <w:t xml:space="preserve"> </w:t>
      </w:r>
      <w:r w:rsidR="00847B2C">
        <w:rPr>
          <w:rFonts w:ascii="Arial" w:hAnsi="Arial" w:cs="Arial"/>
        </w:rPr>
        <w:t>Končal</w:t>
      </w:r>
      <w:r w:rsidR="00847B2C" w:rsidRPr="00900F8E">
        <w:rPr>
          <w:rFonts w:ascii="Arial" w:hAnsi="Arial" w:cs="Arial"/>
        </w:rPr>
        <w:t xml:space="preserve"> </w:t>
      </w:r>
      <w:r w:rsidR="003F3573" w:rsidRPr="00900F8E">
        <w:rPr>
          <w:rFonts w:ascii="Arial" w:hAnsi="Arial" w:cs="Arial"/>
        </w:rPr>
        <w:t>se je projekt CIVITAS PROSPERITY, ki daj</w:t>
      </w:r>
      <w:r>
        <w:rPr>
          <w:rFonts w:ascii="Arial" w:hAnsi="Arial" w:cs="Arial"/>
        </w:rPr>
        <w:t>e</w:t>
      </w:r>
      <w:r w:rsidR="003F3573" w:rsidRPr="00900F8E">
        <w:rPr>
          <w:rFonts w:ascii="Arial" w:hAnsi="Arial" w:cs="Arial"/>
        </w:rPr>
        <w:t xml:space="preserve"> izhodišča in opis metodologije, navodila za izdelavo presoje kakovosti vsebine celostnih prometnih strategij ter priporočila za nadaljnje delo</w:t>
      </w:r>
      <w:r w:rsidR="003338BA" w:rsidRPr="00900F8E">
        <w:rPr>
          <w:rFonts w:ascii="Arial" w:hAnsi="Arial" w:cs="Arial"/>
        </w:rPr>
        <w:t>;</w:t>
      </w:r>
    </w:p>
    <w:p w14:paraId="7E379E11" w14:textId="43E585BF" w:rsidR="003F3573" w:rsidRPr="00900F8E" w:rsidRDefault="008D7F01" w:rsidP="00E02BBA">
      <w:pPr>
        <w:pStyle w:val="Odstavekseznama"/>
        <w:numPr>
          <w:ilvl w:val="0"/>
          <w:numId w:val="4"/>
        </w:numPr>
        <w:spacing w:after="0" w:line="240" w:lineRule="auto"/>
        <w:jc w:val="both"/>
        <w:rPr>
          <w:rFonts w:ascii="Arial" w:hAnsi="Arial" w:cs="Arial"/>
        </w:rPr>
      </w:pPr>
      <w:r w:rsidRPr="00900F8E">
        <w:rPr>
          <w:rFonts w:ascii="Arial" w:hAnsi="Arial" w:cs="Arial"/>
        </w:rPr>
        <w:t>RRA LUR je pripravila prvi osnutek Regionalnega razvojnega programa Ljubljanske urbane regije 2021–2027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RRP LUR)</w:t>
      </w:r>
      <w:r w:rsidR="003338BA" w:rsidRPr="00900F8E">
        <w:rPr>
          <w:rFonts w:ascii="Arial" w:hAnsi="Arial" w:cs="Arial"/>
        </w:rPr>
        <w:t>;</w:t>
      </w:r>
    </w:p>
    <w:p w14:paraId="7E2E34E7" w14:textId="72D1CDBD" w:rsidR="008D7F01" w:rsidRPr="00900F8E" w:rsidRDefault="00D34E0C" w:rsidP="00E02BBA">
      <w:pPr>
        <w:pStyle w:val="Odstavekseznama"/>
        <w:numPr>
          <w:ilvl w:val="0"/>
          <w:numId w:val="4"/>
        </w:numPr>
        <w:spacing w:after="0" w:line="240" w:lineRule="auto"/>
        <w:jc w:val="both"/>
        <w:rPr>
          <w:rFonts w:ascii="Arial" w:hAnsi="Arial" w:cs="Arial"/>
        </w:rPr>
      </w:pPr>
      <w:r w:rsidRPr="00900F8E">
        <w:rPr>
          <w:rFonts w:ascii="Arial" w:hAnsi="Arial" w:cs="Arial"/>
        </w:rPr>
        <w:t>MOP je v okviru Državnega prostorskega reda objavil dokument Mirujoči promet v urbanih naseljih: priporočila</w:t>
      </w:r>
      <w:r w:rsidR="003338BA" w:rsidRPr="00900F8E">
        <w:rPr>
          <w:rFonts w:ascii="Arial" w:hAnsi="Arial" w:cs="Arial"/>
        </w:rPr>
        <w:t>;</w:t>
      </w:r>
    </w:p>
    <w:p w14:paraId="35C48931" w14:textId="5748BE3C" w:rsidR="00D34E0C" w:rsidRPr="00900F8E" w:rsidRDefault="006967D0" w:rsidP="00E02BBA">
      <w:pPr>
        <w:pStyle w:val="Odstavekseznama"/>
        <w:numPr>
          <w:ilvl w:val="0"/>
          <w:numId w:val="4"/>
        </w:numPr>
        <w:spacing w:after="0" w:line="240" w:lineRule="auto"/>
        <w:jc w:val="both"/>
        <w:rPr>
          <w:rFonts w:ascii="Arial" w:hAnsi="Arial" w:cs="Arial"/>
        </w:rPr>
      </w:pPr>
      <w:r w:rsidRPr="00900F8E">
        <w:rPr>
          <w:rFonts w:ascii="Arial" w:hAnsi="Arial" w:cs="Arial"/>
        </w:rPr>
        <w:t xml:space="preserve">Ministrstvo za infrastrukturo </w:t>
      </w:r>
      <w:r w:rsidR="00DA140E">
        <w:rPr>
          <w:rFonts w:ascii="Arial" w:hAnsi="Arial" w:cs="Arial"/>
        </w:rPr>
        <w:t xml:space="preserve">Republike Slovenije </w:t>
      </w:r>
      <w:r w:rsidRPr="00900F8E">
        <w:rPr>
          <w:rFonts w:ascii="Arial" w:hAnsi="Arial" w:cs="Arial"/>
        </w:rPr>
        <w:t xml:space="preserve">(v </w:t>
      </w:r>
      <w:r w:rsidR="00930529">
        <w:rPr>
          <w:rFonts w:ascii="Arial" w:hAnsi="Arial" w:cs="Arial"/>
        </w:rPr>
        <w:t>nadaljnjem besedilu</w:t>
      </w:r>
      <w:r w:rsidRPr="00900F8E">
        <w:rPr>
          <w:rFonts w:ascii="Arial" w:hAnsi="Arial" w:cs="Arial"/>
        </w:rPr>
        <w:t xml:space="preserve">: </w:t>
      </w:r>
      <w:r w:rsidR="008A4324" w:rsidRPr="00900F8E">
        <w:rPr>
          <w:rFonts w:ascii="Arial" w:hAnsi="Arial" w:cs="Arial"/>
        </w:rPr>
        <w:t>MzI</w:t>
      </w:r>
      <w:r w:rsidRPr="00900F8E">
        <w:rPr>
          <w:rFonts w:ascii="Arial" w:hAnsi="Arial" w:cs="Arial"/>
        </w:rPr>
        <w:t>)</w:t>
      </w:r>
      <w:r w:rsidR="008A4324" w:rsidRPr="00900F8E">
        <w:rPr>
          <w:rFonts w:ascii="Arial" w:hAnsi="Arial" w:cs="Arial"/>
        </w:rPr>
        <w:t xml:space="preserve"> je skupaj z izvajalci projekta Izobraževanje za trajnostno mobilnost organiziralo več izobraževanj, in sicer Upravljanje parkirnih mest, Sodobni pristopi k celostnemu umirjanju prometa v naseljih, Urejanje javnega prostora po meri pešcev in kolesarjev, Nova orodja za pripravo celostnih prometnih strategij in </w:t>
      </w:r>
      <w:proofErr w:type="spellStart"/>
      <w:r w:rsidR="008A4324" w:rsidRPr="00900F8E">
        <w:rPr>
          <w:rFonts w:ascii="Arial" w:hAnsi="Arial" w:cs="Arial"/>
        </w:rPr>
        <w:t>Mikromobilnost</w:t>
      </w:r>
      <w:proofErr w:type="spellEnd"/>
      <w:r w:rsidR="003338BA" w:rsidRPr="00900F8E">
        <w:rPr>
          <w:rFonts w:ascii="Arial" w:hAnsi="Arial" w:cs="Arial"/>
        </w:rPr>
        <w:t>;</w:t>
      </w:r>
    </w:p>
    <w:p w14:paraId="6D1246CD" w14:textId="5BA8D2EC" w:rsidR="005074F8" w:rsidRPr="00900F8E" w:rsidRDefault="003338BA" w:rsidP="00640804">
      <w:pPr>
        <w:pStyle w:val="Odstavekseznama"/>
        <w:numPr>
          <w:ilvl w:val="0"/>
          <w:numId w:val="4"/>
        </w:numPr>
        <w:spacing w:after="0" w:line="240" w:lineRule="auto"/>
        <w:jc w:val="both"/>
        <w:rPr>
          <w:rFonts w:ascii="Arial" w:hAnsi="Arial" w:cs="Arial"/>
        </w:rPr>
      </w:pPr>
      <w:r w:rsidRPr="00900F8E">
        <w:rPr>
          <w:rFonts w:ascii="Arial" w:hAnsi="Arial" w:cs="Arial"/>
        </w:rPr>
        <w:t>v</w:t>
      </w:r>
      <w:r w:rsidR="00EE594D" w:rsidRPr="00900F8E">
        <w:rPr>
          <w:rFonts w:ascii="Arial" w:hAnsi="Arial" w:cs="Arial"/>
        </w:rPr>
        <w:t xml:space="preserve"> sklopu akcije Zelena logistika pod okriljem projekta LIFE IP CARE4CLIMATE je bila izvedena delavnica Upravljanje mestne logistike</w:t>
      </w:r>
      <w:r w:rsidR="00BB4CE4" w:rsidRPr="00900F8E">
        <w:rPr>
          <w:rFonts w:ascii="Arial" w:hAnsi="Arial" w:cs="Arial"/>
        </w:rPr>
        <w:t>. V</w:t>
      </w:r>
      <w:r w:rsidR="005074F8" w:rsidRPr="00900F8E">
        <w:rPr>
          <w:rFonts w:ascii="Arial" w:hAnsi="Arial" w:cs="Arial"/>
        </w:rPr>
        <w:t xml:space="preserve"> Škofji Loki </w:t>
      </w:r>
      <w:r w:rsidR="00BB4CE4" w:rsidRPr="00900F8E">
        <w:rPr>
          <w:rFonts w:ascii="Arial" w:hAnsi="Arial" w:cs="Arial"/>
        </w:rPr>
        <w:t xml:space="preserve">je </w:t>
      </w:r>
      <w:r w:rsidR="005074F8" w:rsidRPr="00900F8E">
        <w:rPr>
          <w:rFonts w:ascii="Arial" w:hAnsi="Arial" w:cs="Arial"/>
        </w:rPr>
        <w:t>potekala Odprta ulica, pri čemer pešci in kolesarji dobijo prednost, motorni promet pa je omejen;</w:t>
      </w:r>
    </w:p>
    <w:p w14:paraId="633F4302" w14:textId="1CB6F970" w:rsidR="00EE594D" w:rsidRPr="00900F8E" w:rsidRDefault="003338BA" w:rsidP="00E02BBA">
      <w:pPr>
        <w:pStyle w:val="Odstavekseznama"/>
        <w:numPr>
          <w:ilvl w:val="0"/>
          <w:numId w:val="4"/>
        </w:numPr>
        <w:spacing w:after="0" w:line="240" w:lineRule="auto"/>
        <w:jc w:val="both"/>
        <w:rPr>
          <w:rFonts w:ascii="Arial" w:hAnsi="Arial" w:cs="Arial"/>
        </w:rPr>
      </w:pPr>
      <w:r w:rsidRPr="00900F8E">
        <w:rPr>
          <w:rFonts w:ascii="Arial" w:hAnsi="Arial" w:cs="Arial"/>
        </w:rPr>
        <w:t>i</w:t>
      </w:r>
      <w:r w:rsidR="00EE594D" w:rsidRPr="00900F8E">
        <w:rPr>
          <w:rFonts w:ascii="Arial" w:hAnsi="Arial" w:cs="Arial"/>
        </w:rPr>
        <w:t>zvedena je bila 4. nacionalna konferenca o trajnostni mobilnosti s tematiko integracije prostorskega in prometnega načrtovanja</w:t>
      </w:r>
      <w:r w:rsidRPr="00900F8E">
        <w:rPr>
          <w:rFonts w:ascii="Arial" w:hAnsi="Arial" w:cs="Arial"/>
        </w:rPr>
        <w:t>;</w:t>
      </w:r>
    </w:p>
    <w:p w14:paraId="4ADC564D" w14:textId="3EB25E4A" w:rsidR="008A4324" w:rsidRPr="00900F8E" w:rsidRDefault="003338BA" w:rsidP="00E02BBA">
      <w:pPr>
        <w:pStyle w:val="Odstavekseznama"/>
        <w:numPr>
          <w:ilvl w:val="0"/>
          <w:numId w:val="4"/>
        </w:numPr>
        <w:spacing w:after="0" w:line="240" w:lineRule="auto"/>
        <w:jc w:val="both"/>
        <w:rPr>
          <w:rFonts w:ascii="Arial" w:hAnsi="Arial" w:cs="Arial"/>
        </w:rPr>
      </w:pPr>
      <w:r w:rsidRPr="00900F8E">
        <w:rPr>
          <w:rFonts w:ascii="Arial" w:hAnsi="Arial" w:cs="Arial"/>
        </w:rPr>
        <w:t>i</w:t>
      </w:r>
      <w:r w:rsidR="00EE594D" w:rsidRPr="00900F8E">
        <w:rPr>
          <w:rFonts w:ascii="Arial" w:hAnsi="Arial" w:cs="Arial"/>
        </w:rPr>
        <w:t xml:space="preserve">zvajala se je promocija certifikata Pešcem prijazna ustanova, ki je namenjen podjetjem, javnim ustanovam in nevladnim organizacijam, ki že zagotavljajo dobre pogoje za dostop do svoje lokacije pešcem ali pa želijo na tem področju v prihodnje </w:t>
      </w:r>
      <w:r w:rsidR="001B6C8F">
        <w:rPr>
          <w:rFonts w:ascii="Arial" w:hAnsi="Arial" w:cs="Arial"/>
        </w:rPr>
        <w:t>dejavno</w:t>
      </w:r>
      <w:r w:rsidR="001B6C8F" w:rsidRPr="00900F8E">
        <w:rPr>
          <w:rFonts w:ascii="Arial" w:hAnsi="Arial" w:cs="Arial"/>
        </w:rPr>
        <w:t xml:space="preserve"> </w:t>
      </w:r>
      <w:r w:rsidR="00EE594D" w:rsidRPr="00900F8E">
        <w:rPr>
          <w:rFonts w:ascii="Arial" w:hAnsi="Arial" w:cs="Arial"/>
        </w:rPr>
        <w:t>delovati</w:t>
      </w:r>
      <w:r w:rsidRPr="00900F8E">
        <w:rPr>
          <w:rFonts w:ascii="Arial" w:hAnsi="Arial" w:cs="Arial"/>
        </w:rPr>
        <w:t>;</w:t>
      </w:r>
    </w:p>
    <w:p w14:paraId="1269BFB6" w14:textId="09421A59" w:rsidR="00D52D40" w:rsidRPr="00900F8E" w:rsidRDefault="001B6C8F" w:rsidP="00E02BBA">
      <w:pPr>
        <w:pStyle w:val="Odstavekseznama"/>
        <w:numPr>
          <w:ilvl w:val="0"/>
          <w:numId w:val="4"/>
        </w:numPr>
        <w:spacing w:after="0" w:line="240" w:lineRule="auto"/>
        <w:jc w:val="both"/>
        <w:rPr>
          <w:rFonts w:ascii="Arial" w:hAnsi="Arial" w:cs="Arial"/>
        </w:rPr>
      </w:pPr>
      <w:r>
        <w:rPr>
          <w:rFonts w:ascii="Arial" w:hAnsi="Arial" w:cs="Arial"/>
        </w:rPr>
        <w:t>e</w:t>
      </w:r>
      <w:r w:rsidR="00EC02BD" w:rsidRPr="00900F8E">
        <w:rPr>
          <w:rFonts w:ascii="Arial" w:hAnsi="Arial" w:cs="Arial"/>
        </w:rPr>
        <w:t>vropskemu tednu mobilnosti se je pridružilo 78 občin, ki so občane spodbujale k hoji ali kolesarjenju</w:t>
      </w:r>
      <w:r w:rsidR="003E4371">
        <w:rPr>
          <w:rFonts w:ascii="Arial" w:hAnsi="Arial" w:cs="Arial"/>
        </w:rPr>
        <w:t xml:space="preserve">, od tega je 35 občin pridobilo sofinanciranje za izvajanje </w:t>
      </w:r>
      <w:r w:rsidR="00E07C48">
        <w:rPr>
          <w:rFonts w:ascii="Arial" w:hAnsi="Arial" w:cs="Arial"/>
        </w:rPr>
        <w:t>dejavnosti</w:t>
      </w:r>
      <w:r w:rsidR="003E4371">
        <w:rPr>
          <w:rFonts w:ascii="Arial" w:hAnsi="Arial" w:cs="Arial"/>
        </w:rPr>
        <w:t xml:space="preserve"> v okviru ETM iz sredstev Sklada za podnebne spremembe v okviru projekta LIFE IP CARE4CLIMATE</w:t>
      </w:r>
      <w:r w:rsidR="00EC02BD" w:rsidRPr="00900F8E">
        <w:rPr>
          <w:rFonts w:ascii="Arial" w:hAnsi="Arial" w:cs="Arial"/>
        </w:rPr>
        <w:t xml:space="preserve">. </w:t>
      </w:r>
      <w:r w:rsidR="00227ECA" w:rsidRPr="00900F8E">
        <w:rPr>
          <w:rFonts w:ascii="Arial" w:hAnsi="Arial" w:cs="Arial"/>
        </w:rPr>
        <w:t xml:space="preserve">Več občin je organiziralo </w:t>
      </w:r>
      <w:r w:rsidR="00B86114">
        <w:rPr>
          <w:rFonts w:ascii="Arial" w:hAnsi="Arial" w:cs="Arial"/>
        </w:rPr>
        <w:t>d</w:t>
      </w:r>
      <w:r w:rsidR="00227ECA" w:rsidRPr="00900F8E">
        <w:rPr>
          <w:rFonts w:ascii="Arial" w:hAnsi="Arial" w:cs="Arial"/>
        </w:rPr>
        <w:t xml:space="preserve">an brez avtomobila, </w:t>
      </w:r>
      <w:r w:rsidR="00B86114">
        <w:rPr>
          <w:rFonts w:ascii="Arial" w:hAnsi="Arial" w:cs="Arial"/>
        </w:rPr>
        <w:t>p</w:t>
      </w:r>
      <w:r w:rsidR="00227ECA" w:rsidRPr="00900F8E">
        <w:rPr>
          <w:rFonts w:ascii="Arial" w:hAnsi="Arial" w:cs="Arial"/>
        </w:rPr>
        <w:t>ark(</w:t>
      </w:r>
      <w:proofErr w:type="spellStart"/>
      <w:r w:rsidR="00227ECA" w:rsidRPr="00900F8E">
        <w:rPr>
          <w:rFonts w:ascii="Arial" w:hAnsi="Arial" w:cs="Arial"/>
        </w:rPr>
        <w:t>irni</w:t>
      </w:r>
      <w:proofErr w:type="spellEnd"/>
      <w:r w:rsidR="00227ECA" w:rsidRPr="00900F8E">
        <w:rPr>
          <w:rFonts w:ascii="Arial" w:hAnsi="Arial" w:cs="Arial"/>
        </w:rPr>
        <w:t xml:space="preserve">) dan ali </w:t>
      </w:r>
      <w:proofErr w:type="spellStart"/>
      <w:r w:rsidR="00B86114">
        <w:rPr>
          <w:rFonts w:ascii="Arial" w:hAnsi="Arial" w:cs="Arial"/>
        </w:rPr>
        <w:t>p</w:t>
      </w:r>
      <w:r w:rsidR="00227ECA" w:rsidRPr="00900F8E">
        <w:rPr>
          <w:rFonts w:ascii="Arial" w:hAnsi="Arial" w:cs="Arial"/>
        </w:rPr>
        <w:t>ešbus</w:t>
      </w:r>
      <w:proofErr w:type="spellEnd"/>
      <w:r w:rsidR="00227ECA" w:rsidRPr="00900F8E">
        <w:rPr>
          <w:rFonts w:ascii="Arial" w:hAnsi="Arial" w:cs="Arial"/>
        </w:rPr>
        <w:t>.</w:t>
      </w:r>
      <w:r w:rsidR="00B76B16" w:rsidRPr="00900F8E">
        <w:rPr>
          <w:rFonts w:ascii="Arial" w:hAnsi="Arial" w:cs="Arial"/>
        </w:rPr>
        <w:t xml:space="preserve"> V okviru projekta Izobraževanje za trajnostno mobilnost v vrtcih in osnovnih šolah se je z Belim zajčkom in </w:t>
      </w:r>
      <w:r w:rsidR="005E0CFB">
        <w:rPr>
          <w:rFonts w:ascii="Arial" w:hAnsi="Arial" w:cs="Arial"/>
        </w:rPr>
        <w:t>k</w:t>
      </w:r>
      <w:r w:rsidR="00B76B16" w:rsidRPr="00900F8E">
        <w:rPr>
          <w:rFonts w:ascii="Arial" w:hAnsi="Arial" w:cs="Arial"/>
        </w:rPr>
        <w:t>okoško Rozi spodbujalo otroke in njihove starše, da pustijo avto doma.</w:t>
      </w:r>
      <w:r w:rsidR="00E8710C" w:rsidRPr="00900F8E">
        <w:rPr>
          <w:rFonts w:ascii="Arial" w:hAnsi="Arial" w:cs="Arial"/>
        </w:rPr>
        <w:t xml:space="preserve"> S programom Aktivno v šolo in zdravo mesto je bilo izvedeno spletno usposabljanje za izvajanje </w:t>
      </w:r>
      <w:r w:rsidR="000F6E1F">
        <w:rPr>
          <w:rFonts w:ascii="Arial" w:hAnsi="Arial" w:cs="Arial"/>
        </w:rPr>
        <w:t>akcij</w:t>
      </w:r>
      <w:r w:rsidR="00232C30">
        <w:rPr>
          <w:rFonts w:ascii="Arial" w:hAnsi="Arial" w:cs="Arial"/>
        </w:rPr>
        <w:t xml:space="preserve"> </w:t>
      </w:r>
      <w:r w:rsidR="00E8710C" w:rsidRPr="00900F8E">
        <w:rPr>
          <w:rFonts w:ascii="Arial" w:hAnsi="Arial" w:cs="Arial"/>
        </w:rPr>
        <w:t xml:space="preserve">Pešbus in Bicivlak. V šolskem letu 2020/2021 je </w:t>
      </w:r>
      <w:proofErr w:type="spellStart"/>
      <w:r w:rsidR="00900E5E">
        <w:rPr>
          <w:rFonts w:ascii="Arial" w:hAnsi="Arial" w:cs="Arial"/>
        </w:rPr>
        <w:t>p</w:t>
      </w:r>
      <w:r w:rsidR="00E8710C" w:rsidRPr="00900F8E">
        <w:rPr>
          <w:rFonts w:ascii="Arial" w:hAnsi="Arial" w:cs="Arial"/>
        </w:rPr>
        <w:t>ešbus</w:t>
      </w:r>
      <w:proofErr w:type="spellEnd"/>
      <w:r w:rsidR="00E8710C" w:rsidRPr="00900F8E">
        <w:rPr>
          <w:rFonts w:ascii="Arial" w:hAnsi="Arial" w:cs="Arial"/>
        </w:rPr>
        <w:t xml:space="preserve"> potekal na 76 šolah in v enem vrtcu, dve šoli sta izvajali </w:t>
      </w:r>
      <w:proofErr w:type="spellStart"/>
      <w:r w:rsidR="00900E5E">
        <w:rPr>
          <w:rFonts w:ascii="Arial" w:hAnsi="Arial" w:cs="Arial"/>
        </w:rPr>
        <w:t>b</w:t>
      </w:r>
      <w:r w:rsidR="00E8710C" w:rsidRPr="00900F8E">
        <w:rPr>
          <w:rFonts w:ascii="Arial" w:hAnsi="Arial" w:cs="Arial"/>
        </w:rPr>
        <w:t>icivlak</w:t>
      </w:r>
      <w:proofErr w:type="spellEnd"/>
      <w:r w:rsidR="003338BA" w:rsidRPr="00900F8E">
        <w:rPr>
          <w:rFonts w:ascii="Arial" w:hAnsi="Arial" w:cs="Arial"/>
        </w:rPr>
        <w:t>;</w:t>
      </w:r>
    </w:p>
    <w:p w14:paraId="4FF5DB50" w14:textId="49A4FF25" w:rsidR="00B76B16" w:rsidRPr="00900F8E" w:rsidRDefault="002A36F5" w:rsidP="00E02BBA">
      <w:pPr>
        <w:pStyle w:val="Odstavekseznama"/>
        <w:numPr>
          <w:ilvl w:val="0"/>
          <w:numId w:val="4"/>
        </w:numPr>
        <w:spacing w:after="0" w:line="240" w:lineRule="auto"/>
        <w:jc w:val="both"/>
        <w:rPr>
          <w:rFonts w:ascii="Arial" w:hAnsi="Arial" w:cs="Arial"/>
        </w:rPr>
      </w:pPr>
      <w:r w:rsidRPr="00900F8E">
        <w:rPr>
          <w:rFonts w:ascii="Arial" w:hAnsi="Arial" w:cs="Arial"/>
        </w:rPr>
        <w:t>IPoP – inštitut za politike prostora in CIPRA Slovenija Društvo za varstvo Alp v sodelovanju z Zavodom Dostop, Zavodom za spodbujanje dostopnosti in lokalnimi akterji v okviru prog so izdelali prvi Lokalni načrt hodljivosti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LNH) za boljše zdravje in kakovost bivanja za Črno na Koroškem</w:t>
      </w:r>
      <w:r w:rsidR="003338BA" w:rsidRPr="00900F8E">
        <w:rPr>
          <w:rFonts w:ascii="Arial" w:hAnsi="Arial" w:cs="Arial"/>
        </w:rPr>
        <w:t>;</w:t>
      </w:r>
    </w:p>
    <w:p w14:paraId="20464FAB" w14:textId="59DD17B7" w:rsidR="00050386" w:rsidRPr="00900F8E" w:rsidRDefault="00C21E50" w:rsidP="00E02BBA">
      <w:pPr>
        <w:pStyle w:val="Odstavekseznama"/>
        <w:numPr>
          <w:ilvl w:val="0"/>
          <w:numId w:val="4"/>
        </w:numPr>
        <w:spacing w:after="0" w:line="240" w:lineRule="auto"/>
        <w:jc w:val="both"/>
        <w:rPr>
          <w:rFonts w:ascii="Arial" w:hAnsi="Arial" w:cs="Arial"/>
        </w:rPr>
      </w:pPr>
      <w:r w:rsidRPr="00900F8E">
        <w:rPr>
          <w:rFonts w:ascii="Arial" w:hAnsi="Arial" w:cs="Arial"/>
        </w:rPr>
        <w:lastRenderedPageBreak/>
        <w:t>predstavljen je bil osnutek Strategije prostorskega razvoja Slovenije 2050 z usmeritvami za zagotavljanje prostorskih možnosti za nizkoogljično družbo;</w:t>
      </w:r>
    </w:p>
    <w:p w14:paraId="2F62E22B" w14:textId="54FABB02" w:rsidR="00C21E50" w:rsidRPr="00900F8E" w:rsidRDefault="000663B6" w:rsidP="00E02BBA">
      <w:pPr>
        <w:pStyle w:val="Odstavekseznama"/>
        <w:numPr>
          <w:ilvl w:val="0"/>
          <w:numId w:val="4"/>
        </w:numPr>
        <w:spacing w:after="0" w:line="240" w:lineRule="auto"/>
        <w:jc w:val="both"/>
        <w:rPr>
          <w:rFonts w:ascii="Arial" w:hAnsi="Arial" w:cs="Arial"/>
        </w:rPr>
      </w:pPr>
      <w:r w:rsidRPr="00900F8E">
        <w:rPr>
          <w:rFonts w:ascii="Arial" w:hAnsi="Arial" w:cs="Arial"/>
        </w:rPr>
        <w:t>sprejet je bil NEPN, ki med drugim vključuje tudi cilje in usmeritve za sektor prometa;</w:t>
      </w:r>
    </w:p>
    <w:p w14:paraId="0F9E9018" w14:textId="57A5F0C6" w:rsidR="000663B6" w:rsidRPr="00900F8E" w:rsidRDefault="000663B6" w:rsidP="00E02BBA">
      <w:pPr>
        <w:pStyle w:val="Odstavekseznama"/>
        <w:numPr>
          <w:ilvl w:val="0"/>
          <w:numId w:val="4"/>
        </w:numPr>
        <w:spacing w:after="0" w:line="240" w:lineRule="auto"/>
        <w:jc w:val="both"/>
        <w:rPr>
          <w:rFonts w:ascii="Arial" w:hAnsi="Arial" w:cs="Arial"/>
        </w:rPr>
      </w:pPr>
      <w:r w:rsidRPr="00900F8E">
        <w:rPr>
          <w:rFonts w:ascii="Arial" w:hAnsi="Arial" w:cs="Arial"/>
        </w:rPr>
        <w:t>MzI je pripravil Akcijski načrt za udejanjanje trajnostne mobilnosti v območju osrednjeslovenskega (ljubljanskega) širšega mestnega območja za obdobje 2019‒2025, ki vsebuje finančni okvir in jasno časovnico, v kateri sta določena vrsta ukrepov in zaporedje njihovega izvajanja;</w:t>
      </w:r>
    </w:p>
    <w:p w14:paraId="1412B493" w14:textId="0C4B5664" w:rsidR="000663B6" w:rsidRPr="00900F8E" w:rsidRDefault="00B5331A" w:rsidP="00E02BBA">
      <w:pPr>
        <w:pStyle w:val="Odstavekseznama"/>
        <w:numPr>
          <w:ilvl w:val="0"/>
          <w:numId w:val="4"/>
        </w:numPr>
        <w:spacing w:after="0" w:line="240" w:lineRule="auto"/>
        <w:jc w:val="both"/>
        <w:rPr>
          <w:rFonts w:ascii="Arial" w:hAnsi="Arial" w:cs="Arial"/>
        </w:rPr>
      </w:pPr>
      <w:r w:rsidRPr="00900F8E">
        <w:rPr>
          <w:rFonts w:ascii="Arial" w:hAnsi="Arial" w:cs="Arial"/>
        </w:rPr>
        <w:t xml:space="preserve">z novelo Zakona o prevozih v cestnem prometu </w:t>
      </w:r>
      <w:r w:rsidR="00FD06E1" w:rsidRPr="00FD06E1">
        <w:rPr>
          <w:rFonts w:ascii="Arial" w:hAnsi="Arial" w:cs="Arial"/>
        </w:rPr>
        <w:t>(Uradni list RS, št. 6/16 – uradno prečiščeno besedilo, 67/19</w:t>
      </w:r>
      <w:r w:rsidR="00FD06E1">
        <w:rPr>
          <w:rFonts w:ascii="Arial" w:hAnsi="Arial" w:cs="Arial"/>
        </w:rPr>
        <w:t xml:space="preserve"> in</w:t>
      </w:r>
      <w:r w:rsidR="00FD06E1" w:rsidRPr="00FD06E1">
        <w:rPr>
          <w:rFonts w:ascii="Arial" w:hAnsi="Arial" w:cs="Arial"/>
        </w:rPr>
        <w:t xml:space="preserve"> 94/21) </w:t>
      </w:r>
      <w:r w:rsidRPr="00900F8E">
        <w:rPr>
          <w:rFonts w:ascii="Arial" w:hAnsi="Arial" w:cs="Arial"/>
        </w:rPr>
        <w:t xml:space="preserve">je bil uveden brezplačni medkrajevni javni potniški promet za upokojence, starejše od 65 let, vojne veterane in imetnike </w:t>
      </w:r>
      <w:r w:rsidR="0007603D">
        <w:rPr>
          <w:rFonts w:ascii="Arial" w:hAnsi="Arial" w:cs="Arial"/>
        </w:rPr>
        <w:t>e</w:t>
      </w:r>
      <w:r w:rsidRPr="00900F8E">
        <w:rPr>
          <w:rFonts w:ascii="Arial" w:hAnsi="Arial" w:cs="Arial"/>
        </w:rPr>
        <w:t>vropske kartice ugodnosti invalida;</w:t>
      </w:r>
      <w:r w:rsidR="00066920" w:rsidRPr="00900F8E">
        <w:rPr>
          <w:rFonts w:ascii="Arial" w:hAnsi="Arial" w:cs="Arial"/>
        </w:rPr>
        <w:t xml:space="preserve"> </w:t>
      </w:r>
      <w:r w:rsidR="003A6718" w:rsidRPr="00900F8E">
        <w:rPr>
          <w:rFonts w:ascii="Arial" w:hAnsi="Arial" w:cs="Arial"/>
        </w:rPr>
        <w:t>Slovenske železnice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003A6718" w:rsidRPr="00900F8E">
        <w:rPr>
          <w:rFonts w:ascii="Arial" w:hAnsi="Arial" w:cs="Arial"/>
        </w:rPr>
        <w:t xml:space="preserve">SŽ) so v začetku leta uvedle spletni nakup vozovnic za vlak prek spletne trgovine in mobilne aplikacije; </w:t>
      </w:r>
      <w:r w:rsidR="00066920" w:rsidRPr="00900F8E">
        <w:rPr>
          <w:rFonts w:ascii="Arial" w:hAnsi="Arial" w:cs="Arial"/>
        </w:rPr>
        <w:t xml:space="preserve">za študente in dijake je </w:t>
      </w:r>
      <w:r w:rsidR="00260E64">
        <w:rPr>
          <w:rFonts w:ascii="Arial" w:hAnsi="Arial" w:cs="Arial"/>
        </w:rPr>
        <w:t>mogoč</w:t>
      </w:r>
      <w:r w:rsidR="00260E64" w:rsidRPr="00900F8E">
        <w:rPr>
          <w:rFonts w:ascii="Arial" w:hAnsi="Arial" w:cs="Arial"/>
        </w:rPr>
        <w:t xml:space="preserve"> </w:t>
      </w:r>
      <w:r w:rsidR="00066920" w:rsidRPr="00900F8E">
        <w:rPr>
          <w:rFonts w:ascii="Arial" w:hAnsi="Arial" w:cs="Arial"/>
        </w:rPr>
        <w:t>tudi spletni nakup subvencionirane vozovnice v javnem avtobusnem, železniškem in mestnem prometu z upoštevanjem neizkoriščene vrednosti vozovnice iz preteklega šolskega in študijskega leta;</w:t>
      </w:r>
    </w:p>
    <w:p w14:paraId="6A74366C" w14:textId="7539B322" w:rsidR="00B5331A" w:rsidRPr="00900F8E" w:rsidRDefault="002E60B7" w:rsidP="00E02BBA">
      <w:pPr>
        <w:pStyle w:val="Odstavekseznama"/>
        <w:numPr>
          <w:ilvl w:val="0"/>
          <w:numId w:val="4"/>
        </w:numPr>
        <w:spacing w:after="0" w:line="240" w:lineRule="auto"/>
        <w:jc w:val="both"/>
        <w:rPr>
          <w:rFonts w:ascii="Arial" w:hAnsi="Arial" w:cs="Arial"/>
        </w:rPr>
      </w:pPr>
      <w:r w:rsidRPr="00900F8E">
        <w:rPr>
          <w:rFonts w:ascii="Arial" w:hAnsi="Arial" w:cs="Arial"/>
        </w:rPr>
        <w:t>izvedena je bila nadgradnja informacijskega sistema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IS) IJPP s povezavo z IS Nacionalnega centra za upravljanje promet</w:t>
      </w:r>
      <w:r w:rsidR="00327BE4">
        <w:rPr>
          <w:rFonts w:ascii="Arial" w:hAnsi="Arial" w:cs="Arial"/>
        </w:rPr>
        <w:t>a</w:t>
      </w:r>
      <w:r w:rsidRPr="00900F8E">
        <w:rPr>
          <w:rFonts w:ascii="Arial" w:hAnsi="Arial" w:cs="Arial"/>
        </w:rPr>
        <w:t xml:space="preserve"> in širitvijo kapacitet ter zmogljivosti </w:t>
      </w:r>
      <w:r w:rsidR="00E54599">
        <w:rPr>
          <w:rFonts w:ascii="Arial" w:hAnsi="Arial" w:cs="Arial"/>
        </w:rPr>
        <w:t xml:space="preserve">(v </w:t>
      </w:r>
      <w:r w:rsidR="00930529">
        <w:rPr>
          <w:rFonts w:ascii="Arial" w:hAnsi="Arial" w:cs="Arial"/>
        </w:rPr>
        <w:t>nadaljnjem besedilu</w:t>
      </w:r>
      <w:r w:rsidR="00E54599">
        <w:rPr>
          <w:rFonts w:ascii="Arial" w:hAnsi="Arial" w:cs="Arial"/>
        </w:rPr>
        <w:t xml:space="preserve">: </w:t>
      </w:r>
      <w:r w:rsidRPr="00900F8E">
        <w:rPr>
          <w:rFonts w:ascii="Arial" w:hAnsi="Arial" w:cs="Arial"/>
        </w:rPr>
        <w:t>NCUP</w:t>
      </w:r>
      <w:r w:rsidR="00E54599">
        <w:rPr>
          <w:rFonts w:ascii="Arial" w:hAnsi="Arial" w:cs="Arial"/>
        </w:rPr>
        <w:t>)</w:t>
      </w:r>
      <w:r w:rsidRPr="00900F8E">
        <w:rPr>
          <w:rFonts w:ascii="Arial" w:hAnsi="Arial" w:cs="Arial"/>
        </w:rPr>
        <w:t>, v okviru katere so bile izdelane rešitve za spremljanje premikanja vozil, ki so v sistemu IJPP</w:t>
      </w:r>
      <w:r w:rsidR="00260E64">
        <w:rPr>
          <w:rFonts w:ascii="Arial" w:hAnsi="Arial" w:cs="Arial"/>
        </w:rPr>
        <w:t>,</w:t>
      </w:r>
      <w:r w:rsidRPr="00900F8E">
        <w:rPr>
          <w:rFonts w:ascii="Arial" w:hAnsi="Arial" w:cs="Arial"/>
        </w:rPr>
        <w:t xml:space="preserve"> ter spremljanje realizacije voznih redov. Vzpostavljena je bila multimodalna platforma NCUP z vzpostavitvijo </w:t>
      </w:r>
      <w:r w:rsidR="00260E64">
        <w:rPr>
          <w:rFonts w:ascii="Arial" w:hAnsi="Arial" w:cs="Arial"/>
        </w:rPr>
        <w:t xml:space="preserve">vmesnika </w:t>
      </w:r>
      <w:proofErr w:type="spellStart"/>
      <w:r w:rsidRPr="00900F8E">
        <w:rPr>
          <w:rFonts w:ascii="Arial" w:hAnsi="Arial" w:cs="Arial"/>
        </w:rPr>
        <w:t>OpenAPI</w:t>
      </w:r>
      <w:proofErr w:type="spellEnd"/>
      <w:r w:rsidRPr="00900F8E">
        <w:rPr>
          <w:rFonts w:ascii="Arial" w:hAnsi="Arial" w:cs="Arial"/>
        </w:rPr>
        <w:t xml:space="preserve"> za čezmejno izmenjavo multimodalnih podatkov in izdelavo multimodalnega načrtovalca poti;</w:t>
      </w:r>
    </w:p>
    <w:p w14:paraId="4F131962" w14:textId="1098F772" w:rsidR="000E0B59" w:rsidRPr="00900F8E" w:rsidRDefault="000E0B59" w:rsidP="00E02BBA">
      <w:pPr>
        <w:pStyle w:val="Odstavekseznama"/>
        <w:numPr>
          <w:ilvl w:val="0"/>
          <w:numId w:val="4"/>
        </w:numPr>
        <w:spacing w:after="0" w:line="240" w:lineRule="auto"/>
        <w:jc w:val="both"/>
        <w:rPr>
          <w:rFonts w:ascii="Arial" w:hAnsi="Arial" w:cs="Arial"/>
        </w:rPr>
      </w:pPr>
      <w:r w:rsidRPr="00900F8E">
        <w:rPr>
          <w:rFonts w:ascii="Arial" w:hAnsi="Arial" w:cs="Arial"/>
        </w:rPr>
        <w:t>začela se je priprava strokovnih podlag in predštudije upravičenosti za nadgradnjo regionalnih železniških prog v R</w:t>
      </w:r>
      <w:r w:rsidR="00260E64">
        <w:rPr>
          <w:rFonts w:ascii="Arial" w:hAnsi="Arial" w:cs="Arial"/>
        </w:rPr>
        <w:t xml:space="preserve">epubliki </w:t>
      </w:r>
      <w:r w:rsidRPr="00900F8E">
        <w:rPr>
          <w:rFonts w:ascii="Arial" w:hAnsi="Arial" w:cs="Arial"/>
        </w:rPr>
        <w:t>S</w:t>
      </w:r>
      <w:r w:rsidR="00260E64">
        <w:rPr>
          <w:rFonts w:ascii="Arial" w:hAnsi="Arial" w:cs="Arial"/>
        </w:rPr>
        <w:t>loveniji</w:t>
      </w:r>
      <w:r w:rsidRPr="00900F8E">
        <w:rPr>
          <w:rFonts w:ascii="Arial" w:hAnsi="Arial" w:cs="Arial"/>
        </w:rPr>
        <w:t xml:space="preserve"> ter železniškega omrežja na </w:t>
      </w:r>
      <w:r w:rsidR="00260E64">
        <w:rPr>
          <w:rFonts w:ascii="Arial" w:hAnsi="Arial" w:cs="Arial"/>
        </w:rPr>
        <w:t>obm</w:t>
      </w:r>
      <w:r w:rsidRPr="00900F8E">
        <w:rPr>
          <w:rFonts w:ascii="Arial" w:hAnsi="Arial" w:cs="Arial"/>
        </w:rPr>
        <w:t xml:space="preserve">očju </w:t>
      </w:r>
      <w:r w:rsidR="0003700A">
        <w:rPr>
          <w:rFonts w:ascii="Arial" w:hAnsi="Arial" w:cs="Arial"/>
        </w:rPr>
        <w:t>l</w:t>
      </w:r>
      <w:r w:rsidRPr="00900F8E">
        <w:rPr>
          <w:rFonts w:ascii="Arial" w:hAnsi="Arial" w:cs="Arial"/>
        </w:rPr>
        <w:t xml:space="preserve">jubljanske urbane regije s ciljem zagotoviti celovitost prometnega sistema, ki se osredotoča na povečanje </w:t>
      </w:r>
      <w:r w:rsidR="001D6649">
        <w:rPr>
          <w:rFonts w:ascii="Arial" w:hAnsi="Arial" w:cs="Arial"/>
        </w:rPr>
        <w:t>privlačnosti</w:t>
      </w:r>
      <w:r w:rsidR="001D6649" w:rsidRPr="00900F8E">
        <w:rPr>
          <w:rFonts w:ascii="Arial" w:hAnsi="Arial" w:cs="Arial"/>
        </w:rPr>
        <w:t xml:space="preserve"> </w:t>
      </w:r>
      <w:r w:rsidRPr="00900F8E">
        <w:rPr>
          <w:rFonts w:ascii="Arial" w:hAnsi="Arial" w:cs="Arial"/>
        </w:rPr>
        <w:t xml:space="preserve">javnega potniškega prometa </w:t>
      </w:r>
      <w:r w:rsidR="001D6649">
        <w:rPr>
          <w:rFonts w:ascii="Arial" w:hAnsi="Arial" w:cs="Arial"/>
        </w:rPr>
        <w:t>–</w:t>
      </w:r>
      <w:r w:rsidRPr="00900F8E">
        <w:rPr>
          <w:rFonts w:ascii="Arial" w:hAnsi="Arial" w:cs="Arial"/>
        </w:rPr>
        <w:t xml:space="preserve"> študija je dala podlage za nadaljnje investicije na regionalnih progah in na območju LUR;</w:t>
      </w:r>
    </w:p>
    <w:p w14:paraId="5558BB33" w14:textId="72B8C397" w:rsidR="000E0B59" w:rsidRPr="00900F8E" w:rsidRDefault="003A6718" w:rsidP="00E02BBA">
      <w:pPr>
        <w:pStyle w:val="Odstavekseznama"/>
        <w:numPr>
          <w:ilvl w:val="0"/>
          <w:numId w:val="4"/>
        </w:numPr>
        <w:spacing w:after="0" w:line="240" w:lineRule="auto"/>
        <w:jc w:val="both"/>
        <w:rPr>
          <w:rFonts w:ascii="Arial" w:hAnsi="Arial" w:cs="Arial"/>
        </w:rPr>
      </w:pPr>
      <w:r w:rsidRPr="00900F8E">
        <w:rPr>
          <w:rFonts w:ascii="Arial" w:hAnsi="Arial" w:cs="Arial"/>
        </w:rPr>
        <w:t>uvedenih je bilo 18 hitrih avtobusnih linij med večjimi kraji in Ljubljano;</w:t>
      </w:r>
    </w:p>
    <w:p w14:paraId="35347B81" w14:textId="6FBC74A2" w:rsidR="003A6718" w:rsidRDefault="003A6718" w:rsidP="00E02BBA">
      <w:pPr>
        <w:pStyle w:val="Odstavekseznama"/>
        <w:numPr>
          <w:ilvl w:val="0"/>
          <w:numId w:val="4"/>
        </w:numPr>
        <w:spacing w:after="0" w:line="240" w:lineRule="auto"/>
        <w:jc w:val="both"/>
        <w:rPr>
          <w:rFonts w:ascii="Arial" w:hAnsi="Arial" w:cs="Arial"/>
        </w:rPr>
      </w:pPr>
      <w:r w:rsidRPr="00900F8E">
        <w:rPr>
          <w:rFonts w:ascii="Arial" w:hAnsi="Arial" w:cs="Arial"/>
        </w:rPr>
        <w:t>SŽ so v okviru projekta Ureditev parkirnih mest za kolesa na območju železniških postaj znotraj Slovenije, v vrednosti skoraj 3 milijon</w:t>
      </w:r>
      <w:r w:rsidR="0003700A">
        <w:rPr>
          <w:rFonts w:ascii="Arial" w:hAnsi="Arial" w:cs="Arial"/>
        </w:rPr>
        <w:t>ov</w:t>
      </w:r>
      <w:r w:rsidRPr="00900F8E">
        <w:rPr>
          <w:rFonts w:ascii="Arial" w:hAnsi="Arial" w:cs="Arial"/>
        </w:rPr>
        <w:t xml:space="preserve"> evrov</w:t>
      </w:r>
      <w:r w:rsidR="003E4371">
        <w:rPr>
          <w:rFonts w:ascii="Arial" w:hAnsi="Arial" w:cs="Arial"/>
        </w:rPr>
        <w:t xml:space="preserve"> iz Sklada za podnebne spremembe</w:t>
      </w:r>
      <w:r w:rsidRPr="00900F8E">
        <w:rPr>
          <w:rFonts w:ascii="Arial" w:hAnsi="Arial" w:cs="Arial"/>
        </w:rPr>
        <w:t xml:space="preserve">, </w:t>
      </w:r>
      <w:r w:rsidR="005E2FD5">
        <w:rPr>
          <w:rFonts w:ascii="Arial" w:hAnsi="Arial" w:cs="Arial"/>
        </w:rPr>
        <w:t xml:space="preserve">nadaljevale urejanje kolesarskih postajališč in </w:t>
      </w:r>
      <w:r w:rsidRPr="00900F8E">
        <w:rPr>
          <w:rFonts w:ascii="Arial" w:hAnsi="Arial" w:cs="Arial"/>
        </w:rPr>
        <w:t>uredile 27 lokacij s 1.654 parkirnimi mesti za kolesa, ki so opremljena s stojali pod nadstreški, stojali na prostem, urejenimi površinami za izposojo koles, izposojo e-koles, nekatere lokacije tudi z video nadzorom in nameščenimi smetnjaki, klopmi, označbami, usmerjevalnimi tablami;</w:t>
      </w:r>
    </w:p>
    <w:p w14:paraId="5AB34FEE" w14:textId="675E00F7" w:rsidR="00F82EF2" w:rsidRPr="00F82EF2" w:rsidRDefault="00847B2C" w:rsidP="00F82EF2">
      <w:pPr>
        <w:pStyle w:val="Odstavekseznama"/>
        <w:numPr>
          <w:ilvl w:val="0"/>
          <w:numId w:val="4"/>
        </w:numPr>
        <w:spacing w:after="0" w:line="240" w:lineRule="auto"/>
        <w:jc w:val="both"/>
        <w:rPr>
          <w:rFonts w:ascii="Arial" w:hAnsi="Arial" w:cs="Arial"/>
        </w:rPr>
      </w:pPr>
      <w:r>
        <w:rPr>
          <w:rFonts w:ascii="Arial" w:hAnsi="Arial" w:cs="Arial"/>
        </w:rPr>
        <w:t>končala</w:t>
      </w:r>
      <w:r w:rsidRPr="00900F8E">
        <w:rPr>
          <w:rFonts w:ascii="Arial" w:hAnsi="Arial" w:cs="Arial"/>
        </w:rPr>
        <w:t xml:space="preserve"> </w:t>
      </w:r>
      <w:r w:rsidR="00F82EF2" w:rsidRPr="00900F8E">
        <w:rPr>
          <w:rFonts w:ascii="Arial" w:hAnsi="Arial" w:cs="Arial"/>
        </w:rPr>
        <w:t xml:space="preserve">so se dela na </w:t>
      </w:r>
      <w:r w:rsidR="0003700A">
        <w:rPr>
          <w:rFonts w:ascii="Arial" w:hAnsi="Arial" w:cs="Arial"/>
        </w:rPr>
        <w:t>k</w:t>
      </w:r>
      <w:r w:rsidR="00F82EF2" w:rsidRPr="00900F8E">
        <w:rPr>
          <w:rFonts w:ascii="Arial" w:hAnsi="Arial" w:cs="Arial"/>
        </w:rPr>
        <w:t xml:space="preserve">očevski progi, končala </w:t>
      </w:r>
      <w:r w:rsidR="0003700A">
        <w:rPr>
          <w:rFonts w:ascii="Arial" w:hAnsi="Arial" w:cs="Arial"/>
        </w:rPr>
        <w:t xml:space="preserve">se je </w:t>
      </w:r>
      <w:r w:rsidR="00F82EF2" w:rsidRPr="00900F8E">
        <w:rPr>
          <w:rFonts w:ascii="Arial" w:hAnsi="Arial" w:cs="Arial"/>
        </w:rPr>
        <w:t>prenova železniške postaje Maribor</w:t>
      </w:r>
      <w:r w:rsidR="0003700A">
        <w:rPr>
          <w:rFonts w:ascii="Arial" w:hAnsi="Arial" w:cs="Arial"/>
        </w:rPr>
        <w:t xml:space="preserve"> in</w:t>
      </w:r>
      <w:r w:rsidR="00F82EF2" w:rsidRPr="00900F8E">
        <w:rPr>
          <w:rFonts w:ascii="Arial" w:hAnsi="Arial" w:cs="Arial"/>
        </w:rPr>
        <w:t xml:space="preserve"> začela nadgradnja železniškega postajališča Štore</w:t>
      </w:r>
      <w:r w:rsidR="0003700A">
        <w:rPr>
          <w:rFonts w:ascii="Arial" w:hAnsi="Arial" w:cs="Arial"/>
        </w:rPr>
        <w:t>;</w:t>
      </w:r>
      <w:r w:rsidR="00F82EF2" w:rsidRPr="00900F8E">
        <w:rPr>
          <w:rFonts w:ascii="Arial" w:hAnsi="Arial" w:cs="Arial"/>
        </w:rPr>
        <w:t xml:space="preserve"> </w:t>
      </w:r>
    </w:p>
    <w:p w14:paraId="69B5C3DF" w14:textId="0397B5B1" w:rsidR="00AD58DE" w:rsidRPr="00AD58DE" w:rsidRDefault="0003700A" w:rsidP="00640804">
      <w:pPr>
        <w:pStyle w:val="Odstavekseznama"/>
        <w:numPr>
          <w:ilvl w:val="0"/>
          <w:numId w:val="4"/>
        </w:numPr>
        <w:spacing w:after="0" w:line="240" w:lineRule="auto"/>
        <w:jc w:val="both"/>
        <w:rPr>
          <w:rFonts w:ascii="Arial" w:hAnsi="Arial" w:cs="Arial"/>
        </w:rPr>
      </w:pPr>
      <w:r>
        <w:rPr>
          <w:rFonts w:ascii="Arial" w:hAnsi="Arial" w:cs="Arial"/>
        </w:rPr>
        <w:t>končala</w:t>
      </w:r>
      <w:r w:rsidRPr="00AD58DE">
        <w:rPr>
          <w:rFonts w:ascii="Arial" w:hAnsi="Arial" w:cs="Arial"/>
        </w:rPr>
        <w:t xml:space="preserve"> </w:t>
      </w:r>
      <w:r w:rsidR="002C4091" w:rsidRPr="00AD58DE">
        <w:rPr>
          <w:rFonts w:ascii="Arial" w:hAnsi="Arial" w:cs="Arial"/>
        </w:rPr>
        <w:t xml:space="preserve">se je 3. faza </w:t>
      </w:r>
      <w:r>
        <w:rPr>
          <w:rFonts w:ascii="Arial" w:hAnsi="Arial" w:cs="Arial"/>
        </w:rPr>
        <w:t>i</w:t>
      </w:r>
      <w:r w:rsidR="002C4091" w:rsidRPr="00AD58DE">
        <w:rPr>
          <w:rFonts w:ascii="Arial" w:hAnsi="Arial" w:cs="Arial"/>
        </w:rPr>
        <w:t xml:space="preserve">zvedbe signalnovarnostnih in telekomunikacijskih del na </w:t>
      </w:r>
      <w:r>
        <w:rPr>
          <w:rFonts w:ascii="Arial" w:hAnsi="Arial" w:cs="Arial"/>
        </w:rPr>
        <w:t>k</w:t>
      </w:r>
      <w:r w:rsidR="002C4091" w:rsidRPr="00AD58DE">
        <w:rPr>
          <w:rFonts w:ascii="Arial" w:hAnsi="Arial" w:cs="Arial"/>
        </w:rPr>
        <w:t xml:space="preserve">očevski progi; začela varnostno-tehnična nadgradnja železniškega predora Karavanke in izvedba podatkovnega omrežja za daljinsko vodenje prometa na javni železniški infrastrukturi; </w:t>
      </w:r>
      <w:r w:rsidR="00A91AE7" w:rsidRPr="00AD58DE">
        <w:rPr>
          <w:rFonts w:ascii="Arial" w:hAnsi="Arial" w:cs="Arial"/>
        </w:rPr>
        <w:t>začela nadgradnja železniške proge Kranj–Jesenice–d</w:t>
      </w:r>
      <w:r w:rsidR="00B018B1">
        <w:rPr>
          <w:rFonts w:ascii="Arial" w:hAnsi="Arial" w:cs="Arial"/>
        </w:rPr>
        <w:t>ržavna</w:t>
      </w:r>
      <w:r w:rsidR="00A91AE7" w:rsidRPr="00AD58DE">
        <w:rPr>
          <w:rFonts w:ascii="Arial" w:hAnsi="Arial" w:cs="Arial"/>
        </w:rPr>
        <w:t xml:space="preserve"> m</w:t>
      </w:r>
      <w:r w:rsidR="00B018B1">
        <w:rPr>
          <w:rFonts w:ascii="Arial" w:hAnsi="Arial" w:cs="Arial"/>
        </w:rPr>
        <w:t>eja</w:t>
      </w:r>
      <w:r w:rsidR="00A91AE7" w:rsidRPr="00AD58DE">
        <w:rPr>
          <w:rFonts w:ascii="Arial" w:hAnsi="Arial" w:cs="Arial"/>
        </w:rPr>
        <w:t xml:space="preserve"> na odsekih Kranj–Podnart in Podnart–Lesce Bled; </w:t>
      </w:r>
      <w:r w:rsidR="00847B2C">
        <w:rPr>
          <w:rFonts w:ascii="Arial" w:hAnsi="Arial" w:cs="Arial"/>
        </w:rPr>
        <w:t>končala</w:t>
      </w:r>
      <w:r w:rsidR="00847B2C" w:rsidRPr="00AD58DE">
        <w:rPr>
          <w:rFonts w:ascii="Arial" w:hAnsi="Arial" w:cs="Arial"/>
        </w:rPr>
        <w:t xml:space="preserve"> </w:t>
      </w:r>
      <w:r w:rsidR="00A91AE7" w:rsidRPr="00AD58DE">
        <w:rPr>
          <w:rFonts w:ascii="Arial" w:hAnsi="Arial" w:cs="Arial"/>
        </w:rPr>
        <w:t>nadgradnja obstoječega odseka Pesnica–Šentilj–d</w:t>
      </w:r>
      <w:r w:rsidR="00B018B1">
        <w:rPr>
          <w:rFonts w:ascii="Arial" w:hAnsi="Arial" w:cs="Arial"/>
        </w:rPr>
        <w:t>ržavna</w:t>
      </w:r>
      <w:r w:rsidR="00A91AE7" w:rsidRPr="00AD58DE">
        <w:rPr>
          <w:rFonts w:ascii="Arial" w:hAnsi="Arial" w:cs="Arial"/>
        </w:rPr>
        <w:t xml:space="preserve"> m</w:t>
      </w:r>
      <w:r w:rsidR="00B018B1">
        <w:rPr>
          <w:rFonts w:ascii="Arial" w:hAnsi="Arial" w:cs="Arial"/>
        </w:rPr>
        <w:t>eja</w:t>
      </w:r>
      <w:r w:rsidR="00A91AE7" w:rsidRPr="00AD58DE">
        <w:rPr>
          <w:rFonts w:ascii="Arial" w:hAnsi="Arial" w:cs="Arial"/>
        </w:rPr>
        <w:t>, železniških postaj Pesnica, Šentilj, Maribor Tezno, Maribor in odseka Maribor–Počehova ter izvedba aktivne protihrupne zaščite na odseku Pesnica–Šentilj–d</w:t>
      </w:r>
      <w:r w:rsidR="00B018B1">
        <w:rPr>
          <w:rFonts w:ascii="Arial" w:hAnsi="Arial" w:cs="Arial"/>
        </w:rPr>
        <w:t>ržavna</w:t>
      </w:r>
      <w:r w:rsidR="00A91AE7" w:rsidRPr="00AD58DE">
        <w:rPr>
          <w:rFonts w:ascii="Arial" w:hAnsi="Arial" w:cs="Arial"/>
        </w:rPr>
        <w:t xml:space="preserve"> m</w:t>
      </w:r>
      <w:r w:rsidR="00B018B1">
        <w:rPr>
          <w:rFonts w:ascii="Arial" w:hAnsi="Arial" w:cs="Arial"/>
        </w:rPr>
        <w:t>eja</w:t>
      </w:r>
      <w:r w:rsidR="00A91AE7" w:rsidRPr="00AD58DE">
        <w:rPr>
          <w:rFonts w:ascii="Arial" w:hAnsi="Arial" w:cs="Arial"/>
        </w:rPr>
        <w:t>;</w:t>
      </w:r>
      <w:r w:rsidR="00580B18" w:rsidRPr="00AD58DE">
        <w:rPr>
          <w:rFonts w:ascii="Arial" w:hAnsi="Arial" w:cs="Arial"/>
        </w:rPr>
        <w:t xml:space="preserve"> v izvedbi </w:t>
      </w:r>
      <w:r w:rsidR="00B018B1">
        <w:rPr>
          <w:rFonts w:ascii="Arial" w:hAnsi="Arial" w:cs="Arial"/>
        </w:rPr>
        <w:t xml:space="preserve">je </w:t>
      </w:r>
      <w:r w:rsidR="00580B18" w:rsidRPr="00AD58DE">
        <w:rPr>
          <w:rFonts w:ascii="Arial" w:hAnsi="Arial" w:cs="Arial"/>
        </w:rPr>
        <w:t xml:space="preserve">nadgradnja železniške postaje Rimske Toplice in odseka Zidani Most–Rimske Toplice; nadaljevali so se projekti nadgradnje proge Poljčane–Slovenska Bistrica, modernizacija proge Pesnica–Šentilj–državna meja, Rimske Toplice–Laško in Laško–Celje ter Maribor–Počehova; projekt Tivolski lok se je zaradi težav pri umeščanju v prostor ustavil; </w:t>
      </w:r>
      <w:r w:rsidR="0069336E" w:rsidRPr="00AD58DE">
        <w:rPr>
          <w:rFonts w:ascii="Arial" w:hAnsi="Arial" w:cs="Arial"/>
        </w:rPr>
        <w:t xml:space="preserve">nadaljeval se je projekt uvedbe daljinskega vodenja prometa na glavnih progah javne železniške infrastrukture državna meja–Dobova–Ljubljana in Zidani Most–Šentilj–državna meja; vzpostavljeni so bili še trije evropski </w:t>
      </w:r>
      <w:r w:rsidR="00085FA0">
        <w:rPr>
          <w:rFonts w:ascii="Arial" w:hAnsi="Arial" w:cs="Arial"/>
        </w:rPr>
        <w:t xml:space="preserve">železniški </w:t>
      </w:r>
      <w:r w:rsidR="0069336E" w:rsidRPr="00AD58DE">
        <w:rPr>
          <w:rFonts w:ascii="Arial" w:hAnsi="Arial" w:cs="Arial"/>
        </w:rPr>
        <w:t>tovorni koridorji, od katerih dva potekata po slovenskem ozemlju: Alpsko-</w:t>
      </w:r>
      <w:proofErr w:type="spellStart"/>
      <w:r w:rsidR="0069336E" w:rsidRPr="00AD58DE">
        <w:rPr>
          <w:rFonts w:ascii="Arial" w:hAnsi="Arial" w:cs="Arial"/>
        </w:rPr>
        <w:t>zahodnobalkanski</w:t>
      </w:r>
      <w:proofErr w:type="spellEnd"/>
      <w:r w:rsidR="0069336E" w:rsidRPr="00AD58DE">
        <w:rPr>
          <w:rFonts w:ascii="Arial" w:hAnsi="Arial" w:cs="Arial"/>
        </w:rPr>
        <w:t xml:space="preserve"> tovorni koridor (RFC10) na relaciji Salzburg–Beljak–Ljubljana/Wels/Linz–Gradec–Maribor–Zagreb–Vinkovci/Vukovar–Tovarnik–Beograd–Sofija–Svilengrad (bolgarsko-turška meja) in Jantarni tovorni koridor (RFC11) (na relaciji</w:t>
      </w:r>
      <w:r w:rsidR="005E7685" w:rsidRPr="00AD58DE">
        <w:rPr>
          <w:rFonts w:ascii="Arial" w:hAnsi="Arial" w:cs="Arial"/>
        </w:rPr>
        <w:t xml:space="preserve"> </w:t>
      </w:r>
      <w:r w:rsidR="0069336E" w:rsidRPr="00AD58DE">
        <w:rPr>
          <w:rFonts w:ascii="Arial" w:hAnsi="Arial" w:cs="Arial"/>
        </w:rPr>
        <w:lastRenderedPageBreak/>
        <w:t>Koper–Ljubljana–</w:t>
      </w:r>
      <w:proofErr w:type="spellStart"/>
      <w:r w:rsidR="0069336E" w:rsidRPr="00AD58DE">
        <w:rPr>
          <w:rFonts w:ascii="Arial" w:hAnsi="Arial" w:cs="Arial"/>
        </w:rPr>
        <w:t>Zalaszentiván</w:t>
      </w:r>
      <w:proofErr w:type="spellEnd"/>
      <w:r w:rsidR="0069336E" w:rsidRPr="00AD58DE">
        <w:rPr>
          <w:rFonts w:ascii="Arial" w:hAnsi="Arial" w:cs="Arial"/>
        </w:rPr>
        <w:t>–</w:t>
      </w:r>
      <w:proofErr w:type="spellStart"/>
      <w:r w:rsidR="0069336E" w:rsidRPr="00AD58DE">
        <w:rPr>
          <w:rFonts w:ascii="Arial" w:hAnsi="Arial" w:cs="Arial"/>
        </w:rPr>
        <w:t>Sopron</w:t>
      </w:r>
      <w:proofErr w:type="spellEnd"/>
      <w:r w:rsidR="0069336E" w:rsidRPr="00AD58DE">
        <w:rPr>
          <w:rFonts w:ascii="Arial" w:hAnsi="Arial" w:cs="Arial"/>
        </w:rPr>
        <w:t>/</w:t>
      </w:r>
      <w:proofErr w:type="spellStart"/>
      <w:r w:rsidR="0069336E" w:rsidRPr="00AD58DE">
        <w:rPr>
          <w:rFonts w:ascii="Arial" w:hAnsi="Arial" w:cs="Arial"/>
        </w:rPr>
        <w:t>Csorna</w:t>
      </w:r>
      <w:proofErr w:type="spellEnd"/>
      <w:r w:rsidR="0069336E" w:rsidRPr="00AD58DE">
        <w:rPr>
          <w:rFonts w:ascii="Arial" w:hAnsi="Arial" w:cs="Arial"/>
        </w:rPr>
        <w:t xml:space="preserve"> (madžarsko-srbska meja)–Kelebia–Budimpešta/Komárom–Leopoldov/Rajka–Bratislava–Žilina–Katowice/</w:t>
      </w:r>
    </w:p>
    <w:p w14:paraId="1E20544A" w14:textId="202FED77" w:rsidR="00181AC0" w:rsidRPr="00900F8E" w:rsidRDefault="0069336E" w:rsidP="00181AC0">
      <w:pPr>
        <w:pStyle w:val="Odstavekseznama"/>
        <w:spacing w:after="0" w:line="240" w:lineRule="auto"/>
        <w:ind w:left="360"/>
        <w:jc w:val="both"/>
        <w:rPr>
          <w:rFonts w:ascii="Arial" w:hAnsi="Arial" w:cs="Arial"/>
        </w:rPr>
      </w:pPr>
      <w:r w:rsidRPr="00900F8E">
        <w:rPr>
          <w:rFonts w:ascii="Arial" w:hAnsi="Arial" w:cs="Arial"/>
        </w:rPr>
        <w:t>Krakov–Varšava/</w:t>
      </w:r>
      <w:proofErr w:type="spellStart"/>
      <w:r w:rsidRPr="00900F8E">
        <w:rPr>
          <w:rFonts w:ascii="Arial" w:hAnsi="Arial" w:cs="Arial"/>
        </w:rPr>
        <w:t>Łuków</w:t>
      </w:r>
      <w:proofErr w:type="spellEnd"/>
      <w:r w:rsidRPr="00900F8E">
        <w:rPr>
          <w:rFonts w:ascii="Arial" w:hAnsi="Arial" w:cs="Arial"/>
        </w:rPr>
        <w:t>–</w:t>
      </w:r>
      <w:proofErr w:type="spellStart"/>
      <w:r w:rsidRPr="00900F8E">
        <w:rPr>
          <w:rFonts w:ascii="Arial" w:hAnsi="Arial" w:cs="Arial"/>
        </w:rPr>
        <w:t>Terespol</w:t>
      </w:r>
      <w:proofErr w:type="spellEnd"/>
      <w:r w:rsidRPr="00900F8E">
        <w:rPr>
          <w:rFonts w:ascii="Arial" w:hAnsi="Arial" w:cs="Arial"/>
        </w:rPr>
        <w:t xml:space="preserve"> (poljsko-beloruska meja); </w:t>
      </w:r>
    </w:p>
    <w:p w14:paraId="34CF48CE" w14:textId="4AB00FCF" w:rsidR="00181AC0" w:rsidRPr="00900F8E" w:rsidRDefault="00181AC0" w:rsidP="00E02BBA">
      <w:pPr>
        <w:pStyle w:val="Odstavekseznama"/>
        <w:numPr>
          <w:ilvl w:val="0"/>
          <w:numId w:val="4"/>
        </w:numPr>
        <w:spacing w:after="0" w:line="240" w:lineRule="auto"/>
        <w:jc w:val="both"/>
        <w:rPr>
          <w:rFonts w:ascii="Arial" w:hAnsi="Arial" w:cs="Arial"/>
        </w:rPr>
      </w:pPr>
      <w:r w:rsidRPr="00900F8E">
        <w:rPr>
          <w:rFonts w:ascii="Arial" w:hAnsi="Arial" w:cs="Arial"/>
        </w:rPr>
        <w:t>v okviru Nacionalnega centra za upravljanje prometa se je vzpostavilo podatkovno skladišče za prometne podatke, makroskopski prometni model ter dinamični simulacijski prometni model, platforma za pridobivanje masovnih podatkov o gibanju vozil v realnem času (FCD) ter enotna nacionalna točka za dostop do prometnih podatkov;</w:t>
      </w:r>
    </w:p>
    <w:p w14:paraId="29050A9D" w14:textId="21FE6F8E" w:rsidR="00671F71" w:rsidRDefault="00E72A22" w:rsidP="00E02BBA">
      <w:pPr>
        <w:pStyle w:val="Odstavekseznama"/>
        <w:numPr>
          <w:ilvl w:val="0"/>
          <w:numId w:val="4"/>
        </w:numPr>
        <w:spacing w:after="0" w:line="240" w:lineRule="auto"/>
        <w:jc w:val="both"/>
        <w:rPr>
          <w:rFonts w:ascii="Arial" w:hAnsi="Arial" w:cs="Arial"/>
        </w:rPr>
      </w:pPr>
      <w:r w:rsidRPr="00900F8E">
        <w:rPr>
          <w:rFonts w:ascii="Arial" w:hAnsi="Arial" w:cs="Arial"/>
        </w:rPr>
        <w:t xml:space="preserve">z novelo Zakona o dohodnini </w:t>
      </w:r>
      <w:r w:rsidR="00FD06E1" w:rsidRPr="00FD06E1">
        <w:rPr>
          <w:rFonts w:ascii="Arial" w:hAnsi="Arial" w:cs="Arial"/>
        </w:rPr>
        <w:t xml:space="preserve">(Uradni list RS, št. 13/11 – uradno prečiščeno besedilo, 9/12 – </w:t>
      </w:r>
      <w:proofErr w:type="spellStart"/>
      <w:r w:rsidR="00FD06E1" w:rsidRPr="00FD06E1">
        <w:rPr>
          <w:rFonts w:ascii="Arial" w:hAnsi="Arial" w:cs="Arial"/>
        </w:rPr>
        <w:t>odl</w:t>
      </w:r>
      <w:proofErr w:type="spellEnd"/>
      <w:r w:rsidR="00FD06E1" w:rsidRPr="00FD06E1">
        <w:rPr>
          <w:rFonts w:ascii="Arial" w:hAnsi="Arial" w:cs="Arial"/>
        </w:rPr>
        <w:t xml:space="preserve">. US, 24/12, 30/12, 40/12 – ZUJF, 75/12, 94/12, 52/13 – </w:t>
      </w:r>
      <w:proofErr w:type="spellStart"/>
      <w:r w:rsidR="00FD06E1" w:rsidRPr="00FD06E1">
        <w:rPr>
          <w:rFonts w:ascii="Arial" w:hAnsi="Arial" w:cs="Arial"/>
        </w:rPr>
        <w:t>odl</w:t>
      </w:r>
      <w:proofErr w:type="spellEnd"/>
      <w:r w:rsidR="00FD06E1" w:rsidRPr="00FD06E1">
        <w:rPr>
          <w:rFonts w:ascii="Arial" w:hAnsi="Arial" w:cs="Arial"/>
        </w:rPr>
        <w:t xml:space="preserve">. US, 96/13, 29/14 – </w:t>
      </w:r>
      <w:proofErr w:type="spellStart"/>
      <w:r w:rsidR="00FD06E1" w:rsidRPr="00FD06E1">
        <w:rPr>
          <w:rFonts w:ascii="Arial" w:hAnsi="Arial" w:cs="Arial"/>
        </w:rPr>
        <w:t>odl</w:t>
      </w:r>
      <w:proofErr w:type="spellEnd"/>
      <w:r w:rsidR="00FD06E1" w:rsidRPr="00FD06E1">
        <w:rPr>
          <w:rFonts w:ascii="Arial" w:hAnsi="Arial" w:cs="Arial"/>
        </w:rPr>
        <w:t>. US, 50/14, 23/15, 55/15, 63/16, 69/17, 21/19, 28/19</w:t>
      </w:r>
      <w:r w:rsidR="00FD06E1">
        <w:rPr>
          <w:rFonts w:ascii="Arial" w:hAnsi="Arial" w:cs="Arial"/>
        </w:rPr>
        <w:t xml:space="preserve"> in</w:t>
      </w:r>
      <w:r w:rsidR="00FD06E1" w:rsidRPr="00FD06E1">
        <w:rPr>
          <w:rFonts w:ascii="Arial" w:hAnsi="Arial" w:cs="Arial"/>
        </w:rPr>
        <w:t xml:space="preserve"> 66/19) </w:t>
      </w:r>
      <w:r w:rsidRPr="00900F8E">
        <w:rPr>
          <w:rFonts w:ascii="Arial" w:hAnsi="Arial" w:cs="Arial"/>
        </w:rPr>
        <w:t>je stopilo v veljavo znižanje bonitete za uporabo službenega vozila v zasebne namene za vozila na električni pogon, in sicer z 1,5 na 0,3 % nabavne vrednosti vozila mesečno;</w:t>
      </w:r>
    </w:p>
    <w:p w14:paraId="390A552E" w14:textId="1F1CD1B6" w:rsidR="003D6E8C" w:rsidRPr="003D6E8C" w:rsidRDefault="003D6E8C" w:rsidP="003D6E8C">
      <w:pPr>
        <w:pStyle w:val="Odstavekseznama"/>
        <w:numPr>
          <w:ilvl w:val="0"/>
          <w:numId w:val="4"/>
        </w:numPr>
        <w:spacing w:after="0" w:line="240" w:lineRule="auto"/>
        <w:jc w:val="both"/>
        <w:rPr>
          <w:rFonts w:ascii="Arial" w:hAnsi="Arial" w:cs="Arial"/>
        </w:rPr>
      </w:pPr>
      <w:r w:rsidRPr="00900F8E">
        <w:rPr>
          <w:rFonts w:ascii="Arial" w:hAnsi="Arial" w:cs="Arial"/>
        </w:rPr>
        <w:t xml:space="preserve">Eko </w:t>
      </w:r>
      <w:r w:rsidR="004626AA">
        <w:rPr>
          <w:rFonts w:ascii="Arial" w:hAnsi="Arial" w:cs="Arial"/>
        </w:rPr>
        <w:t>s</w:t>
      </w:r>
      <w:r w:rsidRPr="00900F8E">
        <w:rPr>
          <w:rFonts w:ascii="Arial" w:hAnsi="Arial" w:cs="Arial"/>
        </w:rPr>
        <w:t xml:space="preserve">klad je imel </w:t>
      </w:r>
      <w:r w:rsidR="005E2FD5">
        <w:rPr>
          <w:rFonts w:ascii="Arial" w:hAnsi="Arial" w:cs="Arial"/>
        </w:rPr>
        <w:t xml:space="preserve">v začetnih mesecih leta 2020 </w:t>
      </w:r>
      <w:r w:rsidRPr="00900F8E">
        <w:rPr>
          <w:rFonts w:ascii="Arial" w:hAnsi="Arial" w:cs="Arial"/>
        </w:rPr>
        <w:t>objavljen poziv za pridobitev kredita ali subvencije za spodbujanje izvajanja ukrepov trajnostne mobilnosti 78FS-PO19, s čimer je spodbujal izvajanja ukrepov trajnostne mobilnosti v podjetjih oz</w:t>
      </w:r>
      <w:r w:rsidR="008D59EB">
        <w:rPr>
          <w:rFonts w:ascii="Arial" w:hAnsi="Arial" w:cs="Arial"/>
        </w:rPr>
        <w:t>iroma</w:t>
      </w:r>
      <w:r w:rsidRPr="00900F8E">
        <w:rPr>
          <w:rFonts w:ascii="Arial" w:hAnsi="Arial" w:cs="Arial"/>
        </w:rPr>
        <w:t xml:space="preserve"> prehod na trajnostno mobilnost v zasebnem sektorju. Izplačil je bilo</w:t>
      </w:r>
      <w:r w:rsidR="005E2FD5">
        <w:rPr>
          <w:rFonts w:ascii="Arial" w:hAnsi="Arial" w:cs="Arial"/>
        </w:rPr>
        <w:t xml:space="preserve"> v tem letu</w:t>
      </w:r>
      <w:r w:rsidRPr="00900F8E">
        <w:rPr>
          <w:rFonts w:ascii="Arial" w:hAnsi="Arial" w:cs="Arial"/>
        </w:rPr>
        <w:t xml:space="preserve"> 78, in sicer za 11.074,26 </w:t>
      </w:r>
      <w:r>
        <w:rPr>
          <w:rFonts w:ascii="Arial" w:hAnsi="Arial" w:cs="Arial"/>
        </w:rPr>
        <w:t>evr</w:t>
      </w:r>
      <w:r w:rsidR="008D59EB">
        <w:rPr>
          <w:rFonts w:ascii="Arial" w:hAnsi="Arial" w:cs="Arial"/>
        </w:rPr>
        <w:t>a</w:t>
      </w:r>
      <w:r w:rsidRPr="00900F8E">
        <w:rPr>
          <w:rFonts w:ascii="Arial" w:hAnsi="Arial" w:cs="Arial"/>
        </w:rPr>
        <w:t xml:space="preserve"> za nakup navadnih in električnih koles za službeno uporabo;</w:t>
      </w:r>
    </w:p>
    <w:p w14:paraId="3FB72363" w14:textId="4332D756" w:rsidR="00BA741D" w:rsidRDefault="00363BD0" w:rsidP="00505B38">
      <w:pPr>
        <w:pStyle w:val="Odstavekseznama"/>
        <w:spacing w:after="0" w:line="240" w:lineRule="auto"/>
        <w:ind w:left="360"/>
        <w:jc w:val="both"/>
        <w:rPr>
          <w:rFonts w:ascii="Arial" w:hAnsi="Arial" w:cs="Arial"/>
        </w:rPr>
      </w:pPr>
      <w:r w:rsidRPr="00900F8E">
        <w:rPr>
          <w:rFonts w:ascii="Arial" w:hAnsi="Arial" w:cs="Arial"/>
        </w:rPr>
        <w:t xml:space="preserve">Eko </w:t>
      </w:r>
      <w:r w:rsidR="007854C9">
        <w:rPr>
          <w:rFonts w:ascii="Arial" w:hAnsi="Arial" w:cs="Arial"/>
        </w:rPr>
        <w:t>s</w:t>
      </w:r>
      <w:r w:rsidRPr="00900F8E">
        <w:rPr>
          <w:rFonts w:ascii="Arial" w:hAnsi="Arial" w:cs="Arial"/>
        </w:rPr>
        <w:t>klad</w:t>
      </w:r>
      <w:r w:rsidR="00BA741D">
        <w:rPr>
          <w:rFonts w:ascii="Arial" w:hAnsi="Arial" w:cs="Arial"/>
        </w:rPr>
        <w:t xml:space="preserve"> je</w:t>
      </w:r>
      <w:r w:rsidRPr="00900F8E">
        <w:rPr>
          <w:rFonts w:ascii="Arial" w:hAnsi="Arial" w:cs="Arial"/>
        </w:rPr>
        <w:t xml:space="preserve"> razpisal nepovratna sredstva za vozila z manj emisijami, in sicer za občane 5,5 milijona evrov, za pravne osebe 5 milijonov evrov ter finančne spodbude za </w:t>
      </w:r>
      <w:proofErr w:type="spellStart"/>
      <w:r w:rsidRPr="00900F8E">
        <w:rPr>
          <w:rFonts w:ascii="Arial" w:hAnsi="Arial" w:cs="Arial"/>
        </w:rPr>
        <w:t>ekopnevmatike</w:t>
      </w:r>
      <w:proofErr w:type="spellEnd"/>
      <w:r w:rsidRPr="00900F8E">
        <w:rPr>
          <w:rFonts w:ascii="Arial" w:hAnsi="Arial" w:cs="Arial"/>
        </w:rPr>
        <w:t xml:space="preserve"> višjega energijskega razreda v višini 1,1 milijona evrov; za 1.391 vozil z manj emisijami je bilo izplačanih 8 milijonov evrov, kar je prispevalo k zmanjšanju emisij za 583 kt </w:t>
      </w:r>
      <w:r w:rsidR="00BF1321" w:rsidRPr="00900F8E">
        <w:rPr>
          <w:rFonts w:ascii="Arial" w:hAnsi="Arial" w:cs="Arial"/>
        </w:rPr>
        <w:t>CO</w:t>
      </w:r>
      <w:r w:rsidR="00BF1321" w:rsidRPr="00900F8E">
        <w:rPr>
          <w:rFonts w:ascii="Arial" w:hAnsi="Arial" w:cs="Arial"/>
          <w:vertAlign w:val="subscript"/>
        </w:rPr>
        <w:t>2</w:t>
      </w:r>
      <w:r w:rsidR="00944F02" w:rsidRPr="00900F8E">
        <w:rPr>
          <w:rFonts w:ascii="Arial" w:hAnsi="Arial" w:cs="Arial"/>
        </w:rPr>
        <w:t xml:space="preserve"> na </w:t>
      </w:r>
      <w:r w:rsidRPr="00900F8E">
        <w:rPr>
          <w:rFonts w:ascii="Arial" w:hAnsi="Arial" w:cs="Arial"/>
        </w:rPr>
        <w:t xml:space="preserve">leto, za </w:t>
      </w:r>
      <w:r w:rsidR="008C6E0A" w:rsidRPr="00900F8E">
        <w:rPr>
          <w:rFonts w:ascii="Arial" w:hAnsi="Arial" w:cs="Arial"/>
        </w:rPr>
        <w:t xml:space="preserve">12.126 </w:t>
      </w:r>
      <w:proofErr w:type="spellStart"/>
      <w:r w:rsidRPr="00900F8E">
        <w:rPr>
          <w:rFonts w:ascii="Arial" w:hAnsi="Arial" w:cs="Arial"/>
        </w:rPr>
        <w:t>ekopnevmatik</w:t>
      </w:r>
      <w:proofErr w:type="spellEnd"/>
      <w:r w:rsidRPr="00900F8E">
        <w:rPr>
          <w:rFonts w:ascii="Arial" w:hAnsi="Arial" w:cs="Arial"/>
        </w:rPr>
        <w:t xml:space="preserve"> višjega razreda pa 0,5 milijona evrov, kar je prispevalo k zmanjšanju emisij za 2 kt </w:t>
      </w:r>
      <w:r w:rsidR="00BF1321" w:rsidRPr="00900F8E">
        <w:rPr>
          <w:rFonts w:ascii="Arial" w:hAnsi="Arial" w:cs="Arial"/>
        </w:rPr>
        <w:t>CO</w:t>
      </w:r>
      <w:r w:rsidR="00BF1321" w:rsidRPr="00900F8E">
        <w:rPr>
          <w:rFonts w:ascii="Arial" w:hAnsi="Arial" w:cs="Arial"/>
          <w:vertAlign w:val="subscript"/>
        </w:rPr>
        <w:t>2</w:t>
      </w:r>
      <w:r w:rsidR="00944F02" w:rsidRPr="00900F8E">
        <w:rPr>
          <w:rFonts w:ascii="Arial" w:hAnsi="Arial" w:cs="Arial"/>
        </w:rPr>
        <w:t xml:space="preserve"> na </w:t>
      </w:r>
      <w:r w:rsidRPr="00900F8E">
        <w:rPr>
          <w:rFonts w:ascii="Arial" w:hAnsi="Arial" w:cs="Arial"/>
        </w:rPr>
        <w:t>leto</w:t>
      </w:r>
      <w:r w:rsidR="00BA741D">
        <w:rPr>
          <w:rFonts w:ascii="Arial" w:hAnsi="Arial" w:cs="Arial"/>
        </w:rPr>
        <w:t xml:space="preserve">. </w:t>
      </w:r>
    </w:p>
    <w:p w14:paraId="57A4789C" w14:textId="2A92A3F7" w:rsidR="005A6F1E" w:rsidRPr="00BA741D" w:rsidRDefault="00BA741D" w:rsidP="00BA741D">
      <w:pPr>
        <w:pStyle w:val="Odstavekseznama"/>
        <w:spacing w:after="0" w:line="240" w:lineRule="auto"/>
        <w:ind w:left="360"/>
        <w:jc w:val="both"/>
        <w:rPr>
          <w:rFonts w:ascii="Arial" w:hAnsi="Arial" w:cs="Arial"/>
        </w:rPr>
      </w:pPr>
      <w:r>
        <w:rPr>
          <w:rFonts w:ascii="Arial" w:hAnsi="Arial" w:cs="Arial"/>
        </w:rPr>
        <w:t>Z</w:t>
      </w:r>
      <w:r w:rsidRPr="00900F8E">
        <w:rPr>
          <w:rFonts w:ascii="Arial" w:hAnsi="Arial" w:cs="Arial"/>
        </w:rPr>
        <w:t>notraj razpisa za polnilne postaje 53SUB-EVPOL17 je bilo izplačanih dobrih 230 tisoč evrov spodbud za 78 AC polnilnic in izplačanih skoraj 35 tisoč evrov za 7 DC polnilnic, kar prispeva k zmanjšanju emisij za 9 kt CO</w:t>
      </w:r>
      <w:r w:rsidRPr="00900F8E">
        <w:rPr>
          <w:rFonts w:ascii="Arial" w:hAnsi="Arial" w:cs="Arial"/>
          <w:vertAlign w:val="subscript"/>
        </w:rPr>
        <w:t>2</w:t>
      </w:r>
      <w:r w:rsidRPr="00900F8E">
        <w:rPr>
          <w:rFonts w:ascii="Arial" w:hAnsi="Arial" w:cs="Arial"/>
        </w:rPr>
        <w:t xml:space="preserve"> na leto; </w:t>
      </w:r>
    </w:p>
    <w:p w14:paraId="3988BF56" w14:textId="020D217B" w:rsidR="003F3573" w:rsidRPr="00900F8E" w:rsidRDefault="00847B2C" w:rsidP="00E02BBA">
      <w:pPr>
        <w:pStyle w:val="Odstavekseznama"/>
        <w:numPr>
          <w:ilvl w:val="0"/>
          <w:numId w:val="4"/>
        </w:numPr>
        <w:spacing w:after="0" w:line="240" w:lineRule="auto"/>
        <w:jc w:val="both"/>
        <w:rPr>
          <w:rFonts w:ascii="Arial" w:hAnsi="Arial" w:cs="Arial"/>
        </w:rPr>
      </w:pPr>
      <w:r>
        <w:rPr>
          <w:rFonts w:ascii="Arial" w:hAnsi="Arial" w:cs="Arial"/>
        </w:rPr>
        <w:t>končalo</w:t>
      </w:r>
      <w:r w:rsidRPr="00900F8E">
        <w:rPr>
          <w:rFonts w:ascii="Arial" w:hAnsi="Arial" w:cs="Arial"/>
        </w:rPr>
        <w:t xml:space="preserve"> </w:t>
      </w:r>
      <w:r w:rsidR="00BD54AC" w:rsidRPr="00900F8E">
        <w:rPr>
          <w:rFonts w:ascii="Arial" w:hAnsi="Arial" w:cs="Arial"/>
        </w:rPr>
        <w:t>se je 107 projektov mestnih občin, ki so prek javnega razpisa</w:t>
      </w:r>
      <w:r w:rsidR="008D59EB">
        <w:rPr>
          <w:rFonts w:ascii="Arial" w:hAnsi="Arial" w:cs="Arial"/>
        </w:rPr>
        <w:t xml:space="preserve"> MzI</w:t>
      </w:r>
      <w:r w:rsidR="00BD54AC" w:rsidRPr="00900F8E">
        <w:rPr>
          <w:rFonts w:ascii="Arial" w:hAnsi="Arial" w:cs="Arial"/>
        </w:rPr>
        <w:t xml:space="preserve"> v letu 2017 dobili nepovratna sredstva; 57 projektov vključuje tudi infrastrukturo za kolesarje z ocenjeno vrednostjo naložb v višini 9 milijonov evrov</w:t>
      </w:r>
      <w:r w:rsidR="00D925DD" w:rsidRPr="00900F8E">
        <w:rPr>
          <w:rFonts w:ascii="Arial" w:hAnsi="Arial" w:cs="Arial"/>
        </w:rPr>
        <w:t>, 61 pa infrastrukturo za pešce, in sicer pločnike, pešpoti ali skupni prometni prostor v višini 15 milijonov evrov</w:t>
      </w:r>
      <w:r w:rsidR="00BD54AC" w:rsidRPr="00900F8E">
        <w:rPr>
          <w:rFonts w:ascii="Arial" w:hAnsi="Arial" w:cs="Arial"/>
        </w:rPr>
        <w:t>;</w:t>
      </w:r>
    </w:p>
    <w:p w14:paraId="4B9CE62D" w14:textId="02B26735" w:rsidR="00BD54AC" w:rsidRPr="00900F8E" w:rsidRDefault="00595B13" w:rsidP="00E02BBA">
      <w:pPr>
        <w:pStyle w:val="Odstavekseznama"/>
        <w:numPr>
          <w:ilvl w:val="0"/>
          <w:numId w:val="4"/>
        </w:numPr>
        <w:spacing w:after="0" w:line="240" w:lineRule="auto"/>
        <w:jc w:val="both"/>
        <w:rPr>
          <w:rFonts w:ascii="Arial" w:hAnsi="Arial" w:cs="Arial"/>
        </w:rPr>
      </w:pPr>
      <w:r w:rsidRPr="00900F8E">
        <w:rPr>
          <w:rFonts w:ascii="Arial" w:hAnsi="Arial" w:cs="Arial"/>
        </w:rPr>
        <w:t>prek mehanizma celostnih teritorialnih naložb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CTN) je sofinanciranih 37 projektov;</w:t>
      </w:r>
    </w:p>
    <w:p w14:paraId="1259BEA4" w14:textId="112E1C8C" w:rsidR="00595B13" w:rsidRPr="00900F8E" w:rsidRDefault="006D6C54" w:rsidP="00E02BBA">
      <w:pPr>
        <w:pStyle w:val="Odstavekseznama"/>
        <w:numPr>
          <w:ilvl w:val="0"/>
          <w:numId w:val="4"/>
        </w:numPr>
        <w:spacing w:after="0" w:line="240" w:lineRule="auto"/>
        <w:jc w:val="both"/>
        <w:rPr>
          <w:rFonts w:ascii="Arial" w:hAnsi="Arial" w:cs="Arial"/>
        </w:rPr>
      </w:pPr>
      <w:r w:rsidRPr="00900F8E">
        <w:rPr>
          <w:rFonts w:ascii="Arial" w:hAnsi="Arial" w:cs="Arial"/>
        </w:rPr>
        <w:t>DRSI izvaja projekt označevanja državnega kolesarskega omrežja; v letu 2020 so označili D2 (Savska kolesarska pot) – odsek Rateče–Ljubljana</w:t>
      </w:r>
      <w:r w:rsidR="00605FC3">
        <w:rPr>
          <w:rFonts w:ascii="Arial" w:hAnsi="Arial" w:cs="Arial"/>
        </w:rPr>
        <w:t>,</w:t>
      </w:r>
      <w:r w:rsidRPr="00900F8E">
        <w:rPr>
          <w:rFonts w:ascii="Arial" w:hAnsi="Arial" w:cs="Arial"/>
        </w:rPr>
        <w:t xml:space="preserve"> izveden v </w:t>
      </w:r>
      <w:r w:rsidR="00605FC3">
        <w:rPr>
          <w:rFonts w:ascii="Arial" w:hAnsi="Arial" w:cs="Arial"/>
        </w:rPr>
        <w:t xml:space="preserve">letu </w:t>
      </w:r>
      <w:r w:rsidRPr="00900F8E">
        <w:rPr>
          <w:rFonts w:ascii="Arial" w:hAnsi="Arial" w:cs="Arial"/>
        </w:rPr>
        <w:t xml:space="preserve">2016, odsek Ljubljana–Radeče, D5 (EuroVelo13 – Železna zavesa), D6 (EuroVelo8 – </w:t>
      </w:r>
      <w:proofErr w:type="spellStart"/>
      <w:r w:rsidRPr="00900F8E">
        <w:rPr>
          <w:rFonts w:ascii="Arial" w:hAnsi="Arial" w:cs="Arial"/>
        </w:rPr>
        <w:t>Parenzana</w:t>
      </w:r>
      <w:proofErr w:type="spellEnd"/>
      <w:r w:rsidRPr="00900F8E">
        <w:rPr>
          <w:rFonts w:ascii="Arial" w:hAnsi="Arial" w:cs="Arial"/>
        </w:rPr>
        <w:t>), G10 in G12 (Sava–Krka Bike), R19 in R20 (Ob Kolpi);</w:t>
      </w:r>
    </w:p>
    <w:p w14:paraId="6267A4E0" w14:textId="6129C801" w:rsidR="006D6C54" w:rsidRPr="00900F8E" w:rsidRDefault="00D925DD" w:rsidP="00E02BBA">
      <w:pPr>
        <w:pStyle w:val="Odstavekseznama"/>
        <w:numPr>
          <w:ilvl w:val="0"/>
          <w:numId w:val="4"/>
        </w:numPr>
        <w:spacing w:after="0" w:line="240" w:lineRule="auto"/>
        <w:jc w:val="both"/>
        <w:rPr>
          <w:rFonts w:ascii="Arial" w:hAnsi="Arial" w:cs="Arial"/>
        </w:rPr>
      </w:pPr>
      <w:r w:rsidRPr="00900F8E">
        <w:rPr>
          <w:rFonts w:ascii="Arial" w:hAnsi="Arial" w:cs="Arial"/>
        </w:rPr>
        <w:t xml:space="preserve">MzI se je vključil v projektno partnerstvo projekta </w:t>
      </w:r>
      <w:proofErr w:type="spellStart"/>
      <w:r w:rsidRPr="00E615AF">
        <w:rPr>
          <w:rFonts w:ascii="Arial" w:hAnsi="Arial" w:cs="Arial"/>
          <w:i/>
        </w:rPr>
        <w:t>Danube</w:t>
      </w:r>
      <w:proofErr w:type="spellEnd"/>
      <w:r w:rsidRPr="00E615AF">
        <w:rPr>
          <w:rFonts w:ascii="Arial" w:hAnsi="Arial" w:cs="Arial"/>
          <w:i/>
        </w:rPr>
        <w:t xml:space="preserve"> </w:t>
      </w:r>
      <w:proofErr w:type="spellStart"/>
      <w:r w:rsidRPr="00E615AF">
        <w:rPr>
          <w:rFonts w:ascii="Arial" w:hAnsi="Arial" w:cs="Arial"/>
          <w:i/>
        </w:rPr>
        <w:t>Cycle</w:t>
      </w:r>
      <w:proofErr w:type="spellEnd"/>
      <w:r w:rsidRPr="00E615AF">
        <w:rPr>
          <w:rFonts w:ascii="Arial" w:hAnsi="Arial" w:cs="Arial"/>
          <w:i/>
        </w:rPr>
        <w:t xml:space="preserve"> </w:t>
      </w:r>
      <w:proofErr w:type="spellStart"/>
      <w:r w:rsidRPr="00E615AF">
        <w:rPr>
          <w:rFonts w:ascii="Arial" w:hAnsi="Arial" w:cs="Arial"/>
          <w:i/>
        </w:rPr>
        <w:t>Plans</w:t>
      </w:r>
      <w:proofErr w:type="spellEnd"/>
      <w:r w:rsidRPr="00900F8E">
        <w:rPr>
          <w:rFonts w:ascii="Arial" w:hAnsi="Arial" w:cs="Arial"/>
        </w:rPr>
        <w:t xml:space="preserve"> na programu Podonavje, prek katerega bo pripravljen strateški načrt za razvoj kolesarskega omrežja</w:t>
      </w:r>
      <w:r w:rsidR="00B5081F" w:rsidRPr="00900F8E">
        <w:rPr>
          <w:rFonts w:ascii="Arial" w:hAnsi="Arial" w:cs="Arial"/>
        </w:rPr>
        <w:t>;</w:t>
      </w:r>
    </w:p>
    <w:p w14:paraId="11FEB065" w14:textId="20002234" w:rsidR="00B5081F" w:rsidRPr="00900F8E" w:rsidRDefault="00B5081F" w:rsidP="00E02BBA">
      <w:pPr>
        <w:pStyle w:val="Odstavekseznama"/>
        <w:numPr>
          <w:ilvl w:val="0"/>
          <w:numId w:val="4"/>
        </w:numPr>
        <w:spacing w:after="0" w:line="240" w:lineRule="auto"/>
        <w:jc w:val="both"/>
        <w:rPr>
          <w:rFonts w:ascii="Arial" w:hAnsi="Arial" w:cs="Arial"/>
        </w:rPr>
      </w:pPr>
      <w:r w:rsidRPr="00900F8E">
        <w:rPr>
          <w:rFonts w:ascii="Arial" w:hAnsi="Arial" w:cs="Arial"/>
        </w:rPr>
        <w:t>v Novi Gorici so odprli Center trajnostne mobilnosti (</w:t>
      </w:r>
      <w:r w:rsidR="00CC422B">
        <w:rPr>
          <w:rFonts w:ascii="Arial" w:hAnsi="Arial" w:cs="Arial"/>
        </w:rPr>
        <w:t xml:space="preserve">v </w:t>
      </w:r>
      <w:r w:rsidR="00930529">
        <w:rPr>
          <w:rFonts w:ascii="Arial" w:hAnsi="Arial" w:cs="Arial"/>
        </w:rPr>
        <w:t>nadaljnjem besedilu</w:t>
      </w:r>
      <w:r w:rsidR="00CC422B">
        <w:rPr>
          <w:rFonts w:ascii="Arial" w:hAnsi="Arial" w:cs="Arial"/>
        </w:rPr>
        <w:t xml:space="preserve">: </w:t>
      </w:r>
      <w:r w:rsidRPr="00900F8E">
        <w:rPr>
          <w:rFonts w:ascii="Arial" w:hAnsi="Arial" w:cs="Arial"/>
        </w:rPr>
        <w:t>CTM), promocijsko</w:t>
      </w:r>
      <w:r w:rsidR="002274C8">
        <w:rPr>
          <w:rFonts w:ascii="Arial" w:hAnsi="Arial" w:cs="Arial"/>
        </w:rPr>
        <w:t>-</w:t>
      </w:r>
      <w:r w:rsidRPr="00900F8E">
        <w:rPr>
          <w:rFonts w:ascii="Arial" w:hAnsi="Arial" w:cs="Arial"/>
        </w:rPr>
        <w:t>informacijski center, ki občane in turiste obvešča ter jih o</w:t>
      </w:r>
      <w:r w:rsidR="002274C8">
        <w:rPr>
          <w:rFonts w:ascii="Arial" w:hAnsi="Arial" w:cs="Arial"/>
        </w:rPr>
        <w:t>za</w:t>
      </w:r>
      <w:r w:rsidRPr="00900F8E">
        <w:rPr>
          <w:rFonts w:ascii="Arial" w:hAnsi="Arial" w:cs="Arial"/>
        </w:rPr>
        <w:t xml:space="preserve">vešča o trajnostnih načinih premikanja po mestu. Izposoditi si je </w:t>
      </w:r>
      <w:r w:rsidR="002274C8">
        <w:rPr>
          <w:rFonts w:ascii="Arial" w:hAnsi="Arial" w:cs="Arial"/>
        </w:rPr>
        <w:t>mogoče</w:t>
      </w:r>
      <w:r w:rsidR="002274C8" w:rsidRPr="00900F8E">
        <w:rPr>
          <w:rFonts w:ascii="Arial" w:hAnsi="Arial" w:cs="Arial"/>
        </w:rPr>
        <w:t xml:space="preserve"> </w:t>
      </w:r>
      <w:r w:rsidRPr="00900F8E">
        <w:rPr>
          <w:rFonts w:ascii="Arial" w:hAnsi="Arial" w:cs="Arial"/>
        </w:rPr>
        <w:t>tudi tovorno in tandem kolo</w:t>
      </w:r>
      <w:r w:rsidR="00AB5FAB" w:rsidRPr="00900F8E">
        <w:rPr>
          <w:rFonts w:ascii="Arial" w:hAnsi="Arial" w:cs="Arial"/>
        </w:rPr>
        <w:t>;</w:t>
      </w:r>
    </w:p>
    <w:p w14:paraId="7D008032" w14:textId="163B5FE1" w:rsidR="00AB5FAB" w:rsidRPr="00900F8E" w:rsidRDefault="00AB5FAB" w:rsidP="00E02BBA">
      <w:pPr>
        <w:pStyle w:val="Odstavekseznama"/>
        <w:numPr>
          <w:ilvl w:val="0"/>
          <w:numId w:val="4"/>
        </w:numPr>
        <w:spacing w:after="0" w:line="240" w:lineRule="auto"/>
        <w:jc w:val="both"/>
        <w:rPr>
          <w:rFonts w:ascii="Arial" w:hAnsi="Arial" w:cs="Arial"/>
        </w:rPr>
      </w:pPr>
      <w:r w:rsidRPr="00900F8E">
        <w:rPr>
          <w:rFonts w:ascii="Arial" w:hAnsi="Arial" w:cs="Arial"/>
        </w:rPr>
        <w:t>dodana je bila hitra linija Ajdovščina</w:t>
      </w:r>
      <w:r w:rsidR="002274C8">
        <w:rPr>
          <w:rFonts w:ascii="Arial" w:hAnsi="Arial" w:cs="Arial"/>
        </w:rPr>
        <w:t>–</w:t>
      </w:r>
      <w:r w:rsidRPr="00900F8E">
        <w:rPr>
          <w:rFonts w:ascii="Arial" w:hAnsi="Arial" w:cs="Arial"/>
        </w:rPr>
        <w:t>Ljubljana</w:t>
      </w:r>
      <w:r w:rsidR="002274C8">
        <w:rPr>
          <w:rFonts w:ascii="Arial" w:hAnsi="Arial" w:cs="Arial"/>
        </w:rPr>
        <w:t>–</w:t>
      </w:r>
      <w:r w:rsidRPr="00900F8E">
        <w:rPr>
          <w:rFonts w:ascii="Arial" w:hAnsi="Arial" w:cs="Arial"/>
        </w:rPr>
        <w:t xml:space="preserve">Ajdovščina (izvajalec </w:t>
      </w:r>
      <w:proofErr w:type="spellStart"/>
      <w:r w:rsidRPr="00900F8E">
        <w:rPr>
          <w:rFonts w:ascii="Arial" w:hAnsi="Arial" w:cs="Arial"/>
        </w:rPr>
        <w:t>Nomago</w:t>
      </w:r>
      <w:proofErr w:type="spellEnd"/>
      <w:r w:rsidRPr="00900F8E">
        <w:rPr>
          <w:rFonts w:ascii="Arial" w:hAnsi="Arial" w:cs="Arial"/>
        </w:rPr>
        <w:t>)</w:t>
      </w:r>
      <w:r w:rsidR="00A1559B" w:rsidRPr="00900F8E">
        <w:rPr>
          <w:rFonts w:ascii="Arial" w:hAnsi="Arial" w:cs="Arial"/>
        </w:rPr>
        <w:t>;</w:t>
      </w:r>
    </w:p>
    <w:p w14:paraId="73E60818" w14:textId="06EE4C44" w:rsidR="00A1559B" w:rsidRPr="00900F8E" w:rsidRDefault="00A1559B" w:rsidP="00A1559B">
      <w:pPr>
        <w:pStyle w:val="Odstavekseznama"/>
        <w:numPr>
          <w:ilvl w:val="0"/>
          <w:numId w:val="4"/>
        </w:numPr>
        <w:rPr>
          <w:rFonts w:ascii="Arial" w:hAnsi="Arial" w:cs="Arial"/>
        </w:rPr>
      </w:pPr>
      <w:r w:rsidRPr="00900F8E">
        <w:rPr>
          <w:rFonts w:ascii="Arial" w:hAnsi="Arial" w:cs="Arial"/>
        </w:rPr>
        <w:t xml:space="preserve">od leta 2018 </w:t>
      </w:r>
      <w:r w:rsidR="001815FD" w:rsidRPr="00900F8E">
        <w:rPr>
          <w:rFonts w:ascii="Arial" w:hAnsi="Arial" w:cs="Arial"/>
        </w:rPr>
        <w:t>SŽ</w:t>
      </w:r>
      <w:r w:rsidRPr="00900F8E">
        <w:rPr>
          <w:rFonts w:ascii="Arial" w:hAnsi="Arial" w:cs="Arial"/>
        </w:rPr>
        <w:t xml:space="preserve"> starejšim od 65 let nudijo celoletno vozovnico Zlatka, ki omogoča neomejeno število potovanj po slovenskih progah vse dni v letu po ugodni ceni. Nudijo tudi vozovnico </w:t>
      </w:r>
      <w:proofErr w:type="spellStart"/>
      <w:r w:rsidRPr="00900F8E">
        <w:rPr>
          <w:rFonts w:ascii="Arial" w:hAnsi="Arial" w:cs="Arial"/>
        </w:rPr>
        <w:t>IZLETka</w:t>
      </w:r>
      <w:proofErr w:type="spellEnd"/>
      <w:r w:rsidRPr="00900F8E">
        <w:rPr>
          <w:rFonts w:ascii="Arial" w:hAnsi="Arial" w:cs="Arial"/>
        </w:rPr>
        <w:t xml:space="preserve"> za potovanja ob sobotah, nedeljah in praznikih za neomejeno število voženj v 2. razredu v vseh vrstah vlakov na celotnem območju Slovenskih železnic. </w:t>
      </w:r>
    </w:p>
    <w:p w14:paraId="49D2BD67" w14:textId="34B900A5" w:rsidR="00B04202" w:rsidRPr="00900F8E" w:rsidRDefault="00B04202" w:rsidP="00B04202">
      <w:pPr>
        <w:spacing w:after="0" w:line="240" w:lineRule="auto"/>
        <w:jc w:val="both"/>
        <w:rPr>
          <w:rFonts w:ascii="Arial" w:hAnsi="Arial" w:cs="Arial"/>
        </w:rPr>
      </w:pPr>
    </w:p>
    <w:p w14:paraId="6D0AE3A1" w14:textId="77777777" w:rsidR="00C83956" w:rsidRPr="00900F8E" w:rsidRDefault="00C83956" w:rsidP="00C83956">
      <w:pPr>
        <w:pStyle w:val="Default"/>
        <w:jc w:val="both"/>
        <w:rPr>
          <w:sz w:val="22"/>
          <w:szCs w:val="22"/>
          <w:lang w:val="sl-SI"/>
        </w:rPr>
      </w:pPr>
      <w:r w:rsidRPr="00900F8E">
        <w:rPr>
          <w:sz w:val="22"/>
          <w:szCs w:val="22"/>
          <w:lang w:val="sl-SI"/>
        </w:rPr>
        <w:t>V letu 2021 so se izvajali naslednji ukrepi:</w:t>
      </w:r>
    </w:p>
    <w:p w14:paraId="485481F8" w14:textId="1EE710AB" w:rsidR="00C83956" w:rsidRPr="00900F8E" w:rsidRDefault="00AA22D7" w:rsidP="009F274B">
      <w:pPr>
        <w:pStyle w:val="Odstavekseznama"/>
        <w:numPr>
          <w:ilvl w:val="0"/>
          <w:numId w:val="32"/>
        </w:numPr>
        <w:spacing w:after="0" w:line="240" w:lineRule="auto"/>
        <w:jc w:val="both"/>
        <w:rPr>
          <w:rFonts w:ascii="Arial" w:hAnsi="Arial" w:cs="Arial"/>
        </w:rPr>
      </w:pPr>
      <w:r w:rsidRPr="00900F8E">
        <w:rPr>
          <w:rFonts w:ascii="Arial" w:hAnsi="Arial" w:cs="Arial"/>
        </w:rPr>
        <w:t>CPS je sprejela občina Kranjska Gora;</w:t>
      </w:r>
    </w:p>
    <w:p w14:paraId="2400D4F6" w14:textId="204E6AA1" w:rsidR="00DC40F8" w:rsidRPr="00900F8E" w:rsidRDefault="00AA22D7" w:rsidP="00640804">
      <w:pPr>
        <w:pStyle w:val="Odstavekseznama"/>
        <w:numPr>
          <w:ilvl w:val="0"/>
          <w:numId w:val="32"/>
        </w:numPr>
        <w:spacing w:after="0" w:line="240" w:lineRule="auto"/>
        <w:jc w:val="both"/>
        <w:rPr>
          <w:rFonts w:ascii="Arial" w:hAnsi="Arial" w:cs="Arial"/>
        </w:rPr>
      </w:pPr>
      <w:r w:rsidRPr="00900F8E">
        <w:rPr>
          <w:rFonts w:ascii="Arial" w:hAnsi="Arial" w:cs="Arial"/>
        </w:rPr>
        <w:t>v okviru projekta LIFE IP CARE4CLIMATE</w:t>
      </w:r>
      <w:r w:rsidR="00DC40F8" w:rsidRPr="00900F8E">
        <w:rPr>
          <w:rFonts w:ascii="Arial" w:hAnsi="Arial" w:cs="Arial"/>
        </w:rPr>
        <w:t xml:space="preserve"> so potekale številne </w:t>
      </w:r>
      <w:r w:rsidR="001D6649">
        <w:rPr>
          <w:rFonts w:ascii="Arial" w:hAnsi="Arial" w:cs="Arial"/>
        </w:rPr>
        <w:t>dejavnosti</w:t>
      </w:r>
      <w:r w:rsidR="00DC40F8" w:rsidRPr="00900F8E">
        <w:rPr>
          <w:rFonts w:ascii="Arial" w:hAnsi="Arial" w:cs="Arial"/>
        </w:rPr>
        <w:t>. S</w:t>
      </w:r>
      <w:r w:rsidRPr="00900F8E">
        <w:rPr>
          <w:rFonts w:ascii="Arial" w:hAnsi="Arial" w:cs="Arial"/>
        </w:rPr>
        <w:t>prejeta</w:t>
      </w:r>
      <w:r w:rsidR="00DC40F8" w:rsidRPr="00900F8E">
        <w:rPr>
          <w:rFonts w:ascii="Arial" w:hAnsi="Arial" w:cs="Arial"/>
        </w:rPr>
        <w:t xml:space="preserve"> je bila</w:t>
      </w:r>
      <w:r w:rsidRPr="00900F8E">
        <w:rPr>
          <w:rFonts w:ascii="Arial" w:hAnsi="Arial" w:cs="Arial"/>
        </w:rPr>
        <w:t xml:space="preserve"> regijska Celostna prometna strategija </w:t>
      </w:r>
      <w:r w:rsidR="002274C8">
        <w:rPr>
          <w:rFonts w:ascii="Arial" w:hAnsi="Arial" w:cs="Arial"/>
        </w:rPr>
        <w:t>k</w:t>
      </w:r>
      <w:r w:rsidRPr="00900F8E">
        <w:rPr>
          <w:rFonts w:ascii="Arial" w:hAnsi="Arial" w:cs="Arial"/>
        </w:rPr>
        <w:t>oroške regije</w:t>
      </w:r>
      <w:r w:rsidR="00D05105" w:rsidRPr="00900F8E">
        <w:rPr>
          <w:rFonts w:ascii="Arial" w:hAnsi="Arial" w:cs="Arial"/>
        </w:rPr>
        <w:t xml:space="preserve"> ter objavljene prenovljene Nacionalne smernice za pripravo </w:t>
      </w:r>
      <w:r w:rsidR="002274C8">
        <w:rPr>
          <w:rFonts w:ascii="Arial" w:hAnsi="Arial" w:cs="Arial"/>
        </w:rPr>
        <w:t>o</w:t>
      </w:r>
      <w:r w:rsidR="00D05105" w:rsidRPr="00900F8E">
        <w:rPr>
          <w:rFonts w:ascii="Arial" w:hAnsi="Arial" w:cs="Arial"/>
        </w:rPr>
        <w:t>bčinske celostne prometne strategije</w:t>
      </w:r>
      <w:r w:rsidR="0023414C" w:rsidRPr="00900F8E">
        <w:rPr>
          <w:rFonts w:ascii="Arial" w:hAnsi="Arial" w:cs="Arial"/>
        </w:rPr>
        <w:t xml:space="preserve">. V sklopu </w:t>
      </w:r>
      <w:r w:rsidR="001D6649">
        <w:rPr>
          <w:rFonts w:ascii="Arial" w:hAnsi="Arial" w:cs="Arial"/>
        </w:rPr>
        <w:t>dejavnosti</w:t>
      </w:r>
      <w:r w:rsidR="0023414C" w:rsidRPr="00900F8E">
        <w:rPr>
          <w:rFonts w:ascii="Arial" w:hAnsi="Arial" w:cs="Arial"/>
        </w:rPr>
        <w:t xml:space="preserve"> Razvoj </w:t>
      </w:r>
      <w:r w:rsidR="0023414C" w:rsidRPr="00900F8E">
        <w:rPr>
          <w:rFonts w:ascii="Arial" w:hAnsi="Arial" w:cs="Arial"/>
        </w:rPr>
        <w:lastRenderedPageBreak/>
        <w:t>sistema celostnega prometnega načrtovanja je bilo izdano poročilo s pregledom potencialnih virov financiranja občin za pripravo in izvajanje ukrepov, ki so del CPS. Izdano je bilo tudi poročilo Orodje za presojo kakovosti vsebine celostnih prometnih strategij, opis metodologije in navodila za izvajanje ter dopolnjeno Gradivo za nacionalni program celostnega prometnega načrtovanja 2020–2030</w:t>
      </w:r>
      <w:r w:rsidR="00317025" w:rsidRPr="00900F8E">
        <w:rPr>
          <w:rFonts w:ascii="Arial" w:hAnsi="Arial" w:cs="Arial"/>
        </w:rPr>
        <w:t xml:space="preserve">. V okviru </w:t>
      </w:r>
      <w:r w:rsidR="001D6649">
        <w:rPr>
          <w:rFonts w:ascii="Arial" w:hAnsi="Arial" w:cs="Arial"/>
        </w:rPr>
        <w:t>dejavnost</w:t>
      </w:r>
      <w:r w:rsidR="002274C8">
        <w:rPr>
          <w:rFonts w:ascii="Arial" w:hAnsi="Arial" w:cs="Arial"/>
        </w:rPr>
        <w:t>i</w:t>
      </w:r>
      <w:r w:rsidR="001D6649">
        <w:rPr>
          <w:rFonts w:ascii="Arial" w:hAnsi="Arial" w:cs="Arial"/>
        </w:rPr>
        <w:t xml:space="preserve"> </w:t>
      </w:r>
      <w:r w:rsidR="002274C8">
        <w:rPr>
          <w:rFonts w:ascii="Arial" w:hAnsi="Arial" w:cs="Arial"/>
        </w:rPr>
        <w:t>z</w:t>
      </w:r>
      <w:r w:rsidR="00317025" w:rsidRPr="00900F8E">
        <w:rPr>
          <w:rFonts w:ascii="Arial" w:hAnsi="Arial" w:cs="Arial"/>
        </w:rPr>
        <w:t>elena logistika je v Mariboru potekala konferenca Izzivi in rešitve za mobilnost in logistiko v mestih. Začela se je priprava Akcijskega načrta upravljanja mestne logistike v središču Pirana. Izvedena je bila analiza mednarodnih projektov in praks uvajanja novih oblik logistike v zakonodajni okvir v državah članicah EU ter tudi stanje v Republiki Sloveniji</w:t>
      </w:r>
      <w:r w:rsidR="0033292C" w:rsidRPr="00900F8E">
        <w:rPr>
          <w:rFonts w:ascii="Arial" w:hAnsi="Arial" w:cs="Arial"/>
        </w:rPr>
        <w:t>. Objavljeno je bilo poročilo Predlog novega modela povračila stroškov prevoza na delo. Predlagana je sprememba modela povračila stroškov prevoza na delo, po katerem delavci dobijo povrnjene celotne stroške le v primeru potovanj z javnim prometom. Sestavni del modela je hkratno izboljšanje javnega prometa, ki spodbuja in omogoča njegovo uporabo za pot na delo, poenostavitev tarifnega sistema vozovnic ter delovanje upravljavca JPP</w:t>
      </w:r>
      <w:r w:rsidR="00DC40F8" w:rsidRPr="00900F8E">
        <w:rPr>
          <w:rFonts w:ascii="Arial" w:hAnsi="Arial" w:cs="Arial"/>
        </w:rPr>
        <w:t xml:space="preserve">. Potekal je ukrep Odprta ulica. V </w:t>
      </w:r>
      <w:r w:rsidR="000F613B">
        <w:rPr>
          <w:rFonts w:ascii="Arial" w:hAnsi="Arial" w:cs="Arial"/>
        </w:rPr>
        <w:t>m</w:t>
      </w:r>
      <w:r w:rsidR="00DC40F8" w:rsidRPr="00900F8E">
        <w:rPr>
          <w:rFonts w:ascii="Arial" w:hAnsi="Arial" w:cs="Arial"/>
        </w:rPr>
        <w:t>estni občini Nova Gorica je bila izvedena prva kampanja Šolska ulica, ki se je pilotno izvedla na Šolski ulici v Solkanu. Glavni namen ukrepa je izboljšanje varnosti in udobnosti šolske poti. Ukrep prinaša novost, in sicer omejevanje motornega prometa v času jutranje konice in lahko tudi v času popoldanske konice na cesti v neposredni okolici šole</w:t>
      </w:r>
      <w:r w:rsidR="002F5974" w:rsidRPr="00900F8E">
        <w:rPr>
          <w:rFonts w:ascii="Arial" w:hAnsi="Arial" w:cs="Arial"/>
        </w:rPr>
        <w:t>.</w:t>
      </w:r>
    </w:p>
    <w:p w14:paraId="6CDD7C4B" w14:textId="0774DFD8" w:rsidR="002F5974" w:rsidRPr="00900F8E" w:rsidRDefault="002F5974" w:rsidP="002F5974">
      <w:pPr>
        <w:pStyle w:val="Odstavekseznama"/>
        <w:spacing w:after="0" w:line="240" w:lineRule="auto"/>
        <w:ind w:left="360"/>
        <w:jc w:val="both"/>
        <w:rPr>
          <w:rFonts w:ascii="Arial" w:hAnsi="Arial" w:cs="Arial"/>
        </w:rPr>
      </w:pPr>
      <w:r w:rsidRPr="00900F8E">
        <w:rPr>
          <w:rFonts w:ascii="Arial" w:hAnsi="Arial" w:cs="Arial"/>
        </w:rPr>
        <w:t xml:space="preserve">Pripravljena in objavljena so bila tri poročila na področju IJPP. Prvo poročilo je Analiza kakovosti storitve in konkurenčnosti JPP ter predlogi možnih izboljšav. Kakovost storitve JPP je bila ocenjena z vidika 15 izbranih prvin, in sicer ločeno za avtobusni in železniški medkrajevni promet. Kakovost storitve </w:t>
      </w:r>
      <w:r w:rsidR="00A07514">
        <w:rPr>
          <w:rFonts w:ascii="Arial" w:hAnsi="Arial" w:cs="Arial"/>
        </w:rPr>
        <w:t>na</w:t>
      </w:r>
      <w:r w:rsidRPr="00900F8E">
        <w:rPr>
          <w:rFonts w:ascii="Arial" w:hAnsi="Arial" w:cs="Arial"/>
        </w:rPr>
        <w:t xml:space="preserve"> splošn</w:t>
      </w:r>
      <w:r w:rsidR="00A07514">
        <w:rPr>
          <w:rFonts w:ascii="Arial" w:hAnsi="Arial" w:cs="Arial"/>
        </w:rPr>
        <w:t>o</w:t>
      </w:r>
      <w:r w:rsidRPr="00900F8E">
        <w:rPr>
          <w:rFonts w:ascii="Arial" w:hAnsi="Arial" w:cs="Arial"/>
        </w:rPr>
        <w:t xml:space="preserve"> ni označena kot zadovoljiva. Stanje v železniškem prometu je, zlasti po zaslugi številnih izboljšav v zadnjih letih, sicer boljše kot v avtobusnem, kjer sta najbolj kritični neopremljenost postajališč in slaba dostopnost informacij. V analizi konkurenčnosti je bilo ugotovljeno, da je vlak časovno konkurenčen </w:t>
      </w:r>
      <w:r w:rsidR="00C56C18">
        <w:rPr>
          <w:rFonts w:ascii="Arial" w:hAnsi="Arial" w:cs="Arial"/>
        </w:rPr>
        <w:t>predvsem</w:t>
      </w:r>
      <w:r w:rsidR="00C56C18" w:rsidRPr="00900F8E">
        <w:rPr>
          <w:rFonts w:ascii="Arial" w:hAnsi="Arial" w:cs="Arial"/>
        </w:rPr>
        <w:t xml:space="preserve"> </w:t>
      </w:r>
      <w:r w:rsidRPr="00900F8E">
        <w:rPr>
          <w:rFonts w:ascii="Arial" w:hAnsi="Arial" w:cs="Arial"/>
        </w:rPr>
        <w:t>na krajših razdaljah in v času cestnoprometnih konic. Ključna priporočila poročila so povečanje pogost</w:t>
      </w:r>
      <w:r w:rsidR="006B2D7A">
        <w:rPr>
          <w:rFonts w:ascii="Arial" w:hAnsi="Arial" w:cs="Arial"/>
        </w:rPr>
        <w:t>osti</w:t>
      </w:r>
      <w:r w:rsidRPr="00900F8E">
        <w:rPr>
          <w:rFonts w:ascii="Arial" w:hAnsi="Arial" w:cs="Arial"/>
        </w:rPr>
        <w:t xml:space="preserve"> voženj, zlasti na linijah z največjim številom dnevnih vozačev, in uvedba omrežnega taktnega voznega reda; pospešitev procesa integracije medkrajevnega prometa s sistemi mestnega prometa; označba vseh postajališč v državi, olajšan dostop do njih in oprema s čakalnicami, nadstrešnicami in voznimi redi; vzpostavitev državnega spletnega informacijskega portala o JPP; povečanje časovne konkurenčnosti JPP s hitrimi linijami in infrastrukturnimi izboljšavami; vzpostavitev sistema rednega in objektivnega spremljanja kakovosti in postavitev skrbi za uporabnika v ospredje; ozaveščanje potnikov o pozitivnih učinkih vožnje z vlakom ali avtobusom.</w:t>
      </w:r>
    </w:p>
    <w:p w14:paraId="07F63945" w14:textId="2944B489" w:rsidR="002F5974" w:rsidRPr="00900F8E" w:rsidRDefault="002F5974" w:rsidP="002F5974">
      <w:pPr>
        <w:pStyle w:val="Odstavekseznama"/>
        <w:spacing w:after="0" w:line="240" w:lineRule="auto"/>
        <w:ind w:left="360"/>
        <w:jc w:val="both"/>
        <w:rPr>
          <w:rFonts w:ascii="Arial" w:hAnsi="Arial" w:cs="Arial"/>
        </w:rPr>
      </w:pPr>
      <w:r w:rsidRPr="00900F8E">
        <w:rPr>
          <w:rFonts w:ascii="Arial" w:hAnsi="Arial" w:cs="Arial"/>
        </w:rPr>
        <w:t>Drugo poročilo se imenuje Smernice za organizacijo javnega potniškega prometa na podeželju. Ključno sporočilo je, da mora biti JPP na podeželju sestavni del enotnega državnega omrežja. Za pritegnitev novih potnikov oziroma povečanje deleža uporabnikov JPP so nujni povečanje časovne konkurenčnosti, uvedba prilagodljivih oblik JPP, ustrezna informacijska podpora in kakovost storitev. Lokalne skupnosti morajo biti pristojne za organizacijo vseh oblik JPP, v nasprotnem primeru sta integracija in povezljivost vseh storitev težko dosegljivi. Pomemben je organiziran prevoz za dijake, saj se s tem oblikujejo trajnostne potovalne navade za prihodnost.</w:t>
      </w:r>
    </w:p>
    <w:p w14:paraId="7479B699" w14:textId="4BCEC622" w:rsidR="002F5974" w:rsidRPr="00900F8E" w:rsidRDefault="002F5974" w:rsidP="002F5974">
      <w:pPr>
        <w:pStyle w:val="Odstavekseznama"/>
        <w:spacing w:after="0" w:line="240" w:lineRule="auto"/>
        <w:ind w:left="360"/>
        <w:jc w:val="both"/>
        <w:rPr>
          <w:rFonts w:ascii="Arial" w:hAnsi="Arial" w:cs="Arial"/>
        </w:rPr>
      </w:pPr>
      <w:r w:rsidRPr="00900F8E">
        <w:rPr>
          <w:rFonts w:ascii="Arial" w:hAnsi="Arial" w:cs="Arial"/>
        </w:rPr>
        <w:t>Tretje poročilo Shema izboljšanega javnega potniškega prometa v izbranih koridorjih je pripravljeno na primerih koroške statistične regije in dolenjskega koridorja, ki v več krakih poteka med Ljubljano ter Trebnjim, Žužemberkom in Kočevjem. Temelji na načelih povezovanja vseh oblik JPP v enotno omrežje, dobro organiziranih prestopnih točkah, časovno konkurenčnem JPP, dopolnjenem s prevozi na klic, in ustrezno razvejanem omrežju postajališč. Shema je strokovni temelj za morebitno reorganizacijo JPP v obravnavanih koridorjih;</w:t>
      </w:r>
    </w:p>
    <w:p w14:paraId="34165F13" w14:textId="6ACED34C" w:rsidR="00B5081F" w:rsidRPr="00900F8E" w:rsidRDefault="00B5081F" w:rsidP="00407F9E">
      <w:pPr>
        <w:pStyle w:val="Odstavekseznama"/>
        <w:numPr>
          <w:ilvl w:val="0"/>
          <w:numId w:val="32"/>
        </w:numPr>
        <w:spacing w:after="0" w:line="240" w:lineRule="auto"/>
        <w:jc w:val="both"/>
        <w:rPr>
          <w:rFonts w:ascii="Arial" w:hAnsi="Arial" w:cs="Arial"/>
        </w:rPr>
      </w:pPr>
      <w:r w:rsidRPr="00900F8E">
        <w:rPr>
          <w:rFonts w:ascii="Arial" w:hAnsi="Arial" w:cs="Arial"/>
        </w:rPr>
        <w:t>RRA LUR pripravila drugi osnutek Regionalnega razvojnega programa Ljubljanske urbane regije 2021–2027;</w:t>
      </w:r>
    </w:p>
    <w:p w14:paraId="72010089" w14:textId="058B4AA5" w:rsidR="0023414C" w:rsidRPr="00900F8E" w:rsidRDefault="00CB6E3E" w:rsidP="00407F9E">
      <w:pPr>
        <w:pStyle w:val="Odstavekseznama"/>
        <w:numPr>
          <w:ilvl w:val="0"/>
          <w:numId w:val="32"/>
        </w:numPr>
        <w:spacing w:after="0" w:line="240" w:lineRule="auto"/>
        <w:jc w:val="both"/>
        <w:rPr>
          <w:rFonts w:ascii="Arial" w:hAnsi="Arial" w:cs="Arial"/>
        </w:rPr>
      </w:pPr>
      <w:r w:rsidRPr="00900F8E">
        <w:rPr>
          <w:rFonts w:ascii="Arial" w:hAnsi="Arial" w:cs="Arial"/>
        </w:rPr>
        <w:t>Služba Vlade RS za razvoj in evropsko kohezijsko politiko je objavila javni razpis za sofinanciranje projektov v okviru programa Blaženje podnebnih sprememb in prilagajanje nanje. K prijavi so</w:t>
      </w:r>
      <w:r w:rsidR="006B2D7A">
        <w:rPr>
          <w:rFonts w:ascii="Arial" w:hAnsi="Arial" w:cs="Arial"/>
        </w:rPr>
        <w:t xml:space="preserve"> bili</w:t>
      </w:r>
      <w:r w:rsidRPr="00900F8E">
        <w:rPr>
          <w:rFonts w:ascii="Arial" w:hAnsi="Arial" w:cs="Arial"/>
        </w:rPr>
        <w:t xml:space="preserve"> vabljeni projekti, ki prispevajo k povečanju proizvodnje energije iz </w:t>
      </w:r>
      <w:r w:rsidRPr="00900F8E">
        <w:rPr>
          <w:rFonts w:ascii="Arial" w:hAnsi="Arial" w:cs="Arial"/>
        </w:rPr>
        <w:lastRenderedPageBreak/>
        <w:t>OVE, izboljšanju upravljanja trajnostne mobilnosti, uveljavljanju načel krožnega gospodarstva in izboljšanju upravljanja ekosistemov pod pritiskom zaradi podnebnih sprememb. Višina razpoložljivih sredstev je 15.564.705,88 evr</w:t>
      </w:r>
      <w:r w:rsidR="00A97D8C">
        <w:rPr>
          <w:rFonts w:ascii="Arial" w:hAnsi="Arial" w:cs="Arial"/>
        </w:rPr>
        <w:t>a</w:t>
      </w:r>
      <w:r w:rsidRPr="00900F8E">
        <w:rPr>
          <w:rFonts w:ascii="Arial" w:hAnsi="Arial" w:cs="Arial"/>
        </w:rPr>
        <w:t xml:space="preserve">. Projekti morajo biti </w:t>
      </w:r>
      <w:r w:rsidR="00AB050C">
        <w:rPr>
          <w:rFonts w:ascii="Arial" w:hAnsi="Arial" w:cs="Arial"/>
        </w:rPr>
        <w:t>končani</w:t>
      </w:r>
      <w:r w:rsidR="00A97D8C" w:rsidRPr="00900F8E">
        <w:rPr>
          <w:rFonts w:ascii="Arial" w:hAnsi="Arial" w:cs="Arial"/>
        </w:rPr>
        <w:t xml:space="preserve"> </w:t>
      </w:r>
      <w:r w:rsidRPr="00900F8E">
        <w:rPr>
          <w:rFonts w:ascii="Arial" w:hAnsi="Arial" w:cs="Arial"/>
        </w:rPr>
        <w:t xml:space="preserve">do konca aprila leta 2024. Pričakovan rezultat </w:t>
      </w:r>
      <w:r w:rsidR="00FB300A">
        <w:rPr>
          <w:rFonts w:ascii="Arial" w:hAnsi="Arial" w:cs="Arial"/>
        </w:rPr>
        <w:t xml:space="preserve">programa </w:t>
      </w:r>
      <w:r w:rsidRPr="00900F8E">
        <w:rPr>
          <w:rFonts w:ascii="Arial" w:hAnsi="Arial" w:cs="Arial"/>
        </w:rPr>
        <w:t>Izboljšan</w:t>
      </w:r>
      <w:r w:rsidR="00FB300A">
        <w:rPr>
          <w:rFonts w:ascii="Arial" w:hAnsi="Arial" w:cs="Arial"/>
        </w:rPr>
        <w:t>o</w:t>
      </w:r>
      <w:r w:rsidRPr="00900F8E">
        <w:rPr>
          <w:rFonts w:ascii="Arial" w:hAnsi="Arial" w:cs="Arial"/>
        </w:rPr>
        <w:t xml:space="preserve"> upravljanj</w:t>
      </w:r>
      <w:r w:rsidR="00FB300A">
        <w:rPr>
          <w:rFonts w:ascii="Arial" w:hAnsi="Arial" w:cs="Arial"/>
        </w:rPr>
        <w:t>e</w:t>
      </w:r>
      <w:r w:rsidRPr="00900F8E">
        <w:rPr>
          <w:rFonts w:ascii="Arial" w:hAnsi="Arial" w:cs="Arial"/>
        </w:rPr>
        <w:t xml:space="preserve"> trajnostne mobilnosti so izvedeni ukrepi za izboljšanje regionalne trajnostne mobilnosti ter izdelani načrt</w:t>
      </w:r>
      <w:r w:rsidR="00000F6F">
        <w:rPr>
          <w:rFonts w:ascii="Arial" w:hAnsi="Arial" w:cs="Arial"/>
        </w:rPr>
        <w:t>i</w:t>
      </w:r>
      <w:r w:rsidRPr="00900F8E">
        <w:rPr>
          <w:rFonts w:ascii="Arial" w:hAnsi="Arial" w:cs="Arial"/>
        </w:rPr>
        <w:t xml:space="preserve"> za upravljanje trajnostne mobilnosti na lokacijah z veliko prometa;</w:t>
      </w:r>
    </w:p>
    <w:p w14:paraId="1FF81456" w14:textId="54080F46" w:rsidR="00317025" w:rsidRPr="00900F8E" w:rsidRDefault="0006455B" w:rsidP="00407F9E">
      <w:pPr>
        <w:pStyle w:val="Odstavekseznama"/>
        <w:numPr>
          <w:ilvl w:val="0"/>
          <w:numId w:val="32"/>
        </w:numPr>
        <w:spacing w:after="0" w:line="240" w:lineRule="auto"/>
        <w:jc w:val="both"/>
        <w:rPr>
          <w:rFonts w:ascii="Arial" w:hAnsi="Arial" w:cs="Arial"/>
        </w:rPr>
      </w:pPr>
      <w:r w:rsidRPr="00900F8E">
        <w:rPr>
          <w:rFonts w:ascii="Arial" w:hAnsi="Arial" w:cs="Arial"/>
        </w:rPr>
        <w:t xml:space="preserve">MzI </w:t>
      </w:r>
      <w:r w:rsidR="00FB300A">
        <w:rPr>
          <w:rFonts w:ascii="Arial" w:hAnsi="Arial" w:cs="Arial"/>
        </w:rPr>
        <w:t xml:space="preserve">se </w:t>
      </w:r>
      <w:r w:rsidRPr="00900F8E">
        <w:rPr>
          <w:rFonts w:ascii="Arial" w:hAnsi="Arial" w:cs="Arial"/>
        </w:rPr>
        <w:t xml:space="preserve">je v okviru projekta Mehki ukrepi trajnostne mobilnosti </w:t>
      </w:r>
      <w:r w:rsidR="00FB300A">
        <w:rPr>
          <w:rFonts w:ascii="Arial" w:hAnsi="Arial" w:cs="Arial"/>
        </w:rPr>
        <w:t>lotil</w:t>
      </w:r>
      <w:r w:rsidR="00FB300A" w:rsidRPr="00900F8E">
        <w:rPr>
          <w:rFonts w:ascii="Arial" w:hAnsi="Arial" w:cs="Arial"/>
        </w:rPr>
        <w:t xml:space="preserve"> </w:t>
      </w:r>
      <w:r w:rsidRPr="00900F8E">
        <w:rPr>
          <w:rFonts w:ascii="Arial" w:hAnsi="Arial" w:cs="Arial"/>
        </w:rPr>
        <w:t>izdelav</w:t>
      </w:r>
      <w:r w:rsidR="00FB300A">
        <w:rPr>
          <w:rFonts w:ascii="Arial" w:hAnsi="Arial" w:cs="Arial"/>
        </w:rPr>
        <w:t>e</w:t>
      </w:r>
      <w:r w:rsidRPr="00900F8E">
        <w:rPr>
          <w:rFonts w:ascii="Arial" w:hAnsi="Arial" w:cs="Arial"/>
        </w:rPr>
        <w:t xml:space="preserve"> Nacionalnih smernic za upravljanje mestne logistike. Izdelana sta bila analiza stanja </w:t>
      </w:r>
      <w:r w:rsidR="001B395D">
        <w:rPr>
          <w:rFonts w:ascii="Arial" w:hAnsi="Arial" w:cs="Arial"/>
        </w:rPr>
        <w:t>in</w:t>
      </w:r>
      <w:r w:rsidR="001B395D" w:rsidRPr="00900F8E">
        <w:rPr>
          <w:rFonts w:ascii="Arial" w:hAnsi="Arial" w:cs="Arial"/>
        </w:rPr>
        <w:t xml:space="preserve"> </w:t>
      </w:r>
      <w:r w:rsidRPr="00900F8E">
        <w:rPr>
          <w:rFonts w:ascii="Arial" w:hAnsi="Arial" w:cs="Arial"/>
        </w:rPr>
        <w:t xml:space="preserve">osnutek smernic, ki se bo preizkusil v okviru izdelave dveh pilotnih </w:t>
      </w:r>
      <w:r w:rsidR="001B395D">
        <w:rPr>
          <w:rFonts w:ascii="Arial" w:hAnsi="Arial" w:cs="Arial"/>
        </w:rPr>
        <w:t>n</w:t>
      </w:r>
      <w:r w:rsidRPr="00900F8E">
        <w:rPr>
          <w:rFonts w:ascii="Arial" w:hAnsi="Arial" w:cs="Arial"/>
        </w:rPr>
        <w:t>ačrtov upravljanja mestne logistike za mesto Ptuj in mesto Ljubljana;</w:t>
      </w:r>
    </w:p>
    <w:p w14:paraId="06C8D094" w14:textId="72B9B73A" w:rsidR="0006455B" w:rsidRPr="00900F8E" w:rsidRDefault="0006455B" w:rsidP="00407F9E">
      <w:pPr>
        <w:pStyle w:val="Odstavekseznama"/>
        <w:numPr>
          <w:ilvl w:val="0"/>
          <w:numId w:val="32"/>
        </w:numPr>
        <w:spacing w:after="0" w:line="240" w:lineRule="auto"/>
        <w:jc w:val="both"/>
        <w:rPr>
          <w:rFonts w:ascii="Arial" w:hAnsi="Arial" w:cs="Arial"/>
        </w:rPr>
      </w:pPr>
      <w:r w:rsidRPr="00900F8E">
        <w:rPr>
          <w:rFonts w:ascii="Arial" w:hAnsi="Arial" w:cs="Arial"/>
        </w:rPr>
        <w:t xml:space="preserve">Mestna občina Celje je </w:t>
      </w:r>
      <w:r w:rsidR="001D6649">
        <w:rPr>
          <w:rFonts w:ascii="Arial" w:hAnsi="Arial" w:cs="Arial"/>
        </w:rPr>
        <w:t>za</w:t>
      </w:r>
      <w:r w:rsidRPr="00900F8E">
        <w:rPr>
          <w:rFonts w:ascii="Arial" w:hAnsi="Arial" w:cs="Arial"/>
        </w:rPr>
        <w:t>čela izvaja</w:t>
      </w:r>
      <w:r w:rsidR="001B395D">
        <w:rPr>
          <w:rFonts w:ascii="Arial" w:hAnsi="Arial" w:cs="Arial"/>
        </w:rPr>
        <w:t>ti</w:t>
      </w:r>
      <w:r w:rsidRPr="00900F8E">
        <w:rPr>
          <w:rFonts w:ascii="Arial" w:hAnsi="Arial" w:cs="Arial"/>
        </w:rPr>
        <w:t xml:space="preserve"> projekt Upravljanje mobilnosti v Mestni občini Celje (sredstva iz Evropskega sklada za regionalni razvoj), ki bo zagotovil vzpostavitev povezanega sistema upravljanja, ki bo uporabnikom omogočal pridobitev vseh potrebnih informacij</w:t>
      </w:r>
      <w:r w:rsidR="00722D04" w:rsidRPr="00900F8E">
        <w:rPr>
          <w:rFonts w:ascii="Arial" w:hAnsi="Arial" w:cs="Arial"/>
        </w:rPr>
        <w:t xml:space="preserve"> </w:t>
      </w:r>
      <w:r w:rsidRPr="00900F8E">
        <w:rPr>
          <w:rFonts w:ascii="Arial" w:hAnsi="Arial" w:cs="Arial"/>
        </w:rPr>
        <w:t xml:space="preserve">za optimalno </w:t>
      </w:r>
      <w:r w:rsidR="001D6649">
        <w:rPr>
          <w:rFonts w:ascii="Arial" w:hAnsi="Arial" w:cs="Arial"/>
        </w:rPr>
        <w:t>uporabo</w:t>
      </w:r>
      <w:r w:rsidR="001D6649" w:rsidRPr="00900F8E">
        <w:rPr>
          <w:rFonts w:ascii="Arial" w:hAnsi="Arial" w:cs="Arial"/>
        </w:rPr>
        <w:t xml:space="preserve"> </w:t>
      </w:r>
      <w:r w:rsidRPr="00900F8E">
        <w:rPr>
          <w:rFonts w:ascii="Arial" w:hAnsi="Arial" w:cs="Arial"/>
        </w:rPr>
        <w:t>prevoznih sredstev</w:t>
      </w:r>
      <w:r w:rsidR="00F96C7C" w:rsidRPr="00900F8E">
        <w:rPr>
          <w:rFonts w:ascii="Arial" w:hAnsi="Arial" w:cs="Arial"/>
        </w:rPr>
        <w:t xml:space="preserve">. Občina Trebnje je sprejela nov parkirni režim </w:t>
      </w:r>
      <w:r w:rsidR="00603841" w:rsidRPr="00900F8E">
        <w:rPr>
          <w:rFonts w:ascii="Arial" w:hAnsi="Arial" w:cs="Arial"/>
        </w:rPr>
        <w:t xml:space="preserve">s </w:t>
      </w:r>
      <w:r w:rsidR="00F96C7C" w:rsidRPr="00900F8E">
        <w:rPr>
          <w:rFonts w:ascii="Arial" w:hAnsi="Arial" w:cs="Arial"/>
        </w:rPr>
        <w:t>plačljiv</w:t>
      </w:r>
      <w:r w:rsidR="00603841" w:rsidRPr="00900F8E">
        <w:rPr>
          <w:rFonts w:ascii="Arial" w:hAnsi="Arial" w:cs="Arial"/>
        </w:rPr>
        <w:t>imi</w:t>
      </w:r>
      <w:r w:rsidR="00F96C7C" w:rsidRPr="00900F8E">
        <w:rPr>
          <w:rFonts w:ascii="Arial" w:hAnsi="Arial" w:cs="Arial"/>
        </w:rPr>
        <w:t xml:space="preserve"> parkirišč</w:t>
      </w:r>
      <w:r w:rsidR="00603841" w:rsidRPr="00900F8E">
        <w:rPr>
          <w:rFonts w:ascii="Arial" w:hAnsi="Arial" w:cs="Arial"/>
        </w:rPr>
        <w:t>i</w:t>
      </w:r>
      <w:r w:rsidR="00F96C7C" w:rsidRPr="00900F8E">
        <w:rPr>
          <w:rFonts w:ascii="Arial" w:hAnsi="Arial" w:cs="Arial"/>
        </w:rPr>
        <w:t>, dovolilnic</w:t>
      </w:r>
      <w:r w:rsidR="00603841" w:rsidRPr="00900F8E">
        <w:rPr>
          <w:rFonts w:ascii="Arial" w:hAnsi="Arial" w:cs="Arial"/>
        </w:rPr>
        <w:t>ami,</w:t>
      </w:r>
      <w:r w:rsidR="00F96C7C" w:rsidRPr="00900F8E">
        <w:rPr>
          <w:rFonts w:ascii="Arial" w:hAnsi="Arial" w:cs="Arial"/>
        </w:rPr>
        <w:t xml:space="preserve"> nadzor</w:t>
      </w:r>
      <w:r w:rsidR="00603841" w:rsidRPr="00900F8E">
        <w:rPr>
          <w:rFonts w:ascii="Arial" w:hAnsi="Arial" w:cs="Arial"/>
        </w:rPr>
        <w:t>om</w:t>
      </w:r>
      <w:r w:rsidR="00F96C7C" w:rsidRPr="00900F8E">
        <w:rPr>
          <w:rFonts w:ascii="Arial" w:hAnsi="Arial" w:cs="Arial"/>
        </w:rPr>
        <w:t>. Mestna občina Ljubljana je povišala cene parkirnin v mestnem središču.</w:t>
      </w:r>
      <w:r w:rsidR="003F2B7A" w:rsidRPr="00900F8E">
        <w:rPr>
          <w:rFonts w:ascii="Arial" w:hAnsi="Arial" w:cs="Arial"/>
        </w:rPr>
        <w:t xml:space="preserve"> Odprl se je Mestni center mobilnosti, ki občanom omogoča izposojo tovornih koles za lažjo in okolju prijazno dostavo v mestu. </w:t>
      </w:r>
      <w:r w:rsidR="00F96C7C" w:rsidRPr="00900F8E">
        <w:rPr>
          <w:rFonts w:ascii="Arial" w:hAnsi="Arial" w:cs="Arial"/>
        </w:rPr>
        <w:t>V Mariboru so ukinili brezplačna parkirna mesta za električna vozila</w:t>
      </w:r>
      <w:r w:rsidR="00603841" w:rsidRPr="00900F8E">
        <w:rPr>
          <w:rFonts w:ascii="Arial" w:hAnsi="Arial" w:cs="Arial"/>
        </w:rPr>
        <w:t>;</w:t>
      </w:r>
    </w:p>
    <w:p w14:paraId="2CEFEF34" w14:textId="17258795" w:rsidR="0006455B" w:rsidRPr="00900F8E" w:rsidRDefault="003F2B7A" w:rsidP="00407F9E">
      <w:pPr>
        <w:pStyle w:val="Odstavekseznama"/>
        <w:numPr>
          <w:ilvl w:val="0"/>
          <w:numId w:val="32"/>
        </w:numPr>
        <w:spacing w:after="0" w:line="240" w:lineRule="auto"/>
        <w:jc w:val="both"/>
        <w:rPr>
          <w:rFonts w:ascii="Arial" w:hAnsi="Arial" w:cs="Arial"/>
        </w:rPr>
      </w:pPr>
      <w:r w:rsidRPr="00900F8E">
        <w:rPr>
          <w:rFonts w:ascii="Arial" w:hAnsi="Arial" w:cs="Arial"/>
        </w:rPr>
        <w:t xml:space="preserve">v času epidemije se je močno povečal delež ljudi, ki delajo od doma. V začetku leta je od doma delalo 9 % ljudi, 21 % pa </w:t>
      </w:r>
      <w:r w:rsidR="000E5052">
        <w:rPr>
          <w:rFonts w:ascii="Arial" w:hAnsi="Arial" w:cs="Arial"/>
        </w:rPr>
        <w:t xml:space="preserve">jih </w:t>
      </w:r>
      <w:r w:rsidRPr="00900F8E">
        <w:rPr>
          <w:rFonts w:ascii="Arial" w:hAnsi="Arial" w:cs="Arial"/>
        </w:rPr>
        <w:t>je delalo od doma vsaj enkrat na teden;</w:t>
      </w:r>
    </w:p>
    <w:p w14:paraId="416B46B4" w14:textId="0ACD5CB9" w:rsidR="003F2B7A" w:rsidRPr="00900F8E" w:rsidRDefault="00C51D65" w:rsidP="00407F9E">
      <w:pPr>
        <w:pStyle w:val="Odstavekseznama"/>
        <w:numPr>
          <w:ilvl w:val="0"/>
          <w:numId w:val="32"/>
        </w:numPr>
        <w:spacing w:after="0" w:line="240" w:lineRule="auto"/>
        <w:jc w:val="both"/>
        <w:rPr>
          <w:rFonts w:ascii="Arial" w:hAnsi="Arial" w:cs="Arial"/>
        </w:rPr>
      </w:pPr>
      <w:r w:rsidRPr="00900F8E">
        <w:rPr>
          <w:rFonts w:ascii="Arial" w:hAnsi="Arial" w:cs="Arial"/>
        </w:rPr>
        <w:t>uvedene so bile elektronske vinjete za ves motorni promet;</w:t>
      </w:r>
    </w:p>
    <w:p w14:paraId="37E4C0D8" w14:textId="606FCA87" w:rsidR="003F6A94" w:rsidRPr="00900F8E" w:rsidRDefault="001815FD" w:rsidP="00A704C1">
      <w:pPr>
        <w:pStyle w:val="Odstavekseznama"/>
        <w:numPr>
          <w:ilvl w:val="0"/>
          <w:numId w:val="32"/>
        </w:numPr>
        <w:spacing w:after="0" w:line="240" w:lineRule="auto"/>
        <w:jc w:val="both"/>
        <w:rPr>
          <w:rFonts w:ascii="Arial" w:hAnsi="Arial" w:cs="Arial"/>
        </w:rPr>
      </w:pPr>
      <w:r w:rsidRPr="00900F8E">
        <w:rPr>
          <w:rFonts w:ascii="Arial" w:hAnsi="Arial" w:cs="Arial"/>
        </w:rPr>
        <w:t>SŽ</w:t>
      </w:r>
      <w:r w:rsidR="00877315" w:rsidRPr="00900F8E">
        <w:rPr>
          <w:rFonts w:ascii="Arial" w:hAnsi="Arial" w:cs="Arial"/>
        </w:rPr>
        <w:t xml:space="preserve"> so postavile prve </w:t>
      </w:r>
      <w:proofErr w:type="spellStart"/>
      <w:r w:rsidR="00877315" w:rsidRPr="00900F8E">
        <w:rPr>
          <w:rFonts w:ascii="Arial" w:hAnsi="Arial" w:cs="Arial"/>
        </w:rPr>
        <w:t>kartomate</w:t>
      </w:r>
      <w:proofErr w:type="spellEnd"/>
      <w:r w:rsidR="00877315" w:rsidRPr="00900F8E">
        <w:rPr>
          <w:rFonts w:ascii="Arial" w:hAnsi="Arial" w:cs="Arial"/>
        </w:rPr>
        <w:t xml:space="preserve"> za samopostrežen nakup vozovnic. Načrtujejo postavitev 156 </w:t>
      </w:r>
      <w:proofErr w:type="spellStart"/>
      <w:r w:rsidR="00877315" w:rsidRPr="00900F8E">
        <w:rPr>
          <w:rFonts w:ascii="Arial" w:hAnsi="Arial" w:cs="Arial"/>
        </w:rPr>
        <w:t>kartomatov</w:t>
      </w:r>
      <w:proofErr w:type="spellEnd"/>
      <w:r w:rsidR="00877315" w:rsidRPr="00900F8E">
        <w:rPr>
          <w:rFonts w:ascii="Arial" w:hAnsi="Arial" w:cs="Arial"/>
        </w:rPr>
        <w:t xml:space="preserve"> na 142 železniških postajah in postajališčih;</w:t>
      </w:r>
    </w:p>
    <w:p w14:paraId="19C7820C" w14:textId="3BB97A67" w:rsidR="0033292C" w:rsidRPr="00900F8E" w:rsidRDefault="00267B87" w:rsidP="00640804">
      <w:pPr>
        <w:pStyle w:val="Odstavekseznama"/>
        <w:numPr>
          <w:ilvl w:val="0"/>
          <w:numId w:val="32"/>
        </w:numPr>
        <w:spacing w:after="0" w:line="240" w:lineRule="auto"/>
        <w:jc w:val="both"/>
        <w:rPr>
          <w:rFonts w:ascii="Arial" w:hAnsi="Arial" w:cs="Arial"/>
        </w:rPr>
      </w:pPr>
      <w:r w:rsidRPr="00900F8E">
        <w:rPr>
          <w:rFonts w:ascii="Arial" w:hAnsi="Arial" w:cs="Arial"/>
        </w:rPr>
        <w:t>Spremenjena je bila</w:t>
      </w:r>
      <w:r w:rsidR="0033292C" w:rsidRPr="00900F8E">
        <w:rPr>
          <w:rFonts w:ascii="Arial" w:hAnsi="Arial" w:cs="Arial"/>
        </w:rPr>
        <w:t xml:space="preserve"> Uredb</w:t>
      </w:r>
      <w:r w:rsidRPr="00900F8E">
        <w:rPr>
          <w:rFonts w:ascii="Arial" w:hAnsi="Arial" w:cs="Arial"/>
        </w:rPr>
        <w:t>a</w:t>
      </w:r>
      <w:r w:rsidR="0033292C" w:rsidRPr="00900F8E">
        <w:rPr>
          <w:rFonts w:ascii="Arial" w:hAnsi="Arial" w:cs="Arial"/>
        </w:rPr>
        <w:t xml:space="preserve"> o davčni obravnavi povračil stroškov in drugih dohodkov iz delovnega razmerja (Uradni list RS, št. 104/21 in 114/21)</w:t>
      </w:r>
      <w:r w:rsidRPr="00900F8E">
        <w:rPr>
          <w:rFonts w:ascii="Arial" w:hAnsi="Arial" w:cs="Arial"/>
        </w:rPr>
        <w:t>, in sicer je bil uveden</w:t>
      </w:r>
      <w:r w:rsidR="0033292C" w:rsidRPr="00900F8E">
        <w:rPr>
          <w:rFonts w:ascii="Arial" w:hAnsi="Arial" w:cs="Arial"/>
        </w:rPr>
        <w:t xml:space="preserve"> koncept določanja neobdavčene višine povračila stroškov prevoza na delo in z dela</w:t>
      </w:r>
      <w:r w:rsidRPr="00900F8E">
        <w:rPr>
          <w:rFonts w:ascii="Arial" w:hAnsi="Arial" w:cs="Arial"/>
        </w:rPr>
        <w:t xml:space="preserve"> glede na</w:t>
      </w:r>
      <w:r w:rsidR="0033292C" w:rsidRPr="00900F8E">
        <w:rPr>
          <w:rFonts w:ascii="Arial" w:hAnsi="Arial" w:cs="Arial"/>
        </w:rPr>
        <w:t xml:space="preserve"> kilometrino</w:t>
      </w:r>
      <w:r w:rsidRPr="00900F8E">
        <w:rPr>
          <w:rFonts w:ascii="Arial" w:hAnsi="Arial" w:cs="Arial"/>
        </w:rPr>
        <w:t>,</w:t>
      </w:r>
      <w:r w:rsidR="0033292C" w:rsidRPr="00900F8E">
        <w:rPr>
          <w:rFonts w:ascii="Arial" w:hAnsi="Arial" w:cs="Arial"/>
        </w:rPr>
        <w:t xml:space="preserve"> ne glede na razpoložljivost javnega prevoza. </w:t>
      </w:r>
      <w:r w:rsidRPr="00900F8E">
        <w:rPr>
          <w:rFonts w:ascii="Arial" w:hAnsi="Arial" w:cs="Arial"/>
        </w:rPr>
        <w:t>Z</w:t>
      </w:r>
      <w:r w:rsidR="0033292C" w:rsidRPr="00900F8E">
        <w:rPr>
          <w:rFonts w:ascii="Arial" w:hAnsi="Arial" w:cs="Arial"/>
        </w:rPr>
        <w:t xml:space="preserve">aradi nasprotovanja sindikatov in delodajalcev se </w:t>
      </w:r>
      <w:r w:rsidRPr="00900F8E">
        <w:rPr>
          <w:rFonts w:ascii="Arial" w:hAnsi="Arial" w:cs="Arial"/>
        </w:rPr>
        <w:t>p</w:t>
      </w:r>
      <w:r w:rsidR="0033292C" w:rsidRPr="00900F8E">
        <w:rPr>
          <w:rFonts w:ascii="Arial" w:hAnsi="Arial" w:cs="Arial"/>
        </w:rPr>
        <w:t xml:space="preserve">ovračilo stroškov za prevoz na delo in z dela </w:t>
      </w:r>
      <w:r w:rsidRPr="00900F8E">
        <w:rPr>
          <w:rFonts w:ascii="Arial" w:hAnsi="Arial" w:cs="Arial"/>
        </w:rPr>
        <w:t>ne</w:t>
      </w:r>
      <w:r w:rsidR="0033292C" w:rsidRPr="00900F8E">
        <w:rPr>
          <w:rFonts w:ascii="Arial" w:hAnsi="Arial" w:cs="Arial"/>
        </w:rPr>
        <w:t xml:space="preserve"> všteva v davčno osnovo dohodka iz delovnega razmerja do višine 0,18 EUR za vsak polni kilometer razdalje med običajnim prebivališčem in mestom opravljanja dela za vsak dan prisotnosti na delu, če je mesto opravljanja dela vsaj en kilometer oddaljeno od delojemalčevega običajnega prebivališča</w:t>
      </w:r>
      <w:r w:rsidRPr="00900F8E">
        <w:rPr>
          <w:rFonts w:ascii="Arial" w:hAnsi="Arial" w:cs="Arial"/>
        </w:rPr>
        <w:t>;</w:t>
      </w:r>
    </w:p>
    <w:p w14:paraId="11CAF28B" w14:textId="2961C559" w:rsidR="006C1297" w:rsidRPr="00900F8E" w:rsidRDefault="006E3679" w:rsidP="006C1297">
      <w:pPr>
        <w:pStyle w:val="Odstavekseznama"/>
        <w:numPr>
          <w:ilvl w:val="0"/>
          <w:numId w:val="33"/>
        </w:numPr>
        <w:spacing w:after="0" w:line="240" w:lineRule="auto"/>
        <w:jc w:val="both"/>
        <w:rPr>
          <w:rFonts w:ascii="Arial" w:hAnsi="Arial" w:cs="Arial"/>
        </w:rPr>
      </w:pPr>
      <w:r w:rsidRPr="00900F8E">
        <w:rPr>
          <w:rFonts w:ascii="Arial" w:hAnsi="Arial" w:cs="Arial"/>
        </w:rPr>
        <w:t xml:space="preserve">20. </w:t>
      </w:r>
      <w:r w:rsidR="00880E3A">
        <w:rPr>
          <w:rFonts w:ascii="Arial" w:hAnsi="Arial" w:cs="Arial"/>
        </w:rPr>
        <w:t>e</w:t>
      </w:r>
      <w:r w:rsidR="0015363E">
        <w:rPr>
          <w:rFonts w:ascii="Arial" w:hAnsi="Arial" w:cs="Arial"/>
        </w:rPr>
        <w:t xml:space="preserve">vropski teden mobilnosti </w:t>
      </w:r>
      <w:r w:rsidRPr="00900F8E">
        <w:rPr>
          <w:rFonts w:ascii="Arial" w:hAnsi="Arial" w:cs="Arial"/>
        </w:rPr>
        <w:t xml:space="preserve">je potekal pod </w:t>
      </w:r>
      <w:r w:rsidR="000F613B">
        <w:rPr>
          <w:rFonts w:ascii="Arial" w:hAnsi="Arial" w:cs="Arial"/>
        </w:rPr>
        <w:t>geslom</w:t>
      </w:r>
      <w:r w:rsidR="000F613B" w:rsidRPr="00900F8E">
        <w:rPr>
          <w:rFonts w:ascii="Arial" w:hAnsi="Arial" w:cs="Arial"/>
        </w:rPr>
        <w:t xml:space="preserve"> </w:t>
      </w:r>
      <w:r w:rsidRPr="00900F8E">
        <w:rPr>
          <w:rFonts w:ascii="Arial" w:hAnsi="Arial" w:cs="Arial"/>
        </w:rPr>
        <w:t xml:space="preserve">Živi zdravo. Potuj trajnostno. </w:t>
      </w:r>
      <w:r w:rsidR="006C1297" w:rsidRPr="00900F8E">
        <w:rPr>
          <w:rFonts w:ascii="Arial" w:hAnsi="Arial" w:cs="Arial"/>
        </w:rPr>
        <w:t>A</w:t>
      </w:r>
      <w:r w:rsidRPr="00900F8E">
        <w:rPr>
          <w:rFonts w:ascii="Arial" w:hAnsi="Arial" w:cs="Arial"/>
        </w:rPr>
        <w:t>ktivno</w:t>
      </w:r>
      <w:r w:rsidR="006C1297" w:rsidRPr="00900F8E">
        <w:rPr>
          <w:rFonts w:ascii="Arial" w:hAnsi="Arial" w:cs="Arial"/>
        </w:rPr>
        <w:t xml:space="preserve"> je</w:t>
      </w:r>
      <w:r w:rsidRPr="00900F8E">
        <w:rPr>
          <w:rFonts w:ascii="Arial" w:hAnsi="Arial" w:cs="Arial"/>
        </w:rPr>
        <w:t xml:space="preserve"> sodelovalo 84 občin</w:t>
      </w:r>
      <w:r w:rsidR="006B2D7A">
        <w:rPr>
          <w:rFonts w:ascii="Arial" w:hAnsi="Arial" w:cs="Arial"/>
        </w:rPr>
        <w:t xml:space="preserve">, od tega je prejelo 57 občin sofinanciranje </w:t>
      </w:r>
      <w:r w:rsidR="001D6649">
        <w:rPr>
          <w:rFonts w:ascii="Arial" w:hAnsi="Arial" w:cs="Arial"/>
        </w:rPr>
        <w:t>dejavnosti</w:t>
      </w:r>
      <w:r w:rsidR="006B2D7A">
        <w:rPr>
          <w:rFonts w:ascii="Arial" w:hAnsi="Arial" w:cs="Arial"/>
        </w:rPr>
        <w:t xml:space="preserve"> ETM iz Sklada za podnebne spremembe v okviru projekta LIFE IP CARE4CLIMATE, pri čemer se je</w:t>
      </w:r>
      <w:r w:rsidR="000F22BD">
        <w:rPr>
          <w:rFonts w:ascii="Arial" w:hAnsi="Arial" w:cs="Arial"/>
        </w:rPr>
        <w:t xml:space="preserve"> vzpostavila obveznost sofinanciranja trajnih ukrepov v višini vsaj 15% upravičenih sredstev</w:t>
      </w:r>
      <w:r w:rsidRPr="00900F8E">
        <w:rPr>
          <w:rFonts w:ascii="Arial" w:hAnsi="Arial" w:cs="Arial"/>
        </w:rPr>
        <w:t xml:space="preserve">. </w:t>
      </w:r>
      <w:r w:rsidR="00291E2F">
        <w:rPr>
          <w:rFonts w:ascii="Arial" w:hAnsi="Arial" w:cs="Arial"/>
        </w:rPr>
        <w:t>Poudarjen</w:t>
      </w:r>
      <w:r w:rsidR="00291E2F" w:rsidRPr="00900F8E">
        <w:rPr>
          <w:rFonts w:ascii="Arial" w:hAnsi="Arial" w:cs="Arial"/>
        </w:rPr>
        <w:t xml:space="preserve"> </w:t>
      </w:r>
      <w:r w:rsidR="006C1297" w:rsidRPr="00900F8E">
        <w:rPr>
          <w:rFonts w:ascii="Arial" w:hAnsi="Arial" w:cs="Arial"/>
        </w:rPr>
        <w:t>je bil</w:t>
      </w:r>
      <w:r w:rsidRPr="00900F8E">
        <w:rPr>
          <w:rFonts w:ascii="Arial" w:hAnsi="Arial" w:cs="Arial"/>
        </w:rPr>
        <w:t xml:space="preserve"> vpliv epidemije </w:t>
      </w:r>
      <w:r w:rsidR="006C1297" w:rsidRPr="00900F8E">
        <w:rPr>
          <w:rFonts w:ascii="Arial" w:hAnsi="Arial" w:cs="Arial"/>
        </w:rPr>
        <w:t>c</w:t>
      </w:r>
      <w:r w:rsidRPr="00900F8E">
        <w:rPr>
          <w:rFonts w:ascii="Arial" w:hAnsi="Arial" w:cs="Arial"/>
        </w:rPr>
        <w:t xml:space="preserve">ovida-19 na javno življenje in promet v mestih ter pozitiven vpliv trajnostne mobilnosti na zdravje. Večina občin je organizirala </w:t>
      </w:r>
      <w:r w:rsidR="0086032E">
        <w:rPr>
          <w:rFonts w:ascii="Arial" w:hAnsi="Arial" w:cs="Arial"/>
        </w:rPr>
        <w:t>d</w:t>
      </w:r>
      <w:r w:rsidRPr="00900F8E">
        <w:rPr>
          <w:rFonts w:ascii="Arial" w:hAnsi="Arial" w:cs="Arial"/>
        </w:rPr>
        <w:t xml:space="preserve">an brez avtomobila, </w:t>
      </w:r>
      <w:r w:rsidR="0086032E">
        <w:rPr>
          <w:rFonts w:ascii="Arial" w:hAnsi="Arial" w:cs="Arial"/>
        </w:rPr>
        <w:t>p</w:t>
      </w:r>
      <w:r w:rsidRPr="00900F8E">
        <w:rPr>
          <w:rFonts w:ascii="Arial" w:hAnsi="Arial" w:cs="Arial"/>
        </w:rPr>
        <w:t>ark(</w:t>
      </w:r>
      <w:proofErr w:type="spellStart"/>
      <w:r w:rsidRPr="00900F8E">
        <w:rPr>
          <w:rFonts w:ascii="Arial" w:hAnsi="Arial" w:cs="Arial"/>
        </w:rPr>
        <w:t>irni</w:t>
      </w:r>
      <w:proofErr w:type="spellEnd"/>
      <w:r w:rsidRPr="00900F8E">
        <w:rPr>
          <w:rFonts w:ascii="Arial" w:hAnsi="Arial" w:cs="Arial"/>
        </w:rPr>
        <w:t xml:space="preserve">) dan ali pa </w:t>
      </w:r>
      <w:proofErr w:type="spellStart"/>
      <w:r w:rsidR="0086032E">
        <w:rPr>
          <w:rFonts w:ascii="Arial" w:hAnsi="Arial" w:cs="Arial"/>
        </w:rPr>
        <w:t>p</w:t>
      </w:r>
      <w:r w:rsidRPr="00900F8E">
        <w:rPr>
          <w:rFonts w:ascii="Arial" w:hAnsi="Arial" w:cs="Arial"/>
        </w:rPr>
        <w:t>ešbus</w:t>
      </w:r>
      <w:proofErr w:type="spellEnd"/>
      <w:r w:rsidRPr="00900F8E">
        <w:rPr>
          <w:rFonts w:ascii="Arial" w:hAnsi="Arial" w:cs="Arial"/>
        </w:rPr>
        <w:t xml:space="preserve">. Med najboljšimi praksami so bile </w:t>
      </w:r>
      <w:r w:rsidR="006C1297" w:rsidRPr="00900F8E">
        <w:rPr>
          <w:rFonts w:ascii="Arial" w:hAnsi="Arial" w:cs="Arial"/>
        </w:rPr>
        <w:t xml:space="preserve">izpostavljene </w:t>
      </w:r>
      <w:r w:rsidRPr="00900F8E">
        <w:rPr>
          <w:rFonts w:ascii="Arial" w:hAnsi="Arial" w:cs="Arial"/>
        </w:rPr>
        <w:t>občine Metlika, Dravograd, Celje in Semič. Ob 20. obletnici so bile podeljene plakete sedmim občinam, ki sodelujejo od samega začetka projekta leta 2002</w:t>
      </w:r>
      <w:r w:rsidR="006C1297" w:rsidRPr="00900F8E">
        <w:rPr>
          <w:rFonts w:ascii="Arial" w:hAnsi="Arial" w:cs="Arial"/>
        </w:rPr>
        <w:t>;</w:t>
      </w:r>
    </w:p>
    <w:p w14:paraId="31BEA042" w14:textId="6DAE753A" w:rsidR="00B5081F" w:rsidRPr="008C4F2D" w:rsidRDefault="006E3679" w:rsidP="00640804">
      <w:pPr>
        <w:pStyle w:val="Odstavekseznama"/>
        <w:numPr>
          <w:ilvl w:val="0"/>
          <w:numId w:val="33"/>
        </w:numPr>
        <w:spacing w:after="0" w:line="240" w:lineRule="auto"/>
        <w:jc w:val="both"/>
        <w:rPr>
          <w:rFonts w:ascii="Arial" w:hAnsi="Arial" w:cs="Arial"/>
        </w:rPr>
      </w:pPr>
      <w:r w:rsidRPr="008C4F2D">
        <w:rPr>
          <w:rFonts w:ascii="Arial" w:hAnsi="Arial" w:cs="Arial"/>
        </w:rPr>
        <w:t xml:space="preserve">nadaljeval </w:t>
      </w:r>
      <w:r w:rsidR="006C1297" w:rsidRPr="008C4F2D">
        <w:rPr>
          <w:rFonts w:ascii="Arial" w:hAnsi="Arial" w:cs="Arial"/>
        </w:rPr>
        <w:t xml:space="preserve">se je </w:t>
      </w:r>
      <w:r w:rsidRPr="008C4F2D">
        <w:rPr>
          <w:rFonts w:ascii="Arial" w:hAnsi="Arial" w:cs="Arial"/>
        </w:rPr>
        <w:t xml:space="preserve">projekt Mehki ukrepi trajnostne mobilnosti, v okviru katerega se je </w:t>
      </w:r>
      <w:r w:rsidR="00C729C4">
        <w:rPr>
          <w:rFonts w:ascii="Arial" w:hAnsi="Arial" w:cs="Arial"/>
        </w:rPr>
        <w:t>končal</w:t>
      </w:r>
      <w:r w:rsidR="00C729C4" w:rsidRPr="008C4F2D">
        <w:rPr>
          <w:rFonts w:ascii="Arial" w:hAnsi="Arial" w:cs="Arial"/>
        </w:rPr>
        <w:t xml:space="preserve"> </w:t>
      </w:r>
      <w:r w:rsidRPr="008C4F2D">
        <w:rPr>
          <w:rFonts w:ascii="Arial" w:hAnsi="Arial" w:cs="Arial"/>
        </w:rPr>
        <w:t xml:space="preserve">sklop o trajnostni mobilnosti za vrtce in osnovne šole. </w:t>
      </w:r>
      <w:r w:rsidR="008C4F2D" w:rsidRPr="008C4F2D">
        <w:rPr>
          <w:rFonts w:ascii="Arial" w:hAnsi="Arial" w:cs="Arial"/>
        </w:rPr>
        <w:t>Namen projekta je bil spodbujanje trajnostne mobilnosti med učitelji, vzgojitelji, otro</w:t>
      </w:r>
      <w:r w:rsidR="00A97D8C">
        <w:rPr>
          <w:rFonts w:ascii="Arial" w:hAnsi="Arial" w:cs="Arial"/>
        </w:rPr>
        <w:t>k</w:t>
      </w:r>
      <w:r w:rsidR="008C4F2D" w:rsidRPr="008C4F2D">
        <w:rPr>
          <w:rFonts w:ascii="Arial" w:hAnsi="Arial" w:cs="Arial"/>
        </w:rPr>
        <w:t xml:space="preserve">i, učenci, starši in </w:t>
      </w:r>
      <w:r w:rsidR="00A97D8C">
        <w:rPr>
          <w:rFonts w:ascii="Arial" w:hAnsi="Arial" w:cs="Arial"/>
        </w:rPr>
        <w:t xml:space="preserve">v </w:t>
      </w:r>
      <w:r w:rsidR="008C4F2D" w:rsidRPr="008C4F2D">
        <w:rPr>
          <w:rFonts w:ascii="Arial" w:hAnsi="Arial" w:cs="Arial"/>
        </w:rPr>
        <w:t xml:space="preserve">širši lokalni skupnosti. V projektu je sodelovalo več kot 100.000 otrok in več kot 6.000 strokovnih sodelavcev. Oblikovana so bila gradiva, ki pomembno prispevajo k vključevanju trajnostne mobilnosti v vrtčevske in osnovnošolske programe ter ozaveščanju javnosti. Poleg </w:t>
      </w:r>
      <w:proofErr w:type="spellStart"/>
      <w:r w:rsidR="008C4F2D" w:rsidRPr="008C4F2D">
        <w:rPr>
          <w:rFonts w:ascii="Arial" w:hAnsi="Arial" w:cs="Arial"/>
        </w:rPr>
        <w:t>Focusa</w:t>
      </w:r>
      <w:proofErr w:type="spellEnd"/>
      <w:r w:rsidR="008C4F2D" w:rsidRPr="008C4F2D">
        <w:rPr>
          <w:rFonts w:ascii="Arial" w:hAnsi="Arial" w:cs="Arial"/>
        </w:rPr>
        <w:t xml:space="preserve"> so bili del projekta še Cipra, IPOP, Oddelek za geografijo FF UL, vodilni partner pa je bila Razvojna agencija Sinergija.</w:t>
      </w:r>
      <w:r w:rsidR="008C4F2D">
        <w:rPr>
          <w:rFonts w:ascii="Arial" w:hAnsi="Arial" w:cs="Arial"/>
        </w:rPr>
        <w:t xml:space="preserve"> </w:t>
      </w:r>
      <w:r w:rsidR="006C1297" w:rsidRPr="008C4F2D">
        <w:rPr>
          <w:rFonts w:ascii="Arial" w:hAnsi="Arial" w:cs="Arial"/>
        </w:rPr>
        <w:t>Potekala je</w:t>
      </w:r>
      <w:r w:rsidRPr="008C4F2D">
        <w:rPr>
          <w:rFonts w:ascii="Arial" w:hAnsi="Arial" w:cs="Arial"/>
        </w:rPr>
        <w:t xml:space="preserve"> zaključna konferenca projekta Trajnostna mobilnost v vrtcih in osnovnih šolah, kjer so bile predstavljene ugotovitve projekta.</w:t>
      </w:r>
      <w:r w:rsidR="006C1297" w:rsidRPr="008C4F2D">
        <w:rPr>
          <w:rFonts w:ascii="Arial" w:hAnsi="Arial" w:cs="Arial"/>
        </w:rPr>
        <w:t xml:space="preserve"> </w:t>
      </w:r>
      <w:r w:rsidR="00616213">
        <w:rPr>
          <w:rFonts w:ascii="Arial" w:hAnsi="Arial" w:cs="Arial"/>
        </w:rPr>
        <w:t>Projekt</w:t>
      </w:r>
      <w:r w:rsidR="001D6649">
        <w:rPr>
          <w:rFonts w:ascii="Arial" w:hAnsi="Arial" w:cs="Arial"/>
        </w:rPr>
        <w:t xml:space="preserve"> </w:t>
      </w:r>
      <w:r w:rsidRPr="008C4F2D">
        <w:rPr>
          <w:rFonts w:ascii="Arial" w:hAnsi="Arial" w:cs="Arial"/>
        </w:rPr>
        <w:t>Gremo peš s kokoško Rozi se je izvajal v treh terminih</w:t>
      </w:r>
      <w:r w:rsidR="006C1297" w:rsidRPr="008C4F2D">
        <w:rPr>
          <w:rFonts w:ascii="Arial" w:hAnsi="Arial" w:cs="Arial"/>
        </w:rPr>
        <w:t>.</w:t>
      </w:r>
      <w:r w:rsidRPr="008C4F2D">
        <w:rPr>
          <w:rFonts w:ascii="Arial" w:hAnsi="Arial" w:cs="Arial"/>
        </w:rPr>
        <w:t xml:space="preserve"> </w:t>
      </w:r>
      <w:r w:rsidR="008D6BD9" w:rsidRPr="008C4F2D">
        <w:rPr>
          <w:rFonts w:ascii="Arial" w:hAnsi="Arial" w:cs="Arial"/>
        </w:rPr>
        <w:t>S</w:t>
      </w:r>
      <w:r w:rsidRPr="008C4F2D">
        <w:rPr>
          <w:rFonts w:ascii="Arial" w:hAnsi="Arial" w:cs="Arial"/>
        </w:rPr>
        <w:t>kupaj</w:t>
      </w:r>
      <w:r w:rsidR="008D6BD9" w:rsidRPr="008C4F2D">
        <w:rPr>
          <w:rFonts w:ascii="Arial" w:hAnsi="Arial" w:cs="Arial"/>
        </w:rPr>
        <w:t xml:space="preserve"> je</w:t>
      </w:r>
      <w:r w:rsidRPr="008C4F2D">
        <w:rPr>
          <w:rFonts w:ascii="Arial" w:hAnsi="Arial" w:cs="Arial"/>
        </w:rPr>
        <w:t xml:space="preserve"> sodelovalo 63.698 učencev iz 314 šol. </w:t>
      </w:r>
      <w:r w:rsidR="008D6BD9" w:rsidRPr="008C4F2D">
        <w:rPr>
          <w:rFonts w:ascii="Arial" w:hAnsi="Arial" w:cs="Arial"/>
        </w:rPr>
        <w:t>V</w:t>
      </w:r>
      <w:r w:rsidRPr="008C4F2D">
        <w:rPr>
          <w:rFonts w:ascii="Arial" w:hAnsi="Arial" w:cs="Arial"/>
        </w:rPr>
        <w:t xml:space="preserve"> času izvajanja </w:t>
      </w:r>
      <w:r w:rsidR="00AD3576">
        <w:rPr>
          <w:rFonts w:ascii="Arial" w:hAnsi="Arial" w:cs="Arial"/>
        </w:rPr>
        <w:t>projekta</w:t>
      </w:r>
      <w:r w:rsidR="008D6BD9" w:rsidRPr="008C4F2D">
        <w:rPr>
          <w:rFonts w:ascii="Arial" w:hAnsi="Arial" w:cs="Arial"/>
        </w:rPr>
        <w:t xml:space="preserve"> se je</w:t>
      </w:r>
      <w:r w:rsidRPr="008C4F2D">
        <w:rPr>
          <w:rFonts w:ascii="Arial" w:hAnsi="Arial" w:cs="Arial"/>
        </w:rPr>
        <w:t xml:space="preserve"> močno povečal delež trajnostnih načinov prihoda v šolo, še poseb</w:t>
      </w:r>
      <w:r w:rsidR="008D6BD9" w:rsidRPr="008C4F2D">
        <w:rPr>
          <w:rFonts w:ascii="Arial" w:hAnsi="Arial" w:cs="Arial"/>
        </w:rPr>
        <w:t xml:space="preserve">ej </w:t>
      </w:r>
      <w:r w:rsidRPr="008C4F2D">
        <w:rPr>
          <w:rFonts w:ascii="Arial" w:hAnsi="Arial" w:cs="Arial"/>
        </w:rPr>
        <w:t xml:space="preserve">prihodov peš. Pričakovano se je po koncu </w:t>
      </w:r>
      <w:r w:rsidR="00AD3576">
        <w:rPr>
          <w:rFonts w:ascii="Arial" w:hAnsi="Arial" w:cs="Arial"/>
        </w:rPr>
        <w:t>projekta</w:t>
      </w:r>
      <w:r w:rsidRPr="008C4F2D">
        <w:rPr>
          <w:rFonts w:ascii="Arial" w:hAnsi="Arial" w:cs="Arial"/>
        </w:rPr>
        <w:t xml:space="preserve"> </w:t>
      </w:r>
      <w:r w:rsidR="00AD3576">
        <w:rPr>
          <w:rFonts w:ascii="Arial" w:hAnsi="Arial" w:cs="Arial"/>
        </w:rPr>
        <w:t>vnovič</w:t>
      </w:r>
      <w:r w:rsidR="00AD3576" w:rsidRPr="008C4F2D">
        <w:rPr>
          <w:rFonts w:ascii="Arial" w:hAnsi="Arial" w:cs="Arial"/>
        </w:rPr>
        <w:t xml:space="preserve"> </w:t>
      </w:r>
      <w:r w:rsidRPr="008C4F2D">
        <w:rPr>
          <w:rFonts w:ascii="Arial" w:hAnsi="Arial" w:cs="Arial"/>
        </w:rPr>
        <w:t xml:space="preserve">povečal delež prihodov z avtom, vendar je bil ta še vedno občutno nižji kot pred </w:t>
      </w:r>
      <w:r w:rsidRPr="008C4F2D">
        <w:rPr>
          <w:rFonts w:ascii="Arial" w:hAnsi="Arial" w:cs="Arial"/>
        </w:rPr>
        <w:lastRenderedPageBreak/>
        <w:t xml:space="preserve">začetkom izvajanja </w:t>
      </w:r>
      <w:r w:rsidR="001D6649">
        <w:rPr>
          <w:rFonts w:ascii="Arial" w:hAnsi="Arial" w:cs="Arial"/>
        </w:rPr>
        <w:t>dejavnosti</w:t>
      </w:r>
      <w:r w:rsidRPr="008C4F2D">
        <w:rPr>
          <w:rFonts w:ascii="Arial" w:hAnsi="Arial" w:cs="Arial"/>
        </w:rPr>
        <w:t xml:space="preserve">. </w:t>
      </w:r>
      <w:r w:rsidR="00AD3576">
        <w:rPr>
          <w:rFonts w:ascii="Arial" w:hAnsi="Arial" w:cs="Arial"/>
        </w:rPr>
        <w:t>Igra</w:t>
      </w:r>
      <w:r w:rsidR="001D6649">
        <w:rPr>
          <w:rFonts w:ascii="Arial" w:hAnsi="Arial" w:cs="Arial"/>
        </w:rPr>
        <w:t xml:space="preserve"> </w:t>
      </w:r>
      <w:r w:rsidRPr="008C4F2D">
        <w:rPr>
          <w:rFonts w:ascii="Arial" w:hAnsi="Arial" w:cs="Arial"/>
        </w:rPr>
        <w:t>Beli zajček je potekala v treh izvedbah. Vsega skupaj je v igri sodelovalo 296 različnih vrtcev</w:t>
      </w:r>
      <w:r w:rsidR="008D6BD9" w:rsidRPr="008C4F2D">
        <w:rPr>
          <w:rFonts w:ascii="Arial" w:hAnsi="Arial" w:cs="Arial"/>
        </w:rPr>
        <w:t xml:space="preserve"> </w:t>
      </w:r>
      <w:r w:rsidR="008177E8">
        <w:rPr>
          <w:rFonts w:ascii="Arial" w:hAnsi="Arial" w:cs="Arial"/>
        </w:rPr>
        <w:t>s</w:t>
      </w:r>
      <w:r w:rsidRPr="008C4F2D">
        <w:rPr>
          <w:rFonts w:ascii="Arial" w:hAnsi="Arial" w:cs="Arial"/>
        </w:rPr>
        <w:t xml:space="preserve"> 33.556</w:t>
      </w:r>
      <w:r w:rsidR="008D6BD9" w:rsidRPr="008C4F2D">
        <w:rPr>
          <w:rFonts w:ascii="Arial" w:hAnsi="Arial" w:cs="Arial"/>
        </w:rPr>
        <w:t xml:space="preserve"> otroki</w:t>
      </w:r>
      <w:r w:rsidRPr="008C4F2D">
        <w:rPr>
          <w:rFonts w:ascii="Arial" w:hAnsi="Arial" w:cs="Arial"/>
        </w:rPr>
        <w:t>. Primerjava potovalnih navad otrok pred</w:t>
      </w:r>
      <w:r w:rsidR="007D569D">
        <w:rPr>
          <w:rFonts w:ascii="Arial" w:hAnsi="Arial" w:cs="Arial"/>
        </w:rPr>
        <w:t xml:space="preserve"> izvajanjem igre</w:t>
      </w:r>
      <w:r w:rsidRPr="008C4F2D">
        <w:rPr>
          <w:rFonts w:ascii="Arial" w:hAnsi="Arial" w:cs="Arial"/>
        </w:rPr>
        <w:t xml:space="preserve"> in po </w:t>
      </w:r>
      <w:r w:rsidR="007D569D">
        <w:rPr>
          <w:rFonts w:ascii="Arial" w:hAnsi="Arial" w:cs="Arial"/>
        </w:rPr>
        <w:t>njej</w:t>
      </w:r>
      <w:r w:rsidR="007D569D" w:rsidRPr="008C4F2D">
        <w:rPr>
          <w:rFonts w:ascii="Arial" w:hAnsi="Arial" w:cs="Arial"/>
        </w:rPr>
        <w:t xml:space="preserve"> </w:t>
      </w:r>
      <w:r w:rsidRPr="008C4F2D">
        <w:rPr>
          <w:rFonts w:ascii="Arial" w:hAnsi="Arial" w:cs="Arial"/>
        </w:rPr>
        <w:t>kaže, da je izvajanje igre v obeh opazovanih obdobjih pozitivno vplivalo tako na spremembo navad kot tudi na želje otrok z vidika trajnostne mobilnosti. Skupno se je delež trajnostnih prihodov obdobju 2019</w:t>
      </w:r>
      <w:r w:rsidR="009B1AF1">
        <w:rPr>
          <w:rFonts w:ascii="Arial" w:hAnsi="Arial" w:cs="Arial"/>
        </w:rPr>
        <w:t>–</w:t>
      </w:r>
      <w:r w:rsidR="008D6BD9" w:rsidRPr="008C4F2D">
        <w:rPr>
          <w:rFonts w:ascii="Arial" w:hAnsi="Arial" w:cs="Arial"/>
        </w:rPr>
        <w:t>20</w:t>
      </w:r>
      <w:r w:rsidRPr="008C4F2D">
        <w:rPr>
          <w:rFonts w:ascii="Arial" w:hAnsi="Arial" w:cs="Arial"/>
        </w:rPr>
        <w:t>20 zvišal za 8,5 %, v obdobju 2020</w:t>
      </w:r>
      <w:r w:rsidR="009B1AF1">
        <w:rPr>
          <w:rFonts w:ascii="Arial" w:hAnsi="Arial" w:cs="Arial"/>
        </w:rPr>
        <w:t>–</w:t>
      </w:r>
      <w:r w:rsidR="008D6BD9" w:rsidRPr="008C4F2D">
        <w:rPr>
          <w:rFonts w:ascii="Arial" w:hAnsi="Arial" w:cs="Arial"/>
        </w:rPr>
        <w:t>20</w:t>
      </w:r>
      <w:r w:rsidRPr="008C4F2D">
        <w:rPr>
          <w:rFonts w:ascii="Arial" w:hAnsi="Arial" w:cs="Arial"/>
        </w:rPr>
        <w:t>21 pa za 6,8 %.</w:t>
      </w:r>
      <w:r w:rsidR="008D6BD9" w:rsidRPr="008C4F2D">
        <w:rPr>
          <w:rFonts w:ascii="Arial" w:hAnsi="Arial" w:cs="Arial"/>
        </w:rPr>
        <w:t xml:space="preserve"> </w:t>
      </w:r>
      <w:r w:rsidRPr="008C4F2D">
        <w:rPr>
          <w:rFonts w:ascii="Arial" w:hAnsi="Arial" w:cs="Arial"/>
        </w:rPr>
        <w:t xml:space="preserve">Nadaljeval se je program Aktivno v šolo in zdravo mesto, v okviru katerega je bilo izvedeno spletno usposabljanje za izvajanje </w:t>
      </w:r>
      <w:proofErr w:type="spellStart"/>
      <w:r w:rsidR="00D470AF">
        <w:rPr>
          <w:rFonts w:ascii="Arial" w:hAnsi="Arial" w:cs="Arial"/>
        </w:rPr>
        <w:t>p</w:t>
      </w:r>
      <w:r w:rsidRPr="008C4F2D">
        <w:rPr>
          <w:rFonts w:ascii="Arial" w:hAnsi="Arial" w:cs="Arial"/>
        </w:rPr>
        <w:t>ešbusa</w:t>
      </w:r>
      <w:proofErr w:type="spellEnd"/>
      <w:r w:rsidRPr="008C4F2D">
        <w:rPr>
          <w:rFonts w:ascii="Arial" w:hAnsi="Arial" w:cs="Arial"/>
        </w:rPr>
        <w:t xml:space="preserve"> in </w:t>
      </w:r>
      <w:proofErr w:type="spellStart"/>
      <w:r w:rsidR="00D470AF">
        <w:rPr>
          <w:rFonts w:ascii="Arial" w:hAnsi="Arial" w:cs="Arial"/>
        </w:rPr>
        <w:t>b</w:t>
      </w:r>
      <w:r w:rsidRPr="008C4F2D">
        <w:rPr>
          <w:rFonts w:ascii="Arial" w:hAnsi="Arial" w:cs="Arial"/>
        </w:rPr>
        <w:t>icivlaka</w:t>
      </w:r>
      <w:proofErr w:type="spellEnd"/>
      <w:r w:rsidRPr="008C4F2D">
        <w:rPr>
          <w:rFonts w:ascii="Arial" w:hAnsi="Arial" w:cs="Arial"/>
        </w:rPr>
        <w:t xml:space="preserve">, namenjeno predstavnikom šol in občin. Pešbus je od leta 2016 do pomladi leta 2022 izvedlo že več kot 130 šol in en vrtec. V šolskem letu 2021/2022 je </w:t>
      </w:r>
      <w:proofErr w:type="spellStart"/>
      <w:r w:rsidR="00040B64">
        <w:rPr>
          <w:rFonts w:ascii="Arial" w:hAnsi="Arial" w:cs="Arial"/>
        </w:rPr>
        <w:t>p</w:t>
      </w:r>
      <w:r w:rsidRPr="008C4F2D">
        <w:rPr>
          <w:rFonts w:ascii="Arial" w:hAnsi="Arial" w:cs="Arial"/>
        </w:rPr>
        <w:t>ešbus</w:t>
      </w:r>
      <w:proofErr w:type="spellEnd"/>
      <w:r w:rsidRPr="008C4F2D">
        <w:rPr>
          <w:rFonts w:ascii="Arial" w:hAnsi="Arial" w:cs="Arial"/>
        </w:rPr>
        <w:t xml:space="preserve"> potekal na 66 šolah in v enem vrtcu</w:t>
      </w:r>
      <w:r w:rsidR="008D6BD9" w:rsidRPr="008C4F2D">
        <w:rPr>
          <w:rFonts w:ascii="Arial" w:hAnsi="Arial" w:cs="Arial"/>
        </w:rPr>
        <w:t xml:space="preserve"> ter v</w:t>
      </w:r>
      <w:r w:rsidRPr="008C4F2D">
        <w:rPr>
          <w:rFonts w:ascii="Arial" w:hAnsi="Arial" w:cs="Arial"/>
        </w:rPr>
        <w:t xml:space="preserve"> šolo pripeljal več kot 3.000 otrok. </w:t>
      </w:r>
      <w:r w:rsidR="008D6BD9" w:rsidRPr="008C4F2D">
        <w:rPr>
          <w:rFonts w:ascii="Arial" w:hAnsi="Arial" w:cs="Arial"/>
        </w:rPr>
        <w:t>Dve</w:t>
      </w:r>
      <w:r w:rsidRPr="008C4F2D">
        <w:rPr>
          <w:rFonts w:ascii="Arial" w:hAnsi="Arial" w:cs="Arial"/>
        </w:rPr>
        <w:t xml:space="preserve"> šoli sta izvajali tudi </w:t>
      </w:r>
      <w:proofErr w:type="spellStart"/>
      <w:r w:rsidR="00040B64">
        <w:rPr>
          <w:rFonts w:ascii="Arial" w:hAnsi="Arial" w:cs="Arial"/>
        </w:rPr>
        <w:t>b</w:t>
      </w:r>
      <w:r w:rsidRPr="008C4F2D">
        <w:rPr>
          <w:rFonts w:ascii="Arial" w:hAnsi="Arial" w:cs="Arial"/>
        </w:rPr>
        <w:t>icivlak</w:t>
      </w:r>
      <w:proofErr w:type="spellEnd"/>
      <w:r w:rsidRPr="008C4F2D">
        <w:rPr>
          <w:rFonts w:ascii="Arial" w:hAnsi="Arial" w:cs="Arial"/>
        </w:rPr>
        <w:t xml:space="preserve">. V okviru programa Aktivno v šolo in zdravo mesto je bila za sodelovanje pri pripravi že tretjega lokalnega načrta hodljivosti izbrana Mestna občina Velenje. </w:t>
      </w:r>
      <w:r w:rsidR="008D6BD9" w:rsidRPr="008C4F2D">
        <w:rPr>
          <w:rFonts w:ascii="Arial" w:hAnsi="Arial" w:cs="Arial"/>
        </w:rPr>
        <w:t>I</w:t>
      </w:r>
      <w:r w:rsidRPr="008C4F2D">
        <w:rPr>
          <w:rFonts w:ascii="Arial" w:hAnsi="Arial" w:cs="Arial"/>
        </w:rPr>
        <w:t xml:space="preserve">zdelan </w:t>
      </w:r>
      <w:r w:rsidR="008D6BD9" w:rsidRPr="008C4F2D">
        <w:rPr>
          <w:rFonts w:ascii="Arial" w:hAnsi="Arial" w:cs="Arial"/>
        </w:rPr>
        <w:t xml:space="preserve">je bil </w:t>
      </w:r>
      <w:r w:rsidRPr="008C4F2D">
        <w:rPr>
          <w:rFonts w:ascii="Arial" w:hAnsi="Arial" w:cs="Arial"/>
        </w:rPr>
        <w:t>drugi LNH za boljše zdravje in kakovost bivanja. LNH za Piran</w:t>
      </w:r>
      <w:r w:rsidR="00040B64">
        <w:rPr>
          <w:rFonts w:ascii="Arial" w:hAnsi="Arial" w:cs="Arial"/>
        </w:rPr>
        <w:t xml:space="preserve"> in </w:t>
      </w:r>
      <w:r w:rsidRPr="008C4F2D">
        <w:rPr>
          <w:rFonts w:ascii="Arial" w:hAnsi="Arial" w:cs="Arial"/>
        </w:rPr>
        <w:t>Lucij</w:t>
      </w:r>
      <w:r w:rsidR="00040B64">
        <w:rPr>
          <w:rFonts w:ascii="Arial" w:hAnsi="Arial" w:cs="Arial"/>
        </w:rPr>
        <w:t>o</w:t>
      </w:r>
      <w:r w:rsidRPr="008C4F2D">
        <w:rPr>
          <w:rFonts w:ascii="Arial" w:hAnsi="Arial" w:cs="Arial"/>
        </w:rPr>
        <w:t xml:space="preserve"> sta izdelala IPoP – inštitut za politike prostora in CIPRA Slovenija Društvo za varstvo Alp v sodelovanju z Zavodom Dostop, Zavodom za spodbujanje dostopnosti in lokalnimi akterji</w:t>
      </w:r>
      <w:r w:rsidR="008D6BD9" w:rsidRPr="008C4F2D">
        <w:rPr>
          <w:rFonts w:ascii="Arial" w:hAnsi="Arial" w:cs="Arial"/>
        </w:rPr>
        <w:t>;</w:t>
      </w:r>
    </w:p>
    <w:p w14:paraId="45E5CC16" w14:textId="5DF2EC1C" w:rsidR="00B5081F" w:rsidRPr="00900F8E" w:rsidRDefault="00040B64" w:rsidP="00B5081F">
      <w:pPr>
        <w:pStyle w:val="Odstavekseznama"/>
        <w:numPr>
          <w:ilvl w:val="0"/>
          <w:numId w:val="33"/>
        </w:numPr>
        <w:spacing w:after="0" w:line="240" w:lineRule="auto"/>
        <w:jc w:val="both"/>
        <w:rPr>
          <w:rFonts w:ascii="Arial" w:hAnsi="Arial" w:cs="Arial"/>
        </w:rPr>
      </w:pPr>
      <w:r>
        <w:rPr>
          <w:rFonts w:ascii="Arial" w:hAnsi="Arial" w:cs="Arial"/>
        </w:rPr>
        <w:t>v</w:t>
      </w:r>
      <w:r w:rsidR="006E3679" w:rsidRPr="00900F8E">
        <w:rPr>
          <w:rFonts w:ascii="Arial" w:hAnsi="Arial" w:cs="Arial"/>
        </w:rPr>
        <w:t xml:space="preserve"> Kranju so odprli CTM. V njem bodo obiskovalci lahko dobili osnovne informacije o uporabi trajnostnih načinov vsakodnevnega potovanja po in v okolici </w:t>
      </w:r>
      <w:r w:rsidR="0096759A">
        <w:rPr>
          <w:rFonts w:ascii="Arial" w:hAnsi="Arial" w:cs="Arial"/>
        </w:rPr>
        <w:t>m</w:t>
      </w:r>
      <w:r w:rsidR="006E3679" w:rsidRPr="00900F8E">
        <w:rPr>
          <w:rFonts w:ascii="Arial" w:hAnsi="Arial" w:cs="Arial"/>
        </w:rPr>
        <w:t>estne občine Kranj ter se vpisali v sistem za izposojo koles ali souporabo vozil. Obenem bo to tudi hitra popravljalnica koles, na voljo bodo parkirne in turistične informacije, delavnice za varno kolesarjenje in pravilno ravnanje s kolesi, izobraževanja o prometni varnosti in trajnostni mobilnosti, sprejem</w:t>
      </w:r>
      <w:r w:rsidR="0096759A">
        <w:rPr>
          <w:rFonts w:ascii="Arial" w:hAnsi="Arial" w:cs="Arial"/>
        </w:rPr>
        <w:t>anje</w:t>
      </w:r>
      <w:r w:rsidR="006E3679" w:rsidRPr="00900F8E">
        <w:rPr>
          <w:rFonts w:ascii="Arial" w:hAnsi="Arial" w:cs="Arial"/>
        </w:rPr>
        <w:t xml:space="preserve"> pobud in predlogov občanov</w:t>
      </w:r>
      <w:r w:rsidR="00B5081F" w:rsidRPr="00900F8E">
        <w:rPr>
          <w:rFonts w:ascii="Arial" w:hAnsi="Arial" w:cs="Arial"/>
        </w:rPr>
        <w:t>;</w:t>
      </w:r>
    </w:p>
    <w:p w14:paraId="6A94B616" w14:textId="2C78D92A" w:rsidR="00822BBE" w:rsidRPr="00900F8E" w:rsidRDefault="006E3679" w:rsidP="00640804">
      <w:pPr>
        <w:pStyle w:val="Odstavekseznama"/>
        <w:numPr>
          <w:ilvl w:val="0"/>
          <w:numId w:val="33"/>
        </w:numPr>
        <w:spacing w:after="0" w:line="240" w:lineRule="auto"/>
        <w:jc w:val="both"/>
        <w:rPr>
          <w:rFonts w:ascii="Arial" w:hAnsi="Arial" w:cs="Arial"/>
        </w:rPr>
      </w:pPr>
      <w:r w:rsidRPr="00900F8E">
        <w:rPr>
          <w:rFonts w:ascii="Arial" w:hAnsi="Arial" w:cs="Arial"/>
        </w:rPr>
        <w:t xml:space="preserve">MzI je skupaj z izvajalci projekta Izobraževanje za trajnostno mobilnost organiziral izobraževanja na temo sodobnih izzivov celostnega prometnega načrtovanja. </w:t>
      </w:r>
      <w:r w:rsidR="00B5081F" w:rsidRPr="00900F8E">
        <w:rPr>
          <w:rFonts w:ascii="Arial" w:hAnsi="Arial" w:cs="Arial"/>
        </w:rPr>
        <w:t>I</w:t>
      </w:r>
      <w:r w:rsidRPr="00900F8E">
        <w:rPr>
          <w:rFonts w:ascii="Arial" w:hAnsi="Arial" w:cs="Arial"/>
        </w:rPr>
        <w:t>zveden</w:t>
      </w:r>
      <w:r w:rsidR="00B5081F" w:rsidRPr="00900F8E">
        <w:rPr>
          <w:rFonts w:ascii="Arial" w:hAnsi="Arial" w:cs="Arial"/>
        </w:rPr>
        <w:t>i sta bili</w:t>
      </w:r>
      <w:r w:rsidRPr="00900F8E">
        <w:rPr>
          <w:rFonts w:ascii="Arial" w:hAnsi="Arial" w:cs="Arial"/>
        </w:rPr>
        <w:t xml:space="preserve"> izobraževan</w:t>
      </w:r>
      <w:r w:rsidR="0096759A">
        <w:rPr>
          <w:rFonts w:ascii="Arial" w:hAnsi="Arial" w:cs="Arial"/>
        </w:rPr>
        <w:t>j</w:t>
      </w:r>
      <w:r w:rsidR="00B5081F" w:rsidRPr="00900F8E">
        <w:rPr>
          <w:rFonts w:ascii="Arial" w:hAnsi="Arial" w:cs="Arial"/>
        </w:rPr>
        <w:t>i</w:t>
      </w:r>
      <w:r w:rsidRPr="00900F8E">
        <w:rPr>
          <w:rFonts w:ascii="Arial" w:hAnsi="Arial" w:cs="Arial"/>
        </w:rPr>
        <w:t xml:space="preserve"> Hoja kot način mobilnosti v mestih</w:t>
      </w:r>
      <w:r w:rsidR="00B5081F" w:rsidRPr="00900F8E">
        <w:rPr>
          <w:rFonts w:ascii="Arial" w:hAnsi="Arial" w:cs="Arial"/>
        </w:rPr>
        <w:t xml:space="preserve"> in </w:t>
      </w:r>
      <w:r w:rsidRPr="00900F8E">
        <w:rPr>
          <w:rFonts w:ascii="Arial" w:hAnsi="Arial" w:cs="Arial"/>
        </w:rPr>
        <w:t>Kolo – vozilo prihodnosti!</w:t>
      </w:r>
      <w:r w:rsidR="00822BBE" w:rsidRPr="00900F8E">
        <w:rPr>
          <w:rFonts w:ascii="Arial" w:hAnsi="Arial" w:cs="Arial"/>
        </w:rPr>
        <w:t>. I</w:t>
      </w:r>
      <w:r w:rsidRPr="00900F8E">
        <w:rPr>
          <w:rFonts w:ascii="Arial" w:hAnsi="Arial" w:cs="Arial"/>
        </w:rPr>
        <w:t xml:space="preserve">zvedeno </w:t>
      </w:r>
      <w:r w:rsidR="00822BBE" w:rsidRPr="00900F8E">
        <w:rPr>
          <w:rFonts w:ascii="Arial" w:hAnsi="Arial" w:cs="Arial"/>
        </w:rPr>
        <w:t xml:space="preserve">je bilo </w:t>
      </w:r>
      <w:r w:rsidRPr="00900F8E">
        <w:rPr>
          <w:rFonts w:ascii="Arial" w:hAnsi="Arial" w:cs="Arial"/>
        </w:rPr>
        <w:t xml:space="preserve">tudi izobraževanje za srednješolce, ki je bilo sestavljeno iz predavanja in terenskega ogleda </w:t>
      </w:r>
      <w:r w:rsidR="0096759A">
        <w:rPr>
          <w:rFonts w:ascii="Arial" w:hAnsi="Arial" w:cs="Arial"/>
        </w:rPr>
        <w:t>ter</w:t>
      </w:r>
      <w:r w:rsidR="0096759A" w:rsidRPr="00900F8E">
        <w:rPr>
          <w:rFonts w:ascii="Arial" w:hAnsi="Arial" w:cs="Arial"/>
        </w:rPr>
        <w:t xml:space="preserve"> </w:t>
      </w:r>
      <w:r w:rsidRPr="00900F8E">
        <w:rPr>
          <w:rFonts w:ascii="Arial" w:hAnsi="Arial" w:cs="Arial"/>
        </w:rPr>
        <w:t>iskanja rešitev za spodbujanje trajnostne mobilnosti v okolici šole</w:t>
      </w:r>
      <w:r w:rsidR="00822BBE" w:rsidRPr="00900F8E">
        <w:rPr>
          <w:rFonts w:ascii="Arial" w:hAnsi="Arial" w:cs="Arial"/>
        </w:rPr>
        <w:t>;</w:t>
      </w:r>
    </w:p>
    <w:p w14:paraId="16657B9E" w14:textId="332FD89B" w:rsidR="00822BBE" w:rsidRPr="00900F8E" w:rsidRDefault="00822BBE" w:rsidP="00822BBE">
      <w:pPr>
        <w:pStyle w:val="Odstavekseznama"/>
        <w:numPr>
          <w:ilvl w:val="0"/>
          <w:numId w:val="33"/>
        </w:numPr>
        <w:spacing w:after="0" w:line="240" w:lineRule="auto"/>
        <w:jc w:val="both"/>
        <w:rPr>
          <w:rFonts w:ascii="Arial" w:hAnsi="Arial" w:cs="Arial"/>
        </w:rPr>
      </w:pPr>
      <w:r w:rsidRPr="00900F8E">
        <w:rPr>
          <w:rFonts w:ascii="Arial" w:hAnsi="Arial" w:cs="Arial"/>
        </w:rPr>
        <w:t>v</w:t>
      </w:r>
      <w:r w:rsidR="006E3679" w:rsidRPr="00900F8E">
        <w:rPr>
          <w:rFonts w:ascii="Arial" w:hAnsi="Arial" w:cs="Arial"/>
        </w:rPr>
        <w:t xml:space="preserve"> sodelovanju s Skupnostjo občin Slovenije je bila </w:t>
      </w:r>
      <w:r w:rsidRPr="00900F8E">
        <w:rPr>
          <w:rFonts w:ascii="Arial" w:hAnsi="Arial" w:cs="Arial"/>
        </w:rPr>
        <w:t>i</w:t>
      </w:r>
      <w:r w:rsidR="006E3679" w:rsidRPr="00900F8E">
        <w:rPr>
          <w:rFonts w:ascii="Arial" w:hAnsi="Arial" w:cs="Arial"/>
        </w:rPr>
        <w:t xml:space="preserve">zvedena delavnica Vloga občin pri izvajanju </w:t>
      </w:r>
      <w:r w:rsidR="002A3977">
        <w:rPr>
          <w:rFonts w:ascii="Arial" w:hAnsi="Arial" w:cs="Arial"/>
        </w:rPr>
        <w:t>n</w:t>
      </w:r>
      <w:r w:rsidR="006E3679" w:rsidRPr="00900F8E">
        <w:rPr>
          <w:rFonts w:ascii="Arial" w:hAnsi="Arial" w:cs="Arial"/>
        </w:rPr>
        <w:t>acionalnega energetskega in podnebnega načrta</w:t>
      </w:r>
      <w:r w:rsidRPr="00900F8E">
        <w:rPr>
          <w:rFonts w:ascii="Arial" w:hAnsi="Arial" w:cs="Arial"/>
        </w:rPr>
        <w:t>;</w:t>
      </w:r>
      <w:r w:rsidR="006E3679" w:rsidRPr="00900F8E">
        <w:rPr>
          <w:rFonts w:ascii="Arial" w:hAnsi="Arial" w:cs="Arial"/>
        </w:rPr>
        <w:t xml:space="preserve"> </w:t>
      </w:r>
    </w:p>
    <w:p w14:paraId="34BDC58C" w14:textId="7AD87A5F" w:rsidR="003F6A94" w:rsidRPr="00900F8E" w:rsidRDefault="006E3679" w:rsidP="00822BBE">
      <w:pPr>
        <w:pStyle w:val="Odstavekseznama"/>
        <w:numPr>
          <w:ilvl w:val="0"/>
          <w:numId w:val="33"/>
        </w:numPr>
        <w:spacing w:after="0" w:line="240" w:lineRule="auto"/>
        <w:jc w:val="both"/>
        <w:rPr>
          <w:rFonts w:ascii="Arial" w:hAnsi="Arial" w:cs="Arial"/>
        </w:rPr>
      </w:pPr>
      <w:r w:rsidRPr="00900F8E">
        <w:rPr>
          <w:rFonts w:ascii="Arial" w:hAnsi="Arial" w:cs="Arial"/>
        </w:rPr>
        <w:t xml:space="preserve">EU se je odločila leto 2021 imenovati za </w:t>
      </w:r>
      <w:r w:rsidR="002A3977">
        <w:rPr>
          <w:rFonts w:ascii="Arial" w:hAnsi="Arial" w:cs="Arial"/>
        </w:rPr>
        <w:t>e</w:t>
      </w:r>
      <w:r w:rsidRPr="00900F8E">
        <w:rPr>
          <w:rFonts w:ascii="Arial" w:hAnsi="Arial" w:cs="Arial"/>
        </w:rPr>
        <w:t>vropsko leto železnic, v katerem je spodbujala uporabo železnic kot varnega in trajnostnega prometnega sredstva. Izvedene so bile številne dejavnosti za promocijo železnic širom EU, da bi spodbudili posameznike in podjetja k njihovi uporabi. Med glavnimi smernicami prometne politike EU je tudi uporaba železnic namesto letal na razdaljah do 500</w:t>
      </w:r>
      <w:r w:rsidR="002A3977">
        <w:rPr>
          <w:rFonts w:ascii="Arial" w:hAnsi="Arial" w:cs="Arial"/>
        </w:rPr>
        <w:t>–</w:t>
      </w:r>
      <w:r w:rsidRPr="00900F8E">
        <w:rPr>
          <w:rFonts w:ascii="Arial" w:hAnsi="Arial" w:cs="Arial"/>
        </w:rPr>
        <w:t>600 kilometrov</w:t>
      </w:r>
      <w:r w:rsidR="00822BBE" w:rsidRPr="00900F8E">
        <w:rPr>
          <w:rFonts w:ascii="Arial" w:hAnsi="Arial" w:cs="Arial"/>
        </w:rPr>
        <w:t>;</w:t>
      </w:r>
    </w:p>
    <w:p w14:paraId="417BAF19" w14:textId="4CE77E3E" w:rsidR="00721CCF" w:rsidRPr="00F02AFB" w:rsidRDefault="00E55349" w:rsidP="00F02AFB">
      <w:pPr>
        <w:pStyle w:val="Odstavekseznama"/>
        <w:numPr>
          <w:ilvl w:val="0"/>
          <w:numId w:val="33"/>
        </w:numPr>
        <w:jc w:val="both"/>
        <w:rPr>
          <w:rFonts w:ascii="Arial" w:hAnsi="Arial" w:cs="Arial"/>
        </w:rPr>
      </w:pPr>
      <w:r w:rsidRPr="00F02AFB">
        <w:rPr>
          <w:rFonts w:ascii="Arial" w:hAnsi="Arial" w:cs="Arial"/>
        </w:rPr>
        <w:t>o</w:t>
      </w:r>
      <w:r w:rsidR="00721CCF" w:rsidRPr="00F02AFB">
        <w:rPr>
          <w:rFonts w:ascii="Arial" w:hAnsi="Arial" w:cs="Arial"/>
        </w:rPr>
        <w:t>bjavljen je bil predlog Zakona o celostnem prometnem načrtovanju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00721CCF" w:rsidRPr="00F02AFB">
        <w:rPr>
          <w:rFonts w:ascii="Arial" w:hAnsi="Arial" w:cs="Arial"/>
        </w:rPr>
        <w:t>ZCPN), ki ureja cilje in načela celostnega prometnega načrtovanja, vrste celostnih prometnih strategij, njihovo vsebino in postopek priprave ter pravila za povezovanje prometnega in prostorskega načrtovanja. Posebno poglavje je Prometno načrtovanje v okviru prostorskega načrtovanja, v okviru katerega se morajo upoštevati celostne prometne strategije, načrtovati se morajo območja prijaznega prometa, opredeljene so zasnove lokalne infrastrukture za pešce in kolesarje</w:t>
      </w:r>
      <w:r w:rsidR="00F02AFB">
        <w:rPr>
          <w:rFonts w:ascii="Arial" w:hAnsi="Arial" w:cs="Arial"/>
        </w:rPr>
        <w:t>.</w:t>
      </w:r>
      <w:r w:rsidR="00F02AFB" w:rsidRPr="00F02AFB">
        <w:rPr>
          <w:rFonts w:ascii="Arial" w:hAnsi="Arial" w:cs="Arial"/>
        </w:rPr>
        <w:t xml:space="preserve"> </w:t>
      </w:r>
      <w:r w:rsidR="00F02AFB">
        <w:rPr>
          <w:rFonts w:ascii="Arial" w:hAnsi="Arial" w:cs="Arial"/>
        </w:rPr>
        <w:t>P</w:t>
      </w:r>
      <w:r w:rsidR="00F02AFB" w:rsidRPr="00F02AFB">
        <w:rPr>
          <w:rFonts w:ascii="Arial" w:hAnsi="Arial" w:cs="Arial"/>
        </w:rPr>
        <w:t>redvideva</w:t>
      </w:r>
      <w:r w:rsidR="00F02AFB">
        <w:rPr>
          <w:rFonts w:ascii="Arial" w:hAnsi="Arial" w:cs="Arial"/>
        </w:rPr>
        <w:t xml:space="preserve"> se</w:t>
      </w:r>
      <w:r w:rsidR="00F02AFB" w:rsidRPr="00F02AFB">
        <w:rPr>
          <w:rFonts w:ascii="Arial" w:hAnsi="Arial" w:cs="Arial"/>
        </w:rPr>
        <w:t xml:space="preserve"> vzpostavitev osnov za trajno načrtovanje omrežij peš povezav v občinah skozi celostne prometne strategije in z vključitvijo načrtovanih povezav v prostorske načrte.</w:t>
      </w:r>
      <w:r w:rsidR="00721CCF" w:rsidRPr="00F02AFB">
        <w:rPr>
          <w:rFonts w:ascii="Arial" w:hAnsi="Arial" w:cs="Arial"/>
        </w:rPr>
        <w:t xml:space="preserve"> V predlog ZCPN so bile vključene tudi vsebine iz Smernic za integracijo prometnega in prostorskega načrtovanja (omrežja pešpoti, omrežja kolesarske infrastrukture, omrežja javnega potniškega prometa, omrežja prestopnih in mobilnostih točk, območja prijaznega prometa, upravljanje parkiranja)</w:t>
      </w:r>
      <w:r w:rsidR="00FA1DA2" w:rsidRPr="00F02AFB">
        <w:rPr>
          <w:rFonts w:ascii="Arial" w:hAnsi="Arial" w:cs="Arial"/>
        </w:rPr>
        <w:t>. ZCPN je bil tudi osrednja tema 5. nacionalne konference o trajnostni mobilnosti;</w:t>
      </w:r>
      <w:r w:rsidR="00F02AFB" w:rsidRPr="00F02AFB">
        <w:t xml:space="preserve"> </w:t>
      </w:r>
    </w:p>
    <w:p w14:paraId="3281D156" w14:textId="77777777" w:rsidR="00A74C17" w:rsidRPr="00900F8E" w:rsidRDefault="00721CCF" w:rsidP="00640804">
      <w:pPr>
        <w:pStyle w:val="Odstavekseznama"/>
        <w:numPr>
          <w:ilvl w:val="0"/>
          <w:numId w:val="33"/>
        </w:numPr>
        <w:spacing w:after="0" w:line="240" w:lineRule="auto"/>
        <w:jc w:val="both"/>
        <w:rPr>
          <w:rFonts w:ascii="Arial" w:hAnsi="Arial" w:cs="Arial"/>
        </w:rPr>
      </w:pPr>
      <w:r w:rsidRPr="00900F8E">
        <w:rPr>
          <w:rFonts w:ascii="Arial" w:hAnsi="Arial" w:cs="Arial"/>
        </w:rPr>
        <w:t>potekala so usklajevanja nosilcev urejanja prostora in deležnikov na predlog osnutka Strategije prostorskega razvoja Slovenije 2050</w:t>
      </w:r>
      <w:r w:rsidR="00A74C17" w:rsidRPr="00900F8E">
        <w:rPr>
          <w:rFonts w:ascii="Arial" w:hAnsi="Arial" w:cs="Arial"/>
        </w:rPr>
        <w:t>;</w:t>
      </w:r>
    </w:p>
    <w:p w14:paraId="034E832C" w14:textId="7DC5707C" w:rsidR="00A74C17" w:rsidRPr="00900F8E" w:rsidRDefault="00A74C17" w:rsidP="00640804">
      <w:pPr>
        <w:pStyle w:val="Odstavekseznama"/>
        <w:numPr>
          <w:ilvl w:val="0"/>
          <w:numId w:val="33"/>
        </w:numPr>
        <w:spacing w:after="0" w:line="240" w:lineRule="auto"/>
        <w:jc w:val="both"/>
        <w:rPr>
          <w:rFonts w:ascii="Arial" w:hAnsi="Arial" w:cs="Arial"/>
        </w:rPr>
      </w:pPr>
      <w:r w:rsidRPr="00900F8E">
        <w:rPr>
          <w:rFonts w:ascii="Arial" w:hAnsi="Arial" w:cs="Arial"/>
        </w:rPr>
        <w:t>i</w:t>
      </w:r>
      <w:r w:rsidR="00721CCF" w:rsidRPr="00900F8E">
        <w:rPr>
          <w:rFonts w:ascii="Arial" w:hAnsi="Arial" w:cs="Arial"/>
        </w:rPr>
        <w:t>zdano je bilo Poročilo o prostorskem razvoju Slovenije 2021, ki vsebuje pregled in prikaz stanja in trendov prostorskega razvoja, analizo izvajanja Strategije prostorskega razvoja Slovenije in drugih prostorskih aktov v obdobju od 2014–2020 ter predloge in priporočila za nadaljnji prostorski razvoj države. Na področju prometa so ključne ugotovitve</w:t>
      </w:r>
      <w:r w:rsidR="00581EA1">
        <w:rPr>
          <w:rFonts w:ascii="Arial" w:hAnsi="Arial" w:cs="Arial"/>
        </w:rPr>
        <w:t>,</w:t>
      </w:r>
      <w:r w:rsidR="00721CCF" w:rsidRPr="00900F8E">
        <w:rPr>
          <w:rFonts w:ascii="Arial" w:hAnsi="Arial" w:cs="Arial"/>
        </w:rPr>
        <w:t xml:space="preserve"> </w:t>
      </w:r>
      <w:r w:rsidRPr="00900F8E">
        <w:rPr>
          <w:rFonts w:ascii="Arial" w:hAnsi="Arial" w:cs="Arial"/>
        </w:rPr>
        <w:t xml:space="preserve">da </w:t>
      </w:r>
      <w:r w:rsidR="00581EA1">
        <w:rPr>
          <w:rFonts w:ascii="Arial" w:hAnsi="Arial" w:cs="Arial"/>
        </w:rPr>
        <w:t xml:space="preserve">sta </w:t>
      </w:r>
      <w:r w:rsidRPr="00900F8E">
        <w:rPr>
          <w:rFonts w:ascii="Arial" w:hAnsi="Arial" w:cs="Arial"/>
        </w:rPr>
        <w:lastRenderedPageBreak/>
        <w:t xml:space="preserve">se </w:t>
      </w:r>
      <w:r w:rsidR="00721CCF" w:rsidRPr="00900F8E">
        <w:rPr>
          <w:rFonts w:ascii="Arial" w:hAnsi="Arial" w:cs="Arial"/>
        </w:rPr>
        <w:t>povečala tako stopnja motorizacije kot tudi skupno število prevoženih kilometrov</w:t>
      </w:r>
      <w:r w:rsidRPr="00900F8E">
        <w:rPr>
          <w:rFonts w:ascii="Arial" w:hAnsi="Arial" w:cs="Arial"/>
        </w:rPr>
        <w:t>, p</w:t>
      </w:r>
      <w:r w:rsidR="00721CCF" w:rsidRPr="00900F8E">
        <w:rPr>
          <w:rFonts w:ascii="Arial" w:hAnsi="Arial" w:cs="Arial"/>
        </w:rPr>
        <w:t>ovečal se je povprečni izdatek gospodinjstev za mobilnost</w:t>
      </w:r>
      <w:r w:rsidRPr="00900F8E">
        <w:rPr>
          <w:rFonts w:ascii="Arial" w:hAnsi="Arial" w:cs="Arial"/>
        </w:rPr>
        <w:t>,</w:t>
      </w:r>
      <w:r w:rsidR="00721CCF" w:rsidRPr="00900F8E">
        <w:rPr>
          <w:rFonts w:ascii="Arial" w:hAnsi="Arial" w:cs="Arial"/>
        </w:rPr>
        <w:t xml:space="preserve"> rahlo</w:t>
      </w:r>
      <w:r w:rsidRPr="00900F8E">
        <w:rPr>
          <w:rFonts w:ascii="Arial" w:hAnsi="Arial" w:cs="Arial"/>
        </w:rPr>
        <w:t xml:space="preserve"> se je</w:t>
      </w:r>
      <w:r w:rsidR="00721CCF" w:rsidRPr="00900F8E">
        <w:rPr>
          <w:rFonts w:ascii="Arial" w:hAnsi="Arial" w:cs="Arial"/>
        </w:rPr>
        <w:t xml:space="preserve"> poveča</w:t>
      </w:r>
      <w:r w:rsidRPr="00900F8E">
        <w:rPr>
          <w:rFonts w:ascii="Arial" w:hAnsi="Arial" w:cs="Arial"/>
        </w:rPr>
        <w:t>lo</w:t>
      </w:r>
      <w:r w:rsidR="00721CCF" w:rsidRPr="00900F8E">
        <w:rPr>
          <w:rFonts w:ascii="Arial" w:hAnsi="Arial" w:cs="Arial"/>
        </w:rPr>
        <w:t xml:space="preserve"> števil</w:t>
      </w:r>
      <w:r w:rsidRPr="00900F8E">
        <w:rPr>
          <w:rFonts w:ascii="Arial" w:hAnsi="Arial" w:cs="Arial"/>
        </w:rPr>
        <w:t>o</w:t>
      </w:r>
      <w:r w:rsidR="00721CCF" w:rsidRPr="00900F8E">
        <w:rPr>
          <w:rFonts w:ascii="Arial" w:hAnsi="Arial" w:cs="Arial"/>
        </w:rPr>
        <w:t xml:space="preserve"> potnikov JPP in trend zmanjševanja števila smrtnih žrtev v prometnih nesrečah. V Sloveniji imamo sicer na voljo dobro razvejano omrežje JPP, vendar je zunaj glavnih koridorjev število dnevnih voženj pogosto premajhno. Med letoma 2006 in 2019 se je dostopnost prebivalcev do JPP nekoliko izboljšala. Z vidika časovne konkurenčnosti je JPP razen nekaterih povezav z vlakom nekonkurenčen osebnemu avtomobilu. Povečale so se investicije v železniško infrastrukturo, po drugi strani pa so še vedno močni interesi za širitev avtocest in gradnjo nove cestne infrastrukture. Priporoča se, da je v prihodnje treba več pozornosti nameniti izboljšavam na področju trajnostne mobilnosti ter povezovanju prometnega in prostorskega načrtovanja. Potrebn</w:t>
      </w:r>
      <w:r w:rsidR="00904C51">
        <w:rPr>
          <w:rFonts w:ascii="Arial" w:hAnsi="Arial" w:cs="Arial"/>
        </w:rPr>
        <w:t>i</w:t>
      </w:r>
      <w:r w:rsidR="00721CCF" w:rsidRPr="00900F8E">
        <w:rPr>
          <w:rFonts w:ascii="Arial" w:hAnsi="Arial" w:cs="Arial"/>
        </w:rPr>
        <w:t xml:space="preserve"> </w:t>
      </w:r>
      <w:r w:rsidR="00904C51">
        <w:rPr>
          <w:rFonts w:ascii="Arial" w:hAnsi="Arial" w:cs="Arial"/>
        </w:rPr>
        <w:t>so</w:t>
      </w:r>
      <w:r w:rsidR="00721CCF" w:rsidRPr="00900F8E">
        <w:rPr>
          <w:rFonts w:ascii="Arial" w:hAnsi="Arial" w:cs="Arial"/>
        </w:rPr>
        <w:t xml:space="preserve"> konkretizacija politike trajnostne mobilnosti, zmanjševanje površin za motorni promet in celostn</w:t>
      </w:r>
      <w:r w:rsidR="00904C51">
        <w:rPr>
          <w:rFonts w:ascii="Arial" w:hAnsi="Arial" w:cs="Arial"/>
        </w:rPr>
        <w:t>a</w:t>
      </w:r>
      <w:r w:rsidR="00721CCF" w:rsidRPr="00900F8E">
        <w:rPr>
          <w:rFonts w:ascii="Arial" w:hAnsi="Arial" w:cs="Arial"/>
        </w:rPr>
        <w:t xml:space="preserve"> obravnav</w:t>
      </w:r>
      <w:r w:rsidR="00904C51">
        <w:rPr>
          <w:rFonts w:ascii="Arial" w:hAnsi="Arial" w:cs="Arial"/>
        </w:rPr>
        <w:t>a</w:t>
      </w:r>
      <w:r w:rsidR="00721CCF" w:rsidRPr="00900F8E">
        <w:rPr>
          <w:rFonts w:ascii="Arial" w:hAnsi="Arial" w:cs="Arial"/>
        </w:rPr>
        <w:t xml:space="preserve"> povezav za nemotorizirane uporabnike kot urejenega omrežja z vključevanjem drugih prvin urbanega sistema</w:t>
      </w:r>
      <w:r w:rsidRPr="00900F8E">
        <w:rPr>
          <w:rFonts w:ascii="Arial" w:hAnsi="Arial" w:cs="Arial"/>
        </w:rPr>
        <w:t xml:space="preserve">, </w:t>
      </w:r>
      <w:r w:rsidR="00721CCF" w:rsidRPr="00900F8E">
        <w:rPr>
          <w:rFonts w:ascii="Arial" w:hAnsi="Arial" w:cs="Arial"/>
        </w:rPr>
        <w:t>n</w:t>
      </w:r>
      <w:r w:rsidR="00AE49E0">
        <w:rPr>
          <w:rFonts w:ascii="Arial" w:hAnsi="Arial" w:cs="Arial"/>
        </w:rPr>
        <w:t xml:space="preserve">a </w:t>
      </w:r>
      <w:r w:rsidR="00721CCF" w:rsidRPr="00900F8E">
        <w:rPr>
          <w:rFonts w:ascii="Arial" w:hAnsi="Arial" w:cs="Arial"/>
        </w:rPr>
        <w:t>pr</w:t>
      </w:r>
      <w:r w:rsidR="00AE49E0">
        <w:rPr>
          <w:rFonts w:ascii="Arial" w:hAnsi="Arial" w:cs="Arial"/>
        </w:rPr>
        <w:t>imer</w:t>
      </w:r>
      <w:r w:rsidR="00721CCF" w:rsidRPr="00900F8E">
        <w:rPr>
          <w:rFonts w:ascii="Arial" w:hAnsi="Arial" w:cs="Arial"/>
        </w:rPr>
        <w:t xml:space="preserve"> zelene infrastrukture – opredelitev in preplet omrežja zelenih in drugih javnih odprtih površin v izvedbenih prostorskih aktih</w:t>
      </w:r>
      <w:r w:rsidRPr="00900F8E">
        <w:rPr>
          <w:rFonts w:ascii="Arial" w:hAnsi="Arial" w:cs="Arial"/>
        </w:rPr>
        <w:t>;</w:t>
      </w:r>
    </w:p>
    <w:p w14:paraId="294B75F1" w14:textId="3B3CC495" w:rsidR="00A74C17" w:rsidRPr="00900F8E" w:rsidRDefault="00721CCF" w:rsidP="00640804">
      <w:pPr>
        <w:pStyle w:val="Odstavekseznama"/>
        <w:numPr>
          <w:ilvl w:val="0"/>
          <w:numId w:val="33"/>
        </w:numPr>
        <w:spacing w:after="0" w:line="240" w:lineRule="auto"/>
        <w:jc w:val="both"/>
        <w:rPr>
          <w:rFonts w:ascii="Arial" w:hAnsi="Arial" w:cs="Arial"/>
        </w:rPr>
      </w:pPr>
      <w:r w:rsidRPr="00900F8E">
        <w:rPr>
          <w:rFonts w:ascii="Arial" w:hAnsi="Arial" w:cs="Arial"/>
        </w:rPr>
        <w:t>MOP</w:t>
      </w:r>
      <w:r w:rsidR="00A74C17" w:rsidRPr="00900F8E">
        <w:rPr>
          <w:rFonts w:ascii="Arial" w:hAnsi="Arial" w:cs="Arial"/>
        </w:rPr>
        <w:t xml:space="preserve"> je</w:t>
      </w:r>
      <w:r w:rsidRPr="00900F8E">
        <w:rPr>
          <w:rFonts w:ascii="Arial" w:hAnsi="Arial" w:cs="Arial"/>
        </w:rPr>
        <w:t xml:space="preserve"> </w:t>
      </w:r>
      <w:r w:rsidR="00F82EF2">
        <w:rPr>
          <w:rFonts w:ascii="Arial" w:hAnsi="Arial" w:cs="Arial"/>
        </w:rPr>
        <w:t>sodeloval pri</w:t>
      </w:r>
      <w:r w:rsidRPr="00900F8E">
        <w:rPr>
          <w:rFonts w:ascii="Arial" w:hAnsi="Arial" w:cs="Arial"/>
        </w:rPr>
        <w:t xml:space="preserve"> </w:t>
      </w:r>
      <w:r w:rsidR="00AE49E0">
        <w:rPr>
          <w:rFonts w:ascii="Arial" w:hAnsi="Arial" w:cs="Arial"/>
        </w:rPr>
        <w:t xml:space="preserve">projektih </w:t>
      </w:r>
      <w:r w:rsidRPr="00900F8E">
        <w:rPr>
          <w:rFonts w:ascii="Arial" w:hAnsi="Arial" w:cs="Arial"/>
        </w:rPr>
        <w:t xml:space="preserve">Mesto kratkih poti </w:t>
      </w:r>
      <w:r w:rsidR="00AE49E0">
        <w:rPr>
          <w:rFonts w:ascii="Arial" w:hAnsi="Arial" w:cs="Arial"/>
        </w:rPr>
        <w:t>–</w:t>
      </w:r>
      <w:r w:rsidRPr="00900F8E">
        <w:rPr>
          <w:rFonts w:ascii="Arial" w:hAnsi="Arial" w:cs="Arial"/>
        </w:rPr>
        <w:t xml:space="preserve"> spodbujanje dostopnosti in Povezanost urbanega razvoja z javnim potniškim prometom </w:t>
      </w:r>
      <w:r w:rsidR="00AE49E0">
        <w:rPr>
          <w:rFonts w:ascii="Arial" w:hAnsi="Arial" w:cs="Arial"/>
        </w:rPr>
        <w:t>–</w:t>
      </w:r>
      <w:r w:rsidRPr="00900F8E">
        <w:rPr>
          <w:rFonts w:ascii="Arial" w:hAnsi="Arial" w:cs="Arial"/>
        </w:rPr>
        <w:t xml:space="preserve"> spodbujanje razporeditve dejavnosti in zaposlitvenih območij ob JPP</w:t>
      </w:r>
      <w:r w:rsidR="00A74C17" w:rsidRPr="00900F8E">
        <w:rPr>
          <w:rFonts w:ascii="Arial" w:hAnsi="Arial" w:cs="Arial"/>
        </w:rPr>
        <w:t>;</w:t>
      </w:r>
    </w:p>
    <w:p w14:paraId="1FAC85F5" w14:textId="69E530D1" w:rsidR="00E55349" w:rsidRPr="00900F8E" w:rsidRDefault="00953B7E" w:rsidP="00640804">
      <w:pPr>
        <w:pStyle w:val="Odstavekseznama"/>
        <w:numPr>
          <w:ilvl w:val="0"/>
          <w:numId w:val="33"/>
        </w:numPr>
        <w:jc w:val="both"/>
        <w:rPr>
          <w:rFonts w:ascii="Arial" w:hAnsi="Arial" w:cs="Arial"/>
        </w:rPr>
      </w:pPr>
      <w:r w:rsidRPr="00900F8E">
        <w:rPr>
          <w:rFonts w:ascii="Arial" w:hAnsi="Arial" w:cs="Arial"/>
        </w:rPr>
        <w:t>pripravljen je bil osnutek Zakona o upravljanju javnega potniškega prometa, v katerem je predvidena vzpostavitev gospodarske družbe v državni lasti, ki bo združila funkcije upravljanja v enem organu</w:t>
      </w:r>
      <w:r w:rsidR="00FD55A9" w:rsidRPr="00900F8E">
        <w:rPr>
          <w:rFonts w:ascii="Arial" w:hAnsi="Arial" w:cs="Arial"/>
        </w:rPr>
        <w:t>.</w:t>
      </w:r>
      <w:r w:rsidR="00C274E5" w:rsidRPr="00900F8E">
        <w:rPr>
          <w:rFonts w:ascii="Arial" w:hAnsi="Arial" w:cs="Arial"/>
        </w:rPr>
        <w:t xml:space="preserve"> Zakon pomeni prvi korak za optimizacijo organizacije in upravljanja javnega potniškega prometa. Z ustanovitvijo upravljavca bo vzpostavljena trostopenjska struktura upravljanja </w:t>
      </w:r>
      <w:r w:rsidR="00600A0D">
        <w:rPr>
          <w:rFonts w:ascii="Arial" w:hAnsi="Arial" w:cs="Arial"/>
        </w:rPr>
        <w:t>–</w:t>
      </w:r>
      <w:r w:rsidR="00C274E5" w:rsidRPr="00900F8E">
        <w:rPr>
          <w:rFonts w:ascii="Arial" w:hAnsi="Arial" w:cs="Arial"/>
        </w:rPr>
        <w:t xml:space="preserve"> strateška, taktična in operativna raven, kot jo poznajo države s sodobno urejenimi sistemi javnega potniškega prometa. Nova gospodarska družba bo pripravljala in izvajala postopke oddaje storitev gospodarske javne službe medkrajevnega cestnega in železniškega linijskega prevoza, sklepala bo pogodbe z izvajalci prevoza in nadzorovala izvajanje pogodb. Lahko bo tudi prevzela upravljanje javnega prevoza v občinah, če bi se kakšna občina odločila za vstop v sistem integriranega javnega potniškega prometa. Glavne pristojnosti družbe bodo predvsem načrtovanje ponudbe javnega potniškega prometa glede na potrebe, oblikovanje prevoznih storitev in načrtovanje njihovega financiranja, sodelovanje pri določanju strategije razvoja JPP, priprava strokovnih podlag, upravljanje sistema enotne vozovnice, zagotavljanje informiranja potnikov in promocije javnega prevoza </w:t>
      </w:r>
      <w:r w:rsidR="00600A0D">
        <w:rPr>
          <w:rFonts w:ascii="Arial" w:hAnsi="Arial" w:cs="Arial"/>
        </w:rPr>
        <w:t>ter</w:t>
      </w:r>
      <w:r w:rsidR="00600A0D" w:rsidRPr="00900F8E">
        <w:rPr>
          <w:rFonts w:ascii="Arial" w:hAnsi="Arial" w:cs="Arial"/>
        </w:rPr>
        <w:t xml:space="preserve"> </w:t>
      </w:r>
      <w:r w:rsidR="00C274E5" w:rsidRPr="00900F8E">
        <w:rPr>
          <w:rFonts w:ascii="Arial" w:hAnsi="Arial" w:cs="Arial"/>
        </w:rPr>
        <w:t xml:space="preserve">sodelovanje pri načrtovanju razvoja infrastrukture za potnike in infrastrukture za dopolnilne potniške storitve. </w:t>
      </w:r>
      <w:r w:rsidR="00FD55A9" w:rsidRPr="00900F8E">
        <w:rPr>
          <w:rFonts w:ascii="Arial" w:hAnsi="Arial" w:cs="Arial"/>
        </w:rPr>
        <w:t xml:space="preserve">Predviden je tudi nov model financiranja javnih avtobusnih povezav. MzI oziroma upravljavec javnega potniškega prometa, ki ga bo ustanovilo ministrstvo, bo po novem poskrbel tudi za omrežje prodaje vozovnic. Za ta namen bo objavljen poziv za prodajo vozovnic. Denar od prodanih vozovnic bo šel neposredno državi, država pa bo izvajalcu plačala naročene storitve. </w:t>
      </w:r>
      <w:r w:rsidR="00600A0D">
        <w:rPr>
          <w:rFonts w:ascii="Arial" w:hAnsi="Arial" w:cs="Arial"/>
        </w:rPr>
        <w:t>Zaradi tega</w:t>
      </w:r>
      <w:r w:rsidR="00600A0D" w:rsidRPr="00900F8E">
        <w:rPr>
          <w:rFonts w:ascii="Arial" w:hAnsi="Arial" w:cs="Arial"/>
        </w:rPr>
        <w:t xml:space="preserve"> </w:t>
      </w:r>
      <w:r w:rsidR="00FD55A9" w:rsidRPr="00900F8E">
        <w:rPr>
          <w:rFonts w:ascii="Arial" w:hAnsi="Arial" w:cs="Arial"/>
        </w:rPr>
        <w:t>prevozniki ne bodo več opuščali neekonomičnih povezav;</w:t>
      </w:r>
    </w:p>
    <w:p w14:paraId="25C7B509" w14:textId="1E623B6D" w:rsidR="00953B7E" w:rsidRPr="00900F8E" w:rsidRDefault="00953B7E" w:rsidP="00640804">
      <w:pPr>
        <w:pStyle w:val="Odstavekseznama"/>
        <w:numPr>
          <w:ilvl w:val="0"/>
          <w:numId w:val="33"/>
        </w:numPr>
        <w:spacing w:after="0" w:line="240" w:lineRule="auto"/>
        <w:jc w:val="both"/>
        <w:rPr>
          <w:rFonts w:ascii="Arial" w:hAnsi="Arial" w:cs="Arial"/>
        </w:rPr>
      </w:pPr>
      <w:r w:rsidRPr="00900F8E">
        <w:rPr>
          <w:rFonts w:ascii="Arial" w:hAnsi="Arial" w:cs="Arial"/>
        </w:rPr>
        <w:t xml:space="preserve">eno od štirih razvojnih področij NOO je </w:t>
      </w:r>
      <w:r w:rsidR="00600A0D">
        <w:rPr>
          <w:rFonts w:ascii="Arial" w:hAnsi="Arial" w:cs="Arial"/>
        </w:rPr>
        <w:t>z</w:t>
      </w:r>
      <w:r w:rsidRPr="00900F8E">
        <w:rPr>
          <w:rFonts w:ascii="Arial" w:hAnsi="Arial" w:cs="Arial"/>
        </w:rPr>
        <w:t xml:space="preserve">eleni prehod, v katerega je uvrščena komponenta </w:t>
      </w:r>
      <w:r w:rsidR="00600A0D">
        <w:rPr>
          <w:rFonts w:ascii="Arial" w:hAnsi="Arial" w:cs="Arial"/>
        </w:rPr>
        <w:t>t</w:t>
      </w:r>
      <w:r w:rsidRPr="00900F8E">
        <w:rPr>
          <w:rFonts w:ascii="Arial" w:hAnsi="Arial" w:cs="Arial"/>
        </w:rPr>
        <w:t>rajnostna mobilnost. Cilj te komponente je povečati uporabo javnega potniškega prometa in trajnostnega tovornega prometa, predvsem železniškega</w:t>
      </w:r>
      <w:r w:rsidR="00600A0D">
        <w:rPr>
          <w:rFonts w:ascii="Arial" w:hAnsi="Arial" w:cs="Arial"/>
        </w:rPr>
        <w:t>,</w:t>
      </w:r>
      <w:r w:rsidRPr="00900F8E">
        <w:rPr>
          <w:rFonts w:ascii="Arial" w:hAnsi="Arial" w:cs="Arial"/>
        </w:rPr>
        <w:t xml:space="preserve"> ter uporabo alternativnih goriv v prometu. Za trajnostno mobilnost je v NOO namenjenih 311,9 milijona evrov, od tega je 70 % nepovratnih sredstev. Ocenjena skupna vrednost investicij znaša 521,42 milijona evrov brez DDV.</w:t>
      </w:r>
      <w:r w:rsidR="00566814" w:rsidRPr="00900F8E">
        <w:rPr>
          <w:rFonts w:ascii="Arial" w:hAnsi="Arial" w:cs="Arial"/>
        </w:rPr>
        <w:t xml:space="preserve"> Več kot 90 % sredstev je predvidenih za železnice. </w:t>
      </w:r>
      <w:r w:rsidRPr="00900F8E">
        <w:rPr>
          <w:rFonts w:ascii="Arial" w:hAnsi="Arial" w:cs="Arial"/>
        </w:rPr>
        <w:t>Predvidena so sredstva za spodbujanje vzpostavitve infrastrukture za alternativna goriva v prometu (mreža električnih polnilnic), povečanje zmogljivosti železniške infrastrukture (nadgradnja železniških postaj Domžale, Grosuplje in Ljubljana, glavne železniške proge št. 20 Ljubljana–Jesenice–d</w:t>
      </w:r>
      <w:r w:rsidR="00600A0D">
        <w:rPr>
          <w:rFonts w:ascii="Arial" w:hAnsi="Arial" w:cs="Arial"/>
        </w:rPr>
        <w:t>ržavna</w:t>
      </w:r>
      <w:r w:rsidRPr="00900F8E">
        <w:rPr>
          <w:rFonts w:ascii="Arial" w:hAnsi="Arial" w:cs="Arial"/>
        </w:rPr>
        <w:t xml:space="preserve"> m</w:t>
      </w:r>
      <w:r w:rsidR="00600A0D">
        <w:rPr>
          <w:rFonts w:ascii="Arial" w:hAnsi="Arial" w:cs="Arial"/>
        </w:rPr>
        <w:t>eja</w:t>
      </w:r>
      <w:r w:rsidRPr="00900F8E">
        <w:rPr>
          <w:rFonts w:ascii="Arial" w:hAnsi="Arial" w:cs="Arial"/>
        </w:rPr>
        <w:t xml:space="preserve"> in opremljanje lokomotiv in motornih garnitur z </w:t>
      </w:r>
      <w:r w:rsidR="00D20F3D">
        <w:rPr>
          <w:rFonts w:ascii="Arial" w:hAnsi="Arial" w:cs="Arial"/>
        </w:rPr>
        <w:t xml:space="preserve">napravami </w:t>
      </w:r>
      <w:r w:rsidRPr="00900F8E">
        <w:rPr>
          <w:rFonts w:ascii="Arial" w:hAnsi="Arial" w:cs="Arial"/>
        </w:rPr>
        <w:t>ETCS</w:t>
      </w:r>
      <w:r w:rsidR="002730EF" w:rsidRPr="00900F8E">
        <w:rPr>
          <w:rFonts w:ascii="Arial" w:hAnsi="Arial" w:cs="Arial"/>
        </w:rPr>
        <w:t xml:space="preserve"> (evropski sistem za vodenje vlakov)</w:t>
      </w:r>
      <w:r w:rsidRPr="00900F8E">
        <w:rPr>
          <w:rFonts w:ascii="Arial" w:hAnsi="Arial" w:cs="Arial"/>
        </w:rPr>
        <w:t>, celovita prenova železniške proge Ljubljana–Brezovica–Borovnica, digitalizacija železniške in cestne infrastrukture (opremljanje lokomotiv in motornih garnitur z napravami</w:t>
      </w:r>
      <w:r w:rsidR="00D20F3D">
        <w:rPr>
          <w:rFonts w:ascii="Arial" w:hAnsi="Arial" w:cs="Arial"/>
        </w:rPr>
        <w:t xml:space="preserve"> ETCS</w:t>
      </w:r>
      <w:r w:rsidRPr="00900F8E">
        <w:rPr>
          <w:rFonts w:ascii="Arial" w:hAnsi="Arial" w:cs="Arial"/>
        </w:rPr>
        <w:t xml:space="preserve"> + DARS in MzI za področje cest). Reformni del predvideva uveljavitev zakona za ustanovitev družbe za upravljanje </w:t>
      </w:r>
      <w:r w:rsidRPr="00900F8E">
        <w:rPr>
          <w:rFonts w:ascii="Arial" w:hAnsi="Arial" w:cs="Arial"/>
        </w:rPr>
        <w:lastRenderedPageBreak/>
        <w:t>javnega potniškega prometa ter ustanovitev družbe za upravljanje javnega potniškega prometa in sprejetje Zakona o alternativnih gorivih v prometu;</w:t>
      </w:r>
    </w:p>
    <w:p w14:paraId="0DF89C38" w14:textId="398E95F8" w:rsidR="00AB5FAB" w:rsidRPr="00900F8E" w:rsidRDefault="00953B7E" w:rsidP="00953B7E">
      <w:pPr>
        <w:pStyle w:val="Odstavekseznama"/>
        <w:numPr>
          <w:ilvl w:val="0"/>
          <w:numId w:val="33"/>
        </w:numPr>
        <w:spacing w:after="0" w:line="240" w:lineRule="auto"/>
        <w:jc w:val="both"/>
        <w:rPr>
          <w:rFonts w:ascii="Arial" w:hAnsi="Arial" w:cs="Arial"/>
        </w:rPr>
      </w:pPr>
      <w:r w:rsidRPr="00900F8E">
        <w:rPr>
          <w:rFonts w:ascii="Arial" w:hAnsi="Arial" w:cs="Arial"/>
        </w:rPr>
        <w:t>za</w:t>
      </w:r>
      <w:r w:rsidR="00F43C36">
        <w:rPr>
          <w:rFonts w:ascii="Arial" w:hAnsi="Arial" w:cs="Arial"/>
        </w:rPr>
        <w:t>radi</w:t>
      </w:r>
      <w:r w:rsidRPr="00900F8E">
        <w:rPr>
          <w:rFonts w:ascii="Arial" w:hAnsi="Arial" w:cs="Arial"/>
        </w:rPr>
        <w:t xml:space="preserve"> priprave nacionalne kolesarske strategije je vlada ustanovila </w:t>
      </w:r>
      <w:r w:rsidR="00ED556B" w:rsidRPr="00900F8E">
        <w:rPr>
          <w:rFonts w:ascii="Arial" w:hAnsi="Arial" w:cs="Arial"/>
        </w:rPr>
        <w:t>m</w:t>
      </w:r>
      <w:r w:rsidRPr="00900F8E">
        <w:rPr>
          <w:rFonts w:ascii="Arial" w:hAnsi="Arial" w:cs="Arial"/>
        </w:rPr>
        <w:t xml:space="preserve">edresorsko delovno skupino za pripravo osnutka strateškega načrta za razvoj kolesarskega omrežja, ki jo poleg predstavnikov Direktorata za trajnostno mobilnost in prometno politiko sestavljajo še predstavniki Direkcije RS za infrastrukturo, </w:t>
      </w:r>
      <w:r w:rsidR="00ED556B" w:rsidRPr="00900F8E">
        <w:rPr>
          <w:rFonts w:ascii="Arial" w:hAnsi="Arial" w:cs="Arial"/>
        </w:rPr>
        <w:t>MOP</w:t>
      </w:r>
      <w:r w:rsidRPr="00900F8E">
        <w:rPr>
          <w:rFonts w:ascii="Arial" w:hAnsi="Arial" w:cs="Arial"/>
        </w:rPr>
        <w:t>, Službe vlade za razvoj in evropsko kohezijsko politiko, Ministrstva za izobraževanje, znanost in šport</w:t>
      </w:r>
      <w:r w:rsidR="00B25658">
        <w:rPr>
          <w:rFonts w:ascii="Arial" w:hAnsi="Arial" w:cs="Arial"/>
        </w:rPr>
        <w:t xml:space="preserve"> RS</w:t>
      </w:r>
      <w:r w:rsidRPr="00900F8E">
        <w:rPr>
          <w:rFonts w:ascii="Arial" w:hAnsi="Arial" w:cs="Arial"/>
        </w:rPr>
        <w:t>, Ministrstva za zdravje</w:t>
      </w:r>
      <w:r w:rsidR="00B25658">
        <w:rPr>
          <w:rFonts w:ascii="Arial" w:hAnsi="Arial" w:cs="Arial"/>
        </w:rPr>
        <w:t xml:space="preserve"> RS</w:t>
      </w:r>
      <w:r w:rsidRPr="00900F8E">
        <w:rPr>
          <w:rFonts w:ascii="Arial" w:hAnsi="Arial" w:cs="Arial"/>
        </w:rPr>
        <w:t>, Ministrstva za gospodarski razvoj in tehnologijo</w:t>
      </w:r>
      <w:r w:rsidR="00B25658">
        <w:rPr>
          <w:rFonts w:ascii="Arial" w:hAnsi="Arial" w:cs="Arial"/>
        </w:rPr>
        <w:t xml:space="preserve"> RS</w:t>
      </w:r>
      <w:r w:rsidRPr="00900F8E">
        <w:rPr>
          <w:rFonts w:ascii="Arial" w:hAnsi="Arial" w:cs="Arial"/>
        </w:rPr>
        <w:t xml:space="preserve"> ter Ministrstva za finance</w:t>
      </w:r>
      <w:r w:rsidR="00B25658">
        <w:rPr>
          <w:rFonts w:ascii="Arial" w:hAnsi="Arial" w:cs="Arial"/>
        </w:rPr>
        <w:t xml:space="preserve"> RS</w:t>
      </w:r>
      <w:r w:rsidR="00AB5FAB" w:rsidRPr="00900F8E">
        <w:rPr>
          <w:rFonts w:ascii="Arial" w:hAnsi="Arial" w:cs="Arial"/>
        </w:rPr>
        <w:t>;</w:t>
      </w:r>
    </w:p>
    <w:p w14:paraId="0BB80CF0" w14:textId="31F8BF69" w:rsidR="00E85F91" w:rsidRPr="00900F8E" w:rsidRDefault="00E85F91" w:rsidP="00E85F91">
      <w:pPr>
        <w:pStyle w:val="Odstavekseznama"/>
        <w:numPr>
          <w:ilvl w:val="0"/>
          <w:numId w:val="33"/>
        </w:numPr>
        <w:spacing w:after="0" w:line="240" w:lineRule="auto"/>
        <w:jc w:val="both"/>
        <w:rPr>
          <w:rFonts w:ascii="Arial" w:hAnsi="Arial" w:cs="Arial"/>
        </w:rPr>
      </w:pPr>
      <w:r w:rsidRPr="00900F8E">
        <w:rPr>
          <w:rFonts w:ascii="Arial" w:hAnsi="Arial" w:cs="Arial"/>
        </w:rPr>
        <w:t>s</w:t>
      </w:r>
      <w:r w:rsidR="00AB5FAB" w:rsidRPr="00900F8E">
        <w:rPr>
          <w:rFonts w:ascii="Arial" w:hAnsi="Arial" w:cs="Arial"/>
        </w:rPr>
        <w:t xml:space="preserve">podbude za uvedbo novih storitev javnega prevoza so bile predvsem na občinski ravni (npr. Kočevje s storitvijo prevozov na zahtevo Toyota Go, </w:t>
      </w:r>
      <w:r w:rsidR="00C46C9A" w:rsidRPr="00900F8E">
        <w:rPr>
          <w:rFonts w:ascii="Arial" w:hAnsi="Arial" w:cs="Arial"/>
        </w:rPr>
        <w:t xml:space="preserve">ki je omogočila mobilnost vsem, ki storitev potrebujejo na podeželskih območjih; </w:t>
      </w:r>
      <w:r w:rsidR="00AB5FAB" w:rsidRPr="00900F8E">
        <w:rPr>
          <w:rFonts w:ascii="Arial" w:hAnsi="Arial" w:cs="Arial"/>
        </w:rPr>
        <w:t>Zavod Sopotniki ponuja storitev brezplačnih prevozov za starejše v 16 slovenskih občinah)</w:t>
      </w:r>
      <w:r w:rsidRPr="00900F8E">
        <w:rPr>
          <w:rFonts w:ascii="Arial" w:hAnsi="Arial" w:cs="Arial"/>
        </w:rPr>
        <w:t>;</w:t>
      </w:r>
    </w:p>
    <w:p w14:paraId="40937B74" w14:textId="435E6CE0" w:rsidR="009069DF" w:rsidRPr="00900F8E" w:rsidRDefault="00E85F91" w:rsidP="00840BFA">
      <w:pPr>
        <w:pStyle w:val="Odstavekseznama"/>
        <w:numPr>
          <w:ilvl w:val="0"/>
          <w:numId w:val="33"/>
        </w:numPr>
        <w:spacing w:after="0" w:line="240" w:lineRule="auto"/>
        <w:jc w:val="both"/>
        <w:rPr>
          <w:rFonts w:ascii="Arial" w:hAnsi="Arial" w:cs="Arial"/>
        </w:rPr>
      </w:pPr>
      <w:r w:rsidRPr="00900F8E">
        <w:rPr>
          <w:rFonts w:ascii="Arial" w:hAnsi="Arial" w:cs="Arial"/>
        </w:rPr>
        <w:t xml:space="preserve">uvedene so bile avtobusne vozovnice za vikende in praznike s 75-odstotnim popustom in družinske vozovnice za potovanja med vikendi in prazniki z veljavnostjo do </w:t>
      </w:r>
      <w:r w:rsidR="00F43C36">
        <w:rPr>
          <w:rFonts w:ascii="Arial" w:hAnsi="Arial" w:cs="Arial"/>
        </w:rPr>
        <w:t>štiri</w:t>
      </w:r>
      <w:r w:rsidRPr="00900F8E">
        <w:rPr>
          <w:rFonts w:ascii="Arial" w:hAnsi="Arial" w:cs="Arial"/>
        </w:rPr>
        <w:t xml:space="preserve"> dni. Veljati je začel poenostavljen sistem subvencioniranih vozovnic za dijake, študente in udeležence izobraževanja odraslih.</w:t>
      </w:r>
      <w:r w:rsidR="00DE68AB" w:rsidRPr="00900F8E">
        <w:rPr>
          <w:rFonts w:ascii="Arial" w:hAnsi="Arial" w:cs="Arial"/>
        </w:rPr>
        <w:t xml:space="preserve"> </w:t>
      </w:r>
      <w:r w:rsidRPr="00900F8E">
        <w:rPr>
          <w:rFonts w:ascii="Arial" w:hAnsi="Arial" w:cs="Arial"/>
        </w:rPr>
        <w:t xml:space="preserve">Vse subvencionirane relacijske vozovnice so nadomeščene z eno samo vozovnico, ki velja za neomejeno število voženj na celotnem območju Slovenije. Poenostavitev in pocenitev vozovnic koristi zlasti tistim, ki so imeli pravico do več vozovnic, ker </w:t>
      </w:r>
      <w:r w:rsidR="000F22BD">
        <w:rPr>
          <w:rFonts w:ascii="Arial" w:hAnsi="Arial" w:cs="Arial"/>
        </w:rPr>
        <w:t>s</w:t>
      </w:r>
      <w:r w:rsidRPr="00900F8E">
        <w:rPr>
          <w:rFonts w:ascii="Arial" w:hAnsi="Arial" w:cs="Arial"/>
        </w:rPr>
        <w:t>o bivali na več naslovih, se hkrati izobraževali na dveh univerzah. Namen teh sprememb je povečati privlačnost javnega potniškega prometa za mlade in ohraniti njihove potovalne navade tudi po koncu izobraževalnega procesa.</w:t>
      </w:r>
      <w:r w:rsidR="00DE68AB" w:rsidRPr="00900F8E">
        <w:rPr>
          <w:rFonts w:ascii="Arial" w:hAnsi="Arial" w:cs="Arial"/>
        </w:rPr>
        <w:t xml:space="preserve"> V</w:t>
      </w:r>
      <w:r w:rsidRPr="00900F8E">
        <w:rPr>
          <w:rFonts w:ascii="Arial" w:hAnsi="Arial" w:cs="Arial"/>
        </w:rPr>
        <w:t>ozovnice ljubljanskega in mariborskega mestnega potniškega prometa</w:t>
      </w:r>
      <w:r w:rsidR="00DE68AB" w:rsidRPr="00900F8E">
        <w:rPr>
          <w:rFonts w:ascii="Arial" w:hAnsi="Arial" w:cs="Arial"/>
        </w:rPr>
        <w:t xml:space="preserve"> so postale</w:t>
      </w:r>
      <w:r w:rsidRPr="00900F8E">
        <w:rPr>
          <w:rFonts w:ascii="Arial" w:hAnsi="Arial" w:cs="Arial"/>
        </w:rPr>
        <w:t xml:space="preserve"> brezplačne za upokojence, imetnike </w:t>
      </w:r>
      <w:r w:rsidR="00F43C36">
        <w:rPr>
          <w:rFonts w:ascii="Arial" w:hAnsi="Arial" w:cs="Arial"/>
        </w:rPr>
        <w:t>e</w:t>
      </w:r>
      <w:r w:rsidRPr="00900F8E">
        <w:rPr>
          <w:rFonts w:ascii="Arial" w:hAnsi="Arial" w:cs="Arial"/>
        </w:rPr>
        <w:t xml:space="preserve">vropske kartice ugodnosti za invalide, vojne veterane in starejše od 65 let. </w:t>
      </w:r>
      <w:r w:rsidR="00DE68AB" w:rsidRPr="00900F8E">
        <w:rPr>
          <w:rFonts w:ascii="Arial" w:hAnsi="Arial" w:cs="Arial"/>
        </w:rPr>
        <w:t>B</w:t>
      </w:r>
      <w:r w:rsidRPr="00900F8E">
        <w:rPr>
          <w:rFonts w:ascii="Arial" w:hAnsi="Arial" w:cs="Arial"/>
        </w:rPr>
        <w:t xml:space="preserve">rezplačnih vozovnic za medkrajevni javni potniški promet </w:t>
      </w:r>
      <w:r w:rsidR="00DE68AB" w:rsidRPr="00900F8E">
        <w:rPr>
          <w:rFonts w:ascii="Arial" w:hAnsi="Arial" w:cs="Arial"/>
        </w:rPr>
        <w:t>se</w:t>
      </w:r>
      <w:r w:rsidRPr="00900F8E">
        <w:rPr>
          <w:rFonts w:ascii="Arial" w:hAnsi="Arial" w:cs="Arial"/>
        </w:rPr>
        <w:t xml:space="preserve"> uporablja približno tretjina. Po podatkih MzI je uporaba JPP </w:t>
      </w:r>
      <w:r w:rsidR="00F43C36">
        <w:rPr>
          <w:rFonts w:ascii="Arial" w:hAnsi="Arial" w:cs="Arial"/>
        </w:rPr>
        <w:t>pri</w:t>
      </w:r>
      <w:r w:rsidRPr="00900F8E">
        <w:rPr>
          <w:rFonts w:ascii="Arial" w:hAnsi="Arial" w:cs="Arial"/>
        </w:rPr>
        <w:t xml:space="preserve"> starejših precej dobra, strmo naraščajo tudi nadomestila, ki jih MzI plačuje prevoznikom za te prevoze</w:t>
      </w:r>
      <w:r w:rsidR="00DE68AB" w:rsidRPr="00900F8E">
        <w:rPr>
          <w:rFonts w:ascii="Arial" w:hAnsi="Arial" w:cs="Arial"/>
        </w:rPr>
        <w:t>;</w:t>
      </w:r>
      <w:r w:rsidRPr="00900F8E">
        <w:rPr>
          <w:rFonts w:ascii="Arial" w:hAnsi="Arial" w:cs="Arial"/>
        </w:rPr>
        <w:t xml:space="preserve"> </w:t>
      </w:r>
    </w:p>
    <w:p w14:paraId="0FFBD018" w14:textId="0DBB5A45" w:rsidR="009069DF" w:rsidRPr="00900F8E" w:rsidRDefault="00840BFA" w:rsidP="00640804">
      <w:pPr>
        <w:pStyle w:val="Odstavekseznama"/>
        <w:numPr>
          <w:ilvl w:val="0"/>
          <w:numId w:val="33"/>
        </w:numPr>
        <w:spacing w:after="0" w:line="240" w:lineRule="auto"/>
        <w:jc w:val="both"/>
        <w:rPr>
          <w:rFonts w:ascii="Arial" w:hAnsi="Arial" w:cs="Arial"/>
        </w:rPr>
      </w:pPr>
      <w:r w:rsidRPr="00900F8E">
        <w:rPr>
          <w:rFonts w:ascii="Arial" w:hAnsi="Arial" w:cs="Arial"/>
        </w:rPr>
        <w:t>objavljen je bil r</w:t>
      </w:r>
      <w:r w:rsidR="009069DF" w:rsidRPr="00900F8E">
        <w:rPr>
          <w:rFonts w:ascii="Arial" w:hAnsi="Arial" w:cs="Arial"/>
        </w:rPr>
        <w:t xml:space="preserve">azpis za podelitev novih koncesij za izvajanje </w:t>
      </w:r>
      <w:r w:rsidR="00F43C36">
        <w:rPr>
          <w:rFonts w:ascii="Arial" w:hAnsi="Arial" w:cs="Arial"/>
        </w:rPr>
        <w:t>gospodarske javne službe</w:t>
      </w:r>
      <w:r w:rsidR="009069DF" w:rsidRPr="00900F8E">
        <w:rPr>
          <w:rFonts w:ascii="Arial" w:hAnsi="Arial" w:cs="Arial"/>
        </w:rPr>
        <w:t xml:space="preserve"> medkrajevnega avtobusnega linijskega prometa</w:t>
      </w:r>
      <w:r w:rsidRPr="00900F8E">
        <w:rPr>
          <w:rFonts w:ascii="Arial" w:hAnsi="Arial" w:cs="Arial"/>
        </w:rPr>
        <w:t>.</w:t>
      </w:r>
      <w:r w:rsidR="009069DF" w:rsidRPr="00900F8E">
        <w:rPr>
          <w:rFonts w:ascii="Arial" w:hAnsi="Arial" w:cs="Arial"/>
        </w:rPr>
        <w:t xml:space="preserve"> V razpisu je standard dostopnosti povečan za 20 %, </w:t>
      </w:r>
      <w:r w:rsidR="00F43C36">
        <w:rPr>
          <w:rFonts w:ascii="Arial" w:hAnsi="Arial" w:cs="Arial"/>
        </w:rPr>
        <w:t xml:space="preserve">in sicer </w:t>
      </w:r>
      <w:r w:rsidR="009069DF" w:rsidRPr="00900F8E">
        <w:rPr>
          <w:rFonts w:ascii="Arial" w:hAnsi="Arial" w:cs="Arial"/>
        </w:rPr>
        <w:t>na račun jutranjih in popoldanskih konic, oddaljenejših krajev ter turizma</w:t>
      </w:r>
      <w:r w:rsidRPr="00900F8E">
        <w:rPr>
          <w:rFonts w:ascii="Arial" w:hAnsi="Arial" w:cs="Arial"/>
        </w:rPr>
        <w:t>;</w:t>
      </w:r>
      <w:r w:rsidR="009069DF" w:rsidRPr="00900F8E">
        <w:rPr>
          <w:rFonts w:ascii="Arial" w:hAnsi="Arial" w:cs="Arial"/>
        </w:rPr>
        <w:t xml:space="preserve"> </w:t>
      </w:r>
    </w:p>
    <w:p w14:paraId="67B3B3B6" w14:textId="77777777" w:rsidR="002F5974" w:rsidRPr="00900F8E" w:rsidRDefault="00840BFA" w:rsidP="00C274E5">
      <w:pPr>
        <w:pStyle w:val="Odstavekseznama"/>
        <w:numPr>
          <w:ilvl w:val="0"/>
          <w:numId w:val="33"/>
        </w:numPr>
        <w:spacing w:after="0" w:line="240" w:lineRule="auto"/>
        <w:jc w:val="both"/>
        <w:rPr>
          <w:rFonts w:ascii="Arial" w:hAnsi="Arial" w:cs="Arial"/>
        </w:rPr>
      </w:pPr>
      <w:r w:rsidRPr="00900F8E">
        <w:rPr>
          <w:rFonts w:ascii="Arial" w:hAnsi="Arial" w:cs="Arial"/>
        </w:rPr>
        <w:t>dopolnjena je bila</w:t>
      </w:r>
      <w:r w:rsidR="009069DF" w:rsidRPr="00900F8E">
        <w:rPr>
          <w:rFonts w:ascii="Arial" w:hAnsi="Arial" w:cs="Arial"/>
        </w:rPr>
        <w:t xml:space="preserve"> Uredba o načinu izvajanja gospodarske javne službe javni linijski prevoz potnikov v notranjem cestnem prometu, o koncesiji te javne službe in o ureditvi sistema enotne vozovnice</w:t>
      </w:r>
      <w:r w:rsidRPr="00900F8E">
        <w:rPr>
          <w:rFonts w:ascii="Arial" w:hAnsi="Arial" w:cs="Arial"/>
        </w:rPr>
        <w:t xml:space="preserve"> (Uradni list RS, št. 109/21, 181/21)</w:t>
      </w:r>
      <w:r w:rsidR="00C274E5" w:rsidRPr="00900F8E">
        <w:rPr>
          <w:rFonts w:ascii="Arial" w:hAnsi="Arial" w:cs="Arial"/>
        </w:rPr>
        <w:t>;</w:t>
      </w:r>
    </w:p>
    <w:p w14:paraId="366BCD40" w14:textId="1B9C6849" w:rsidR="009564BA" w:rsidRPr="00900F8E" w:rsidRDefault="001D6649" w:rsidP="009564BA">
      <w:pPr>
        <w:pStyle w:val="Odstavekseznama"/>
        <w:numPr>
          <w:ilvl w:val="0"/>
          <w:numId w:val="33"/>
        </w:numPr>
        <w:spacing w:after="0" w:line="240" w:lineRule="auto"/>
        <w:jc w:val="both"/>
        <w:rPr>
          <w:rFonts w:ascii="Arial" w:hAnsi="Arial" w:cs="Arial"/>
        </w:rPr>
      </w:pPr>
      <w:r>
        <w:rPr>
          <w:rFonts w:ascii="Arial" w:hAnsi="Arial" w:cs="Arial"/>
        </w:rPr>
        <w:t>za</w:t>
      </w:r>
      <w:r w:rsidR="00C274E5" w:rsidRPr="00900F8E">
        <w:rPr>
          <w:rFonts w:ascii="Arial" w:hAnsi="Arial" w:cs="Arial"/>
        </w:rPr>
        <w:t>čela</w:t>
      </w:r>
      <w:r w:rsidR="002F5974" w:rsidRPr="00900F8E">
        <w:rPr>
          <w:rFonts w:ascii="Arial" w:hAnsi="Arial" w:cs="Arial"/>
        </w:rPr>
        <w:t xml:space="preserve"> se je</w:t>
      </w:r>
      <w:r w:rsidR="00C274E5" w:rsidRPr="00900F8E">
        <w:rPr>
          <w:rFonts w:ascii="Arial" w:hAnsi="Arial" w:cs="Arial"/>
        </w:rPr>
        <w:t xml:space="preserve"> vzpostavitev multimodalne platforme </w:t>
      </w:r>
      <w:r w:rsidR="002F5974" w:rsidRPr="00900F8E">
        <w:rPr>
          <w:rFonts w:ascii="Arial" w:hAnsi="Arial" w:cs="Arial"/>
        </w:rPr>
        <w:t xml:space="preserve">Nacionalnega centra za upravljanje prometa </w:t>
      </w:r>
      <w:r w:rsidR="00C274E5" w:rsidRPr="00900F8E">
        <w:rPr>
          <w:rFonts w:ascii="Arial" w:hAnsi="Arial" w:cs="Arial"/>
        </w:rPr>
        <w:t xml:space="preserve">z vzpostavitvijo </w:t>
      </w:r>
      <w:r>
        <w:rPr>
          <w:rFonts w:ascii="Arial" w:hAnsi="Arial" w:cs="Arial"/>
        </w:rPr>
        <w:t xml:space="preserve">vmesnika </w:t>
      </w:r>
      <w:proofErr w:type="spellStart"/>
      <w:r w:rsidR="00C274E5" w:rsidRPr="00900F8E">
        <w:rPr>
          <w:rFonts w:ascii="Arial" w:hAnsi="Arial" w:cs="Arial"/>
        </w:rPr>
        <w:t>OpenAPI</w:t>
      </w:r>
      <w:proofErr w:type="spellEnd"/>
      <w:r w:rsidR="00C274E5" w:rsidRPr="00900F8E">
        <w:rPr>
          <w:rFonts w:ascii="Arial" w:hAnsi="Arial" w:cs="Arial"/>
        </w:rPr>
        <w:t xml:space="preserve"> za čezmejno izmenjavo multimodalnih podatkov in izdelavo multimodalnega načrtovalca poti</w:t>
      </w:r>
      <w:r w:rsidR="002F5974" w:rsidRPr="00900F8E">
        <w:rPr>
          <w:rFonts w:ascii="Arial" w:hAnsi="Arial" w:cs="Arial"/>
        </w:rPr>
        <w:t>;</w:t>
      </w:r>
    </w:p>
    <w:p w14:paraId="234E7970" w14:textId="14E007F6" w:rsidR="009564BA" w:rsidRPr="00900F8E" w:rsidRDefault="009564BA" w:rsidP="00640804">
      <w:pPr>
        <w:pStyle w:val="Odstavekseznama"/>
        <w:numPr>
          <w:ilvl w:val="0"/>
          <w:numId w:val="33"/>
        </w:numPr>
        <w:spacing w:after="0" w:line="240" w:lineRule="auto"/>
        <w:jc w:val="both"/>
        <w:rPr>
          <w:rFonts w:ascii="Arial" w:hAnsi="Arial" w:cs="Arial"/>
        </w:rPr>
      </w:pPr>
      <w:r w:rsidRPr="00900F8E">
        <w:rPr>
          <w:rFonts w:ascii="Arial" w:hAnsi="Arial" w:cs="Arial"/>
        </w:rPr>
        <w:t>izdelane so bile strokovne podlage in predštudije upravičenosti za nadgradnjo regionalnih železniških prog v R</w:t>
      </w:r>
      <w:r w:rsidR="00F43C36">
        <w:rPr>
          <w:rFonts w:ascii="Arial" w:hAnsi="Arial" w:cs="Arial"/>
        </w:rPr>
        <w:t xml:space="preserve">epubliki </w:t>
      </w:r>
      <w:r w:rsidRPr="00900F8E">
        <w:rPr>
          <w:rFonts w:ascii="Arial" w:hAnsi="Arial" w:cs="Arial"/>
        </w:rPr>
        <w:t>S</w:t>
      </w:r>
      <w:r w:rsidR="00F43C36">
        <w:rPr>
          <w:rFonts w:ascii="Arial" w:hAnsi="Arial" w:cs="Arial"/>
        </w:rPr>
        <w:t>loveniji</w:t>
      </w:r>
      <w:r w:rsidRPr="00900F8E">
        <w:rPr>
          <w:rFonts w:ascii="Arial" w:hAnsi="Arial" w:cs="Arial"/>
        </w:rPr>
        <w:t xml:space="preserve"> ter železniškega omrežja na </w:t>
      </w:r>
      <w:r w:rsidR="00F43C36">
        <w:rPr>
          <w:rFonts w:ascii="Arial" w:hAnsi="Arial" w:cs="Arial"/>
        </w:rPr>
        <w:t>območju</w:t>
      </w:r>
      <w:r w:rsidR="00F43C36" w:rsidRPr="00900F8E">
        <w:rPr>
          <w:rFonts w:ascii="Arial" w:hAnsi="Arial" w:cs="Arial"/>
        </w:rPr>
        <w:t xml:space="preserve"> </w:t>
      </w:r>
      <w:r w:rsidR="00F43C36">
        <w:rPr>
          <w:rFonts w:ascii="Arial" w:hAnsi="Arial" w:cs="Arial"/>
        </w:rPr>
        <w:t>l</w:t>
      </w:r>
      <w:r w:rsidRPr="00900F8E">
        <w:rPr>
          <w:rFonts w:ascii="Arial" w:hAnsi="Arial" w:cs="Arial"/>
        </w:rPr>
        <w:t xml:space="preserve">jubljanske urbane regije (LUR) s ciljem zagotoviti celovitost prometnega sistema, ki se osredotoča na povečanje </w:t>
      </w:r>
      <w:r w:rsidR="001D6649">
        <w:rPr>
          <w:rFonts w:ascii="Arial" w:hAnsi="Arial" w:cs="Arial"/>
        </w:rPr>
        <w:t>privlačnost</w:t>
      </w:r>
      <w:r w:rsidR="00F43C36">
        <w:rPr>
          <w:rFonts w:ascii="Arial" w:hAnsi="Arial" w:cs="Arial"/>
        </w:rPr>
        <w:t>i</w:t>
      </w:r>
      <w:r w:rsidR="001D6649" w:rsidRPr="00900F8E">
        <w:rPr>
          <w:rFonts w:ascii="Arial" w:hAnsi="Arial" w:cs="Arial"/>
        </w:rPr>
        <w:t xml:space="preserve"> </w:t>
      </w:r>
      <w:r w:rsidRPr="00900F8E">
        <w:rPr>
          <w:rFonts w:ascii="Arial" w:hAnsi="Arial" w:cs="Arial"/>
        </w:rPr>
        <w:t>javnega potniškega prometa. Študija je dala podlage za nadaljnje investicije na regionalnih progah in na območju LUR, poleg železniška prometa so bili dani predlogi tudi na področju multimodalnosti (prestopne točke, P</w:t>
      </w:r>
      <w:r w:rsidR="001D6649">
        <w:rPr>
          <w:rFonts w:ascii="Arial" w:hAnsi="Arial" w:cs="Arial"/>
        </w:rPr>
        <w:t> </w:t>
      </w:r>
      <w:r w:rsidRPr="00900F8E">
        <w:rPr>
          <w:rFonts w:ascii="Arial" w:hAnsi="Arial" w:cs="Arial"/>
        </w:rPr>
        <w:t>+</w:t>
      </w:r>
      <w:r w:rsidR="001D6649">
        <w:rPr>
          <w:rFonts w:ascii="Arial" w:hAnsi="Arial" w:cs="Arial"/>
        </w:rPr>
        <w:t> </w:t>
      </w:r>
      <w:r w:rsidRPr="00900F8E">
        <w:rPr>
          <w:rFonts w:ascii="Arial" w:hAnsi="Arial" w:cs="Arial"/>
        </w:rPr>
        <w:t>R, kolesarska infrastruktura i</w:t>
      </w:r>
      <w:r w:rsidR="00F43C36">
        <w:rPr>
          <w:rFonts w:ascii="Arial" w:hAnsi="Arial" w:cs="Arial"/>
        </w:rPr>
        <w:t>p</w:t>
      </w:r>
      <w:r w:rsidRPr="00900F8E">
        <w:rPr>
          <w:rFonts w:ascii="Arial" w:hAnsi="Arial" w:cs="Arial"/>
        </w:rPr>
        <w:t>d.);</w:t>
      </w:r>
    </w:p>
    <w:p w14:paraId="7F9284F2" w14:textId="5A4E6E41" w:rsidR="00C46C9A" w:rsidRPr="00900F8E" w:rsidRDefault="009564BA" w:rsidP="00640804">
      <w:pPr>
        <w:pStyle w:val="Odstavekseznama"/>
        <w:numPr>
          <w:ilvl w:val="0"/>
          <w:numId w:val="33"/>
        </w:numPr>
        <w:spacing w:after="0" w:line="240" w:lineRule="auto"/>
        <w:jc w:val="both"/>
        <w:rPr>
          <w:rFonts w:ascii="Arial" w:hAnsi="Arial" w:cs="Arial"/>
        </w:rPr>
      </w:pPr>
      <w:r w:rsidRPr="00900F8E">
        <w:rPr>
          <w:rFonts w:ascii="Arial" w:hAnsi="Arial" w:cs="Arial"/>
        </w:rPr>
        <w:t>odobrena so bila sredstva v okviru mehanizma CTN za gradnjo P</w:t>
      </w:r>
      <w:r w:rsidR="001D6649">
        <w:rPr>
          <w:rFonts w:ascii="Arial" w:hAnsi="Arial" w:cs="Arial"/>
        </w:rPr>
        <w:t> </w:t>
      </w:r>
      <w:r w:rsidRPr="00900F8E">
        <w:rPr>
          <w:rFonts w:ascii="Arial" w:hAnsi="Arial" w:cs="Arial"/>
        </w:rPr>
        <w:t>+</w:t>
      </w:r>
      <w:r w:rsidR="001D6649">
        <w:rPr>
          <w:rFonts w:ascii="Arial" w:hAnsi="Arial" w:cs="Arial"/>
        </w:rPr>
        <w:t> </w:t>
      </w:r>
      <w:r w:rsidRPr="00900F8E">
        <w:rPr>
          <w:rFonts w:ascii="Arial" w:hAnsi="Arial" w:cs="Arial"/>
        </w:rPr>
        <w:t xml:space="preserve">R Zlato </w:t>
      </w:r>
      <w:r w:rsidR="00B663A0">
        <w:rPr>
          <w:rFonts w:ascii="Arial" w:hAnsi="Arial" w:cs="Arial"/>
        </w:rPr>
        <w:t>P</w:t>
      </w:r>
      <w:r w:rsidRPr="00900F8E">
        <w:rPr>
          <w:rFonts w:ascii="Arial" w:hAnsi="Arial" w:cs="Arial"/>
        </w:rPr>
        <w:t xml:space="preserve">olje v </w:t>
      </w:r>
      <w:r w:rsidR="00B663A0">
        <w:rPr>
          <w:rFonts w:ascii="Arial" w:hAnsi="Arial" w:cs="Arial"/>
        </w:rPr>
        <w:t>m</w:t>
      </w:r>
      <w:r w:rsidRPr="00900F8E">
        <w:rPr>
          <w:rFonts w:ascii="Arial" w:hAnsi="Arial" w:cs="Arial"/>
        </w:rPr>
        <w:t>estni občini Kranj, za gradnjo 56 parkirnih mest, od tega šest za električna vozila, ter postajališče za izposojo koles. V Kranju se na postajah avtobusnih linij vzpostavljajo tudi parkirna mesta za kolesa in bolj prijazni dostopi</w:t>
      </w:r>
      <w:r w:rsidR="00C46C9A" w:rsidRPr="00900F8E">
        <w:rPr>
          <w:rFonts w:ascii="Arial" w:hAnsi="Arial" w:cs="Arial"/>
        </w:rPr>
        <w:t>;</w:t>
      </w:r>
    </w:p>
    <w:p w14:paraId="6AFF239C" w14:textId="0DE89540" w:rsidR="00C46C9A" w:rsidRPr="00900F8E" w:rsidRDefault="00C46C9A" w:rsidP="009564BA">
      <w:pPr>
        <w:pStyle w:val="Odstavekseznama"/>
        <w:numPr>
          <w:ilvl w:val="0"/>
          <w:numId w:val="33"/>
        </w:numPr>
        <w:spacing w:after="0" w:line="240" w:lineRule="auto"/>
        <w:jc w:val="both"/>
        <w:rPr>
          <w:rFonts w:ascii="Arial" w:hAnsi="Arial" w:cs="Arial"/>
        </w:rPr>
      </w:pPr>
      <w:r w:rsidRPr="00900F8E">
        <w:rPr>
          <w:rFonts w:ascii="Arial" w:hAnsi="Arial" w:cs="Arial"/>
        </w:rPr>
        <w:t>z</w:t>
      </w:r>
      <w:r w:rsidR="009564BA" w:rsidRPr="00900F8E">
        <w:rPr>
          <w:rFonts w:ascii="Arial" w:hAnsi="Arial" w:cs="Arial"/>
        </w:rPr>
        <w:t>ačela se je gradnja P</w:t>
      </w:r>
      <w:r w:rsidR="001D6649">
        <w:rPr>
          <w:rFonts w:ascii="Arial" w:hAnsi="Arial" w:cs="Arial"/>
        </w:rPr>
        <w:t> </w:t>
      </w:r>
      <w:r w:rsidR="009564BA" w:rsidRPr="00900F8E">
        <w:rPr>
          <w:rFonts w:ascii="Arial" w:hAnsi="Arial" w:cs="Arial"/>
        </w:rPr>
        <w:t>+</w:t>
      </w:r>
      <w:r w:rsidR="001D6649">
        <w:rPr>
          <w:rFonts w:ascii="Arial" w:hAnsi="Arial" w:cs="Arial"/>
        </w:rPr>
        <w:t> </w:t>
      </w:r>
      <w:r w:rsidR="009564BA" w:rsidRPr="00900F8E">
        <w:rPr>
          <w:rFonts w:ascii="Arial" w:hAnsi="Arial" w:cs="Arial"/>
        </w:rPr>
        <w:t xml:space="preserve">R Sonce v </w:t>
      </w:r>
      <w:r w:rsidR="00B663A0">
        <w:rPr>
          <w:rFonts w:ascii="Arial" w:hAnsi="Arial" w:cs="Arial"/>
        </w:rPr>
        <w:t>m</w:t>
      </w:r>
      <w:r w:rsidR="009564BA" w:rsidRPr="00900F8E">
        <w:rPr>
          <w:rFonts w:ascii="Arial" w:hAnsi="Arial" w:cs="Arial"/>
        </w:rPr>
        <w:t>estni občini Koper, ki je prav tako pridobila sredstva iz mehanizma CTN. Grad</w:t>
      </w:r>
      <w:r w:rsidRPr="00900F8E">
        <w:rPr>
          <w:rFonts w:ascii="Arial" w:hAnsi="Arial" w:cs="Arial"/>
        </w:rPr>
        <w:t>nja</w:t>
      </w:r>
      <w:r w:rsidR="009564BA" w:rsidRPr="00900F8E">
        <w:rPr>
          <w:rFonts w:ascii="Arial" w:hAnsi="Arial" w:cs="Arial"/>
        </w:rPr>
        <w:t xml:space="preserve"> garažne hiše </w:t>
      </w:r>
      <w:r w:rsidRPr="00900F8E">
        <w:rPr>
          <w:rFonts w:ascii="Arial" w:hAnsi="Arial" w:cs="Arial"/>
        </w:rPr>
        <w:t>je obsegala</w:t>
      </w:r>
      <w:r w:rsidR="009564BA" w:rsidRPr="00900F8E">
        <w:rPr>
          <w:rFonts w:ascii="Arial" w:hAnsi="Arial" w:cs="Arial"/>
        </w:rPr>
        <w:t xml:space="preserve"> 462 parkirni</w:t>
      </w:r>
      <w:r w:rsidRPr="00900F8E">
        <w:rPr>
          <w:rFonts w:ascii="Arial" w:hAnsi="Arial" w:cs="Arial"/>
        </w:rPr>
        <w:t>h</w:t>
      </w:r>
      <w:r w:rsidR="009564BA" w:rsidRPr="00900F8E">
        <w:rPr>
          <w:rFonts w:ascii="Arial" w:hAnsi="Arial" w:cs="Arial"/>
        </w:rPr>
        <w:t xml:space="preserve"> mest</w:t>
      </w:r>
      <w:r w:rsidRPr="00900F8E">
        <w:rPr>
          <w:rFonts w:ascii="Arial" w:hAnsi="Arial" w:cs="Arial"/>
        </w:rPr>
        <w:t>. Z</w:t>
      </w:r>
      <w:r w:rsidR="009564BA" w:rsidRPr="00900F8E">
        <w:rPr>
          <w:rFonts w:ascii="Arial" w:hAnsi="Arial" w:cs="Arial"/>
        </w:rPr>
        <w:t>ačela</w:t>
      </w:r>
      <w:r w:rsidRPr="00900F8E">
        <w:rPr>
          <w:rFonts w:ascii="Arial" w:hAnsi="Arial" w:cs="Arial"/>
        </w:rPr>
        <w:t xml:space="preserve"> se je tudi</w:t>
      </w:r>
      <w:r w:rsidR="009564BA" w:rsidRPr="00900F8E">
        <w:rPr>
          <w:rFonts w:ascii="Arial" w:hAnsi="Arial" w:cs="Arial"/>
        </w:rPr>
        <w:t xml:space="preserve"> obnova avtobusne postaje Koper</w:t>
      </w:r>
      <w:r w:rsidRPr="00900F8E">
        <w:rPr>
          <w:rFonts w:ascii="Arial" w:hAnsi="Arial" w:cs="Arial"/>
        </w:rPr>
        <w:t>;</w:t>
      </w:r>
    </w:p>
    <w:p w14:paraId="60467EE8" w14:textId="07EB47AB" w:rsidR="00C7481F" w:rsidRDefault="009564BA" w:rsidP="00640804">
      <w:pPr>
        <w:pStyle w:val="Odstavekseznama"/>
        <w:numPr>
          <w:ilvl w:val="0"/>
          <w:numId w:val="33"/>
        </w:numPr>
        <w:spacing w:after="0" w:line="240" w:lineRule="auto"/>
        <w:jc w:val="both"/>
        <w:rPr>
          <w:rFonts w:ascii="Arial" w:hAnsi="Arial" w:cs="Arial"/>
        </w:rPr>
      </w:pPr>
      <w:r w:rsidRPr="00900F8E">
        <w:rPr>
          <w:rFonts w:ascii="Arial" w:hAnsi="Arial" w:cs="Arial"/>
        </w:rPr>
        <w:t xml:space="preserve">Eko </w:t>
      </w:r>
      <w:r w:rsidR="000E67A9">
        <w:rPr>
          <w:rFonts w:ascii="Arial" w:hAnsi="Arial" w:cs="Arial"/>
        </w:rPr>
        <w:t>s</w:t>
      </w:r>
      <w:r w:rsidRPr="00900F8E">
        <w:rPr>
          <w:rFonts w:ascii="Arial" w:hAnsi="Arial" w:cs="Arial"/>
        </w:rPr>
        <w:t>klad je</w:t>
      </w:r>
      <w:r w:rsidR="00C46C9A" w:rsidRPr="00900F8E">
        <w:rPr>
          <w:rFonts w:ascii="Arial" w:hAnsi="Arial" w:cs="Arial"/>
        </w:rPr>
        <w:t xml:space="preserve"> objavil javni</w:t>
      </w:r>
      <w:r w:rsidRPr="00900F8E">
        <w:rPr>
          <w:rFonts w:ascii="Arial" w:hAnsi="Arial" w:cs="Arial"/>
        </w:rPr>
        <w:t xml:space="preserve"> poziv </w:t>
      </w:r>
      <w:r w:rsidR="005D5AE3">
        <w:rPr>
          <w:rFonts w:ascii="Arial" w:hAnsi="Arial" w:cs="Arial"/>
        </w:rPr>
        <w:t>za n</w:t>
      </w:r>
      <w:r w:rsidRPr="00900F8E">
        <w:rPr>
          <w:rFonts w:ascii="Arial" w:hAnsi="Arial" w:cs="Arial"/>
        </w:rPr>
        <w:t xml:space="preserve">epovratne finančne spodbude občinam za nakup novih vozil za prevoz potnikov in šolarjev. Namen poziva je z nakupom novih vozil širiti oziroma vzpostaviti nove linije javnega mestnega ali medkrajevnega potniškega prometa ali šolskih </w:t>
      </w:r>
      <w:r w:rsidRPr="00900F8E">
        <w:rPr>
          <w:rFonts w:ascii="Arial" w:hAnsi="Arial" w:cs="Arial"/>
        </w:rPr>
        <w:lastRenderedPageBreak/>
        <w:t xml:space="preserve">prevozov oziroma na obstoječih linijah javnega mestnega ali medkrajevnega potniškega prometa ali šolskih prevozov zamenjati zastarela vozila z visokimi izpusti delcev PM10 s sodobnimi vozili z nizkimi </w:t>
      </w:r>
      <w:r w:rsidR="005406CF">
        <w:rPr>
          <w:rFonts w:ascii="Arial" w:hAnsi="Arial" w:cs="Arial"/>
        </w:rPr>
        <w:t>izpusti</w:t>
      </w:r>
      <w:r w:rsidR="005406CF" w:rsidRPr="00900F8E">
        <w:rPr>
          <w:rFonts w:ascii="Arial" w:hAnsi="Arial" w:cs="Arial"/>
        </w:rPr>
        <w:t xml:space="preserve"> </w:t>
      </w:r>
      <w:r w:rsidRPr="00900F8E">
        <w:rPr>
          <w:rFonts w:ascii="Arial" w:hAnsi="Arial" w:cs="Arial"/>
        </w:rPr>
        <w:t xml:space="preserve">delcev ter tako zmanjšati količino </w:t>
      </w:r>
      <w:r w:rsidR="005406CF">
        <w:rPr>
          <w:rFonts w:ascii="Arial" w:hAnsi="Arial" w:cs="Arial"/>
        </w:rPr>
        <w:t>izpuščenih</w:t>
      </w:r>
      <w:r w:rsidR="005406CF" w:rsidRPr="00900F8E">
        <w:rPr>
          <w:rFonts w:ascii="Arial" w:hAnsi="Arial" w:cs="Arial"/>
        </w:rPr>
        <w:t xml:space="preserve"> </w:t>
      </w:r>
      <w:r w:rsidRPr="00900F8E">
        <w:rPr>
          <w:rFonts w:ascii="Arial" w:hAnsi="Arial" w:cs="Arial"/>
        </w:rPr>
        <w:t xml:space="preserve">delcev. </w:t>
      </w:r>
      <w:r w:rsidR="00C46C9A" w:rsidRPr="00900F8E">
        <w:rPr>
          <w:rFonts w:ascii="Arial" w:hAnsi="Arial" w:cs="Arial"/>
        </w:rPr>
        <w:t>S</w:t>
      </w:r>
      <w:r w:rsidRPr="00900F8E">
        <w:rPr>
          <w:rFonts w:ascii="Arial" w:hAnsi="Arial" w:cs="Arial"/>
        </w:rPr>
        <w:t xml:space="preserve"> sodobnimi vozili</w:t>
      </w:r>
      <w:r w:rsidR="00C46C9A" w:rsidRPr="00900F8E">
        <w:rPr>
          <w:rFonts w:ascii="Arial" w:hAnsi="Arial" w:cs="Arial"/>
        </w:rPr>
        <w:t xml:space="preserve"> se tudi</w:t>
      </w:r>
      <w:r w:rsidRPr="00900F8E">
        <w:rPr>
          <w:rFonts w:ascii="Arial" w:hAnsi="Arial" w:cs="Arial"/>
        </w:rPr>
        <w:t xml:space="preserve"> zniža raven hrupa in poveča število prepeljanih potnikov v javnem mestnem potniškem prometu ter tako izboljša trajnostn</w:t>
      </w:r>
      <w:r w:rsidR="005406CF">
        <w:rPr>
          <w:rFonts w:ascii="Arial" w:hAnsi="Arial" w:cs="Arial"/>
        </w:rPr>
        <w:t>a</w:t>
      </w:r>
      <w:r w:rsidRPr="00900F8E">
        <w:rPr>
          <w:rFonts w:ascii="Arial" w:hAnsi="Arial" w:cs="Arial"/>
        </w:rPr>
        <w:t xml:space="preserve"> mobilnost prebivalcev. Skupni učinek je manjša onesnaženost zunanjega zraka s PM10 oziroma izboljšanje kakovosti zraka in bivanja. Skupna višina sredstev po tem javnem pozivu znaša 7</w:t>
      </w:r>
      <w:r w:rsidR="00C46C9A" w:rsidRPr="00900F8E">
        <w:rPr>
          <w:rFonts w:ascii="Arial" w:hAnsi="Arial" w:cs="Arial"/>
        </w:rPr>
        <w:t xml:space="preserve"> milijonov evrov</w:t>
      </w:r>
      <w:r w:rsidR="00505B38">
        <w:rPr>
          <w:rFonts w:ascii="Arial" w:hAnsi="Arial" w:cs="Arial"/>
        </w:rPr>
        <w:t>.</w:t>
      </w:r>
    </w:p>
    <w:p w14:paraId="1569EEE7" w14:textId="682928A3" w:rsidR="00505B38" w:rsidRPr="00900F8E" w:rsidRDefault="00505B38" w:rsidP="00505B38">
      <w:pPr>
        <w:pStyle w:val="Odstavekseznama"/>
        <w:spacing w:after="0" w:line="240" w:lineRule="auto"/>
        <w:ind w:left="360"/>
        <w:jc w:val="both"/>
        <w:rPr>
          <w:rFonts w:ascii="Arial" w:hAnsi="Arial" w:cs="Arial"/>
        </w:rPr>
      </w:pPr>
      <w:r>
        <w:rPr>
          <w:rFonts w:ascii="Arial" w:hAnsi="Arial" w:cs="Arial"/>
        </w:rPr>
        <w:t>V</w:t>
      </w:r>
      <w:r w:rsidRPr="00900F8E">
        <w:rPr>
          <w:rFonts w:ascii="Arial" w:hAnsi="Arial" w:cs="Arial"/>
        </w:rPr>
        <w:t xml:space="preserve"> okviru javnega razpisa 78FS-PO19 Eko sklada je bilo iz sredstev Sklada za podnebne spremembe izplačanih dobrih 28 tisoč evrov nepovratnih spodbud za 15 AC polnilnic (1,6</w:t>
      </w:r>
      <w:r w:rsidR="005406CF">
        <w:rPr>
          <w:rFonts w:ascii="Arial" w:hAnsi="Arial" w:cs="Arial"/>
        </w:rPr>
        <w:t> </w:t>
      </w:r>
      <w:r w:rsidRPr="00900F8E">
        <w:rPr>
          <w:rFonts w:ascii="Arial" w:hAnsi="Arial" w:cs="Arial"/>
        </w:rPr>
        <w:t>t manj emisij CO</w:t>
      </w:r>
      <w:r w:rsidRPr="00900F8E">
        <w:rPr>
          <w:rFonts w:ascii="Arial" w:hAnsi="Arial" w:cs="Arial"/>
          <w:vertAlign w:val="subscript"/>
        </w:rPr>
        <w:t>2</w:t>
      </w:r>
      <w:r w:rsidRPr="00900F8E">
        <w:rPr>
          <w:rFonts w:ascii="Arial" w:hAnsi="Arial" w:cs="Arial"/>
        </w:rPr>
        <w:t>)</w:t>
      </w:r>
      <w:r>
        <w:rPr>
          <w:rFonts w:ascii="Arial" w:hAnsi="Arial" w:cs="Arial"/>
        </w:rPr>
        <w:t>.</w:t>
      </w:r>
    </w:p>
    <w:p w14:paraId="4AA881FF" w14:textId="0E08D3ED" w:rsidR="00505B38" w:rsidRPr="00900F8E" w:rsidRDefault="00505B38" w:rsidP="00505B38">
      <w:pPr>
        <w:pStyle w:val="Odstavekseznama"/>
        <w:spacing w:after="0" w:line="240" w:lineRule="auto"/>
        <w:ind w:left="360"/>
        <w:jc w:val="both"/>
        <w:rPr>
          <w:rFonts w:ascii="Arial" w:hAnsi="Arial" w:cs="Arial"/>
        </w:rPr>
      </w:pPr>
      <w:r w:rsidRPr="00900F8E">
        <w:rPr>
          <w:rFonts w:ascii="Arial" w:hAnsi="Arial" w:cs="Arial"/>
        </w:rPr>
        <w:t xml:space="preserve">Eko sklad je objavil tudi poziv 94SUB-PN21 za nepovratne finančne spodbude za pnevmatike višjega energijskega razreda pri tovornih vozilih in avtobusih, kjer je na voljo skupna višina sredstev 4 milijonov evrov. Za vozila in kolesa (skupaj 1.723) ter za </w:t>
      </w:r>
      <w:proofErr w:type="spellStart"/>
      <w:r w:rsidRPr="00900F8E">
        <w:rPr>
          <w:rFonts w:ascii="Arial" w:hAnsi="Arial" w:cs="Arial"/>
        </w:rPr>
        <w:t>ekopnevmatike</w:t>
      </w:r>
      <w:proofErr w:type="spellEnd"/>
      <w:r w:rsidRPr="00900F8E">
        <w:rPr>
          <w:rFonts w:ascii="Arial" w:hAnsi="Arial" w:cs="Arial"/>
        </w:rPr>
        <w:t xml:space="preserve"> višjega energijskega razreda (11.386) je bilo izplačanih 8,8 milijona evrov nepovratnih spodbud, ki so spodbudile zmanjšanje emisij za 2,8 kt CO</w:t>
      </w:r>
      <w:r w:rsidRPr="00900F8E">
        <w:rPr>
          <w:rFonts w:ascii="Arial" w:hAnsi="Arial" w:cs="Arial"/>
          <w:vertAlign w:val="subscript"/>
        </w:rPr>
        <w:t xml:space="preserve">2 </w:t>
      </w:r>
      <w:r w:rsidRPr="00900F8E">
        <w:rPr>
          <w:rFonts w:ascii="Arial" w:hAnsi="Arial" w:cs="Arial"/>
        </w:rPr>
        <w:t>na leto in zmanjšanje rabe energije za 12,8 GWh na leto;</w:t>
      </w:r>
    </w:p>
    <w:p w14:paraId="1BB01CD7" w14:textId="77777777" w:rsidR="00C7481F" w:rsidRPr="00900F8E" w:rsidRDefault="00C7481F" w:rsidP="00640804">
      <w:pPr>
        <w:pStyle w:val="Odstavekseznama"/>
        <w:numPr>
          <w:ilvl w:val="0"/>
          <w:numId w:val="33"/>
        </w:numPr>
        <w:spacing w:after="0" w:line="240" w:lineRule="auto"/>
        <w:jc w:val="both"/>
        <w:rPr>
          <w:rFonts w:ascii="Arial" w:hAnsi="Arial" w:cs="Arial"/>
        </w:rPr>
      </w:pPr>
      <w:r w:rsidRPr="00900F8E">
        <w:rPr>
          <w:rFonts w:ascii="Arial" w:hAnsi="Arial" w:cs="Arial"/>
        </w:rPr>
        <w:t>v</w:t>
      </w:r>
      <w:r w:rsidR="009564BA" w:rsidRPr="00900F8E">
        <w:rPr>
          <w:rFonts w:ascii="Arial" w:hAnsi="Arial" w:cs="Arial"/>
        </w:rPr>
        <w:t xml:space="preserve">ozni park Ljubljanskega potniškega prometa </w:t>
      </w:r>
      <w:r w:rsidRPr="00900F8E">
        <w:rPr>
          <w:rFonts w:ascii="Arial" w:hAnsi="Arial" w:cs="Arial"/>
        </w:rPr>
        <w:t>je v promet vključil</w:t>
      </w:r>
      <w:r w:rsidR="009564BA" w:rsidRPr="00900F8E">
        <w:rPr>
          <w:rFonts w:ascii="Arial" w:hAnsi="Arial" w:cs="Arial"/>
        </w:rPr>
        <w:t xml:space="preserve"> devet novih, okolju prijaznih medkrajevnih avtobusov</w:t>
      </w:r>
      <w:r w:rsidRPr="00900F8E">
        <w:rPr>
          <w:rFonts w:ascii="Arial" w:hAnsi="Arial" w:cs="Arial"/>
        </w:rPr>
        <w:t>,</w:t>
      </w:r>
      <w:r w:rsidR="009564BA" w:rsidRPr="00900F8E">
        <w:rPr>
          <w:rFonts w:ascii="Arial" w:hAnsi="Arial" w:cs="Arial"/>
        </w:rPr>
        <w:t xml:space="preserve"> prilagojeni</w:t>
      </w:r>
      <w:r w:rsidRPr="00900F8E">
        <w:rPr>
          <w:rFonts w:ascii="Arial" w:hAnsi="Arial" w:cs="Arial"/>
        </w:rPr>
        <w:t>h</w:t>
      </w:r>
      <w:r w:rsidR="009564BA" w:rsidRPr="00900F8E">
        <w:rPr>
          <w:rFonts w:ascii="Arial" w:hAnsi="Arial" w:cs="Arial"/>
        </w:rPr>
        <w:t xml:space="preserve"> za prevoz oseb z različnimi oblikami oviranosti</w:t>
      </w:r>
      <w:r w:rsidRPr="00900F8E">
        <w:rPr>
          <w:rFonts w:ascii="Arial" w:hAnsi="Arial" w:cs="Arial"/>
        </w:rPr>
        <w:t>;</w:t>
      </w:r>
    </w:p>
    <w:p w14:paraId="175D41B4" w14:textId="77777777" w:rsidR="00C7481F" w:rsidRPr="00900F8E" w:rsidRDefault="009564BA" w:rsidP="00640804">
      <w:pPr>
        <w:pStyle w:val="Odstavekseznama"/>
        <w:numPr>
          <w:ilvl w:val="0"/>
          <w:numId w:val="33"/>
        </w:numPr>
        <w:spacing w:after="0" w:line="240" w:lineRule="auto"/>
        <w:jc w:val="both"/>
        <w:rPr>
          <w:rFonts w:ascii="Arial" w:hAnsi="Arial" w:cs="Arial"/>
        </w:rPr>
      </w:pPr>
      <w:r w:rsidRPr="00900F8E">
        <w:rPr>
          <w:rFonts w:ascii="Arial" w:hAnsi="Arial" w:cs="Arial"/>
        </w:rPr>
        <w:t>Mestna občina Ljubljana je v sodelovanju z javnima podjetjema LPP in LPT uvedla posebni direktni liniji iz P+R Stožice in P+R Barje do UKC Ljubljana ter Onkološkega inštituta Ljubljana</w:t>
      </w:r>
      <w:r w:rsidR="00C7481F" w:rsidRPr="00900F8E">
        <w:rPr>
          <w:rFonts w:ascii="Arial" w:hAnsi="Arial" w:cs="Arial"/>
        </w:rPr>
        <w:t xml:space="preserve">, s čimer je omogočen </w:t>
      </w:r>
      <w:r w:rsidRPr="00900F8E">
        <w:rPr>
          <w:rFonts w:ascii="Arial" w:hAnsi="Arial" w:cs="Arial"/>
        </w:rPr>
        <w:t>več kot deset tisočim osebam dostop do delovnih mest</w:t>
      </w:r>
      <w:r w:rsidR="00C7481F" w:rsidRPr="00900F8E">
        <w:rPr>
          <w:rFonts w:ascii="Arial" w:hAnsi="Arial" w:cs="Arial"/>
        </w:rPr>
        <w:t>;</w:t>
      </w:r>
    </w:p>
    <w:p w14:paraId="19053A07" w14:textId="086AAA1E" w:rsidR="00CD55C0" w:rsidRPr="00900F8E" w:rsidRDefault="00C7481F" w:rsidP="00A704C1">
      <w:pPr>
        <w:pStyle w:val="Odstavekseznama"/>
        <w:numPr>
          <w:ilvl w:val="0"/>
          <w:numId w:val="33"/>
        </w:numPr>
        <w:spacing w:after="0" w:line="240" w:lineRule="auto"/>
        <w:jc w:val="both"/>
        <w:rPr>
          <w:rFonts w:ascii="Arial" w:hAnsi="Arial" w:cs="Arial"/>
        </w:rPr>
      </w:pPr>
      <w:r w:rsidRPr="00900F8E">
        <w:rPr>
          <w:rFonts w:ascii="Arial" w:hAnsi="Arial" w:cs="Arial"/>
        </w:rPr>
        <w:t>p</w:t>
      </w:r>
      <w:r w:rsidR="009564BA" w:rsidRPr="00900F8E">
        <w:rPr>
          <w:rFonts w:ascii="Arial" w:hAnsi="Arial" w:cs="Arial"/>
        </w:rPr>
        <w:t xml:space="preserve">revoznik </w:t>
      </w:r>
      <w:proofErr w:type="spellStart"/>
      <w:r w:rsidR="009564BA" w:rsidRPr="00900F8E">
        <w:rPr>
          <w:rFonts w:ascii="Arial" w:hAnsi="Arial" w:cs="Arial"/>
        </w:rPr>
        <w:t>Nomago</w:t>
      </w:r>
      <w:proofErr w:type="spellEnd"/>
      <w:r w:rsidR="009564BA" w:rsidRPr="00900F8E">
        <w:rPr>
          <w:rFonts w:ascii="Arial" w:hAnsi="Arial" w:cs="Arial"/>
        </w:rPr>
        <w:t xml:space="preserve"> je v Celju na rednih linijah mestnega potniškega prometa začel testira</w:t>
      </w:r>
      <w:r w:rsidR="00C06C33">
        <w:rPr>
          <w:rFonts w:ascii="Arial" w:hAnsi="Arial" w:cs="Arial"/>
        </w:rPr>
        <w:t>ti</w:t>
      </w:r>
      <w:r w:rsidR="009564BA" w:rsidRPr="00900F8E">
        <w:rPr>
          <w:rFonts w:ascii="Arial" w:hAnsi="Arial" w:cs="Arial"/>
        </w:rPr>
        <w:t xml:space="preserve"> enega izmed prvih serijskih električnih avtobusov. Prevoznik je v zadnjih letih električne avtobuse že testiral v </w:t>
      </w:r>
      <w:r w:rsidR="00C06C33">
        <w:rPr>
          <w:rFonts w:ascii="Arial" w:hAnsi="Arial" w:cs="Arial"/>
        </w:rPr>
        <w:t>m</w:t>
      </w:r>
      <w:r w:rsidR="009564BA" w:rsidRPr="00900F8E">
        <w:rPr>
          <w:rFonts w:ascii="Arial" w:hAnsi="Arial" w:cs="Arial"/>
        </w:rPr>
        <w:t>estni občini Nova Gorica, Šempetru pri Gorici, Ljubečni pri Celju, na mednarodni liniji Nova Gorica–Gorica i</w:t>
      </w:r>
      <w:r w:rsidR="00C06C33">
        <w:rPr>
          <w:rFonts w:ascii="Arial" w:hAnsi="Arial" w:cs="Arial"/>
        </w:rPr>
        <w:t>p</w:t>
      </w:r>
      <w:r w:rsidR="009564BA" w:rsidRPr="00900F8E">
        <w:rPr>
          <w:rFonts w:ascii="Arial" w:hAnsi="Arial" w:cs="Arial"/>
        </w:rPr>
        <w:t xml:space="preserve">d. Električni avtobus je vključen tudi v krožni potniški promet v BTC </w:t>
      </w:r>
      <w:proofErr w:type="spellStart"/>
      <w:r w:rsidR="009564BA" w:rsidRPr="00900F8E">
        <w:rPr>
          <w:rFonts w:ascii="Arial" w:hAnsi="Arial" w:cs="Arial"/>
        </w:rPr>
        <w:t>City</w:t>
      </w:r>
      <w:proofErr w:type="spellEnd"/>
      <w:r w:rsidR="009564BA" w:rsidRPr="00900F8E">
        <w:rPr>
          <w:rFonts w:ascii="Arial" w:hAnsi="Arial" w:cs="Arial"/>
        </w:rPr>
        <w:t xml:space="preserve"> Ljubljana</w:t>
      </w:r>
      <w:r w:rsidRPr="00900F8E">
        <w:rPr>
          <w:rFonts w:ascii="Arial" w:hAnsi="Arial" w:cs="Arial"/>
        </w:rPr>
        <w:t>;</w:t>
      </w:r>
    </w:p>
    <w:p w14:paraId="180D2402" w14:textId="3F4FDA1F" w:rsidR="001815FD" w:rsidRPr="00900F8E" w:rsidRDefault="001815FD" w:rsidP="00640804">
      <w:pPr>
        <w:pStyle w:val="Odstavekseznama"/>
        <w:numPr>
          <w:ilvl w:val="0"/>
          <w:numId w:val="33"/>
        </w:numPr>
        <w:spacing w:after="0" w:line="240" w:lineRule="auto"/>
        <w:jc w:val="both"/>
        <w:rPr>
          <w:rFonts w:ascii="Arial" w:hAnsi="Arial" w:cs="Arial"/>
        </w:rPr>
      </w:pPr>
      <w:r w:rsidRPr="00900F8E">
        <w:rPr>
          <w:rFonts w:ascii="Arial" w:hAnsi="Arial" w:cs="Arial"/>
        </w:rPr>
        <w:t>vzpostavljen je bil potniški promet na progi Ljubljana–Kočevje in direktna železniška povezava med Dunajem, Ljubljano in Trstom;</w:t>
      </w:r>
    </w:p>
    <w:p w14:paraId="4B2B10AC" w14:textId="0C8963B6" w:rsidR="001815FD" w:rsidRPr="00900F8E" w:rsidRDefault="001815FD" w:rsidP="001815FD">
      <w:pPr>
        <w:pStyle w:val="Odstavekseznama"/>
        <w:numPr>
          <w:ilvl w:val="0"/>
          <w:numId w:val="33"/>
        </w:numPr>
        <w:spacing w:after="0" w:line="240" w:lineRule="auto"/>
        <w:jc w:val="both"/>
        <w:rPr>
          <w:rFonts w:ascii="Arial" w:hAnsi="Arial" w:cs="Arial"/>
        </w:rPr>
      </w:pPr>
      <w:r w:rsidRPr="00900F8E">
        <w:rPr>
          <w:rFonts w:ascii="Arial" w:hAnsi="Arial" w:cs="Arial"/>
        </w:rPr>
        <w:t xml:space="preserve">SŽ v promet postopoma vključujejo 52 novih elektro </w:t>
      </w:r>
      <w:r w:rsidR="006A2136">
        <w:rPr>
          <w:rFonts w:ascii="Arial" w:hAnsi="Arial" w:cs="Arial"/>
        </w:rPr>
        <w:t xml:space="preserve">garnitur </w:t>
      </w:r>
      <w:r w:rsidRPr="00900F8E">
        <w:rPr>
          <w:rFonts w:ascii="Arial" w:hAnsi="Arial" w:cs="Arial"/>
        </w:rPr>
        <w:t>(</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 xml:space="preserve">EMG) in </w:t>
      </w:r>
      <w:proofErr w:type="spellStart"/>
      <w:r w:rsidRPr="00900F8E">
        <w:rPr>
          <w:rFonts w:ascii="Arial" w:hAnsi="Arial" w:cs="Arial"/>
        </w:rPr>
        <w:t>dizelmotorne</w:t>
      </w:r>
      <w:proofErr w:type="spellEnd"/>
      <w:r w:rsidRPr="00900F8E">
        <w:rPr>
          <w:rFonts w:ascii="Arial" w:hAnsi="Arial" w:cs="Arial"/>
        </w:rPr>
        <w:t xml:space="preserve"> </w:t>
      </w:r>
      <w:r w:rsidR="006A2136">
        <w:rPr>
          <w:rFonts w:ascii="Arial" w:hAnsi="Arial" w:cs="Arial"/>
        </w:rPr>
        <w:t xml:space="preserve">garniture </w:t>
      </w:r>
      <w:r w:rsidRPr="00900F8E">
        <w:rPr>
          <w:rFonts w:ascii="Arial" w:hAnsi="Arial" w:cs="Arial"/>
        </w:rPr>
        <w:t>(</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 xml:space="preserve">DMG) Stadler. Ti </w:t>
      </w:r>
      <w:r w:rsidR="006A2136">
        <w:rPr>
          <w:rFonts w:ascii="Arial" w:hAnsi="Arial" w:cs="Arial"/>
        </w:rPr>
        <w:t xml:space="preserve">vlaki </w:t>
      </w:r>
      <w:r w:rsidRPr="00900F8E">
        <w:rPr>
          <w:rFonts w:ascii="Arial" w:hAnsi="Arial" w:cs="Arial"/>
        </w:rPr>
        <w:t>imajo hitrejše pospeševanje in potovalne hitrosti, in sicer EMG do 160 kilometrov na uro, DMG do 140 kilometrov na uro. Omogočajo več prostora za kolesa;</w:t>
      </w:r>
    </w:p>
    <w:p w14:paraId="31C99ADF" w14:textId="4E6D7EBC" w:rsidR="001815FD" w:rsidRPr="00900F8E" w:rsidRDefault="008177E8" w:rsidP="001815FD">
      <w:pPr>
        <w:pStyle w:val="Odstavekseznama"/>
        <w:numPr>
          <w:ilvl w:val="0"/>
          <w:numId w:val="33"/>
        </w:numPr>
        <w:spacing w:after="0" w:line="240" w:lineRule="auto"/>
        <w:jc w:val="both"/>
        <w:rPr>
          <w:rFonts w:ascii="Arial" w:hAnsi="Arial" w:cs="Arial"/>
        </w:rPr>
      </w:pPr>
      <w:r>
        <w:rPr>
          <w:rFonts w:ascii="Arial" w:hAnsi="Arial" w:cs="Arial"/>
        </w:rPr>
        <w:t>končala</w:t>
      </w:r>
      <w:r w:rsidRPr="00900F8E">
        <w:rPr>
          <w:rFonts w:ascii="Arial" w:hAnsi="Arial" w:cs="Arial"/>
        </w:rPr>
        <w:t xml:space="preserve"> </w:t>
      </w:r>
      <w:r w:rsidR="001815FD" w:rsidRPr="00900F8E">
        <w:rPr>
          <w:rFonts w:ascii="Arial" w:hAnsi="Arial" w:cs="Arial"/>
        </w:rPr>
        <w:t xml:space="preserve">se je varnostno-tehnična nadgradnja železniškega predora Karavanke in izvedba podatkovnega omrežja za daljinsko vodenje prometa na javni železniški infrastrukturi. </w:t>
      </w:r>
      <w:r w:rsidR="006A2136">
        <w:rPr>
          <w:rFonts w:ascii="Arial" w:hAnsi="Arial" w:cs="Arial"/>
        </w:rPr>
        <w:t>Poteka</w:t>
      </w:r>
      <w:r w:rsidR="001815FD" w:rsidRPr="00900F8E">
        <w:rPr>
          <w:rFonts w:ascii="Arial" w:hAnsi="Arial" w:cs="Arial"/>
        </w:rPr>
        <w:t xml:space="preserve"> projekt izdelave študije izvedljivosti in projektne dokumentacije za gradnjo nove predorske cevi Karavanke</w:t>
      </w:r>
      <w:r w:rsidR="0005184B" w:rsidRPr="00900F8E">
        <w:rPr>
          <w:rFonts w:ascii="Arial" w:hAnsi="Arial" w:cs="Arial"/>
        </w:rPr>
        <w:t>;</w:t>
      </w:r>
      <w:r w:rsidR="001815FD" w:rsidRPr="00900F8E">
        <w:rPr>
          <w:rFonts w:ascii="Arial" w:hAnsi="Arial" w:cs="Arial"/>
        </w:rPr>
        <w:t xml:space="preserve"> </w:t>
      </w:r>
    </w:p>
    <w:p w14:paraId="1E47289E" w14:textId="7C1D4969" w:rsidR="001815FD" w:rsidRPr="00900F8E" w:rsidRDefault="008177E8" w:rsidP="001815FD">
      <w:pPr>
        <w:pStyle w:val="Odstavekseznama"/>
        <w:numPr>
          <w:ilvl w:val="0"/>
          <w:numId w:val="33"/>
        </w:numPr>
        <w:spacing w:after="0" w:line="240" w:lineRule="auto"/>
        <w:jc w:val="both"/>
        <w:rPr>
          <w:rFonts w:ascii="Arial" w:hAnsi="Arial" w:cs="Arial"/>
        </w:rPr>
      </w:pPr>
      <w:r>
        <w:rPr>
          <w:rFonts w:ascii="Arial" w:hAnsi="Arial" w:cs="Arial"/>
        </w:rPr>
        <w:t>končala</w:t>
      </w:r>
      <w:r w:rsidRPr="00900F8E">
        <w:rPr>
          <w:rFonts w:ascii="Arial" w:hAnsi="Arial" w:cs="Arial"/>
        </w:rPr>
        <w:t xml:space="preserve"> </w:t>
      </w:r>
      <w:r w:rsidR="001815FD" w:rsidRPr="00900F8E">
        <w:rPr>
          <w:rFonts w:ascii="Arial" w:hAnsi="Arial" w:cs="Arial"/>
        </w:rPr>
        <w:t>so se gradbena dela na železniškem odseku Zidani Most–Celje</w:t>
      </w:r>
      <w:r w:rsidR="0005184B" w:rsidRPr="00900F8E">
        <w:rPr>
          <w:rFonts w:ascii="Arial" w:hAnsi="Arial" w:cs="Arial"/>
        </w:rPr>
        <w:t>;</w:t>
      </w:r>
    </w:p>
    <w:p w14:paraId="3DEA50B2" w14:textId="17CE28B4" w:rsidR="001815FD" w:rsidRPr="00900F8E" w:rsidRDefault="0005184B" w:rsidP="00640804">
      <w:pPr>
        <w:pStyle w:val="Odstavekseznama"/>
        <w:numPr>
          <w:ilvl w:val="0"/>
          <w:numId w:val="33"/>
        </w:numPr>
        <w:spacing w:after="0" w:line="240" w:lineRule="auto"/>
        <w:jc w:val="both"/>
        <w:rPr>
          <w:rFonts w:ascii="Arial" w:hAnsi="Arial" w:cs="Arial"/>
        </w:rPr>
      </w:pPr>
      <w:r w:rsidRPr="00900F8E">
        <w:rPr>
          <w:rFonts w:ascii="Arial" w:hAnsi="Arial" w:cs="Arial"/>
        </w:rPr>
        <w:t>začela se je n</w:t>
      </w:r>
      <w:r w:rsidR="001815FD" w:rsidRPr="00900F8E">
        <w:rPr>
          <w:rFonts w:ascii="Arial" w:hAnsi="Arial" w:cs="Arial"/>
        </w:rPr>
        <w:t>adgradnja odsekov Lesce Bled–Žirovnica, Žirovnica–Slovenski Javornik in Slovenski Javornik–Jesenice</w:t>
      </w:r>
      <w:r w:rsidRPr="00900F8E">
        <w:rPr>
          <w:rFonts w:ascii="Arial" w:hAnsi="Arial" w:cs="Arial"/>
        </w:rPr>
        <w:t xml:space="preserve"> </w:t>
      </w:r>
      <w:r w:rsidR="006A2136">
        <w:rPr>
          <w:rFonts w:ascii="Arial" w:hAnsi="Arial" w:cs="Arial"/>
        </w:rPr>
        <w:t>ter</w:t>
      </w:r>
      <w:r w:rsidR="006A2136" w:rsidRPr="00900F8E">
        <w:rPr>
          <w:rFonts w:ascii="Arial" w:hAnsi="Arial" w:cs="Arial"/>
        </w:rPr>
        <w:t xml:space="preserve"> </w:t>
      </w:r>
      <w:r w:rsidR="001815FD" w:rsidRPr="00900F8E">
        <w:rPr>
          <w:rFonts w:ascii="Arial" w:hAnsi="Arial" w:cs="Arial"/>
        </w:rPr>
        <w:t>nadgradnja železniške proge Ljubljana–Divača, ki bo potekala v letih od 2021 do 2027</w:t>
      </w:r>
      <w:r w:rsidRPr="00900F8E">
        <w:rPr>
          <w:rFonts w:ascii="Arial" w:hAnsi="Arial" w:cs="Arial"/>
        </w:rPr>
        <w:t>. P</w:t>
      </w:r>
      <w:r w:rsidR="001815FD" w:rsidRPr="00900F8E">
        <w:rPr>
          <w:rFonts w:ascii="Arial" w:hAnsi="Arial" w:cs="Arial"/>
        </w:rPr>
        <w:t>ripravljati</w:t>
      </w:r>
      <w:r w:rsidRPr="00900F8E">
        <w:rPr>
          <w:rFonts w:ascii="Arial" w:hAnsi="Arial" w:cs="Arial"/>
        </w:rPr>
        <w:t xml:space="preserve"> se je začela</w:t>
      </w:r>
      <w:r w:rsidR="001815FD" w:rsidRPr="00900F8E">
        <w:rPr>
          <w:rFonts w:ascii="Arial" w:hAnsi="Arial" w:cs="Arial"/>
        </w:rPr>
        <w:t xml:space="preserve"> projektna dokumentacija za nadgradnjo železniškega območja ljubljanskih postaj – ŽOLP. </w:t>
      </w:r>
      <w:r w:rsidRPr="00900F8E">
        <w:rPr>
          <w:rFonts w:ascii="Arial" w:hAnsi="Arial" w:cs="Arial"/>
        </w:rPr>
        <w:t>N</w:t>
      </w:r>
      <w:r w:rsidR="001815FD" w:rsidRPr="00900F8E">
        <w:rPr>
          <w:rFonts w:ascii="Arial" w:hAnsi="Arial" w:cs="Arial"/>
        </w:rPr>
        <w:t>adgrajene</w:t>
      </w:r>
      <w:r w:rsidRPr="00900F8E">
        <w:rPr>
          <w:rFonts w:ascii="Arial" w:hAnsi="Arial" w:cs="Arial"/>
        </w:rPr>
        <w:t xml:space="preserve"> bodo železniške</w:t>
      </w:r>
      <w:r w:rsidR="001815FD" w:rsidRPr="00900F8E">
        <w:rPr>
          <w:rFonts w:ascii="Arial" w:hAnsi="Arial" w:cs="Arial"/>
        </w:rPr>
        <w:t xml:space="preserve"> postaje Ljubljana Šiška, Ljubljana, Ljubljana Moste, Polje in Zalog ter odseki med postajami. Zgradila se bosta tudi dva nova nadomestna železniška nadvoza čez Dunajsko in Šmartinsko cesto</w:t>
      </w:r>
      <w:r w:rsidR="00FD19D3" w:rsidRPr="00900F8E">
        <w:rPr>
          <w:rFonts w:ascii="Arial" w:hAnsi="Arial" w:cs="Arial"/>
        </w:rPr>
        <w:t>. Z</w:t>
      </w:r>
      <w:r w:rsidRPr="00900F8E">
        <w:rPr>
          <w:rFonts w:ascii="Arial" w:hAnsi="Arial" w:cs="Arial"/>
        </w:rPr>
        <w:t>ačela se je</w:t>
      </w:r>
      <w:r w:rsidR="001815FD" w:rsidRPr="00900F8E">
        <w:rPr>
          <w:rFonts w:ascii="Arial" w:hAnsi="Arial" w:cs="Arial"/>
        </w:rPr>
        <w:t xml:space="preserve"> nadgradnja železniške postaje Grosuplje</w:t>
      </w:r>
      <w:r w:rsidR="00FD19D3" w:rsidRPr="00900F8E">
        <w:rPr>
          <w:rFonts w:ascii="Arial" w:hAnsi="Arial" w:cs="Arial"/>
        </w:rPr>
        <w:t xml:space="preserve"> in</w:t>
      </w:r>
      <w:r w:rsidRPr="00900F8E">
        <w:rPr>
          <w:rFonts w:ascii="Arial" w:hAnsi="Arial" w:cs="Arial"/>
        </w:rPr>
        <w:t xml:space="preserve"> </w:t>
      </w:r>
      <w:r w:rsidR="001815FD" w:rsidRPr="00900F8E">
        <w:rPr>
          <w:rFonts w:ascii="Arial" w:hAnsi="Arial" w:cs="Arial"/>
        </w:rPr>
        <w:t>nadgradnja vozlišča Pragersko</w:t>
      </w:r>
      <w:r w:rsidR="00FD19D3" w:rsidRPr="00900F8E">
        <w:rPr>
          <w:rFonts w:ascii="Arial" w:hAnsi="Arial" w:cs="Arial"/>
        </w:rPr>
        <w:t>. Z</w:t>
      </w:r>
      <w:r w:rsidR="001815FD" w:rsidRPr="00900F8E">
        <w:rPr>
          <w:rFonts w:ascii="Arial" w:hAnsi="Arial" w:cs="Arial"/>
        </w:rPr>
        <w:t>ačela</w:t>
      </w:r>
      <w:r w:rsidR="00FD19D3" w:rsidRPr="00900F8E">
        <w:rPr>
          <w:rFonts w:ascii="Arial" w:hAnsi="Arial" w:cs="Arial"/>
        </w:rPr>
        <w:t xml:space="preserve"> se je</w:t>
      </w:r>
      <w:r w:rsidR="001815FD" w:rsidRPr="00900F8E">
        <w:rPr>
          <w:rFonts w:ascii="Arial" w:hAnsi="Arial" w:cs="Arial"/>
        </w:rPr>
        <w:t xml:space="preserve"> izdelava razpisne dokumentacije za nadgradnj</w:t>
      </w:r>
      <w:r w:rsidR="00030DD8">
        <w:rPr>
          <w:rFonts w:ascii="Arial" w:hAnsi="Arial" w:cs="Arial"/>
        </w:rPr>
        <w:t>o</w:t>
      </w:r>
      <w:r w:rsidR="001815FD" w:rsidRPr="00900F8E">
        <w:rPr>
          <w:rFonts w:ascii="Arial" w:hAnsi="Arial" w:cs="Arial"/>
        </w:rPr>
        <w:t xml:space="preserve"> železniške proge d</w:t>
      </w:r>
      <w:r w:rsidR="006A2136">
        <w:rPr>
          <w:rFonts w:ascii="Arial" w:hAnsi="Arial" w:cs="Arial"/>
        </w:rPr>
        <w:t>ržavna</w:t>
      </w:r>
      <w:r w:rsidR="001815FD" w:rsidRPr="00900F8E">
        <w:rPr>
          <w:rFonts w:ascii="Arial" w:hAnsi="Arial" w:cs="Arial"/>
        </w:rPr>
        <w:t xml:space="preserve"> m</w:t>
      </w:r>
      <w:r w:rsidR="006A2136">
        <w:rPr>
          <w:rFonts w:ascii="Arial" w:hAnsi="Arial" w:cs="Arial"/>
        </w:rPr>
        <w:t>eja</w:t>
      </w:r>
      <w:r w:rsidR="001815FD" w:rsidRPr="00900F8E">
        <w:rPr>
          <w:rFonts w:ascii="Arial" w:hAnsi="Arial" w:cs="Arial"/>
        </w:rPr>
        <w:t>–Dobova–Zidani Most</w:t>
      </w:r>
      <w:r w:rsidR="00FD19D3" w:rsidRPr="00900F8E">
        <w:rPr>
          <w:rFonts w:ascii="Arial" w:hAnsi="Arial" w:cs="Arial"/>
        </w:rPr>
        <w:t>, ki</w:t>
      </w:r>
      <w:r w:rsidR="001815FD" w:rsidRPr="00900F8E">
        <w:rPr>
          <w:rFonts w:ascii="Arial" w:hAnsi="Arial" w:cs="Arial"/>
        </w:rPr>
        <w:t xml:space="preserve"> predvideva nadgradnjo proge, postaj in postajališč, sofinanciran</w:t>
      </w:r>
      <w:r w:rsidR="003C0D4F">
        <w:rPr>
          <w:rFonts w:ascii="Arial" w:hAnsi="Arial" w:cs="Arial"/>
        </w:rPr>
        <w:t>o</w:t>
      </w:r>
      <w:r w:rsidR="001815FD" w:rsidRPr="00900F8E">
        <w:rPr>
          <w:rFonts w:ascii="Arial" w:hAnsi="Arial" w:cs="Arial"/>
        </w:rPr>
        <w:t xml:space="preserve"> bo </w:t>
      </w:r>
      <w:r w:rsidR="006A2136">
        <w:rPr>
          <w:rFonts w:ascii="Arial" w:hAnsi="Arial" w:cs="Arial"/>
        </w:rPr>
        <w:t>s</w:t>
      </w:r>
      <w:r w:rsidR="006A2136" w:rsidRPr="00900F8E">
        <w:rPr>
          <w:rFonts w:ascii="Arial" w:hAnsi="Arial" w:cs="Arial"/>
        </w:rPr>
        <w:t xml:space="preserve"> </w:t>
      </w:r>
      <w:r w:rsidR="001815FD" w:rsidRPr="00900F8E">
        <w:rPr>
          <w:rFonts w:ascii="Arial" w:hAnsi="Arial" w:cs="Arial"/>
        </w:rPr>
        <w:t>sredstvi</w:t>
      </w:r>
      <w:r w:rsidR="006A2136">
        <w:rPr>
          <w:rFonts w:ascii="Arial" w:hAnsi="Arial" w:cs="Arial"/>
        </w:rPr>
        <w:t xml:space="preserve"> EU</w:t>
      </w:r>
      <w:r w:rsidR="00FD19D3" w:rsidRPr="00900F8E">
        <w:rPr>
          <w:rFonts w:ascii="Arial" w:hAnsi="Arial" w:cs="Arial"/>
        </w:rPr>
        <w:t>;</w:t>
      </w:r>
      <w:r w:rsidR="001815FD" w:rsidRPr="00900F8E">
        <w:rPr>
          <w:rFonts w:ascii="Arial" w:hAnsi="Arial" w:cs="Arial"/>
        </w:rPr>
        <w:t xml:space="preserve"> </w:t>
      </w:r>
    </w:p>
    <w:p w14:paraId="61268F02" w14:textId="293FDAB7" w:rsidR="001815FD" w:rsidRPr="00900F8E" w:rsidRDefault="006A2136" w:rsidP="001815FD">
      <w:pPr>
        <w:pStyle w:val="Odstavekseznama"/>
        <w:numPr>
          <w:ilvl w:val="0"/>
          <w:numId w:val="33"/>
        </w:numPr>
        <w:spacing w:after="0" w:line="240" w:lineRule="auto"/>
        <w:jc w:val="both"/>
        <w:rPr>
          <w:rFonts w:ascii="Arial" w:hAnsi="Arial" w:cs="Arial"/>
        </w:rPr>
      </w:pPr>
      <w:r>
        <w:rPr>
          <w:rFonts w:ascii="Arial" w:hAnsi="Arial" w:cs="Arial"/>
        </w:rPr>
        <w:t>potekala je</w:t>
      </w:r>
      <w:r w:rsidR="00FD19D3" w:rsidRPr="00900F8E">
        <w:rPr>
          <w:rFonts w:ascii="Arial" w:hAnsi="Arial" w:cs="Arial"/>
        </w:rPr>
        <w:t xml:space="preserve"> </w:t>
      </w:r>
      <w:r w:rsidR="001815FD" w:rsidRPr="00900F8E">
        <w:rPr>
          <w:rFonts w:ascii="Arial" w:hAnsi="Arial" w:cs="Arial"/>
        </w:rPr>
        <w:t>nadgradnja železniške proge Maribor–Šentilj–d</w:t>
      </w:r>
      <w:r>
        <w:rPr>
          <w:rFonts w:ascii="Arial" w:hAnsi="Arial" w:cs="Arial"/>
        </w:rPr>
        <w:t>ržavna</w:t>
      </w:r>
      <w:r w:rsidR="001815FD" w:rsidRPr="00900F8E">
        <w:rPr>
          <w:rFonts w:ascii="Arial" w:hAnsi="Arial" w:cs="Arial"/>
        </w:rPr>
        <w:t xml:space="preserve"> m</w:t>
      </w:r>
      <w:r>
        <w:rPr>
          <w:rFonts w:ascii="Arial" w:hAnsi="Arial" w:cs="Arial"/>
        </w:rPr>
        <w:t>eja</w:t>
      </w:r>
      <w:r w:rsidR="001815FD" w:rsidRPr="00900F8E">
        <w:rPr>
          <w:rFonts w:ascii="Arial" w:hAnsi="Arial" w:cs="Arial"/>
        </w:rPr>
        <w:t>, med drugim gradnja nove železniške trase na odseku Počehova–Pesnica, ki vključuje predor Pekel in viadukt Pesnica. Urejena so bila križanja s cesto</w:t>
      </w:r>
      <w:r w:rsidR="00FD19D3" w:rsidRPr="00900F8E">
        <w:rPr>
          <w:rFonts w:ascii="Arial" w:hAnsi="Arial" w:cs="Arial"/>
        </w:rPr>
        <w:t>;</w:t>
      </w:r>
    </w:p>
    <w:p w14:paraId="092EF41E" w14:textId="11B656D4" w:rsidR="001815FD" w:rsidRPr="00900F8E" w:rsidRDefault="00FD19D3" w:rsidP="00640804">
      <w:pPr>
        <w:pStyle w:val="Odstavekseznama"/>
        <w:numPr>
          <w:ilvl w:val="0"/>
          <w:numId w:val="33"/>
        </w:numPr>
        <w:spacing w:after="0" w:line="240" w:lineRule="auto"/>
        <w:jc w:val="both"/>
        <w:rPr>
          <w:rFonts w:ascii="Arial" w:hAnsi="Arial" w:cs="Arial"/>
        </w:rPr>
      </w:pPr>
      <w:r w:rsidRPr="00900F8E">
        <w:rPr>
          <w:rFonts w:ascii="Arial" w:hAnsi="Arial" w:cs="Arial"/>
        </w:rPr>
        <w:t>z</w:t>
      </w:r>
      <w:r w:rsidR="001815FD" w:rsidRPr="00900F8E">
        <w:rPr>
          <w:rFonts w:ascii="Arial" w:hAnsi="Arial" w:cs="Arial"/>
        </w:rPr>
        <w:t>ačeli</w:t>
      </w:r>
      <w:r w:rsidRPr="00900F8E">
        <w:rPr>
          <w:rFonts w:ascii="Arial" w:hAnsi="Arial" w:cs="Arial"/>
        </w:rPr>
        <w:t xml:space="preserve"> so se</w:t>
      </w:r>
      <w:r w:rsidR="001815FD" w:rsidRPr="00900F8E">
        <w:rPr>
          <w:rFonts w:ascii="Arial" w:hAnsi="Arial" w:cs="Arial"/>
        </w:rPr>
        <w:t xml:space="preserve"> postopki umeščanja v prostor (zasnova praviloma sledi obstoječi progi) in izdelava projektne dokumentacije za dvotirnost regionalne železniške proge št. 21 Ljubljana Šiška–Kamnik Graben</w:t>
      </w:r>
      <w:r w:rsidRPr="00900F8E">
        <w:rPr>
          <w:rFonts w:ascii="Arial" w:hAnsi="Arial" w:cs="Arial"/>
        </w:rPr>
        <w:t xml:space="preserve"> ter </w:t>
      </w:r>
      <w:r w:rsidR="001815FD" w:rsidRPr="00900F8E">
        <w:rPr>
          <w:rFonts w:ascii="Arial" w:hAnsi="Arial" w:cs="Arial"/>
        </w:rPr>
        <w:t xml:space="preserve">za dvotirnost regionalne železniške proge št. 20 </w:t>
      </w:r>
      <w:r w:rsidR="001815FD" w:rsidRPr="00900F8E">
        <w:rPr>
          <w:rFonts w:ascii="Arial" w:hAnsi="Arial" w:cs="Arial"/>
        </w:rPr>
        <w:lastRenderedPageBreak/>
        <w:t>Ljubljana–Jesenice–državna meja. Izvedena bo tudi nadgradnja določenih postaj in postajališč</w:t>
      </w:r>
      <w:r w:rsidR="002730EF" w:rsidRPr="00900F8E">
        <w:rPr>
          <w:rFonts w:ascii="Arial" w:hAnsi="Arial" w:cs="Arial"/>
        </w:rPr>
        <w:t xml:space="preserve">. </w:t>
      </w:r>
      <w:r w:rsidR="001815FD" w:rsidRPr="00900F8E">
        <w:rPr>
          <w:rFonts w:ascii="Arial" w:hAnsi="Arial" w:cs="Arial"/>
        </w:rPr>
        <w:t>Na regionalni progi št. 80 državna meja–Metlika–Ljubljana je predvidena nadgradnja</w:t>
      </w:r>
      <w:r w:rsidR="002730EF" w:rsidRPr="00900F8E">
        <w:rPr>
          <w:rFonts w:ascii="Arial" w:hAnsi="Arial" w:cs="Arial"/>
        </w:rPr>
        <w:t xml:space="preserve">. Izvajale so se </w:t>
      </w:r>
      <w:r w:rsidR="001D6649">
        <w:rPr>
          <w:rFonts w:ascii="Arial" w:hAnsi="Arial" w:cs="Arial"/>
        </w:rPr>
        <w:t>dejavnosti</w:t>
      </w:r>
      <w:r w:rsidR="002730EF" w:rsidRPr="00900F8E">
        <w:rPr>
          <w:rFonts w:ascii="Arial" w:hAnsi="Arial" w:cs="Arial"/>
        </w:rPr>
        <w:t>, ki</w:t>
      </w:r>
      <w:r w:rsidR="001815FD" w:rsidRPr="00900F8E">
        <w:rPr>
          <w:rFonts w:ascii="Arial" w:hAnsi="Arial" w:cs="Arial"/>
        </w:rPr>
        <w:t xml:space="preserve"> zajemajo postopek umeščanja v prostor in izdelava projektne dokumentacije za odsek Ivančna Gorica–Ljubljana ter izdelava Pobude za državno prostorsko načrtovanje/dokument identifikacije investicijskega projekta za odsek Birčna vas (Novo mesto)–Ivančna Gorica. </w:t>
      </w:r>
      <w:r w:rsidR="002730EF" w:rsidRPr="00900F8E">
        <w:rPr>
          <w:rFonts w:ascii="Arial" w:hAnsi="Arial" w:cs="Arial"/>
        </w:rPr>
        <w:t>N</w:t>
      </w:r>
      <w:r w:rsidR="001815FD" w:rsidRPr="00900F8E">
        <w:rPr>
          <w:rFonts w:ascii="Arial" w:hAnsi="Arial" w:cs="Arial"/>
        </w:rPr>
        <w:t>adaljeval se je tudi projekt uvedbe daljinskega vodenja prometa na glavnih progah javne železniške infrastrukture Zidani Most–Ljubljana in Zidani Most–Šentilj–državna meja, ki bo končan do leta 2027</w:t>
      </w:r>
      <w:r w:rsidR="002730EF" w:rsidRPr="00900F8E">
        <w:rPr>
          <w:rFonts w:ascii="Arial" w:hAnsi="Arial" w:cs="Arial"/>
        </w:rPr>
        <w:t>;</w:t>
      </w:r>
    </w:p>
    <w:p w14:paraId="16863B62" w14:textId="4728AA21" w:rsidR="002730EF" w:rsidRPr="00900F8E" w:rsidRDefault="002730EF" w:rsidP="001815FD">
      <w:pPr>
        <w:pStyle w:val="Odstavekseznama"/>
        <w:numPr>
          <w:ilvl w:val="0"/>
          <w:numId w:val="33"/>
        </w:numPr>
        <w:spacing w:after="0" w:line="240" w:lineRule="auto"/>
        <w:jc w:val="both"/>
        <w:rPr>
          <w:rFonts w:ascii="Arial" w:hAnsi="Arial" w:cs="Arial"/>
        </w:rPr>
      </w:pPr>
      <w:r w:rsidRPr="00900F8E">
        <w:rPr>
          <w:rFonts w:ascii="Arial" w:hAnsi="Arial" w:cs="Arial"/>
        </w:rPr>
        <w:t xml:space="preserve">uveden je bil </w:t>
      </w:r>
      <w:r w:rsidR="006A2136">
        <w:rPr>
          <w:rFonts w:ascii="Arial" w:hAnsi="Arial" w:cs="Arial"/>
        </w:rPr>
        <w:t xml:space="preserve">sistem </w:t>
      </w:r>
      <w:r w:rsidRPr="00900F8E">
        <w:rPr>
          <w:rFonts w:ascii="Arial" w:hAnsi="Arial" w:cs="Arial"/>
        </w:rPr>
        <w:t xml:space="preserve">ETCS </w:t>
      </w:r>
      <w:r w:rsidR="001815FD" w:rsidRPr="00900F8E">
        <w:rPr>
          <w:rFonts w:ascii="Arial" w:hAnsi="Arial" w:cs="Arial"/>
        </w:rPr>
        <w:t>na odseku Pragersko–Maribor, sledi Maribor–Šentilj</w:t>
      </w:r>
      <w:r w:rsidRPr="00900F8E">
        <w:rPr>
          <w:rFonts w:ascii="Arial" w:hAnsi="Arial" w:cs="Arial"/>
        </w:rPr>
        <w:t>;</w:t>
      </w:r>
    </w:p>
    <w:p w14:paraId="6BCA7B65" w14:textId="511D79B4" w:rsidR="001815FD" w:rsidRPr="00900F8E" w:rsidRDefault="002730EF" w:rsidP="00640804">
      <w:pPr>
        <w:pStyle w:val="Odstavekseznama"/>
        <w:numPr>
          <w:ilvl w:val="0"/>
          <w:numId w:val="33"/>
        </w:numPr>
        <w:spacing w:after="0" w:line="240" w:lineRule="auto"/>
        <w:jc w:val="both"/>
        <w:rPr>
          <w:rFonts w:ascii="Arial" w:hAnsi="Arial" w:cs="Arial"/>
        </w:rPr>
      </w:pPr>
      <w:r w:rsidRPr="00900F8E">
        <w:rPr>
          <w:rFonts w:ascii="Arial" w:hAnsi="Arial" w:cs="Arial"/>
        </w:rPr>
        <w:t>ugotovljeno je bilo, da</w:t>
      </w:r>
      <w:r w:rsidR="001815FD" w:rsidRPr="00900F8E">
        <w:rPr>
          <w:rFonts w:ascii="Arial" w:hAnsi="Arial" w:cs="Arial"/>
        </w:rPr>
        <w:t xml:space="preserve"> se boljša pretočnost prometa, skrajšanje potovalnih časov, izboljšanje stabilnosti voznih redov</w:t>
      </w:r>
      <w:r w:rsidRPr="00900F8E">
        <w:rPr>
          <w:rFonts w:ascii="Arial" w:hAnsi="Arial" w:cs="Arial"/>
        </w:rPr>
        <w:t xml:space="preserve"> pri Tivolskem loku</w:t>
      </w:r>
      <w:r w:rsidR="001815FD" w:rsidRPr="00900F8E">
        <w:rPr>
          <w:rFonts w:ascii="Arial" w:hAnsi="Arial" w:cs="Arial"/>
        </w:rPr>
        <w:t xml:space="preserve"> lahko doseže z ukrepom povezava Gorenjska–</w:t>
      </w:r>
      <w:r w:rsidR="006A2136">
        <w:rPr>
          <w:rFonts w:ascii="Arial" w:hAnsi="Arial" w:cs="Arial"/>
        </w:rPr>
        <w:t>p</w:t>
      </w:r>
      <w:r w:rsidR="001815FD" w:rsidRPr="00900F8E">
        <w:rPr>
          <w:rFonts w:ascii="Arial" w:hAnsi="Arial" w:cs="Arial"/>
        </w:rPr>
        <w:t>rimorska proga</w:t>
      </w:r>
      <w:r w:rsidRPr="00900F8E">
        <w:rPr>
          <w:rFonts w:ascii="Arial" w:hAnsi="Arial" w:cs="Arial"/>
        </w:rPr>
        <w:t>,</w:t>
      </w:r>
      <w:r w:rsidR="001815FD" w:rsidRPr="00900F8E">
        <w:rPr>
          <w:rFonts w:ascii="Arial" w:hAnsi="Arial" w:cs="Arial"/>
        </w:rPr>
        <w:t xml:space="preserve"> zahodna obvozna proga ali povezovalni tir</w:t>
      </w:r>
      <w:r w:rsidRPr="00900F8E">
        <w:rPr>
          <w:rFonts w:ascii="Arial" w:hAnsi="Arial" w:cs="Arial"/>
        </w:rPr>
        <w:t>;</w:t>
      </w:r>
    </w:p>
    <w:p w14:paraId="78EB1D4D" w14:textId="3FA4201B" w:rsidR="001815FD" w:rsidRPr="00900F8E" w:rsidRDefault="001815FD" w:rsidP="00A704C1">
      <w:pPr>
        <w:pStyle w:val="Odstavekseznama"/>
        <w:numPr>
          <w:ilvl w:val="0"/>
          <w:numId w:val="33"/>
        </w:numPr>
        <w:spacing w:after="0" w:line="240" w:lineRule="auto"/>
        <w:jc w:val="both"/>
        <w:rPr>
          <w:rFonts w:ascii="Arial" w:hAnsi="Arial" w:cs="Arial"/>
        </w:rPr>
      </w:pPr>
      <w:r w:rsidRPr="00900F8E">
        <w:rPr>
          <w:rFonts w:ascii="Arial" w:hAnsi="Arial" w:cs="Arial"/>
        </w:rPr>
        <w:t>izdelana</w:t>
      </w:r>
      <w:r w:rsidR="00E96148">
        <w:rPr>
          <w:rFonts w:ascii="Arial" w:hAnsi="Arial" w:cs="Arial"/>
        </w:rPr>
        <w:t xml:space="preserve"> in sprejeta</w:t>
      </w:r>
      <w:r w:rsidRPr="00900F8E">
        <w:rPr>
          <w:rFonts w:ascii="Arial" w:hAnsi="Arial" w:cs="Arial"/>
        </w:rPr>
        <w:t xml:space="preserve"> </w:t>
      </w:r>
      <w:r w:rsidR="0005168D" w:rsidRPr="00900F8E">
        <w:rPr>
          <w:rFonts w:ascii="Arial" w:hAnsi="Arial" w:cs="Arial"/>
        </w:rPr>
        <w:t xml:space="preserve">je bila </w:t>
      </w:r>
      <w:r w:rsidRPr="00900F8E">
        <w:rPr>
          <w:rFonts w:ascii="Arial" w:hAnsi="Arial" w:cs="Arial"/>
        </w:rPr>
        <w:t xml:space="preserve">Vizija 2050+, ki </w:t>
      </w:r>
      <w:r w:rsidR="006A2136">
        <w:rPr>
          <w:rFonts w:ascii="Arial" w:hAnsi="Arial" w:cs="Arial"/>
        </w:rPr>
        <w:t>daje</w:t>
      </w:r>
      <w:r w:rsidRPr="00900F8E">
        <w:rPr>
          <w:rFonts w:ascii="Arial" w:hAnsi="Arial" w:cs="Arial"/>
        </w:rPr>
        <w:t xml:space="preserve"> strateški okvir za razvoj železnic v naslednjih 50 letih. Izhodišče načrtovanja novih smeri železniških prog je okoljsko, saj sledi zahtevam podnebne politike in trajnostne mobilnosti, hkrati pa cilja na spremembe potovalnih navad, doseganje konkurenčnih potovalnih časov in izboljšanje dostopnosti. Vizija predlaga ukrepe in navaja predlog ukrepov, ki obsegajo nadgradnjo železniškega omrežja, integracijo prometa, ločitev tovornega in potniškega prometa, nove povezave. Določa faz</w:t>
      </w:r>
      <w:r w:rsidR="00291700" w:rsidRPr="00900F8E">
        <w:rPr>
          <w:rFonts w:ascii="Arial" w:hAnsi="Arial" w:cs="Arial"/>
        </w:rPr>
        <w:t>e</w:t>
      </w:r>
      <w:r w:rsidRPr="00900F8E">
        <w:rPr>
          <w:rFonts w:ascii="Arial" w:hAnsi="Arial" w:cs="Arial"/>
        </w:rPr>
        <w:t xml:space="preserve">, pogoje in potrebne vire za izvedbo. Poteki novih železniških prog so bili analizirani z vidika prostorske in funkcionalne izvedljivosti na zelo grobem merilu, podrobnejše rešitve in njihova presoja </w:t>
      </w:r>
      <w:r w:rsidR="006A2136">
        <w:rPr>
          <w:rFonts w:ascii="Arial" w:hAnsi="Arial" w:cs="Arial"/>
        </w:rPr>
        <w:t>ter</w:t>
      </w:r>
      <w:r w:rsidR="006A2136" w:rsidRPr="00900F8E">
        <w:rPr>
          <w:rFonts w:ascii="Arial" w:hAnsi="Arial" w:cs="Arial"/>
        </w:rPr>
        <w:t xml:space="preserve"> </w:t>
      </w:r>
      <w:r w:rsidRPr="00900F8E">
        <w:rPr>
          <w:rFonts w:ascii="Arial" w:hAnsi="Arial" w:cs="Arial"/>
        </w:rPr>
        <w:t>primerjava s funkcionalnega, prostorskega, okoljskega in ekonomskega vidika ter glede sprejemljivosti v družbenem okolju pa bodo morale slediti v nadaljnjih fazah načrtovanja. Za obdobje do leta 2035 je nabor ukrepov že zelo dorečen, v tem času pa se predlaga umestitev novih povezav v prostor</w:t>
      </w:r>
      <w:r w:rsidR="00291700" w:rsidRPr="00900F8E">
        <w:rPr>
          <w:rFonts w:ascii="Arial" w:hAnsi="Arial" w:cs="Arial"/>
        </w:rPr>
        <w:t>;</w:t>
      </w:r>
    </w:p>
    <w:p w14:paraId="61101E40" w14:textId="6DA81F1E" w:rsidR="00890711" w:rsidRPr="00900F8E" w:rsidRDefault="001815FD" w:rsidP="00A704C1">
      <w:pPr>
        <w:pStyle w:val="Odstavekseznama"/>
        <w:numPr>
          <w:ilvl w:val="0"/>
          <w:numId w:val="33"/>
        </w:numPr>
        <w:spacing w:after="0" w:line="240" w:lineRule="auto"/>
        <w:jc w:val="both"/>
        <w:rPr>
          <w:rFonts w:ascii="Arial" w:hAnsi="Arial" w:cs="Arial"/>
        </w:rPr>
      </w:pPr>
      <w:r w:rsidRPr="00900F8E">
        <w:rPr>
          <w:rFonts w:ascii="Arial" w:hAnsi="Arial" w:cs="Arial"/>
        </w:rPr>
        <w:t>Vlada R</w:t>
      </w:r>
      <w:r w:rsidR="006A2136">
        <w:rPr>
          <w:rFonts w:ascii="Arial" w:hAnsi="Arial" w:cs="Arial"/>
        </w:rPr>
        <w:t xml:space="preserve">epublike </w:t>
      </w:r>
      <w:r w:rsidRPr="00900F8E">
        <w:rPr>
          <w:rFonts w:ascii="Arial" w:hAnsi="Arial" w:cs="Arial"/>
        </w:rPr>
        <w:t>S</w:t>
      </w:r>
      <w:r w:rsidR="006A2136">
        <w:rPr>
          <w:rFonts w:ascii="Arial" w:hAnsi="Arial" w:cs="Arial"/>
        </w:rPr>
        <w:t>lovenije</w:t>
      </w:r>
      <w:r w:rsidRPr="00900F8E">
        <w:rPr>
          <w:rFonts w:ascii="Arial" w:hAnsi="Arial" w:cs="Arial"/>
        </w:rPr>
        <w:t xml:space="preserve"> </w:t>
      </w:r>
      <w:r w:rsidR="00291700" w:rsidRPr="00900F8E">
        <w:rPr>
          <w:rFonts w:ascii="Arial" w:hAnsi="Arial" w:cs="Arial"/>
        </w:rPr>
        <w:t xml:space="preserve">je </w:t>
      </w:r>
      <w:r w:rsidRPr="00900F8E">
        <w:rPr>
          <w:rFonts w:ascii="Arial" w:hAnsi="Arial" w:cs="Arial"/>
        </w:rPr>
        <w:t>ustanovila medresorsko delovno skupino za umeščanje železniških projektov. Naloge medresorske delovne skupine so spremljanje postopkov umeščanja železniških projektov v prostor</w:t>
      </w:r>
      <w:r w:rsidR="00291700" w:rsidRPr="00900F8E">
        <w:rPr>
          <w:rFonts w:ascii="Arial" w:hAnsi="Arial" w:cs="Arial"/>
        </w:rPr>
        <w:t>,</w:t>
      </w:r>
      <w:r w:rsidRPr="00900F8E">
        <w:rPr>
          <w:rFonts w:ascii="Arial" w:hAnsi="Arial" w:cs="Arial"/>
        </w:rPr>
        <w:t xml:space="preserve"> ocenjevanje napredka in težav pri umeščanj</w:t>
      </w:r>
      <w:r w:rsidR="006A2136">
        <w:rPr>
          <w:rFonts w:ascii="Arial" w:hAnsi="Arial" w:cs="Arial"/>
        </w:rPr>
        <w:t>u</w:t>
      </w:r>
      <w:r w:rsidRPr="00900F8E">
        <w:rPr>
          <w:rFonts w:ascii="Arial" w:hAnsi="Arial" w:cs="Arial"/>
        </w:rPr>
        <w:t xml:space="preserve"> železniških projektov v prostor ter postopkov izvedbe presoje vplivov na okolje pri železniških projektih, vodenih po vzdrževalnih delih v javno korist</w:t>
      </w:r>
      <w:r w:rsidR="00291700" w:rsidRPr="00900F8E">
        <w:rPr>
          <w:rFonts w:ascii="Arial" w:hAnsi="Arial" w:cs="Arial"/>
        </w:rPr>
        <w:t>,</w:t>
      </w:r>
      <w:r w:rsidRPr="00900F8E">
        <w:rPr>
          <w:rFonts w:ascii="Arial" w:hAnsi="Arial" w:cs="Arial"/>
        </w:rPr>
        <w:t xml:space="preserve"> dajanje mnenj o možnih ukrepih za pospešitev </w:t>
      </w:r>
      <w:r w:rsidR="001D6649">
        <w:rPr>
          <w:rFonts w:ascii="Arial" w:hAnsi="Arial" w:cs="Arial"/>
        </w:rPr>
        <w:t>dejavnosti</w:t>
      </w:r>
      <w:r w:rsidRPr="00900F8E">
        <w:rPr>
          <w:rFonts w:ascii="Arial" w:hAnsi="Arial" w:cs="Arial"/>
        </w:rPr>
        <w:t xml:space="preserve"> za učinkovitejše izvajanje železniških infrastrukturnih projektov in oblikovanje izhodišč za pripravo predlogov sprememb zakonodaje v zvezi s prostorskim umeščanjem železniških infrastrukturnih projektov v prostor</w:t>
      </w:r>
      <w:r w:rsidR="00304410" w:rsidRPr="00900F8E">
        <w:rPr>
          <w:rFonts w:ascii="Arial" w:hAnsi="Arial" w:cs="Arial"/>
        </w:rPr>
        <w:t>;</w:t>
      </w:r>
    </w:p>
    <w:p w14:paraId="10CA5FF5" w14:textId="37EAF289" w:rsidR="00156906" w:rsidRPr="00900F8E" w:rsidRDefault="008078C8" w:rsidP="00156906">
      <w:pPr>
        <w:pStyle w:val="Odstavekseznama"/>
        <w:numPr>
          <w:ilvl w:val="0"/>
          <w:numId w:val="33"/>
        </w:numPr>
        <w:spacing w:after="0" w:line="240" w:lineRule="auto"/>
        <w:jc w:val="both"/>
        <w:rPr>
          <w:rFonts w:ascii="Arial" w:hAnsi="Arial" w:cs="Arial"/>
        </w:rPr>
      </w:pPr>
      <w:r w:rsidRPr="00900F8E">
        <w:rPr>
          <w:rFonts w:ascii="Arial" w:hAnsi="Arial" w:cs="Arial"/>
        </w:rPr>
        <w:t>Vlada R</w:t>
      </w:r>
      <w:r w:rsidR="006A2136">
        <w:rPr>
          <w:rFonts w:ascii="Arial" w:hAnsi="Arial" w:cs="Arial"/>
        </w:rPr>
        <w:t xml:space="preserve">epublike </w:t>
      </w:r>
      <w:r w:rsidRPr="00900F8E">
        <w:rPr>
          <w:rFonts w:ascii="Arial" w:hAnsi="Arial" w:cs="Arial"/>
        </w:rPr>
        <w:t>S</w:t>
      </w:r>
      <w:r w:rsidR="006A2136">
        <w:rPr>
          <w:rFonts w:ascii="Arial" w:hAnsi="Arial" w:cs="Arial"/>
        </w:rPr>
        <w:t>lovenije</w:t>
      </w:r>
      <w:r w:rsidRPr="00900F8E">
        <w:rPr>
          <w:rFonts w:ascii="Arial" w:hAnsi="Arial" w:cs="Arial"/>
        </w:rPr>
        <w:t xml:space="preserve"> je izdala Odlok o Programu porabe sredstev Sklada za podnebne spremembe v obdobju 2021–2023, ki </w:t>
      </w:r>
      <w:r w:rsidR="00E96148">
        <w:rPr>
          <w:rFonts w:ascii="Arial" w:hAnsi="Arial" w:cs="Arial"/>
        </w:rPr>
        <w:t xml:space="preserve">je prilagodil dinamiko izplačil v okviru </w:t>
      </w:r>
      <w:r w:rsidRPr="00900F8E">
        <w:rPr>
          <w:rFonts w:ascii="Arial" w:hAnsi="Arial" w:cs="Arial"/>
        </w:rPr>
        <w:t>ukrepov na temo energetske učinkovitosti prometa, med njimi finančne spodbude za podjetja za naložbe v trajnostno mobilnost, nakup novih vozil za izvajanje potniškega prometa, gradnjo kolesarske infrastrukture, ureditev in gradnjo parkirišč za kolesa na železniških postajah, spodbujanje trajnostne mobilnosti na območjih ohranjanja narave, nadgradnjo železniških prog, ozaveščanje in informiranje i</w:t>
      </w:r>
      <w:r w:rsidR="00D16F5A">
        <w:rPr>
          <w:rFonts w:ascii="Arial" w:hAnsi="Arial" w:cs="Arial"/>
        </w:rPr>
        <w:t xml:space="preserve">n </w:t>
      </w:r>
      <w:r w:rsidRPr="00900F8E">
        <w:rPr>
          <w:rFonts w:ascii="Arial" w:hAnsi="Arial" w:cs="Arial"/>
        </w:rPr>
        <w:t>dr</w:t>
      </w:r>
      <w:r w:rsidR="00D16F5A">
        <w:rPr>
          <w:rFonts w:ascii="Arial" w:hAnsi="Arial" w:cs="Arial"/>
        </w:rPr>
        <w:t>ugo</w:t>
      </w:r>
      <w:r w:rsidRPr="00900F8E">
        <w:rPr>
          <w:rFonts w:ascii="Arial" w:hAnsi="Arial" w:cs="Arial"/>
        </w:rPr>
        <w:t>;</w:t>
      </w:r>
    </w:p>
    <w:p w14:paraId="1D12971A" w14:textId="4B6744DD" w:rsidR="00156906" w:rsidRPr="00900F8E" w:rsidRDefault="00156906" w:rsidP="00640804">
      <w:pPr>
        <w:pStyle w:val="Odstavekseznama"/>
        <w:numPr>
          <w:ilvl w:val="0"/>
          <w:numId w:val="33"/>
        </w:numPr>
        <w:spacing w:after="0" w:line="240" w:lineRule="auto"/>
        <w:jc w:val="both"/>
        <w:rPr>
          <w:rFonts w:ascii="Arial" w:hAnsi="Arial" w:cs="Arial"/>
        </w:rPr>
      </w:pPr>
      <w:r w:rsidRPr="00900F8E">
        <w:rPr>
          <w:rFonts w:ascii="Arial" w:hAnsi="Arial" w:cs="Arial"/>
        </w:rPr>
        <w:t>v zasebnem sektorju se je v zadnjih letih zgradilo kar nekaj logističnih centrov, s katerimi se bo logistični proces poenostavil in posodobil, predvsem pa se bodo skrajšale prepotovane poti in zmanjšala obremenitev okolja. Skladiščnih zmogljivosti oziroma zemljišč ustrezne namenske rabe za skladiščenje primanjkuje, zato bi morala biti Slovenija zelo dejavna pri načrtovanju oziroma ščitenju zemljišč ustrezne rabe za to dejavnost. Gradnje industrijskih tirov, ki so v zasebni lasti, država ne subvencionira, jih le zakonsko ureja zaradi zagotavljanja varnosti prometa. Predvideno je dograjevanje železniških prog in železniških tovornih terminalov, kjer je to potrebno (n</w:t>
      </w:r>
      <w:r w:rsidR="00D16F5A">
        <w:rPr>
          <w:rFonts w:ascii="Arial" w:hAnsi="Arial" w:cs="Arial"/>
        </w:rPr>
        <w:t xml:space="preserve">a </w:t>
      </w:r>
      <w:r w:rsidRPr="00900F8E">
        <w:rPr>
          <w:rFonts w:ascii="Arial" w:hAnsi="Arial" w:cs="Arial"/>
        </w:rPr>
        <w:t>pr</w:t>
      </w:r>
      <w:r w:rsidR="00D16F5A">
        <w:rPr>
          <w:rFonts w:ascii="Arial" w:hAnsi="Arial" w:cs="Arial"/>
        </w:rPr>
        <w:t>imer</w:t>
      </w:r>
      <w:r w:rsidRPr="00900F8E">
        <w:rPr>
          <w:rFonts w:ascii="Arial" w:hAnsi="Arial" w:cs="Arial"/>
        </w:rPr>
        <w:t xml:space="preserve"> z drugim tirom);</w:t>
      </w:r>
    </w:p>
    <w:p w14:paraId="23408655" w14:textId="7B036365" w:rsidR="00511411" w:rsidRPr="00900F8E" w:rsidRDefault="00156906" w:rsidP="00A704C1">
      <w:pPr>
        <w:pStyle w:val="Odstavekseznama"/>
        <w:numPr>
          <w:ilvl w:val="0"/>
          <w:numId w:val="33"/>
        </w:numPr>
        <w:spacing w:after="0" w:line="240" w:lineRule="auto"/>
        <w:jc w:val="both"/>
        <w:rPr>
          <w:rFonts w:ascii="Arial" w:hAnsi="Arial" w:cs="Arial"/>
        </w:rPr>
      </w:pPr>
      <w:r w:rsidRPr="00900F8E">
        <w:rPr>
          <w:rFonts w:ascii="Arial" w:hAnsi="Arial" w:cs="Arial"/>
        </w:rPr>
        <w:t>pripravljati se je začela dokumentacija za projekt Intermodalni logistični center Ljubljana, ki obsega osrednji železniški in cestni terminal jedrnega mesta na jedrnem koridorju EU, ležečem na Mediteranskem in Baltsko-</w:t>
      </w:r>
      <w:r w:rsidR="00D16F5A">
        <w:rPr>
          <w:rFonts w:ascii="Arial" w:hAnsi="Arial" w:cs="Arial"/>
        </w:rPr>
        <w:t>j</w:t>
      </w:r>
      <w:r w:rsidRPr="00900F8E">
        <w:rPr>
          <w:rFonts w:ascii="Arial" w:hAnsi="Arial" w:cs="Arial"/>
        </w:rPr>
        <w:t xml:space="preserve">adranskem </w:t>
      </w:r>
      <w:r w:rsidR="001960AF">
        <w:rPr>
          <w:rFonts w:ascii="Arial" w:hAnsi="Arial" w:cs="Arial"/>
        </w:rPr>
        <w:t xml:space="preserve">omrežju </w:t>
      </w:r>
      <w:r w:rsidRPr="00900F8E">
        <w:rPr>
          <w:rFonts w:ascii="Arial" w:hAnsi="Arial" w:cs="Arial"/>
        </w:rPr>
        <w:t>TEN</w:t>
      </w:r>
      <w:r w:rsidR="00AB050C">
        <w:rPr>
          <w:rFonts w:ascii="Arial" w:hAnsi="Arial" w:cs="Arial"/>
        </w:rPr>
        <w:t>-T</w:t>
      </w:r>
      <w:r w:rsidRPr="00900F8E">
        <w:rPr>
          <w:rFonts w:ascii="Arial" w:hAnsi="Arial" w:cs="Arial"/>
        </w:rPr>
        <w:t>. Projekt povezuje družbe BTC, d. d., Slovenske železnice, d. d., Mercator, d. d. in Mestno občino Ljubljana ter druge partnerje</w:t>
      </w:r>
      <w:r w:rsidR="00511411" w:rsidRPr="00900F8E">
        <w:rPr>
          <w:rFonts w:ascii="Arial" w:hAnsi="Arial" w:cs="Arial"/>
        </w:rPr>
        <w:t>;</w:t>
      </w:r>
    </w:p>
    <w:p w14:paraId="09F151E0" w14:textId="139DBEAB" w:rsidR="00890711" w:rsidRPr="00900F8E" w:rsidRDefault="00511411" w:rsidP="00A704C1">
      <w:pPr>
        <w:pStyle w:val="Odstavekseznama"/>
        <w:numPr>
          <w:ilvl w:val="0"/>
          <w:numId w:val="33"/>
        </w:numPr>
        <w:spacing w:after="0" w:line="240" w:lineRule="auto"/>
        <w:jc w:val="both"/>
        <w:rPr>
          <w:rFonts w:ascii="Arial" w:hAnsi="Arial" w:cs="Arial"/>
        </w:rPr>
      </w:pPr>
      <w:r w:rsidRPr="00900F8E">
        <w:rPr>
          <w:rFonts w:ascii="Arial" w:hAnsi="Arial" w:cs="Arial"/>
        </w:rPr>
        <w:t xml:space="preserve">veljati je začel nov Zakon o davku na motorna vozila (Uradni list RS, št. 200/20), ki je spremenil obdavčitev, ki </w:t>
      </w:r>
      <w:r w:rsidR="00513B7C">
        <w:rPr>
          <w:rFonts w:ascii="Arial" w:hAnsi="Arial" w:cs="Arial"/>
        </w:rPr>
        <w:t>z</w:t>
      </w:r>
      <w:r w:rsidRPr="00900F8E">
        <w:rPr>
          <w:rFonts w:ascii="Arial" w:hAnsi="Arial" w:cs="Arial"/>
        </w:rPr>
        <w:t xml:space="preserve">daj ni odvisna od nakupne cene vozila, temveč le od emisij CO2 </w:t>
      </w:r>
      <w:r w:rsidRPr="00900F8E">
        <w:rPr>
          <w:rFonts w:ascii="Arial" w:hAnsi="Arial" w:cs="Arial"/>
        </w:rPr>
        <w:lastRenderedPageBreak/>
        <w:t>po poenotenem voznem ciklu WLTP. Analiz</w:t>
      </w:r>
      <w:r w:rsidR="0013737C">
        <w:rPr>
          <w:rFonts w:ascii="Arial" w:hAnsi="Arial" w:cs="Arial"/>
        </w:rPr>
        <w:t>a</w:t>
      </w:r>
      <w:r w:rsidR="0013737C">
        <w:rPr>
          <w:rStyle w:val="Sprotnaopomba-sklic"/>
          <w:rFonts w:ascii="Arial" w:hAnsi="Arial" w:cs="Arial"/>
        </w:rPr>
        <w:footnoteReference w:id="17"/>
      </w:r>
      <w:r w:rsidRPr="00900F8E">
        <w:rPr>
          <w:rFonts w:ascii="Arial" w:hAnsi="Arial" w:cs="Arial"/>
        </w:rPr>
        <w:t xml:space="preserve"> </w:t>
      </w:r>
      <w:r w:rsidR="0013737C">
        <w:rPr>
          <w:rFonts w:ascii="Arial" w:hAnsi="Arial" w:cs="Arial"/>
        </w:rPr>
        <w:t>je</w:t>
      </w:r>
      <w:r w:rsidRPr="00900F8E">
        <w:rPr>
          <w:rFonts w:ascii="Arial" w:hAnsi="Arial" w:cs="Arial"/>
        </w:rPr>
        <w:t xml:space="preserve"> pokazal</w:t>
      </w:r>
      <w:r w:rsidR="0013737C">
        <w:rPr>
          <w:rFonts w:ascii="Arial" w:hAnsi="Arial" w:cs="Arial"/>
        </w:rPr>
        <w:t>a</w:t>
      </w:r>
      <w:r w:rsidRPr="00900F8E">
        <w:rPr>
          <w:rFonts w:ascii="Arial" w:hAnsi="Arial" w:cs="Arial"/>
        </w:rPr>
        <w:t>, da je nov</w:t>
      </w:r>
      <w:r w:rsidR="00513B7C">
        <w:rPr>
          <w:rFonts w:ascii="Arial" w:hAnsi="Arial" w:cs="Arial"/>
        </w:rPr>
        <w:t>i</w:t>
      </w:r>
      <w:r w:rsidRPr="00900F8E">
        <w:rPr>
          <w:rFonts w:ascii="Arial" w:hAnsi="Arial" w:cs="Arial"/>
        </w:rPr>
        <w:t xml:space="preserve"> zakon močno zmanjšal obdavčitev najdražjih (in praviloma težjih) vozil. Davek je sicer progresiven, toda prelom je razmeroma visoko, tako da v primerjavi s podobnimi davki po EU sorazmerno manj spodbuja k nakupu emisijsko primernejšega avtomobila. Prav tako je vpliv davka na ceno avtomobila močno premajhen in ne zajema </w:t>
      </w:r>
      <w:r w:rsidR="00864182">
        <w:rPr>
          <w:rFonts w:ascii="Arial" w:hAnsi="Arial" w:cs="Arial"/>
        </w:rPr>
        <w:t>zunanjih</w:t>
      </w:r>
      <w:r w:rsidR="00864182" w:rsidRPr="00900F8E">
        <w:rPr>
          <w:rFonts w:ascii="Arial" w:hAnsi="Arial" w:cs="Arial"/>
        </w:rPr>
        <w:t xml:space="preserve"> </w:t>
      </w:r>
      <w:r w:rsidRPr="00900F8E">
        <w:rPr>
          <w:rFonts w:ascii="Arial" w:hAnsi="Arial" w:cs="Arial"/>
        </w:rPr>
        <w:t>stroškov (na primer onesnaženja, povečanega prometa), kar do neke mere potrjujejo tudi podatki o prodaji električnih vozil v letu 2021;</w:t>
      </w:r>
    </w:p>
    <w:p w14:paraId="40925C04" w14:textId="451AC46B" w:rsidR="005C0812" w:rsidRPr="00900F8E" w:rsidRDefault="00887E24" w:rsidP="00A704C1">
      <w:pPr>
        <w:pStyle w:val="Odstavekseznama"/>
        <w:numPr>
          <w:ilvl w:val="0"/>
          <w:numId w:val="33"/>
        </w:numPr>
        <w:spacing w:after="0" w:line="240" w:lineRule="auto"/>
        <w:jc w:val="both"/>
        <w:rPr>
          <w:rFonts w:ascii="Arial" w:hAnsi="Arial" w:cs="Arial"/>
        </w:rPr>
      </w:pPr>
      <w:r w:rsidRPr="00900F8E">
        <w:rPr>
          <w:rFonts w:ascii="Arial" w:hAnsi="Arial" w:cs="Arial"/>
        </w:rPr>
        <w:t>v skladu z Uredbo (EU) 2020/740 Evropskega parlamenta in Sveta o označevanju pnevmatik glede na izkoristek goriva in druge parametre, spremembi Uredbe (EU) 2017/1369 ter razveljavitvi Uredbe (ES) št. 1222/2009 (UL št. 177 z dne 5.</w:t>
      </w:r>
      <w:r w:rsidR="001960AF">
        <w:rPr>
          <w:rFonts w:ascii="Arial" w:hAnsi="Arial" w:cs="Arial"/>
        </w:rPr>
        <w:t> </w:t>
      </w:r>
      <w:r w:rsidRPr="00900F8E">
        <w:rPr>
          <w:rFonts w:ascii="Arial" w:hAnsi="Arial" w:cs="Arial"/>
        </w:rPr>
        <w:t>6.</w:t>
      </w:r>
      <w:r w:rsidR="001960AF">
        <w:rPr>
          <w:rFonts w:ascii="Arial" w:hAnsi="Arial" w:cs="Arial"/>
        </w:rPr>
        <w:t> </w:t>
      </w:r>
      <w:r w:rsidRPr="00900F8E">
        <w:rPr>
          <w:rFonts w:ascii="Arial" w:hAnsi="Arial" w:cs="Arial"/>
        </w:rPr>
        <w:t>2020, str. 1) se je spremenil način označevanja pnevmatik</w:t>
      </w:r>
      <w:r w:rsidR="005C0812" w:rsidRPr="00900F8E">
        <w:rPr>
          <w:rFonts w:ascii="Arial" w:hAnsi="Arial" w:cs="Arial"/>
        </w:rPr>
        <w:t>;</w:t>
      </w:r>
    </w:p>
    <w:p w14:paraId="01604AF7" w14:textId="0CF61AC9" w:rsidR="0024765C" w:rsidRPr="00900F8E" w:rsidRDefault="00C55D2A" w:rsidP="007A4123">
      <w:pPr>
        <w:pStyle w:val="Odstavekseznama"/>
        <w:numPr>
          <w:ilvl w:val="0"/>
          <w:numId w:val="33"/>
        </w:numPr>
        <w:spacing w:after="0" w:line="240" w:lineRule="auto"/>
        <w:jc w:val="both"/>
        <w:rPr>
          <w:rFonts w:ascii="Arial" w:hAnsi="Arial" w:cs="Arial"/>
        </w:rPr>
      </w:pPr>
      <w:r w:rsidRPr="00900F8E">
        <w:rPr>
          <w:rFonts w:ascii="Arial" w:hAnsi="Arial" w:cs="Arial"/>
        </w:rPr>
        <w:t>v</w:t>
      </w:r>
      <w:r w:rsidR="007A4123" w:rsidRPr="00900F8E">
        <w:rPr>
          <w:rFonts w:ascii="Arial" w:hAnsi="Arial" w:cs="Arial"/>
        </w:rPr>
        <w:t xml:space="preserve"> okviru </w:t>
      </w:r>
      <w:r w:rsidR="009B1AF1">
        <w:rPr>
          <w:rFonts w:ascii="Arial" w:hAnsi="Arial" w:cs="Arial"/>
        </w:rPr>
        <w:t xml:space="preserve">projekta </w:t>
      </w:r>
      <w:proofErr w:type="spellStart"/>
      <w:r w:rsidR="007A4123" w:rsidRPr="00E615AF">
        <w:rPr>
          <w:rFonts w:ascii="Arial" w:hAnsi="Arial" w:cs="Arial"/>
          <w:i/>
        </w:rPr>
        <w:t>Danube</w:t>
      </w:r>
      <w:proofErr w:type="spellEnd"/>
      <w:r w:rsidR="007A4123" w:rsidRPr="00E615AF">
        <w:rPr>
          <w:rFonts w:ascii="Arial" w:hAnsi="Arial" w:cs="Arial"/>
          <w:i/>
        </w:rPr>
        <w:t xml:space="preserve"> </w:t>
      </w:r>
      <w:proofErr w:type="spellStart"/>
      <w:r w:rsidR="007A4123" w:rsidRPr="00E615AF">
        <w:rPr>
          <w:rFonts w:ascii="Arial" w:hAnsi="Arial" w:cs="Arial"/>
          <w:i/>
        </w:rPr>
        <w:t>Cycle</w:t>
      </w:r>
      <w:proofErr w:type="spellEnd"/>
      <w:r w:rsidR="007A4123" w:rsidRPr="00E615AF">
        <w:rPr>
          <w:rFonts w:ascii="Arial" w:hAnsi="Arial" w:cs="Arial"/>
          <w:i/>
        </w:rPr>
        <w:t xml:space="preserve"> </w:t>
      </w:r>
      <w:proofErr w:type="spellStart"/>
      <w:r w:rsidR="007A4123" w:rsidRPr="00E615AF">
        <w:rPr>
          <w:rFonts w:ascii="Arial" w:hAnsi="Arial" w:cs="Arial"/>
          <w:i/>
        </w:rPr>
        <w:t>Plans</w:t>
      </w:r>
      <w:proofErr w:type="spellEnd"/>
      <w:r w:rsidR="007A4123" w:rsidRPr="00900F8E">
        <w:rPr>
          <w:rFonts w:ascii="Arial" w:hAnsi="Arial" w:cs="Arial"/>
        </w:rPr>
        <w:t xml:space="preserve"> (2020</w:t>
      </w:r>
      <w:r w:rsidR="009B1AF1">
        <w:rPr>
          <w:rFonts w:ascii="Arial" w:hAnsi="Arial" w:cs="Arial"/>
        </w:rPr>
        <w:t>–</w:t>
      </w:r>
      <w:r w:rsidR="007A4123" w:rsidRPr="00900F8E">
        <w:rPr>
          <w:rFonts w:ascii="Arial" w:hAnsi="Arial" w:cs="Arial"/>
        </w:rPr>
        <w:t xml:space="preserve">2022) so na MzI </w:t>
      </w:r>
      <w:r w:rsidR="008177E8">
        <w:rPr>
          <w:rFonts w:ascii="Arial" w:hAnsi="Arial" w:cs="Arial"/>
        </w:rPr>
        <w:t>končali</w:t>
      </w:r>
      <w:r w:rsidR="008177E8" w:rsidRPr="00900F8E">
        <w:rPr>
          <w:rFonts w:ascii="Arial" w:hAnsi="Arial" w:cs="Arial"/>
        </w:rPr>
        <w:t xml:space="preserve"> </w:t>
      </w:r>
      <w:r w:rsidR="008177E8">
        <w:rPr>
          <w:rFonts w:ascii="Arial" w:hAnsi="Arial" w:cs="Arial"/>
        </w:rPr>
        <w:t>a</w:t>
      </w:r>
      <w:r w:rsidR="007A4123" w:rsidRPr="00900F8E">
        <w:rPr>
          <w:rFonts w:ascii="Arial" w:hAnsi="Arial" w:cs="Arial"/>
        </w:rPr>
        <w:t>nalizo trenutnega stanja kolesarstva in z njo dali pregled kolesarskih politik v Sloveniji, odgovornosti različnih deležnikov na področju kolesarjenja, prikazali statistične podatke o kolesarjenju in povezavi kolesarjenja z uporabo javnega potniškega prometa. Pregledali so vire na področju kolesarjenja, predvsem kar se tiče proračuna za kolesarjenje in zaposlenih na področju kolesarjenja, preučili povezanost kolesarjenja s turizmom, način</w:t>
      </w:r>
      <w:r w:rsidR="0024765C" w:rsidRPr="00900F8E">
        <w:rPr>
          <w:rFonts w:ascii="Arial" w:hAnsi="Arial" w:cs="Arial"/>
        </w:rPr>
        <w:t>e</w:t>
      </w:r>
      <w:r w:rsidR="007A4123" w:rsidRPr="00900F8E">
        <w:rPr>
          <w:rFonts w:ascii="Arial" w:hAnsi="Arial" w:cs="Arial"/>
        </w:rPr>
        <w:t xml:space="preserve"> pospeševanja kolesarjenja in navedli nekaj dobrih praks s področja promocije kolesarjenja. Izdelana je bila tudi </w:t>
      </w:r>
      <w:r w:rsidR="004B450D">
        <w:rPr>
          <w:rFonts w:ascii="Arial" w:hAnsi="Arial" w:cs="Arial"/>
        </w:rPr>
        <w:t xml:space="preserve">ocena </w:t>
      </w:r>
      <w:r w:rsidR="007A4123" w:rsidRPr="00900F8E">
        <w:rPr>
          <w:rFonts w:ascii="Arial" w:hAnsi="Arial" w:cs="Arial"/>
        </w:rPr>
        <w:t>BYPAD kolesarskih politik za nacionalno raven</w:t>
      </w:r>
      <w:r w:rsidR="0024765C" w:rsidRPr="00900F8E">
        <w:rPr>
          <w:rFonts w:ascii="Arial" w:hAnsi="Arial" w:cs="Arial"/>
        </w:rPr>
        <w:t>;</w:t>
      </w:r>
    </w:p>
    <w:p w14:paraId="6BBFB03E" w14:textId="1A210F7C" w:rsidR="0024765C" w:rsidRPr="00900F8E" w:rsidRDefault="0024765C" w:rsidP="00640804">
      <w:pPr>
        <w:pStyle w:val="Odstavekseznama"/>
        <w:numPr>
          <w:ilvl w:val="0"/>
          <w:numId w:val="33"/>
        </w:numPr>
        <w:spacing w:after="0" w:line="240" w:lineRule="auto"/>
        <w:jc w:val="both"/>
        <w:rPr>
          <w:rFonts w:ascii="Arial" w:hAnsi="Arial" w:cs="Arial"/>
        </w:rPr>
      </w:pPr>
      <w:r w:rsidRPr="00900F8E">
        <w:rPr>
          <w:rFonts w:ascii="Arial" w:hAnsi="Arial" w:cs="Arial"/>
        </w:rPr>
        <w:t>pripravljene so bile</w:t>
      </w:r>
      <w:r w:rsidR="007A4123" w:rsidRPr="00900F8E">
        <w:rPr>
          <w:rFonts w:ascii="Arial" w:hAnsi="Arial" w:cs="Arial"/>
        </w:rPr>
        <w:t xml:space="preserve"> Smernice za opredelitev nacionalnega kolesarskega omrežja </w:t>
      </w:r>
      <w:r w:rsidR="007A4123" w:rsidRPr="00E615AF">
        <w:rPr>
          <w:rFonts w:ascii="Arial" w:hAnsi="Arial" w:cs="Arial"/>
          <w:i/>
        </w:rPr>
        <w:t>(</w:t>
      </w:r>
      <w:proofErr w:type="spellStart"/>
      <w:r w:rsidR="007A4123" w:rsidRPr="00E615AF">
        <w:rPr>
          <w:rFonts w:ascii="Arial" w:hAnsi="Arial" w:cs="Arial"/>
          <w:i/>
        </w:rPr>
        <w:t>Guidelines</w:t>
      </w:r>
      <w:proofErr w:type="spellEnd"/>
      <w:r w:rsidR="007A4123" w:rsidRPr="00E615AF">
        <w:rPr>
          <w:rFonts w:ascii="Arial" w:hAnsi="Arial" w:cs="Arial"/>
          <w:i/>
        </w:rPr>
        <w:t xml:space="preserve"> to </w:t>
      </w:r>
      <w:proofErr w:type="spellStart"/>
      <w:r w:rsidR="007A4123" w:rsidRPr="00E615AF">
        <w:rPr>
          <w:rFonts w:ascii="Arial" w:hAnsi="Arial" w:cs="Arial"/>
          <w:i/>
        </w:rPr>
        <w:t>define</w:t>
      </w:r>
      <w:proofErr w:type="spellEnd"/>
      <w:r w:rsidR="007A4123" w:rsidRPr="00E615AF">
        <w:rPr>
          <w:rFonts w:ascii="Arial" w:hAnsi="Arial" w:cs="Arial"/>
          <w:i/>
        </w:rPr>
        <w:t xml:space="preserve"> </w:t>
      </w:r>
      <w:proofErr w:type="spellStart"/>
      <w:r w:rsidR="00256A38" w:rsidRPr="00E615AF">
        <w:rPr>
          <w:rFonts w:ascii="Arial" w:hAnsi="Arial" w:cs="Arial"/>
          <w:i/>
        </w:rPr>
        <w:t>N</w:t>
      </w:r>
      <w:r w:rsidR="007A4123" w:rsidRPr="00E615AF">
        <w:rPr>
          <w:rFonts w:ascii="Arial" w:hAnsi="Arial" w:cs="Arial"/>
          <w:i/>
        </w:rPr>
        <w:t>ational</w:t>
      </w:r>
      <w:proofErr w:type="spellEnd"/>
      <w:r w:rsidR="007A4123" w:rsidRPr="00E615AF">
        <w:rPr>
          <w:rFonts w:ascii="Arial" w:hAnsi="Arial" w:cs="Arial"/>
          <w:i/>
        </w:rPr>
        <w:t xml:space="preserve"> </w:t>
      </w:r>
      <w:proofErr w:type="spellStart"/>
      <w:r w:rsidR="00256A38" w:rsidRPr="00E615AF">
        <w:rPr>
          <w:rFonts w:ascii="Arial" w:hAnsi="Arial" w:cs="Arial"/>
          <w:i/>
        </w:rPr>
        <w:t>C</w:t>
      </w:r>
      <w:r w:rsidR="007A4123" w:rsidRPr="00E615AF">
        <w:rPr>
          <w:rFonts w:ascii="Arial" w:hAnsi="Arial" w:cs="Arial"/>
          <w:i/>
        </w:rPr>
        <w:t>ycle</w:t>
      </w:r>
      <w:proofErr w:type="spellEnd"/>
      <w:r w:rsidR="007A4123" w:rsidRPr="00E615AF">
        <w:rPr>
          <w:rFonts w:ascii="Arial" w:hAnsi="Arial" w:cs="Arial"/>
          <w:i/>
        </w:rPr>
        <w:t xml:space="preserve"> </w:t>
      </w:r>
      <w:proofErr w:type="spellStart"/>
      <w:r w:rsidR="00256A38" w:rsidRPr="00E615AF">
        <w:rPr>
          <w:rFonts w:ascii="Arial" w:hAnsi="Arial" w:cs="Arial"/>
          <w:i/>
        </w:rPr>
        <w:t>R</w:t>
      </w:r>
      <w:r w:rsidR="007A4123" w:rsidRPr="00E615AF">
        <w:rPr>
          <w:rFonts w:ascii="Arial" w:hAnsi="Arial" w:cs="Arial"/>
          <w:i/>
        </w:rPr>
        <w:t>oute</w:t>
      </w:r>
      <w:proofErr w:type="spellEnd"/>
      <w:r w:rsidR="007A4123" w:rsidRPr="00E615AF">
        <w:rPr>
          <w:rFonts w:ascii="Arial" w:hAnsi="Arial" w:cs="Arial"/>
          <w:i/>
        </w:rPr>
        <w:t xml:space="preserve"> </w:t>
      </w:r>
      <w:proofErr w:type="spellStart"/>
      <w:r w:rsidR="00256A38" w:rsidRPr="00E615AF">
        <w:rPr>
          <w:rFonts w:ascii="Arial" w:hAnsi="Arial" w:cs="Arial"/>
          <w:i/>
        </w:rPr>
        <w:t>N</w:t>
      </w:r>
      <w:r w:rsidR="007A4123" w:rsidRPr="00E615AF">
        <w:rPr>
          <w:rFonts w:ascii="Arial" w:hAnsi="Arial" w:cs="Arial"/>
          <w:i/>
        </w:rPr>
        <w:t>etwork</w:t>
      </w:r>
      <w:proofErr w:type="spellEnd"/>
      <w:r w:rsidR="007A4123" w:rsidRPr="00E615AF">
        <w:rPr>
          <w:rFonts w:ascii="Arial" w:hAnsi="Arial" w:cs="Arial"/>
          <w:i/>
        </w:rPr>
        <w:t>)</w:t>
      </w:r>
      <w:r w:rsidR="007A4123" w:rsidRPr="00900F8E">
        <w:rPr>
          <w:rFonts w:ascii="Arial" w:hAnsi="Arial" w:cs="Arial"/>
        </w:rPr>
        <w:t>, ki bo</w:t>
      </w:r>
      <w:r w:rsidRPr="00900F8E">
        <w:rPr>
          <w:rFonts w:ascii="Arial" w:hAnsi="Arial" w:cs="Arial"/>
        </w:rPr>
        <w:t>do</w:t>
      </w:r>
      <w:r w:rsidR="007A4123" w:rsidRPr="00900F8E">
        <w:rPr>
          <w:rFonts w:ascii="Arial" w:hAnsi="Arial" w:cs="Arial"/>
        </w:rPr>
        <w:t xml:space="preserve"> </w:t>
      </w:r>
      <w:r w:rsidR="006A31F0">
        <w:rPr>
          <w:rFonts w:ascii="Arial" w:hAnsi="Arial" w:cs="Arial"/>
        </w:rPr>
        <w:t>pre</w:t>
      </w:r>
      <w:r w:rsidR="007A4123" w:rsidRPr="00900F8E">
        <w:rPr>
          <w:rFonts w:ascii="Arial" w:hAnsi="Arial" w:cs="Arial"/>
        </w:rPr>
        <w:t xml:space="preserve">ostale partnerje projekta in druge zainteresirane deležnike vodile skozi faze priprave, razvoja, sprejemanja in </w:t>
      </w:r>
      <w:r w:rsidR="006A31F0">
        <w:rPr>
          <w:rFonts w:ascii="Arial" w:hAnsi="Arial" w:cs="Arial"/>
        </w:rPr>
        <w:t>izvajanja</w:t>
      </w:r>
      <w:r w:rsidR="006A31F0" w:rsidRPr="00900F8E">
        <w:rPr>
          <w:rFonts w:ascii="Arial" w:hAnsi="Arial" w:cs="Arial"/>
        </w:rPr>
        <w:t xml:space="preserve"> </w:t>
      </w:r>
      <w:r w:rsidR="007A4123" w:rsidRPr="00900F8E">
        <w:rPr>
          <w:rFonts w:ascii="Arial" w:hAnsi="Arial" w:cs="Arial"/>
        </w:rPr>
        <w:t xml:space="preserve">njihovega </w:t>
      </w:r>
      <w:r w:rsidR="006A31F0">
        <w:rPr>
          <w:rFonts w:ascii="Arial" w:hAnsi="Arial" w:cs="Arial"/>
        </w:rPr>
        <w:t>n</w:t>
      </w:r>
      <w:r w:rsidR="007A4123" w:rsidRPr="00900F8E">
        <w:rPr>
          <w:rFonts w:ascii="Arial" w:hAnsi="Arial" w:cs="Arial"/>
        </w:rPr>
        <w:t>acionalnega kolesarskega omrežja</w:t>
      </w:r>
      <w:r w:rsidRPr="00900F8E">
        <w:rPr>
          <w:rFonts w:ascii="Arial" w:hAnsi="Arial" w:cs="Arial"/>
        </w:rPr>
        <w:t>;</w:t>
      </w:r>
    </w:p>
    <w:p w14:paraId="0D7FC2AF" w14:textId="7D88D01F" w:rsidR="0024765C" w:rsidRPr="00900F8E" w:rsidRDefault="007A4123" w:rsidP="00640804">
      <w:pPr>
        <w:pStyle w:val="Odstavekseznama"/>
        <w:numPr>
          <w:ilvl w:val="0"/>
          <w:numId w:val="33"/>
        </w:numPr>
        <w:spacing w:after="0" w:line="240" w:lineRule="auto"/>
        <w:jc w:val="both"/>
        <w:rPr>
          <w:rFonts w:ascii="Arial" w:hAnsi="Arial" w:cs="Arial"/>
        </w:rPr>
      </w:pPr>
      <w:r w:rsidRPr="00900F8E">
        <w:rPr>
          <w:rFonts w:ascii="Arial" w:hAnsi="Arial" w:cs="Arial"/>
        </w:rPr>
        <w:t>Združenje mestnih občin Slovenije (ZMOS) je v letih 2019</w:t>
      </w:r>
      <w:r w:rsidR="004B450D">
        <w:rPr>
          <w:rFonts w:ascii="Arial" w:hAnsi="Arial" w:cs="Arial"/>
        </w:rPr>
        <w:t>–</w:t>
      </w:r>
      <w:r w:rsidRPr="00900F8E">
        <w:rPr>
          <w:rFonts w:ascii="Arial" w:hAnsi="Arial" w:cs="Arial"/>
        </w:rPr>
        <w:t xml:space="preserve">2021 objavilo dve povabili za sofinanciranje s sredstvi </w:t>
      </w:r>
      <w:r w:rsidR="0024765C" w:rsidRPr="00900F8E">
        <w:rPr>
          <w:rFonts w:ascii="Arial" w:hAnsi="Arial" w:cs="Arial"/>
        </w:rPr>
        <w:t>Evropskega sklada za regionalni razvoj (</w:t>
      </w:r>
      <w:r w:rsidRPr="00900F8E">
        <w:rPr>
          <w:rFonts w:ascii="Arial" w:hAnsi="Arial" w:cs="Arial"/>
        </w:rPr>
        <w:t>ESRR</w:t>
      </w:r>
      <w:r w:rsidR="0024765C" w:rsidRPr="00900F8E">
        <w:rPr>
          <w:rFonts w:ascii="Arial" w:hAnsi="Arial" w:cs="Arial"/>
        </w:rPr>
        <w:t>)</w:t>
      </w:r>
      <w:r w:rsidRPr="00900F8E">
        <w:rPr>
          <w:rFonts w:ascii="Arial" w:hAnsi="Arial" w:cs="Arial"/>
        </w:rPr>
        <w:t xml:space="preserve"> oziroma K</w:t>
      </w:r>
      <w:r w:rsidR="0024765C" w:rsidRPr="00900F8E">
        <w:rPr>
          <w:rFonts w:ascii="Arial" w:hAnsi="Arial" w:cs="Arial"/>
        </w:rPr>
        <w:t>ohezijskega sklada</w:t>
      </w:r>
      <w:r w:rsidRPr="00900F8E">
        <w:rPr>
          <w:rFonts w:ascii="Arial" w:hAnsi="Arial" w:cs="Arial"/>
        </w:rPr>
        <w:t xml:space="preserve">. </w:t>
      </w:r>
      <w:r w:rsidR="0024765C" w:rsidRPr="00900F8E">
        <w:rPr>
          <w:rFonts w:ascii="Arial" w:hAnsi="Arial" w:cs="Arial"/>
        </w:rPr>
        <w:t>P</w:t>
      </w:r>
      <w:r w:rsidRPr="00900F8E">
        <w:rPr>
          <w:rFonts w:ascii="Arial" w:hAnsi="Arial" w:cs="Arial"/>
        </w:rPr>
        <w:t>otrjeni</w:t>
      </w:r>
      <w:r w:rsidR="0024765C" w:rsidRPr="00900F8E">
        <w:rPr>
          <w:rFonts w:ascii="Arial" w:hAnsi="Arial" w:cs="Arial"/>
        </w:rPr>
        <w:t xml:space="preserve"> so bili</w:t>
      </w:r>
      <w:r w:rsidRPr="00900F8E">
        <w:rPr>
          <w:rFonts w:ascii="Arial" w:hAnsi="Arial" w:cs="Arial"/>
        </w:rPr>
        <w:t xml:space="preserve"> oz</w:t>
      </w:r>
      <w:r w:rsidR="006A31F0">
        <w:rPr>
          <w:rFonts w:ascii="Arial" w:hAnsi="Arial" w:cs="Arial"/>
        </w:rPr>
        <w:t>iroma</w:t>
      </w:r>
      <w:r w:rsidRPr="00900F8E">
        <w:rPr>
          <w:rFonts w:ascii="Arial" w:hAnsi="Arial" w:cs="Arial"/>
        </w:rPr>
        <w:t xml:space="preserve"> izvaja</w:t>
      </w:r>
      <w:r w:rsidR="006A31F0">
        <w:rPr>
          <w:rFonts w:ascii="Arial" w:hAnsi="Arial" w:cs="Arial"/>
        </w:rPr>
        <w:t>jo se</w:t>
      </w:r>
      <w:r w:rsidRPr="00900F8E">
        <w:rPr>
          <w:rFonts w:ascii="Arial" w:hAnsi="Arial" w:cs="Arial"/>
        </w:rPr>
        <w:t xml:space="preserve"> naslednji kolesarski </w:t>
      </w:r>
      <w:r w:rsidR="00B31AAD" w:rsidRPr="00900F8E">
        <w:rPr>
          <w:rFonts w:ascii="Arial" w:hAnsi="Arial" w:cs="Arial"/>
        </w:rPr>
        <w:t xml:space="preserve">in infrastrukturni </w:t>
      </w:r>
      <w:r w:rsidRPr="00900F8E">
        <w:rPr>
          <w:rFonts w:ascii="Arial" w:hAnsi="Arial" w:cs="Arial"/>
        </w:rPr>
        <w:t>projekti</w:t>
      </w:r>
      <w:r w:rsidR="00B31AAD" w:rsidRPr="00900F8E">
        <w:rPr>
          <w:rFonts w:ascii="Arial" w:hAnsi="Arial" w:cs="Arial"/>
        </w:rPr>
        <w:t xml:space="preserve"> za peš</w:t>
      </w:r>
      <w:r w:rsidR="00E87999">
        <w:rPr>
          <w:rFonts w:ascii="Arial" w:hAnsi="Arial" w:cs="Arial"/>
        </w:rPr>
        <w:t>c</w:t>
      </w:r>
      <w:r w:rsidR="00B31AAD" w:rsidRPr="00900F8E">
        <w:rPr>
          <w:rFonts w:ascii="Arial" w:hAnsi="Arial" w:cs="Arial"/>
        </w:rPr>
        <w:t>e</w:t>
      </w:r>
      <w:r w:rsidRPr="00900F8E">
        <w:rPr>
          <w:rFonts w:ascii="Arial" w:hAnsi="Arial" w:cs="Arial"/>
        </w:rPr>
        <w:t>:</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Nova Gorica – </w:t>
      </w:r>
      <w:r w:rsidR="006A31F0">
        <w:rPr>
          <w:rFonts w:ascii="Arial" w:hAnsi="Arial" w:cs="Arial"/>
        </w:rPr>
        <w:t>v</w:t>
      </w:r>
      <w:r w:rsidRPr="00900F8E">
        <w:rPr>
          <w:rFonts w:ascii="Arial" w:hAnsi="Arial" w:cs="Arial"/>
        </w:rPr>
        <w:t>zpostavljanje povezanega kolesarskega omrežja Nove Gorice</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Celje – </w:t>
      </w:r>
      <w:r w:rsidR="006A31F0">
        <w:rPr>
          <w:rFonts w:ascii="Arial" w:hAnsi="Arial" w:cs="Arial"/>
        </w:rPr>
        <w:t>u</w:t>
      </w:r>
      <w:r w:rsidRPr="00900F8E">
        <w:rPr>
          <w:rFonts w:ascii="Arial" w:hAnsi="Arial" w:cs="Arial"/>
        </w:rPr>
        <w:t xml:space="preserve">reditev mreže kolesarskih povezav v </w:t>
      </w:r>
      <w:r w:rsidR="000F613B">
        <w:rPr>
          <w:rFonts w:ascii="Arial" w:hAnsi="Arial" w:cs="Arial"/>
        </w:rPr>
        <w:t>m</w:t>
      </w:r>
      <w:r w:rsidRPr="00900F8E">
        <w:rPr>
          <w:rFonts w:ascii="Arial" w:hAnsi="Arial" w:cs="Arial"/>
        </w:rPr>
        <w:t>estni občini Celje</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Novo </w:t>
      </w:r>
      <w:r w:rsidR="009B1AF1">
        <w:rPr>
          <w:rFonts w:ascii="Arial" w:hAnsi="Arial" w:cs="Arial"/>
        </w:rPr>
        <w:t>m</w:t>
      </w:r>
      <w:r w:rsidRPr="00900F8E">
        <w:rPr>
          <w:rFonts w:ascii="Arial" w:hAnsi="Arial" w:cs="Arial"/>
        </w:rPr>
        <w:t xml:space="preserve">esto – </w:t>
      </w:r>
      <w:r w:rsidR="006A31F0">
        <w:rPr>
          <w:rFonts w:ascii="Arial" w:hAnsi="Arial" w:cs="Arial"/>
        </w:rPr>
        <w:t>b</w:t>
      </w:r>
      <w:r w:rsidRPr="00900F8E">
        <w:rPr>
          <w:rFonts w:ascii="Arial" w:hAnsi="Arial" w:cs="Arial"/>
        </w:rPr>
        <w:t>rv in kolesarska pot Loka–</w:t>
      </w:r>
      <w:proofErr w:type="spellStart"/>
      <w:r w:rsidRPr="00900F8E">
        <w:rPr>
          <w:rFonts w:ascii="Arial" w:hAnsi="Arial" w:cs="Arial"/>
        </w:rPr>
        <w:t>Kandija</w:t>
      </w:r>
      <w:proofErr w:type="spellEnd"/>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Novo </w:t>
      </w:r>
      <w:r w:rsidR="009B1AF1">
        <w:rPr>
          <w:rFonts w:ascii="Arial" w:hAnsi="Arial" w:cs="Arial"/>
        </w:rPr>
        <w:t>m</w:t>
      </w:r>
      <w:r w:rsidRPr="00900F8E">
        <w:rPr>
          <w:rFonts w:ascii="Arial" w:hAnsi="Arial" w:cs="Arial"/>
        </w:rPr>
        <w:t xml:space="preserve">esto – </w:t>
      </w:r>
      <w:r w:rsidR="006A31F0">
        <w:rPr>
          <w:rFonts w:ascii="Arial" w:hAnsi="Arial" w:cs="Arial"/>
        </w:rPr>
        <w:t>k</w:t>
      </w:r>
      <w:r w:rsidRPr="00900F8E">
        <w:rPr>
          <w:rFonts w:ascii="Arial" w:hAnsi="Arial" w:cs="Arial"/>
        </w:rPr>
        <w:t>olesarska povezava Drska–Bršljin</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Maribor – </w:t>
      </w:r>
      <w:r w:rsidR="006A31F0">
        <w:rPr>
          <w:rFonts w:ascii="Arial" w:hAnsi="Arial" w:cs="Arial"/>
        </w:rPr>
        <w:t>d</w:t>
      </w:r>
      <w:r w:rsidRPr="00900F8E">
        <w:rPr>
          <w:rFonts w:ascii="Arial" w:hAnsi="Arial" w:cs="Arial"/>
        </w:rPr>
        <w:t>ravska kolesarska pot: Adamičevo naselje – dvoetažni most – 1. etapa</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Kranj – </w:t>
      </w:r>
      <w:r w:rsidR="006A31F0">
        <w:rPr>
          <w:rFonts w:ascii="Arial" w:hAnsi="Arial" w:cs="Arial"/>
        </w:rPr>
        <w:t>u</w:t>
      </w:r>
      <w:r w:rsidRPr="00900F8E">
        <w:rPr>
          <w:rFonts w:ascii="Arial" w:hAnsi="Arial" w:cs="Arial"/>
        </w:rPr>
        <w:t>reditev površin za pešce in kolesarje med Gosposvetsko ulico in Bleiweisovo cesto</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Murska Sobota – </w:t>
      </w:r>
      <w:r w:rsidR="006A31F0">
        <w:rPr>
          <w:rFonts w:ascii="Arial" w:hAnsi="Arial" w:cs="Arial"/>
        </w:rPr>
        <w:t>u</w:t>
      </w:r>
      <w:r w:rsidRPr="00900F8E">
        <w:rPr>
          <w:rFonts w:ascii="Arial" w:hAnsi="Arial" w:cs="Arial"/>
        </w:rPr>
        <w:t>rejanje kolesarskih povezav – 1. faza</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Murska Sobota – </w:t>
      </w:r>
      <w:r w:rsidR="006A31F0">
        <w:rPr>
          <w:rFonts w:ascii="Arial" w:hAnsi="Arial" w:cs="Arial"/>
        </w:rPr>
        <w:t>u</w:t>
      </w:r>
      <w:r w:rsidRPr="00900F8E">
        <w:rPr>
          <w:rFonts w:ascii="Arial" w:hAnsi="Arial" w:cs="Arial"/>
        </w:rPr>
        <w:t>rejanje kolesarskih povezav – 2. faza</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Ljubljana – </w:t>
      </w:r>
      <w:r w:rsidR="006A31F0">
        <w:rPr>
          <w:rFonts w:ascii="Arial" w:hAnsi="Arial" w:cs="Arial"/>
        </w:rPr>
        <w:t>u</w:t>
      </w:r>
      <w:r w:rsidRPr="00900F8E">
        <w:rPr>
          <w:rFonts w:ascii="Arial" w:hAnsi="Arial" w:cs="Arial"/>
        </w:rPr>
        <w:t>reditev kolesarske mreže v MOL: Tržaška cesta</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Novo </w:t>
      </w:r>
      <w:r w:rsidR="009B1AF1">
        <w:rPr>
          <w:rFonts w:ascii="Arial" w:hAnsi="Arial" w:cs="Arial"/>
        </w:rPr>
        <w:t>m</w:t>
      </w:r>
      <w:r w:rsidRPr="00900F8E">
        <w:rPr>
          <w:rFonts w:ascii="Arial" w:hAnsi="Arial" w:cs="Arial"/>
        </w:rPr>
        <w:t xml:space="preserve">esto – </w:t>
      </w:r>
      <w:r w:rsidR="006A31F0">
        <w:rPr>
          <w:rFonts w:ascii="Arial" w:hAnsi="Arial" w:cs="Arial"/>
        </w:rPr>
        <w:t>b</w:t>
      </w:r>
      <w:r w:rsidRPr="00900F8E">
        <w:rPr>
          <w:rFonts w:ascii="Arial" w:hAnsi="Arial" w:cs="Arial"/>
        </w:rPr>
        <w:t xml:space="preserve">rv in kolesarska pot </w:t>
      </w:r>
      <w:proofErr w:type="spellStart"/>
      <w:r w:rsidRPr="00900F8E">
        <w:rPr>
          <w:rFonts w:ascii="Arial" w:hAnsi="Arial" w:cs="Arial"/>
        </w:rPr>
        <w:t>Irča</w:t>
      </w:r>
      <w:proofErr w:type="spellEnd"/>
      <w:r w:rsidRPr="00900F8E">
        <w:rPr>
          <w:rFonts w:ascii="Arial" w:hAnsi="Arial" w:cs="Arial"/>
        </w:rPr>
        <w:t xml:space="preserve"> vas</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Slovenj Gradec – </w:t>
      </w:r>
      <w:r w:rsidR="006A31F0">
        <w:rPr>
          <w:rFonts w:ascii="Arial" w:hAnsi="Arial" w:cs="Arial"/>
        </w:rPr>
        <w:t>u</w:t>
      </w:r>
      <w:r w:rsidRPr="00900F8E">
        <w:rPr>
          <w:rFonts w:ascii="Arial" w:hAnsi="Arial" w:cs="Arial"/>
        </w:rPr>
        <w:t>reditev trajnostne mobilnosti v mestnem jedru</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Slovenj Gradec – </w:t>
      </w:r>
      <w:r w:rsidR="006A31F0">
        <w:rPr>
          <w:rFonts w:ascii="Arial" w:hAnsi="Arial" w:cs="Arial"/>
        </w:rPr>
        <w:t>t</w:t>
      </w:r>
      <w:r w:rsidRPr="00900F8E">
        <w:rPr>
          <w:rFonts w:ascii="Arial" w:hAnsi="Arial" w:cs="Arial"/>
        </w:rPr>
        <w:t>rajnostna mobilnost</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Kranj – </w:t>
      </w:r>
      <w:r w:rsidR="006A31F0">
        <w:rPr>
          <w:rFonts w:ascii="Arial" w:hAnsi="Arial" w:cs="Arial"/>
        </w:rPr>
        <w:t>k</w:t>
      </w:r>
      <w:r w:rsidRPr="00900F8E">
        <w:rPr>
          <w:rFonts w:ascii="Arial" w:hAnsi="Arial" w:cs="Arial"/>
        </w:rPr>
        <w:t>olesarska povezava 10: Športni park Kranj–</w:t>
      </w:r>
      <w:r w:rsidR="00DA140E">
        <w:rPr>
          <w:rFonts w:ascii="Arial" w:hAnsi="Arial" w:cs="Arial"/>
        </w:rPr>
        <w:t>a</w:t>
      </w:r>
      <w:r w:rsidRPr="00900F8E">
        <w:rPr>
          <w:rFonts w:ascii="Arial" w:hAnsi="Arial" w:cs="Arial"/>
        </w:rPr>
        <w:t>vtobusna postaja Kranj</w:t>
      </w:r>
      <w:r w:rsidR="0024765C" w:rsidRPr="00900F8E">
        <w:rPr>
          <w:rFonts w:ascii="Arial" w:hAnsi="Arial" w:cs="Arial"/>
        </w:rPr>
        <w:t xml:space="preserve">; </w:t>
      </w:r>
      <w:r w:rsidR="000F613B">
        <w:rPr>
          <w:rFonts w:ascii="Arial" w:hAnsi="Arial" w:cs="Arial"/>
        </w:rPr>
        <w:t>m</w:t>
      </w:r>
      <w:r w:rsidRPr="00900F8E">
        <w:rPr>
          <w:rFonts w:ascii="Arial" w:hAnsi="Arial" w:cs="Arial"/>
        </w:rPr>
        <w:t xml:space="preserve">estna občina Ptuj – </w:t>
      </w:r>
      <w:r w:rsidR="006A31F0">
        <w:rPr>
          <w:rFonts w:ascii="Arial" w:hAnsi="Arial" w:cs="Arial"/>
        </w:rPr>
        <w:t>u</w:t>
      </w:r>
      <w:r w:rsidRPr="00900F8E">
        <w:rPr>
          <w:rFonts w:ascii="Arial" w:hAnsi="Arial" w:cs="Arial"/>
        </w:rPr>
        <w:t>reditev površin za kolesarje na Rogozniški cesti</w:t>
      </w:r>
      <w:r w:rsidR="0024765C" w:rsidRPr="00900F8E">
        <w:rPr>
          <w:rFonts w:ascii="Arial" w:hAnsi="Arial" w:cs="Arial"/>
        </w:rPr>
        <w:t>;</w:t>
      </w:r>
    </w:p>
    <w:p w14:paraId="77BF2532" w14:textId="0D71F959" w:rsidR="00CB4CB5" w:rsidRPr="00900F8E" w:rsidRDefault="007A4123" w:rsidP="00640804">
      <w:pPr>
        <w:pStyle w:val="Odstavekseznama"/>
        <w:numPr>
          <w:ilvl w:val="0"/>
          <w:numId w:val="33"/>
        </w:numPr>
        <w:spacing w:after="0" w:line="240" w:lineRule="auto"/>
        <w:jc w:val="both"/>
        <w:rPr>
          <w:rFonts w:ascii="Arial" w:hAnsi="Arial" w:cs="Arial"/>
        </w:rPr>
      </w:pPr>
      <w:r w:rsidRPr="00900F8E">
        <w:rPr>
          <w:rFonts w:ascii="Arial" w:hAnsi="Arial" w:cs="Arial"/>
        </w:rPr>
        <w:t>objavljen</w:t>
      </w:r>
      <w:r w:rsidR="006A31F0">
        <w:rPr>
          <w:rFonts w:ascii="Arial" w:hAnsi="Arial" w:cs="Arial"/>
        </w:rPr>
        <w:t>a</w:t>
      </w:r>
      <w:r w:rsidR="0024765C" w:rsidRPr="00900F8E">
        <w:rPr>
          <w:rFonts w:ascii="Arial" w:hAnsi="Arial" w:cs="Arial"/>
        </w:rPr>
        <w:t xml:space="preserve"> sta bil</w:t>
      </w:r>
      <w:r w:rsidR="006A31F0">
        <w:rPr>
          <w:rFonts w:ascii="Arial" w:hAnsi="Arial" w:cs="Arial"/>
        </w:rPr>
        <w:t>a</w:t>
      </w:r>
      <w:r w:rsidRPr="00900F8E">
        <w:rPr>
          <w:rFonts w:ascii="Arial" w:hAnsi="Arial" w:cs="Arial"/>
        </w:rPr>
        <w:t xml:space="preserve"> tretje povabilo k predložitvi vlog za sofinanciranje operacij trajnostne mobilnosti z mehanizmom CTN s sredstvi ESRR in tretje povabilo k predložitvi vlog za sofinanciranje operacij trajnostne mobilnosti z mehanizmom CTN za sofinanciranje s sredstvi K</w:t>
      </w:r>
      <w:r w:rsidR="0024765C" w:rsidRPr="00900F8E">
        <w:rPr>
          <w:rFonts w:ascii="Arial" w:hAnsi="Arial" w:cs="Arial"/>
        </w:rPr>
        <w:t>ohezijskega sklada</w:t>
      </w:r>
      <w:r w:rsidRPr="00900F8E">
        <w:rPr>
          <w:rFonts w:ascii="Arial" w:hAnsi="Arial" w:cs="Arial"/>
        </w:rPr>
        <w:t xml:space="preserve">. Prek mehanizma CTN je vključenih 33 projektov, ki vključujejo gradnjo kolesarskih povezav s predvideno višino naložb 45,7 </w:t>
      </w:r>
      <w:r w:rsidR="00CB4CB5" w:rsidRPr="00900F8E">
        <w:rPr>
          <w:rFonts w:ascii="Arial" w:hAnsi="Arial" w:cs="Arial"/>
        </w:rPr>
        <w:t>milijona evrov, od česar je</w:t>
      </w:r>
      <w:r w:rsidRPr="00900F8E">
        <w:rPr>
          <w:rFonts w:ascii="Arial" w:hAnsi="Arial" w:cs="Arial"/>
        </w:rPr>
        <w:t xml:space="preserve"> sofinancira</w:t>
      </w:r>
      <w:r w:rsidR="00CB4CB5" w:rsidRPr="00900F8E">
        <w:rPr>
          <w:rFonts w:ascii="Arial" w:hAnsi="Arial" w:cs="Arial"/>
        </w:rPr>
        <w:t>nih</w:t>
      </w:r>
      <w:r w:rsidRPr="00900F8E">
        <w:rPr>
          <w:rFonts w:ascii="Arial" w:hAnsi="Arial" w:cs="Arial"/>
        </w:rPr>
        <w:t xml:space="preserve"> 20,9 </w:t>
      </w:r>
      <w:r w:rsidR="00CB4CB5" w:rsidRPr="00900F8E">
        <w:rPr>
          <w:rFonts w:ascii="Arial" w:hAnsi="Arial" w:cs="Arial"/>
        </w:rPr>
        <w:t>milijona evrov;</w:t>
      </w:r>
    </w:p>
    <w:p w14:paraId="6F26D820" w14:textId="3DB3D94C" w:rsidR="00D37466" w:rsidRPr="00900F8E" w:rsidRDefault="00D37466" w:rsidP="00D37466">
      <w:pPr>
        <w:pStyle w:val="Odstavekseznama"/>
        <w:numPr>
          <w:ilvl w:val="0"/>
          <w:numId w:val="33"/>
        </w:numPr>
        <w:spacing w:after="0" w:line="240" w:lineRule="auto"/>
        <w:jc w:val="both"/>
        <w:rPr>
          <w:rFonts w:ascii="Arial" w:hAnsi="Arial" w:cs="Arial"/>
        </w:rPr>
      </w:pPr>
      <w:r w:rsidRPr="00900F8E">
        <w:rPr>
          <w:rFonts w:ascii="Arial" w:hAnsi="Arial" w:cs="Arial"/>
        </w:rPr>
        <w:t xml:space="preserve">prek CTN je vključenih 24 projektov, ki vključujejo gradnjo infrastrukture za pešce s predvideno višino naložb 25,2 milijona evrov, od tega je sofinanciranih 5,1 milijona evrov. Na tretjem povabilu, kjer </w:t>
      </w:r>
      <w:r w:rsidR="006A31F0">
        <w:rPr>
          <w:rFonts w:ascii="Arial" w:hAnsi="Arial" w:cs="Arial"/>
        </w:rPr>
        <w:t>so</w:t>
      </w:r>
      <w:r w:rsidR="006A31F0" w:rsidRPr="00900F8E">
        <w:rPr>
          <w:rFonts w:ascii="Arial" w:hAnsi="Arial" w:cs="Arial"/>
        </w:rPr>
        <w:t xml:space="preserve"> </w:t>
      </w:r>
      <w:r w:rsidRPr="00900F8E">
        <w:rPr>
          <w:rFonts w:ascii="Arial" w:hAnsi="Arial" w:cs="Arial"/>
        </w:rPr>
        <w:t>zagotovljeni še dodatni 3 milijon</w:t>
      </w:r>
      <w:r w:rsidR="006A31F0">
        <w:rPr>
          <w:rFonts w:ascii="Arial" w:hAnsi="Arial" w:cs="Arial"/>
        </w:rPr>
        <w:t>i</w:t>
      </w:r>
      <w:r w:rsidRPr="00900F8E">
        <w:rPr>
          <w:rFonts w:ascii="Arial" w:hAnsi="Arial" w:cs="Arial"/>
        </w:rPr>
        <w:t xml:space="preserve"> evrov sofinanciranja, se pričakuje do 11 projektov mestnih občin, od tega jih bo </w:t>
      </w:r>
      <w:r w:rsidR="006A31F0">
        <w:rPr>
          <w:rFonts w:ascii="Arial" w:hAnsi="Arial" w:cs="Arial"/>
        </w:rPr>
        <w:t>šest</w:t>
      </w:r>
      <w:r w:rsidRPr="00900F8E">
        <w:rPr>
          <w:rFonts w:ascii="Arial" w:hAnsi="Arial" w:cs="Arial"/>
        </w:rPr>
        <w:t xml:space="preserve"> vključevalo tudi infrastrukturo za pešce;</w:t>
      </w:r>
    </w:p>
    <w:p w14:paraId="33CE0C27" w14:textId="2538E7A6" w:rsidR="00CB4CB5" w:rsidRPr="00900F8E" w:rsidRDefault="00CB4CB5" w:rsidP="007A4123">
      <w:pPr>
        <w:pStyle w:val="Odstavekseznama"/>
        <w:numPr>
          <w:ilvl w:val="0"/>
          <w:numId w:val="33"/>
        </w:numPr>
        <w:spacing w:after="0" w:line="240" w:lineRule="auto"/>
        <w:jc w:val="both"/>
        <w:rPr>
          <w:rFonts w:ascii="Arial" w:hAnsi="Arial" w:cs="Arial"/>
        </w:rPr>
      </w:pPr>
      <w:r w:rsidRPr="00900F8E">
        <w:rPr>
          <w:rFonts w:ascii="Arial" w:hAnsi="Arial" w:cs="Arial"/>
        </w:rPr>
        <w:lastRenderedPageBreak/>
        <w:t>v okviru</w:t>
      </w:r>
      <w:r w:rsidR="007A4123" w:rsidRPr="00900F8E">
        <w:rPr>
          <w:rFonts w:ascii="Arial" w:hAnsi="Arial" w:cs="Arial"/>
        </w:rPr>
        <w:t xml:space="preserve"> drug</w:t>
      </w:r>
      <w:r w:rsidRPr="00900F8E">
        <w:rPr>
          <w:rFonts w:ascii="Arial" w:hAnsi="Arial" w:cs="Arial"/>
        </w:rPr>
        <w:t>ega</w:t>
      </w:r>
      <w:r w:rsidR="007A4123" w:rsidRPr="00900F8E">
        <w:rPr>
          <w:rFonts w:ascii="Arial" w:hAnsi="Arial" w:cs="Arial"/>
        </w:rPr>
        <w:t xml:space="preserve"> povabil</w:t>
      </w:r>
      <w:r w:rsidRPr="00900F8E">
        <w:rPr>
          <w:rFonts w:ascii="Arial" w:hAnsi="Arial" w:cs="Arial"/>
        </w:rPr>
        <w:t>a</w:t>
      </w:r>
      <w:r w:rsidR="007A4123" w:rsidRPr="00900F8E">
        <w:rPr>
          <w:rFonts w:ascii="Arial" w:hAnsi="Arial" w:cs="Arial"/>
        </w:rPr>
        <w:t xml:space="preserve"> razvojnim svetom regij za dopolnitev dogovora za razvoj regije (</w:t>
      </w:r>
      <w:r w:rsidR="001C4DA4">
        <w:rPr>
          <w:rFonts w:ascii="Arial" w:hAnsi="Arial" w:cs="Arial"/>
        </w:rPr>
        <w:t xml:space="preserve">v </w:t>
      </w:r>
      <w:r w:rsidR="00930529">
        <w:rPr>
          <w:rFonts w:ascii="Arial" w:hAnsi="Arial" w:cs="Arial"/>
        </w:rPr>
        <w:t>nadaljnjem besedilu</w:t>
      </w:r>
      <w:r w:rsidR="001C4DA4">
        <w:rPr>
          <w:rFonts w:ascii="Arial" w:hAnsi="Arial" w:cs="Arial"/>
        </w:rPr>
        <w:t xml:space="preserve">: </w:t>
      </w:r>
      <w:r w:rsidR="007A4123" w:rsidRPr="00900F8E">
        <w:rPr>
          <w:rFonts w:ascii="Arial" w:hAnsi="Arial" w:cs="Arial"/>
        </w:rPr>
        <w:t>DRR), kjer so bila sredstva namenjena tudi gradnji regionalnih kolesarskih povezav za zagotavljanje trajnostne mobilnosti</w:t>
      </w:r>
      <w:r w:rsidRPr="00900F8E">
        <w:rPr>
          <w:rFonts w:ascii="Arial" w:hAnsi="Arial" w:cs="Arial"/>
        </w:rPr>
        <w:t>, je bilo do konca leta</w:t>
      </w:r>
      <w:r w:rsidR="007A4123" w:rsidRPr="00900F8E">
        <w:rPr>
          <w:rFonts w:ascii="Arial" w:hAnsi="Arial" w:cs="Arial"/>
        </w:rPr>
        <w:t xml:space="preserve"> 2021 </w:t>
      </w:r>
      <w:r w:rsidRPr="00900F8E">
        <w:rPr>
          <w:rFonts w:ascii="Arial" w:hAnsi="Arial" w:cs="Arial"/>
        </w:rPr>
        <w:t>p</w:t>
      </w:r>
      <w:r w:rsidR="007A4123" w:rsidRPr="00900F8E">
        <w:rPr>
          <w:rFonts w:ascii="Arial" w:hAnsi="Arial" w:cs="Arial"/>
        </w:rPr>
        <w:t>otrjenih 68 projektov v skupni vrednosti 278 m</w:t>
      </w:r>
      <w:r w:rsidRPr="00900F8E">
        <w:rPr>
          <w:rFonts w:ascii="Arial" w:hAnsi="Arial" w:cs="Arial"/>
        </w:rPr>
        <w:t>ilijonov evrov</w:t>
      </w:r>
      <w:r w:rsidR="007A4123" w:rsidRPr="00900F8E">
        <w:rPr>
          <w:rFonts w:ascii="Arial" w:hAnsi="Arial" w:cs="Arial"/>
        </w:rPr>
        <w:t xml:space="preserve">, od tega </w:t>
      </w:r>
      <w:r w:rsidR="006A31F0">
        <w:rPr>
          <w:rFonts w:ascii="Arial" w:hAnsi="Arial" w:cs="Arial"/>
        </w:rPr>
        <w:t xml:space="preserve">je </w:t>
      </w:r>
      <w:r w:rsidR="007A4123" w:rsidRPr="00900F8E">
        <w:rPr>
          <w:rFonts w:ascii="Arial" w:hAnsi="Arial" w:cs="Arial"/>
        </w:rPr>
        <w:t>sofinanciran</w:t>
      </w:r>
      <w:r w:rsidRPr="00900F8E">
        <w:rPr>
          <w:rFonts w:ascii="Arial" w:hAnsi="Arial" w:cs="Arial"/>
        </w:rPr>
        <w:t>ih</w:t>
      </w:r>
      <w:r w:rsidR="007A4123" w:rsidRPr="00900F8E">
        <w:rPr>
          <w:rFonts w:ascii="Arial" w:hAnsi="Arial" w:cs="Arial"/>
        </w:rPr>
        <w:t xml:space="preserve"> 130 mi</w:t>
      </w:r>
      <w:r w:rsidRPr="00900F8E">
        <w:rPr>
          <w:rFonts w:ascii="Arial" w:hAnsi="Arial" w:cs="Arial"/>
        </w:rPr>
        <w:t>lijonov evr</w:t>
      </w:r>
      <w:r w:rsidR="00315E68">
        <w:rPr>
          <w:rFonts w:ascii="Arial" w:hAnsi="Arial" w:cs="Arial"/>
        </w:rPr>
        <w:t>o</w:t>
      </w:r>
      <w:r w:rsidRPr="00900F8E">
        <w:rPr>
          <w:rFonts w:ascii="Arial" w:hAnsi="Arial" w:cs="Arial"/>
        </w:rPr>
        <w:t>v</w:t>
      </w:r>
      <w:r w:rsidR="007A4123" w:rsidRPr="00900F8E">
        <w:rPr>
          <w:rFonts w:ascii="Arial" w:hAnsi="Arial" w:cs="Arial"/>
        </w:rPr>
        <w:t xml:space="preserve">. Skupna dolžina povezav je 619 km, od tega 360 km na ločenih kolesarskih površinah. </w:t>
      </w:r>
      <w:r w:rsidR="004B450D">
        <w:rPr>
          <w:rFonts w:ascii="Arial" w:hAnsi="Arial" w:cs="Arial"/>
        </w:rPr>
        <w:t>Končanih</w:t>
      </w:r>
      <w:r w:rsidR="004B450D" w:rsidRPr="00900F8E">
        <w:rPr>
          <w:rFonts w:ascii="Arial" w:hAnsi="Arial" w:cs="Arial"/>
        </w:rPr>
        <w:t xml:space="preserve"> </w:t>
      </w:r>
      <w:r w:rsidRPr="00900F8E">
        <w:rPr>
          <w:rFonts w:ascii="Arial" w:hAnsi="Arial" w:cs="Arial"/>
        </w:rPr>
        <w:t>je bilo šest</w:t>
      </w:r>
      <w:r w:rsidR="007A4123" w:rsidRPr="00900F8E">
        <w:rPr>
          <w:rFonts w:ascii="Arial" w:hAnsi="Arial" w:cs="Arial"/>
        </w:rPr>
        <w:t xml:space="preserve"> projektov v skupni vrednosti 7,7 mi</w:t>
      </w:r>
      <w:r w:rsidRPr="00900F8E">
        <w:rPr>
          <w:rFonts w:ascii="Arial" w:hAnsi="Arial" w:cs="Arial"/>
        </w:rPr>
        <w:t>lijona evrov</w:t>
      </w:r>
      <w:r w:rsidR="007A4123" w:rsidRPr="00900F8E">
        <w:rPr>
          <w:rFonts w:ascii="Arial" w:hAnsi="Arial" w:cs="Arial"/>
        </w:rPr>
        <w:t xml:space="preserve"> in dolžini 23 km povezav, od tega 18,8 na ločenih kolesarskih površinah</w:t>
      </w:r>
      <w:r w:rsidRPr="00900F8E">
        <w:rPr>
          <w:rFonts w:ascii="Arial" w:hAnsi="Arial" w:cs="Arial"/>
        </w:rPr>
        <w:t>;</w:t>
      </w:r>
    </w:p>
    <w:p w14:paraId="45E76177" w14:textId="77777777" w:rsidR="00CB4CB5" w:rsidRPr="00900F8E" w:rsidRDefault="00CB4CB5" w:rsidP="00640804">
      <w:pPr>
        <w:pStyle w:val="Odstavekseznama"/>
        <w:numPr>
          <w:ilvl w:val="0"/>
          <w:numId w:val="33"/>
        </w:numPr>
        <w:spacing w:after="0" w:line="240" w:lineRule="auto"/>
        <w:jc w:val="both"/>
        <w:rPr>
          <w:rFonts w:ascii="Arial" w:hAnsi="Arial" w:cs="Arial"/>
        </w:rPr>
      </w:pPr>
      <w:r w:rsidRPr="00900F8E">
        <w:rPr>
          <w:rFonts w:ascii="Arial" w:hAnsi="Arial" w:cs="Arial"/>
        </w:rPr>
        <w:t>p</w:t>
      </w:r>
      <w:r w:rsidR="007A4123" w:rsidRPr="00900F8E">
        <w:rPr>
          <w:rFonts w:ascii="Arial" w:hAnsi="Arial" w:cs="Arial"/>
        </w:rPr>
        <w:t xml:space="preserve">oleg projektov, financiranih iz mehanizmov CTN in DRR, je državni proračun za leto 2021 predvideval vlaganja pod postavko kolesarske povezave v vrednosti 6.638.010 </w:t>
      </w:r>
      <w:r w:rsidRPr="00900F8E">
        <w:rPr>
          <w:rFonts w:ascii="Arial" w:hAnsi="Arial" w:cs="Arial"/>
        </w:rPr>
        <w:t>evrov;</w:t>
      </w:r>
    </w:p>
    <w:p w14:paraId="5B2F2B4E" w14:textId="2A46FCC8" w:rsidR="00B31AAD" w:rsidRPr="00900F8E" w:rsidRDefault="007A4123" w:rsidP="007A4123">
      <w:pPr>
        <w:pStyle w:val="Odstavekseznama"/>
        <w:numPr>
          <w:ilvl w:val="0"/>
          <w:numId w:val="33"/>
        </w:numPr>
        <w:spacing w:after="0" w:line="240" w:lineRule="auto"/>
        <w:jc w:val="both"/>
        <w:rPr>
          <w:rFonts w:ascii="Arial" w:hAnsi="Arial" w:cs="Arial"/>
        </w:rPr>
      </w:pPr>
      <w:r w:rsidRPr="00900F8E">
        <w:rPr>
          <w:rFonts w:ascii="Arial" w:hAnsi="Arial" w:cs="Arial"/>
        </w:rPr>
        <w:t xml:space="preserve">DRSI </w:t>
      </w:r>
      <w:r w:rsidR="00CB4CB5" w:rsidRPr="00900F8E">
        <w:rPr>
          <w:rFonts w:ascii="Arial" w:hAnsi="Arial" w:cs="Arial"/>
        </w:rPr>
        <w:t>je</w:t>
      </w:r>
      <w:r w:rsidRPr="00900F8E">
        <w:rPr>
          <w:rFonts w:ascii="Arial" w:hAnsi="Arial" w:cs="Arial"/>
        </w:rPr>
        <w:t xml:space="preserve"> označeva</w:t>
      </w:r>
      <w:r w:rsidR="00CB4CB5" w:rsidRPr="00900F8E">
        <w:rPr>
          <w:rFonts w:ascii="Arial" w:hAnsi="Arial" w:cs="Arial"/>
        </w:rPr>
        <w:t>l</w:t>
      </w:r>
      <w:r w:rsidRPr="00900F8E">
        <w:rPr>
          <w:rFonts w:ascii="Arial" w:hAnsi="Arial" w:cs="Arial"/>
        </w:rPr>
        <w:t xml:space="preserve"> državn</w:t>
      </w:r>
      <w:r w:rsidR="00CB4CB5" w:rsidRPr="00900F8E">
        <w:rPr>
          <w:rFonts w:ascii="Arial" w:hAnsi="Arial" w:cs="Arial"/>
        </w:rPr>
        <w:t>o</w:t>
      </w:r>
      <w:r w:rsidRPr="00900F8E">
        <w:rPr>
          <w:rFonts w:ascii="Arial" w:hAnsi="Arial" w:cs="Arial"/>
        </w:rPr>
        <w:t xml:space="preserve"> kolesarsk</w:t>
      </w:r>
      <w:r w:rsidR="00CB4CB5" w:rsidRPr="00900F8E">
        <w:rPr>
          <w:rFonts w:ascii="Arial" w:hAnsi="Arial" w:cs="Arial"/>
        </w:rPr>
        <w:t>o</w:t>
      </w:r>
      <w:r w:rsidRPr="00900F8E">
        <w:rPr>
          <w:rFonts w:ascii="Arial" w:hAnsi="Arial" w:cs="Arial"/>
        </w:rPr>
        <w:t xml:space="preserve"> omrežj</w:t>
      </w:r>
      <w:r w:rsidR="00CB4CB5" w:rsidRPr="00900F8E">
        <w:rPr>
          <w:rFonts w:ascii="Arial" w:hAnsi="Arial" w:cs="Arial"/>
        </w:rPr>
        <w:t>e;</w:t>
      </w:r>
    </w:p>
    <w:p w14:paraId="2BE00B97" w14:textId="22821D52" w:rsidR="00445F2B" w:rsidRDefault="007A4123" w:rsidP="00445F2B">
      <w:pPr>
        <w:pStyle w:val="Odstavekseznama"/>
        <w:numPr>
          <w:ilvl w:val="0"/>
          <w:numId w:val="33"/>
        </w:numPr>
        <w:spacing w:after="0" w:line="240" w:lineRule="auto"/>
        <w:jc w:val="both"/>
        <w:rPr>
          <w:rFonts w:ascii="Arial" w:hAnsi="Arial" w:cs="Arial"/>
        </w:rPr>
      </w:pPr>
      <w:r w:rsidRPr="00900F8E">
        <w:rPr>
          <w:rFonts w:ascii="Arial" w:hAnsi="Arial" w:cs="Arial"/>
        </w:rPr>
        <w:t xml:space="preserve">SŽ </w:t>
      </w:r>
      <w:r w:rsidR="00B31AAD" w:rsidRPr="00900F8E">
        <w:rPr>
          <w:rFonts w:ascii="Arial" w:hAnsi="Arial" w:cs="Arial"/>
        </w:rPr>
        <w:t xml:space="preserve">so </w:t>
      </w:r>
      <w:r w:rsidRPr="00900F8E">
        <w:rPr>
          <w:rFonts w:ascii="Arial" w:hAnsi="Arial" w:cs="Arial"/>
        </w:rPr>
        <w:t>objavile javno naročilo v okviru projekta Ureditev parkirnih mest za kolesa na območju železniških postaj znotraj Slovenije</w:t>
      </w:r>
      <w:r w:rsidR="00BE6B89">
        <w:rPr>
          <w:rFonts w:ascii="Arial" w:hAnsi="Arial" w:cs="Arial"/>
        </w:rPr>
        <w:t xml:space="preserve">, za nadaljnjo ureditev in gradnjo parkirišč za kolesa na železniških postajah je bilo v letu 2021 izplačanih 995.479,18 </w:t>
      </w:r>
      <w:r w:rsidR="006A31F0">
        <w:rPr>
          <w:rFonts w:ascii="Arial" w:hAnsi="Arial" w:cs="Arial"/>
        </w:rPr>
        <w:t>evra</w:t>
      </w:r>
      <w:r w:rsidR="00BE6B89">
        <w:rPr>
          <w:rFonts w:ascii="Arial" w:hAnsi="Arial" w:cs="Arial"/>
        </w:rPr>
        <w:t xml:space="preserve"> iz sredstev Sklada za podnebne spremembe</w:t>
      </w:r>
      <w:r w:rsidR="00B31AAD" w:rsidRPr="00900F8E">
        <w:rPr>
          <w:rFonts w:ascii="Arial" w:hAnsi="Arial" w:cs="Arial"/>
        </w:rPr>
        <w:t>;</w:t>
      </w:r>
    </w:p>
    <w:p w14:paraId="39E8A3E9" w14:textId="45967F5A" w:rsidR="007A4123" w:rsidRPr="00445F2B" w:rsidRDefault="007A4123" w:rsidP="00445F2B">
      <w:pPr>
        <w:pStyle w:val="Odstavekseznama"/>
        <w:numPr>
          <w:ilvl w:val="0"/>
          <w:numId w:val="33"/>
        </w:numPr>
        <w:spacing w:after="0" w:line="240" w:lineRule="auto"/>
        <w:jc w:val="both"/>
        <w:rPr>
          <w:rFonts w:ascii="Arial" w:hAnsi="Arial" w:cs="Arial"/>
        </w:rPr>
      </w:pPr>
      <w:r w:rsidRPr="00445F2B">
        <w:rPr>
          <w:rFonts w:ascii="Arial" w:hAnsi="Arial" w:cs="Arial"/>
        </w:rPr>
        <w:t>odprli</w:t>
      </w:r>
      <w:r w:rsidR="00B31AAD" w:rsidRPr="00445F2B">
        <w:rPr>
          <w:rFonts w:ascii="Arial" w:hAnsi="Arial" w:cs="Arial"/>
        </w:rPr>
        <w:t xml:space="preserve"> so se</w:t>
      </w:r>
      <w:r w:rsidRPr="00445F2B">
        <w:rPr>
          <w:rFonts w:ascii="Arial" w:hAnsi="Arial" w:cs="Arial"/>
        </w:rPr>
        <w:t xml:space="preserve"> novi avtomatizirani sistemi za izposojo koles v občini Zagorje (</w:t>
      </w:r>
      <w:proofErr w:type="spellStart"/>
      <w:r w:rsidRPr="00445F2B">
        <w:rPr>
          <w:rFonts w:ascii="Arial" w:hAnsi="Arial" w:cs="Arial"/>
        </w:rPr>
        <w:t>ZaNaprej</w:t>
      </w:r>
      <w:proofErr w:type="spellEnd"/>
      <w:r w:rsidRPr="00445F2B">
        <w:rPr>
          <w:rFonts w:ascii="Arial" w:hAnsi="Arial" w:cs="Arial"/>
        </w:rPr>
        <w:t xml:space="preserve">) </w:t>
      </w:r>
      <w:r w:rsidR="00C82DE1">
        <w:rPr>
          <w:rFonts w:ascii="Arial" w:hAnsi="Arial" w:cs="Arial"/>
        </w:rPr>
        <w:t>in</w:t>
      </w:r>
      <w:r w:rsidR="00C82DE1" w:rsidRPr="00445F2B">
        <w:rPr>
          <w:rFonts w:ascii="Arial" w:hAnsi="Arial" w:cs="Arial"/>
        </w:rPr>
        <w:t xml:space="preserve"> </w:t>
      </w:r>
      <w:r w:rsidRPr="00445F2B">
        <w:rPr>
          <w:rFonts w:ascii="Arial" w:hAnsi="Arial" w:cs="Arial"/>
        </w:rPr>
        <w:t xml:space="preserve">Nova Gorica (GO2GO). </w:t>
      </w:r>
      <w:r w:rsidR="00B31AAD" w:rsidRPr="00445F2B">
        <w:rPr>
          <w:rFonts w:ascii="Arial" w:hAnsi="Arial" w:cs="Arial"/>
        </w:rPr>
        <w:t>S</w:t>
      </w:r>
      <w:r w:rsidRPr="00445F2B">
        <w:rPr>
          <w:rFonts w:ascii="Arial" w:hAnsi="Arial" w:cs="Arial"/>
        </w:rPr>
        <w:t>istem izposoje koles</w:t>
      </w:r>
      <w:r w:rsidR="00B31AAD" w:rsidRPr="00445F2B">
        <w:rPr>
          <w:rFonts w:ascii="Arial" w:hAnsi="Arial" w:cs="Arial"/>
        </w:rPr>
        <w:t xml:space="preserve"> so</w:t>
      </w:r>
      <w:r w:rsidRPr="00445F2B">
        <w:rPr>
          <w:rFonts w:ascii="Arial" w:hAnsi="Arial" w:cs="Arial"/>
        </w:rPr>
        <w:t xml:space="preserve"> postavili tudi v občinah Litija, Dol pri Ljubljani in Šmartno pri Litiji</w:t>
      </w:r>
      <w:r w:rsidR="00B31AAD" w:rsidRPr="00445F2B">
        <w:rPr>
          <w:rFonts w:ascii="Arial" w:hAnsi="Arial" w:cs="Arial"/>
        </w:rPr>
        <w:t>.</w:t>
      </w:r>
      <w:r w:rsidRPr="00445F2B">
        <w:rPr>
          <w:rFonts w:ascii="Arial" w:hAnsi="Arial" w:cs="Arial"/>
        </w:rPr>
        <w:t xml:space="preserve"> </w:t>
      </w:r>
      <w:r w:rsidR="00B31AAD" w:rsidRPr="00445F2B">
        <w:rPr>
          <w:rFonts w:ascii="Arial" w:hAnsi="Arial" w:cs="Arial"/>
        </w:rPr>
        <w:t>P</w:t>
      </w:r>
      <w:r w:rsidRPr="00445F2B">
        <w:rPr>
          <w:rFonts w:ascii="Arial" w:hAnsi="Arial" w:cs="Arial"/>
        </w:rPr>
        <w:t xml:space="preserve">odpisan </w:t>
      </w:r>
      <w:r w:rsidR="00B31AAD" w:rsidRPr="00445F2B">
        <w:rPr>
          <w:rFonts w:ascii="Arial" w:hAnsi="Arial" w:cs="Arial"/>
        </w:rPr>
        <w:t xml:space="preserve">je bil </w:t>
      </w:r>
      <w:r w:rsidRPr="00445F2B">
        <w:rPr>
          <w:rFonts w:ascii="Arial" w:hAnsi="Arial" w:cs="Arial"/>
        </w:rPr>
        <w:t xml:space="preserve">dogovor za postavitev sistema izposoje koles tudi v </w:t>
      </w:r>
      <w:r w:rsidR="006D7057">
        <w:rPr>
          <w:rFonts w:ascii="Arial" w:hAnsi="Arial" w:cs="Arial"/>
        </w:rPr>
        <w:t>m</w:t>
      </w:r>
      <w:r w:rsidRPr="00445F2B">
        <w:rPr>
          <w:rFonts w:ascii="Arial" w:hAnsi="Arial" w:cs="Arial"/>
        </w:rPr>
        <w:t xml:space="preserve">estni občini Maribor. Skupno že </w:t>
      </w:r>
      <w:r w:rsidR="00E11E31">
        <w:rPr>
          <w:rFonts w:ascii="Arial" w:hAnsi="Arial" w:cs="Arial"/>
        </w:rPr>
        <w:t xml:space="preserve">v </w:t>
      </w:r>
      <w:r w:rsidRPr="00445F2B">
        <w:rPr>
          <w:rFonts w:ascii="Arial" w:hAnsi="Arial" w:cs="Arial"/>
        </w:rPr>
        <w:t>več kot 30 občinah deluj</w:t>
      </w:r>
      <w:r w:rsidR="00E11E31">
        <w:rPr>
          <w:rFonts w:ascii="Arial" w:hAnsi="Arial" w:cs="Arial"/>
        </w:rPr>
        <w:t>e</w:t>
      </w:r>
      <w:r w:rsidRPr="00445F2B">
        <w:rPr>
          <w:rFonts w:ascii="Arial" w:hAnsi="Arial" w:cs="Arial"/>
        </w:rPr>
        <w:t xml:space="preserve"> sistem izposoje koles</w:t>
      </w:r>
      <w:r w:rsidR="00D37466" w:rsidRPr="00445F2B">
        <w:rPr>
          <w:rFonts w:ascii="Arial" w:hAnsi="Arial" w:cs="Arial"/>
        </w:rPr>
        <w:t>.</w:t>
      </w:r>
    </w:p>
    <w:p w14:paraId="3998B29C" w14:textId="50F941E8" w:rsidR="00BE6B89" w:rsidRPr="00900F8E" w:rsidRDefault="00445F2B" w:rsidP="00640804">
      <w:pPr>
        <w:pStyle w:val="Odstavekseznama"/>
        <w:numPr>
          <w:ilvl w:val="0"/>
          <w:numId w:val="33"/>
        </w:numPr>
        <w:spacing w:after="0" w:line="240" w:lineRule="auto"/>
        <w:jc w:val="both"/>
        <w:rPr>
          <w:rFonts w:ascii="Arial" w:hAnsi="Arial" w:cs="Arial"/>
        </w:rPr>
      </w:pPr>
      <w:r>
        <w:rPr>
          <w:rFonts w:ascii="Arial" w:hAnsi="Arial" w:cs="Arial"/>
        </w:rPr>
        <w:t>M</w:t>
      </w:r>
      <w:r w:rsidR="00DA241C">
        <w:rPr>
          <w:rFonts w:ascii="Arial" w:hAnsi="Arial" w:cs="Arial"/>
        </w:rPr>
        <w:t>z</w:t>
      </w:r>
      <w:r>
        <w:rPr>
          <w:rFonts w:ascii="Arial" w:hAnsi="Arial" w:cs="Arial"/>
        </w:rPr>
        <w:t>I</w:t>
      </w:r>
      <w:r w:rsidR="00BE6B89" w:rsidRPr="00527795">
        <w:rPr>
          <w:rFonts w:ascii="Arial" w:hAnsi="Arial" w:cs="Arial"/>
        </w:rPr>
        <w:t xml:space="preserve"> je pripravil Poročilo o izvajanju akcijskega programa za alternativn</w:t>
      </w:r>
      <w:r w:rsidR="00527795">
        <w:rPr>
          <w:rFonts w:ascii="Arial" w:hAnsi="Arial" w:cs="Arial"/>
        </w:rPr>
        <w:t>a</w:t>
      </w:r>
      <w:r w:rsidR="00BE6B89" w:rsidRPr="00527795">
        <w:rPr>
          <w:rFonts w:ascii="Arial" w:hAnsi="Arial" w:cs="Arial"/>
        </w:rPr>
        <w:t xml:space="preserve"> goriv</w:t>
      </w:r>
      <w:r w:rsidR="00527795">
        <w:rPr>
          <w:rFonts w:ascii="Arial" w:hAnsi="Arial" w:cs="Arial"/>
        </w:rPr>
        <w:t>a</w:t>
      </w:r>
      <w:r w:rsidR="00BE6B89" w:rsidRPr="00527795">
        <w:rPr>
          <w:rFonts w:ascii="Arial" w:hAnsi="Arial" w:cs="Arial"/>
        </w:rPr>
        <w:t xml:space="preserve"> v prometu v letu 2020 </w:t>
      </w:r>
      <w:r w:rsidR="00E11E31">
        <w:rPr>
          <w:rFonts w:ascii="Arial" w:hAnsi="Arial" w:cs="Arial"/>
        </w:rPr>
        <w:t>in</w:t>
      </w:r>
      <w:r w:rsidR="00E11E31" w:rsidRPr="00527795">
        <w:rPr>
          <w:rFonts w:ascii="Arial" w:hAnsi="Arial" w:cs="Arial"/>
        </w:rPr>
        <w:t xml:space="preserve"> </w:t>
      </w:r>
      <w:r w:rsidR="00BE6B89" w:rsidRPr="00527795">
        <w:rPr>
          <w:rFonts w:ascii="Arial" w:hAnsi="Arial" w:cs="Arial"/>
        </w:rPr>
        <w:t xml:space="preserve">posodobljen Akcijski program za </w:t>
      </w:r>
      <w:r w:rsidR="00DA241C">
        <w:rPr>
          <w:rFonts w:ascii="Arial" w:hAnsi="Arial" w:cs="Arial"/>
        </w:rPr>
        <w:t>alternativna goriva</w:t>
      </w:r>
      <w:r w:rsidR="00BE6B89" w:rsidRPr="00527795">
        <w:rPr>
          <w:rFonts w:ascii="Arial" w:hAnsi="Arial" w:cs="Arial"/>
        </w:rPr>
        <w:t xml:space="preserve"> v prometu za leti 2022</w:t>
      </w:r>
      <w:r w:rsidR="009B1AF1">
        <w:rPr>
          <w:rFonts w:ascii="Arial" w:hAnsi="Arial" w:cs="Arial"/>
        </w:rPr>
        <w:t xml:space="preserve"> in </w:t>
      </w:r>
      <w:r w:rsidR="00BE6B89" w:rsidRPr="00527795">
        <w:rPr>
          <w:rFonts w:ascii="Arial" w:hAnsi="Arial" w:cs="Arial"/>
        </w:rPr>
        <w:t>2023</w:t>
      </w:r>
      <w:r w:rsidR="00527795" w:rsidRPr="00527795">
        <w:rPr>
          <w:rFonts w:ascii="Arial" w:hAnsi="Arial" w:cs="Arial"/>
        </w:rPr>
        <w:t>.</w:t>
      </w:r>
    </w:p>
    <w:p w14:paraId="5E87759B" w14:textId="246B9EC5" w:rsidR="007A4123" w:rsidRDefault="007A4123" w:rsidP="00A704C1">
      <w:pPr>
        <w:spacing w:after="0" w:line="240" w:lineRule="auto"/>
        <w:jc w:val="both"/>
        <w:rPr>
          <w:rFonts w:ascii="Arial" w:hAnsi="Arial" w:cs="Arial"/>
        </w:rPr>
      </w:pPr>
    </w:p>
    <w:p w14:paraId="1CE77269" w14:textId="543553F4" w:rsidR="00104ECF" w:rsidRPr="00900F8E" w:rsidRDefault="003825D3" w:rsidP="0065545E">
      <w:pPr>
        <w:pStyle w:val="Naslov2"/>
        <w:rPr>
          <w:rFonts w:ascii="Arial" w:hAnsi="Arial" w:cs="Arial"/>
          <w:color w:val="auto"/>
        </w:rPr>
      </w:pPr>
      <w:bookmarkStart w:id="32" w:name="_Toc120166938"/>
      <w:r w:rsidRPr="00900F8E">
        <w:rPr>
          <w:rFonts w:ascii="Arial" w:hAnsi="Arial" w:cs="Arial"/>
          <w:color w:val="auto"/>
        </w:rPr>
        <w:t>4</w:t>
      </w:r>
      <w:r w:rsidR="00104ECF" w:rsidRPr="00900F8E">
        <w:rPr>
          <w:rFonts w:ascii="Arial" w:hAnsi="Arial" w:cs="Arial"/>
          <w:color w:val="auto"/>
        </w:rPr>
        <w:t>.</w:t>
      </w:r>
      <w:r w:rsidR="00EE70D5" w:rsidRPr="00900F8E">
        <w:rPr>
          <w:rFonts w:ascii="Arial" w:hAnsi="Arial" w:cs="Arial"/>
          <w:color w:val="auto"/>
        </w:rPr>
        <w:t>3</w:t>
      </w:r>
      <w:r w:rsidR="00104ECF" w:rsidRPr="00900F8E">
        <w:rPr>
          <w:rFonts w:ascii="Arial" w:hAnsi="Arial" w:cs="Arial"/>
          <w:color w:val="auto"/>
        </w:rPr>
        <w:t xml:space="preserve"> Kmetijstvo</w:t>
      </w:r>
      <w:bookmarkEnd w:id="32"/>
    </w:p>
    <w:p w14:paraId="643C6EDE" w14:textId="31020EB2" w:rsidR="00104ECF" w:rsidRPr="00900F8E" w:rsidRDefault="00104ECF" w:rsidP="00C52E4C">
      <w:pPr>
        <w:spacing w:after="0" w:line="240" w:lineRule="auto"/>
        <w:jc w:val="both"/>
        <w:rPr>
          <w:rFonts w:ascii="Arial" w:hAnsi="Arial" w:cs="Arial"/>
          <w:sz w:val="16"/>
          <w:szCs w:val="16"/>
        </w:rPr>
      </w:pPr>
    </w:p>
    <w:p w14:paraId="36FA8FEA" w14:textId="29B0CFDF" w:rsidR="00C46EC7" w:rsidRPr="00900F8E" w:rsidRDefault="000D6773" w:rsidP="00C52E4C">
      <w:pPr>
        <w:spacing w:after="0" w:line="240" w:lineRule="auto"/>
        <w:jc w:val="both"/>
        <w:rPr>
          <w:rFonts w:ascii="Arial" w:hAnsi="Arial" w:cs="Arial"/>
        </w:rPr>
      </w:pPr>
      <w:r w:rsidRPr="00900F8E">
        <w:rPr>
          <w:rFonts w:ascii="Arial" w:hAnsi="Arial" w:cs="Arial"/>
        </w:rPr>
        <w:t xml:space="preserve">Na </w:t>
      </w:r>
      <w:r w:rsidR="002D21F9" w:rsidRPr="00900F8E">
        <w:rPr>
          <w:rFonts w:ascii="Arial" w:hAnsi="Arial" w:cs="Arial"/>
        </w:rPr>
        <w:t>področj</w:t>
      </w:r>
      <w:r w:rsidRPr="00900F8E">
        <w:rPr>
          <w:rFonts w:ascii="Arial" w:hAnsi="Arial" w:cs="Arial"/>
        </w:rPr>
        <w:t>u</w:t>
      </w:r>
      <w:r w:rsidR="002D21F9" w:rsidRPr="00900F8E">
        <w:rPr>
          <w:rFonts w:ascii="Arial" w:hAnsi="Arial" w:cs="Arial"/>
        </w:rPr>
        <w:t xml:space="preserve"> ukrepov</w:t>
      </w:r>
      <w:r w:rsidRPr="00900F8E">
        <w:rPr>
          <w:rFonts w:ascii="Arial" w:hAnsi="Arial" w:cs="Arial"/>
        </w:rPr>
        <w:t>, ki</w:t>
      </w:r>
      <w:r w:rsidR="002D21F9" w:rsidRPr="00900F8E">
        <w:rPr>
          <w:rFonts w:ascii="Arial" w:hAnsi="Arial" w:cs="Arial"/>
        </w:rPr>
        <w:t xml:space="preserve"> </w:t>
      </w:r>
      <w:r w:rsidR="00065E17">
        <w:rPr>
          <w:rFonts w:ascii="Arial" w:hAnsi="Arial" w:cs="Arial"/>
        </w:rPr>
        <w:t>zadevajo</w:t>
      </w:r>
      <w:r w:rsidR="00065E17" w:rsidRPr="00900F8E">
        <w:rPr>
          <w:rFonts w:ascii="Arial" w:hAnsi="Arial" w:cs="Arial"/>
        </w:rPr>
        <w:t xml:space="preserve"> </w:t>
      </w:r>
      <w:r w:rsidR="002D21F9" w:rsidRPr="00900F8E">
        <w:rPr>
          <w:rFonts w:ascii="Arial" w:hAnsi="Arial" w:cs="Arial"/>
        </w:rPr>
        <w:t>spodbujanje zmanjšanja emisij TGP</w:t>
      </w:r>
      <w:r w:rsidR="00290AD7" w:rsidRPr="00900F8E">
        <w:rPr>
          <w:rFonts w:ascii="Arial" w:hAnsi="Arial" w:cs="Arial"/>
        </w:rPr>
        <w:t xml:space="preserve"> in povečanje učinkovitosti reje domačih živali, povečanje deleža pašne reje ter spodbujanje učinkovitejšega kroženja dušika v kmetijstvu</w:t>
      </w:r>
      <w:r w:rsidRPr="00900F8E">
        <w:rPr>
          <w:rFonts w:ascii="Arial" w:hAnsi="Arial" w:cs="Arial"/>
        </w:rPr>
        <w:t>, so se v letu 2020 i</w:t>
      </w:r>
      <w:r w:rsidR="002D21F9" w:rsidRPr="00900F8E">
        <w:rPr>
          <w:rFonts w:ascii="Arial" w:hAnsi="Arial" w:cs="Arial"/>
        </w:rPr>
        <w:t xml:space="preserve">zvajale naslednje </w:t>
      </w:r>
      <w:r w:rsidR="001D6649">
        <w:rPr>
          <w:rFonts w:ascii="Arial" w:hAnsi="Arial" w:cs="Arial"/>
        </w:rPr>
        <w:t>dejavnosti</w:t>
      </w:r>
      <w:r w:rsidR="002D21F9" w:rsidRPr="00900F8E">
        <w:rPr>
          <w:rFonts w:ascii="Arial" w:hAnsi="Arial" w:cs="Arial"/>
        </w:rPr>
        <w:t>:</w:t>
      </w:r>
    </w:p>
    <w:p w14:paraId="424B87B6" w14:textId="7F23657D" w:rsidR="00D066FD" w:rsidRPr="00900F8E" w:rsidRDefault="006D1B19" w:rsidP="00E02BBA">
      <w:pPr>
        <w:pStyle w:val="Default"/>
        <w:numPr>
          <w:ilvl w:val="0"/>
          <w:numId w:val="5"/>
        </w:numPr>
        <w:jc w:val="both"/>
        <w:rPr>
          <w:sz w:val="22"/>
          <w:szCs w:val="22"/>
          <w:lang w:val="sl-SI"/>
        </w:rPr>
      </w:pPr>
      <w:r w:rsidRPr="00900F8E">
        <w:rPr>
          <w:sz w:val="22"/>
          <w:szCs w:val="22"/>
          <w:lang w:val="sl-SI"/>
        </w:rPr>
        <w:t>v</w:t>
      </w:r>
      <w:r w:rsidR="00B3353B" w:rsidRPr="00900F8E">
        <w:rPr>
          <w:sz w:val="22"/>
          <w:szCs w:val="22"/>
          <w:lang w:val="sl-SI"/>
        </w:rPr>
        <w:t xml:space="preserve"> okviru podukrepa M01.1 so se nadaljevala usposabljanja na področjih ekološkega kmetovanja, dobrobiti živali in kmetijsko-okoljsko-podnebnih plačil. Usposabljanj na </w:t>
      </w:r>
      <w:r w:rsidR="001B02D9" w:rsidRPr="00900F8E">
        <w:rPr>
          <w:sz w:val="22"/>
          <w:szCs w:val="22"/>
          <w:lang w:val="sl-SI"/>
        </w:rPr>
        <w:t>področju</w:t>
      </w:r>
      <w:r w:rsidR="00B3353B" w:rsidRPr="00900F8E">
        <w:rPr>
          <w:sz w:val="22"/>
          <w:szCs w:val="22"/>
          <w:lang w:val="sl-SI"/>
        </w:rPr>
        <w:t xml:space="preserve"> kmetijsko-okoljsko-podnebnih plačil se je od začetka izvajanja PRP 2014‒2020 udeležilo 40.578 udeležencev, usposabljanj na področju ekološkega kmetovanja 20.302 udeležencev in usposabljanj za dobrobit živali 30.864 udeležencev</w:t>
      </w:r>
      <w:r w:rsidRPr="00900F8E">
        <w:rPr>
          <w:sz w:val="22"/>
          <w:szCs w:val="22"/>
          <w:lang w:val="sl-SI"/>
        </w:rPr>
        <w:t>;</w:t>
      </w:r>
    </w:p>
    <w:p w14:paraId="28B0F185" w14:textId="6029010D" w:rsidR="006D1B19" w:rsidRPr="00900F8E" w:rsidRDefault="006D1B19" w:rsidP="00E02BBA">
      <w:pPr>
        <w:pStyle w:val="Default"/>
        <w:numPr>
          <w:ilvl w:val="0"/>
          <w:numId w:val="5"/>
        </w:numPr>
        <w:jc w:val="both"/>
        <w:rPr>
          <w:sz w:val="22"/>
          <w:szCs w:val="22"/>
          <w:lang w:val="sl-SI"/>
        </w:rPr>
      </w:pPr>
      <w:r w:rsidRPr="00900F8E">
        <w:rPr>
          <w:sz w:val="22"/>
          <w:szCs w:val="22"/>
          <w:lang w:val="sl-SI"/>
        </w:rPr>
        <w:t xml:space="preserve">v sklopu podukrepa M16.5 </w:t>
      </w:r>
      <w:r w:rsidR="00F846CB">
        <w:rPr>
          <w:sz w:val="22"/>
          <w:szCs w:val="22"/>
          <w:lang w:val="sl-SI"/>
        </w:rPr>
        <w:t>p</w:t>
      </w:r>
      <w:r w:rsidRPr="00900F8E">
        <w:rPr>
          <w:sz w:val="22"/>
          <w:szCs w:val="22"/>
          <w:lang w:val="sl-SI"/>
        </w:rPr>
        <w:t xml:space="preserve">odpora za skupno ukrepanje za blažitev podnebnih sprememb ali prilagajanje nanje ter za skupne pristope k okoljskim projektom in stalnim okoljskim praksam je bilo odobrenih 16 pilotnih projektov in 19 projektov </w:t>
      </w:r>
      <w:r w:rsidR="00816F4E">
        <w:rPr>
          <w:sz w:val="22"/>
          <w:szCs w:val="22"/>
          <w:lang w:val="sl-SI"/>
        </w:rPr>
        <w:t>e</w:t>
      </w:r>
      <w:r w:rsidRPr="00900F8E">
        <w:rPr>
          <w:sz w:val="22"/>
          <w:szCs w:val="22"/>
          <w:lang w:val="sl-SI"/>
        </w:rPr>
        <w:t xml:space="preserve">vropskega inovativnega partnerstva v skupni vrednosti 5.342.485,84 </w:t>
      </w:r>
      <w:r w:rsidR="009B1AF1" w:rsidRPr="00900F8E">
        <w:rPr>
          <w:sz w:val="22"/>
          <w:szCs w:val="22"/>
          <w:lang w:val="sl-SI"/>
        </w:rPr>
        <w:t>evr</w:t>
      </w:r>
      <w:r w:rsidR="009B1AF1">
        <w:rPr>
          <w:sz w:val="22"/>
          <w:szCs w:val="22"/>
          <w:lang w:val="sl-SI"/>
        </w:rPr>
        <w:t>a</w:t>
      </w:r>
      <w:r w:rsidRPr="00900F8E">
        <w:rPr>
          <w:sz w:val="22"/>
          <w:szCs w:val="22"/>
          <w:lang w:val="sl-SI"/>
        </w:rPr>
        <w:t>;</w:t>
      </w:r>
    </w:p>
    <w:p w14:paraId="272317A4" w14:textId="033B0D0A" w:rsidR="006D1B19" w:rsidRPr="00900F8E" w:rsidRDefault="006D1B19" w:rsidP="00E02BBA">
      <w:pPr>
        <w:pStyle w:val="Default"/>
        <w:numPr>
          <w:ilvl w:val="0"/>
          <w:numId w:val="5"/>
        </w:numPr>
        <w:jc w:val="both"/>
        <w:rPr>
          <w:sz w:val="22"/>
          <w:szCs w:val="22"/>
          <w:lang w:val="sl-SI"/>
        </w:rPr>
      </w:pPr>
      <w:r w:rsidRPr="00900F8E">
        <w:rPr>
          <w:sz w:val="22"/>
          <w:szCs w:val="22"/>
          <w:lang w:val="sl-SI"/>
        </w:rPr>
        <w:t xml:space="preserve">v sklopu podukrepa M04.1 </w:t>
      </w:r>
      <w:r w:rsidR="00FD5FE4" w:rsidRPr="00900F8E">
        <w:rPr>
          <w:sz w:val="22"/>
          <w:szCs w:val="22"/>
          <w:lang w:val="sl-SI"/>
        </w:rPr>
        <w:t xml:space="preserve">je bilo </w:t>
      </w:r>
      <w:r w:rsidRPr="00900F8E">
        <w:rPr>
          <w:sz w:val="22"/>
          <w:szCs w:val="22"/>
          <w:lang w:val="sl-SI"/>
        </w:rPr>
        <w:t xml:space="preserve">objavljenih </w:t>
      </w:r>
      <w:r w:rsidR="00F846CB">
        <w:rPr>
          <w:sz w:val="22"/>
          <w:szCs w:val="22"/>
          <w:lang w:val="sl-SI"/>
        </w:rPr>
        <w:t>šest</w:t>
      </w:r>
      <w:r w:rsidRPr="00900F8E">
        <w:rPr>
          <w:sz w:val="22"/>
          <w:szCs w:val="22"/>
          <w:lang w:val="sl-SI"/>
        </w:rPr>
        <w:t xml:space="preserve"> razpisov za naložbe v kmetijska gospodarstva in en razpis v sklopu podukrepa M04.3 za naložbe v infrastrukturo. Za podukrep M04.1 </w:t>
      </w:r>
      <w:r w:rsidR="00FD5FE4" w:rsidRPr="00900F8E">
        <w:rPr>
          <w:sz w:val="22"/>
          <w:szCs w:val="22"/>
          <w:lang w:val="sl-SI"/>
        </w:rPr>
        <w:t>je bil</w:t>
      </w:r>
      <w:r w:rsidR="00F846CB">
        <w:rPr>
          <w:sz w:val="22"/>
          <w:szCs w:val="22"/>
          <w:lang w:val="sl-SI"/>
        </w:rPr>
        <w:t>a</w:t>
      </w:r>
      <w:r w:rsidRPr="00900F8E">
        <w:rPr>
          <w:sz w:val="22"/>
          <w:szCs w:val="22"/>
          <w:lang w:val="sl-SI"/>
        </w:rPr>
        <w:t xml:space="preserve"> odobren</w:t>
      </w:r>
      <w:r w:rsidR="00F846CB">
        <w:rPr>
          <w:sz w:val="22"/>
          <w:szCs w:val="22"/>
          <w:lang w:val="sl-SI"/>
        </w:rPr>
        <w:t>a</w:t>
      </w:r>
      <w:r w:rsidRPr="00900F8E">
        <w:rPr>
          <w:sz w:val="22"/>
          <w:szCs w:val="22"/>
          <w:lang w:val="sl-SI"/>
        </w:rPr>
        <w:t xml:space="preserve"> 101 vlog</w:t>
      </w:r>
      <w:r w:rsidR="00F846CB">
        <w:rPr>
          <w:sz w:val="22"/>
          <w:szCs w:val="22"/>
          <w:lang w:val="sl-SI"/>
        </w:rPr>
        <w:t>a</w:t>
      </w:r>
      <w:r w:rsidRPr="00900F8E">
        <w:rPr>
          <w:sz w:val="22"/>
          <w:szCs w:val="22"/>
          <w:lang w:val="sl-SI"/>
        </w:rPr>
        <w:t xml:space="preserve"> v vrednosti 9.525.322 </w:t>
      </w:r>
      <w:r w:rsidR="00DC5A1E" w:rsidRPr="00900F8E">
        <w:rPr>
          <w:sz w:val="22"/>
          <w:szCs w:val="22"/>
          <w:lang w:val="sl-SI"/>
        </w:rPr>
        <w:t>evrov</w:t>
      </w:r>
      <w:r w:rsidRPr="00900F8E">
        <w:rPr>
          <w:sz w:val="22"/>
          <w:szCs w:val="22"/>
          <w:lang w:val="sl-SI"/>
        </w:rPr>
        <w:t xml:space="preserve">, za podukrep M04.3 pa </w:t>
      </w:r>
      <w:r w:rsidR="00F846CB">
        <w:rPr>
          <w:sz w:val="22"/>
          <w:szCs w:val="22"/>
          <w:lang w:val="sl-SI"/>
        </w:rPr>
        <w:t xml:space="preserve">je bilo odobrenih </w:t>
      </w:r>
      <w:r w:rsidRPr="00900F8E">
        <w:rPr>
          <w:sz w:val="22"/>
          <w:szCs w:val="22"/>
          <w:lang w:val="sl-SI"/>
        </w:rPr>
        <w:t xml:space="preserve">155 vlog v vrednosti 3.109.377 </w:t>
      </w:r>
      <w:r w:rsidR="00DC5A1E" w:rsidRPr="00900F8E">
        <w:rPr>
          <w:sz w:val="22"/>
          <w:szCs w:val="22"/>
          <w:lang w:val="sl-SI"/>
        </w:rPr>
        <w:t>evrov</w:t>
      </w:r>
      <w:r w:rsidRPr="00900F8E">
        <w:rPr>
          <w:sz w:val="22"/>
          <w:szCs w:val="22"/>
          <w:lang w:val="sl-SI"/>
        </w:rPr>
        <w:t>. Za nakup in postavitev mobilnih objektov za skladiščenje živinskih gnojil in nakup pripadajoče opreme, nakup mehanizacije in opreme</w:t>
      </w:r>
      <w:r w:rsidR="009B1AF1">
        <w:rPr>
          <w:sz w:val="22"/>
          <w:szCs w:val="22"/>
          <w:lang w:val="sl-SI"/>
        </w:rPr>
        <w:t>,</w:t>
      </w:r>
      <w:r w:rsidRPr="00900F8E">
        <w:rPr>
          <w:sz w:val="22"/>
          <w:szCs w:val="22"/>
          <w:lang w:val="sl-SI"/>
        </w:rPr>
        <w:t xml:space="preserve"> namenjene gnojenju, nakup opreme za skladiščenje in transport živinskih izločkov, tehnološke posodobitve hlevov, ki zmanjšujejo stres živali in povečujejo zračenje ter osvetlitev, ureditev objektov za skladiščenje živinskih gnojil je bilo v obdobju 2005</w:t>
      </w:r>
      <w:r w:rsidR="009B1AF1">
        <w:rPr>
          <w:sz w:val="22"/>
          <w:szCs w:val="22"/>
          <w:lang w:val="sl-SI"/>
        </w:rPr>
        <w:t>–</w:t>
      </w:r>
      <w:r w:rsidRPr="00900F8E">
        <w:rPr>
          <w:sz w:val="22"/>
          <w:szCs w:val="22"/>
          <w:lang w:val="sl-SI"/>
        </w:rPr>
        <w:t xml:space="preserve">2020 namenjenih 43.608.995 </w:t>
      </w:r>
      <w:r w:rsidR="00DC5A1E" w:rsidRPr="00900F8E">
        <w:rPr>
          <w:sz w:val="22"/>
          <w:szCs w:val="22"/>
          <w:lang w:val="sl-SI"/>
        </w:rPr>
        <w:t>evrov – sredstva za 415 odobrenih vlog</w:t>
      </w:r>
      <w:r w:rsidR="00FD5FE4" w:rsidRPr="00900F8E">
        <w:rPr>
          <w:sz w:val="22"/>
          <w:szCs w:val="22"/>
          <w:lang w:val="sl-SI"/>
        </w:rPr>
        <w:t>;</w:t>
      </w:r>
    </w:p>
    <w:p w14:paraId="3FF7F007" w14:textId="64DCC9DB" w:rsidR="00D066FD" w:rsidRPr="00900F8E" w:rsidRDefault="004937E3" w:rsidP="00E02BBA">
      <w:pPr>
        <w:pStyle w:val="Default"/>
        <w:numPr>
          <w:ilvl w:val="0"/>
          <w:numId w:val="5"/>
        </w:numPr>
        <w:jc w:val="both"/>
        <w:rPr>
          <w:sz w:val="16"/>
          <w:szCs w:val="16"/>
          <w:u w:val="single"/>
          <w:lang w:val="sl-SI"/>
        </w:rPr>
      </w:pPr>
      <w:r w:rsidRPr="00900F8E">
        <w:rPr>
          <w:sz w:val="22"/>
          <w:szCs w:val="22"/>
          <w:lang w:val="sl-SI"/>
        </w:rPr>
        <w:t xml:space="preserve">ukrep M10 </w:t>
      </w:r>
      <w:r w:rsidR="002E0FAD">
        <w:rPr>
          <w:sz w:val="22"/>
          <w:szCs w:val="22"/>
          <w:lang w:val="sl-SI"/>
        </w:rPr>
        <w:t>k</w:t>
      </w:r>
      <w:r w:rsidRPr="00900F8E">
        <w:rPr>
          <w:sz w:val="22"/>
          <w:szCs w:val="22"/>
          <w:lang w:val="sl-SI"/>
        </w:rPr>
        <w:t>metijsko-okoljsko-podnebna plačila (</w:t>
      </w:r>
      <w:r w:rsidR="00995E58" w:rsidRPr="00900F8E">
        <w:t xml:space="preserve">v </w:t>
      </w:r>
      <w:r w:rsidR="00930529">
        <w:t>nadaljnjem besedilu</w:t>
      </w:r>
      <w:r w:rsidR="00995E58" w:rsidRPr="00900F8E">
        <w:t xml:space="preserve">: </w:t>
      </w:r>
      <w:r w:rsidRPr="00900F8E">
        <w:rPr>
          <w:sz w:val="22"/>
          <w:szCs w:val="22"/>
          <w:lang w:val="sl-SI"/>
        </w:rPr>
        <w:t xml:space="preserve">KOPOP) se je izvajal na 361.080 ha, M11 </w:t>
      </w:r>
      <w:r w:rsidR="006200F3">
        <w:rPr>
          <w:sz w:val="22"/>
          <w:szCs w:val="22"/>
          <w:lang w:val="sl-SI"/>
        </w:rPr>
        <w:t>e</w:t>
      </w:r>
      <w:r w:rsidRPr="00900F8E">
        <w:rPr>
          <w:sz w:val="22"/>
          <w:szCs w:val="22"/>
          <w:lang w:val="sl-SI"/>
        </w:rPr>
        <w:t xml:space="preserve">kološko kmetovanje (EK) pa na 48.108 ha. Operacija </w:t>
      </w:r>
      <w:r w:rsidR="006200F3">
        <w:rPr>
          <w:sz w:val="22"/>
          <w:szCs w:val="22"/>
          <w:lang w:val="sl-SI"/>
        </w:rPr>
        <w:t>p</w:t>
      </w:r>
      <w:r w:rsidRPr="00900F8E">
        <w:rPr>
          <w:sz w:val="22"/>
          <w:szCs w:val="22"/>
          <w:lang w:val="sl-SI"/>
        </w:rPr>
        <w:t>oljedelstvo in zelenjadarstvo</w:t>
      </w:r>
      <w:r w:rsidRPr="00900F8E">
        <w:t xml:space="preserve"> </w:t>
      </w:r>
      <w:r w:rsidRPr="00900F8E">
        <w:rPr>
          <w:sz w:val="22"/>
          <w:szCs w:val="22"/>
          <w:lang w:val="sl-SI"/>
        </w:rPr>
        <w:t>se je izvajala na 36 % vseh njiv v Sloveniji</w:t>
      </w:r>
      <w:r w:rsidR="00410A60" w:rsidRPr="00900F8E">
        <w:rPr>
          <w:sz w:val="22"/>
          <w:szCs w:val="22"/>
          <w:lang w:val="sl-SI"/>
        </w:rPr>
        <w:t>. Med izbirnimi zahtevami te operacije je bilo</w:t>
      </w:r>
      <w:r w:rsidRPr="00900F8E">
        <w:rPr>
          <w:sz w:val="22"/>
          <w:szCs w:val="22"/>
          <w:lang w:val="sl-SI"/>
        </w:rPr>
        <w:t xml:space="preserve"> </w:t>
      </w:r>
      <w:r w:rsidR="00410A60" w:rsidRPr="00900F8E">
        <w:rPr>
          <w:sz w:val="22"/>
          <w:szCs w:val="22"/>
          <w:lang w:val="sl-SI"/>
        </w:rPr>
        <w:t xml:space="preserve">za zahtevo </w:t>
      </w:r>
      <w:r w:rsidR="00FD7BFF">
        <w:rPr>
          <w:sz w:val="22"/>
          <w:szCs w:val="22"/>
          <w:lang w:val="sl-SI"/>
        </w:rPr>
        <w:t>g</w:t>
      </w:r>
      <w:r w:rsidR="00410A60" w:rsidRPr="00900F8E">
        <w:rPr>
          <w:sz w:val="22"/>
          <w:szCs w:val="22"/>
          <w:lang w:val="sl-SI"/>
        </w:rPr>
        <w:t xml:space="preserve">nojenje z organskimi gnojili z nizkimi izpusti v zrak vloženih zahtevkov za 11,6 % vseh njiv. Za operacijo </w:t>
      </w:r>
      <w:r w:rsidR="00FD7BFF">
        <w:rPr>
          <w:sz w:val="22"/>
          <w:szCs w:val="22"/>
          <w:lang w:val="sl-SI"/>
        </w:rPr>
        <w:t>h</w:t>
      </w:r>
      <w:r w:rsidR="00410A60" w:rsidRPr="00900F8E">
        <w:rPr>
          <w:sz w:val="22"/>
          <w:szCs w:val="22"/>
          <w:lang w:val="sl-SI"/>
        </w:rPr>
        <w:t>meljarstvo je bilo</w:t>
      </w:r>
      <w:r w:rsidR="00410A60" w:rsidRPr="00900F8E">
        <w:t xml:space="preserve"> </w:t>
      </w:r>
      <w:r w:rsidR="00410A60" w:rsidRPr="00900F8E">
        <w:rPr>
          <w:sz w:val="22"/>
          <w:szCs w:val="22"/>
          <w:lang w:val="sl-SI"/>
        </w:rPr>
        <w:t>vloženih za 573 ha zahtevkov.</w:t>
      </w:r>
      <w:r w:rsidR="00410A60" w:rsidRPr="00900F8E">
        <w:t xml:space="preserve"> </w:t>
      </w:r>
      <w:r w:rsidR="00410A60" w:rsidRPr="00900F8E">
        <w:rPr>
          <w:sz w:val="22"/>
          <w:szCs w:val="22"/>
          <w:lang w:val="sl-SI"/>
        </w:rPr>
        <w:t xml:space="preserve">V okviru te operacije je bilo za izbirno zahtevo </w:t>
      </w:r>
      <w:r w:rsidR="00FD7BFF">
        <w:rPr>
          <w:sz w:val="22"/>
          <w:szCs w:val="22"/>
          <w:lang w:val="sl-SI"/>
        </w:rPr>
        <w:t>g</w:t>
      </w:r>
      <w:r w:rsidR="00410A60" w:rsidRPr="00900F8E">
        <w:rPr>
          <w:sz w:val="22"/>
          <w:szCs w:val="22"/>
          <w:lang w:val="sl-SI"/>
        </w:rPr>
        <w:t>nojenje z organskimi gnojili z nizkimi izpusti v zrak vloženih za 290 ha zahtevkov.</w:t>
      </w:r>
      <w:r w:rsidR="00BE433A" w:rsidRPr="00900F8E">
        <w:rPr>
          <w:lang w:val="sl-SI"/>
        </w:rPr>
        <w:t xml:space="preserve"> </w:t>
      </w:r>
      <w:r w:rsidR="00BE433A" w:rsidRPr="00900F8E">
        <w:rPr>
          <w:sz w:val="22"/>
          <w:szCs w:val="22"/>
          <w:lang w:val="sl-SI"/>
        </w:rPr>
        <w:t xml:space="preserve">Operacija </w:t>
      </w:r>
      <w:r w:rsidR="00FD7BFF">
        <w:rPr>
          <w:sz w:val="22"/>
          <w:szCs w:val="22"/>
          <w:lang w:val="sl-SI"/>
        </w:rPr>
        <w:t>p</w:t>
      </w:r>
      <w:r w:rsidR="00BE433A" w:rsidRPr="00900F8E">
        <w:rPr>
          <w:sz w:val="22"/>
          <w:szCs w:val="22"/>
          <w:lang w:val="sl-SI"/>
        </w:rPr>
        <w:t xml:space="preserve">osebni traviščni habitati, ki dovoljuje le gnojenje z organskimi gnojili v omejeni količini, je imela za 5.641 </w:t>
      </w:r>
      <w:r w:rsidR="00BE433A" w:rsidRPr="00900F8E">
        <w:rPr>
          <w:sz w:val="22"/>
          <w:szCs w:val="22"/>
          <w:lang w:val="sl-SI"/>
        </w:rPr>
        <w:lastRenderedPageBreak/>
        <w:t xml:space="preserve">ha vloženih zahtevkov. Zahteva </w:t>
      </w:r>
      <w:r w:rsidR="00FD7BFF">
        <w:rPr>
          <w:sz w:val="22"/>
          <w:szCs w:val="22"/>
          <w:lang w:val="sl-SI"/>
        </w:rPr>
        <w:t>g</w:t>
      </w:r>
      <w:r w:rsidR="00BE433A" w:rsidRPr="00900F8E">
        <w:rPr>
          <w:sz w:val="22"/>
          <w:szCs w:val="22"/>
          <w:lang w:val="sl-SI"/>
        </w:rPr>
        <w:t>nojenje z organskimi gnojili z nizkimi izpusti v zrak se je na trajnem travinju izvajala le na 358 ha. Za različne ozelenitve njiv (POZ_POD, VOD_POD, VOD_ZEL, POZ_ZEL, POZ_NEP, VOD_NEP), ki prispevajo k zadržanju dušika, ki bi se sicer v zimskem obdobju izpral v podzemne ali površinske vode, in s tem prek manjše porabe mineralnih gnojil prispevajo k zmanjšanju emisij didušikovega oksida, je bilo vloženih zahtevkov za 33,4 % vseh njiv</w:t>
      </w:r>
      <w:r w:rsidR="00C1253C" w:rsidRPr="00900F8E">
        <w:rPr>
          <w:sz w:val="22"/>
          <w:szCs w:val="22"/>
          <w:lang w:val="sl-SI"/>
        </w:rPr>
        <w:t>;</w:t>
      </w:r>
      <w:r w:rsidR="00BE433A" w:rsidRPr="00900F8E">
        <w:rPr>
          <w:sz w:val="22"/>
          <w:szCs w:val="22"/>
          <w:lang w:val="sl-SI"/>
        </w:rPr>
        <w:t xml:space="preserve"> </w:t>
      </w:r>
    </w:p>
    <w:p w14:paraId="06D5EF33" w14:textId="3F2D27C5" w:rsidR="00637290" w:rsidRPr="00900F8E" w:rsidRDefault="00637290" w:rsidP="00E02BBA">
      <w:pPr>
        <w:pStyle w:val="Default"/>
        <w:numPr>
          <w:ilvl w:val="0"/>
          <w:numId w:val="5"/>
        </w:numPr>
        <w:jc w:val="both"/>
        <w:rPr>
          <w:sz w:val="22"/>
          <w:szCs w:val="22"/>
          <w:lang w:val="sl-SI"/>
        </w:rPr>
      </w:pPr>
      <w:r w:rsidRPr="00900F8E">
        <w:rPr>
          <w:sz w:val="22"/>
          <w:szCs w:val="22"/>
          <w:lang w:val="sl-SI"/>
        </w:rPr>
        <w:t xml:space="preserve">zahteve, ki spodbujajo pašno rejo (KRA_OGRM, KRA_VARPP, KRA_CRED, KRA_PAST) v sklopu ukrepa M10 KOPOP, so se izvajale na 8.258 ha, ukrep M11 EK pa na 48.108 ha. </w:t>
      </w:r>
      <w:r w:rsidR="00D25B73" w:rsidRPr="00900F8E">
        <w:rPr>
          <w:sz w:val="22"/>
          <w:szCs w:val="22"/>
          <w:lang w:val="sl-SI"/>
        </w:rPr>
        <w:t xml:space="preserve">Ukrep M14 se je začel pri prašičih izvajati v letu 2014, pri govedu v letu 2016, pri drobnici pa v letu 2017. </w:t>
      </w:r>
      <w:r w:rsidRPr="00900F8E">
        <w:rPr>
          <w:sz w:val="22"/>
          <w:szCs w:val="22"/>
          <w:lang w:val="sl-SI"/>
        </w:rPr>
        <w:t xml:space="preserve">Izplačila za izvajanje ukrepa je prejelo 252 prašičerejskih kmetij, 7.693 govedorejskih kmetij in 578 kmetij z rejo drobnice. </w:t>
      </w:r>
      <w:r w:rsidR="00E93A48" w:rsidRPr="00900F8E">
        <w:rPr>
          <w:sz w:val="22"/>
          <w:szCs w:val="22"/>
          <w:lang w:val="sl-SI"/>
        </w:rPr>
        <w:t>V</w:t>
      </w:r>
      <w:r w:rsidRPr="00900F8E">
        <w:rPr>
          <w:sz w:val="22"/>
          <w:szCs w:val="22"/>
          <w:lang w:val="sl-SI"/>
        </w:rPr>
        <w:t>ključenih</w:t>
      </w:r>
      <w:r w:rsidR="00E93A48" w:rsidRPr="00900F8E">
        <w:rPr>
          <w:sz w:val="22"/>
          <w:szCs w:val="22"/>
          <w:lang w:val="sl-SI"/>
        </w:rPr>
        <w:t xml:space="preserve"> je bilo</w:t>
      </w:r>
      <w:r w:rsidRPr="00900F8E">
        <w:rPr>
          <w:sz w:val="22"/>
          <w:szCs w:val="22"/>
          <w:lang w:val="sl-SI"/>
        </w:rPr>
        <w:t xml:space="preserve"> 44.678 glav velike živine (GVŽ) prašičev, 89.489 GVŽ goved</w:t>
      </w:r>
      <w:r w:rsidR="00327137">
        <w:rPr>
          <w:sz w:val="22"/>
          <w:szCs w:val="22"/>
          <w:lang w:val="sl-SI"/>
        </w:rPr>
        <w:t>i</w:t>
      </w:r>
      <w:r w:rsidRPr="00900F8E">
        <w:rPr>
          <w:sz w:val="22"/>
          <w:szCs w:val="22"/>
          <w:lang w:val="sl-SI"/>
        </w:rPr>
        <w:t xml:space="preserve"> in 3.961 GVŽ drobnice</w:t>
      </w:r>
      <w:r w:rsidR="00E93A48" w:rsidRPr="00900F8E">
        <w:rPr>
          <w:sz w:val="22"/>
          <w:szCs w:val="22"/>
          <w:lang w:val="sl-SI"/>
        </w:rPr>
        <w:t>;</w:t>
      </w:r>
    </w:p>
    <w:p w14:paraId="588E21A4" w14:textId="0538CFA6" w:rsidR="00E93A48" w:rsidRPr="00900F8E" w:rsidRDefault="00AF46DF" w:rsidP="00E02BBA">
      <w:pPr>
        <w:pStyle w:val="Default"/>
        <w:numPr>
          <w:ilvl w:val="0"/>
          <w:numId w:val="5"/>
        </w:numPr>
        <w:jc w:val="both"/>
        <w:rPr>
          <w:sz w:val="22"/>
          <w:szCs w:val="22"/>
          <w:lang w:val="sl-SI"/>
        </w:rPr>
      </w:pPr>
      <w:r w:rsidRPr="00900F8E">
        <w:rPr>
          <w:sz w:val="22"/>
          <w:szCs w:val="22"/>
          <w:lang w:val="sl-SI"/>
        </w:rPr>
        <w:t>v okviru kontrole prireje mleka so bili pridobljeni podatki o plodnosti, mlečnosti in sestavi mleka za 79.040 molznic (več kot 80 % vseh molznic v Sloveniji).</w:t>
      </w:r>
      <w:r w:rsidRPr="00900F8E">
        <w:t xml:space="preserve"> </w:t>
      </w:r>
      <w:r w:rsidRPr="00900F8E">
        <w:rPr>
          <w:sz w:val="22"/>
          <w:szCs w:val="22"/>
          <w:lang w:val="sl-SI"/>
        </w:rPr>
        <w:t>Mesečne meritve na ravni posameznih molznic so</w:t>
      </w:r>
      <w:r w:rsidRPr="00900F8E">
        <w:t xml:space="preserve"> </w:t>
      </w:r>
      <w:r w:rsidRPr="00900F8E">
        <w:rPr>
          <w:sz w:val="22"/>
          <w:szCs w:val="22"/>
          <w:lang w:val="sl-SI"/>
        </w:rPr>
        <w:t>bile sproti obdelane in rezultati poslani rejcem v nekaj dneh po opravljeni kontroli</w:t>
      </w:r>
      <w:r w:rsidR="001866C7">
        <w:rPr>
          <w:sz w:val="22"/>
          <w:szCs w:val="22"/>
          <w:lang w:val="sl-SI"/>
        </w:rPr>
        <w:t>;</w:t>
      </w:r>
      <w:r w:rsidRPr="00900F8E">
        <w:t xml:space="preserve"> </w:t>
      </w:r>
      <w:r w:rsidR="00584097" w:rsidRPr="00E615AF">
        <w:rPr>
          <w:sz w:val="22"/>
          <w:szCs w:val="22"/>
          <w:lang w:val="sl-SI"/>
        </w:rPr>
        <w:t>v</w:t>
      </w:r>
      <w:r w:rsidR="00584097">
        <w:rPr>
          <w:sz w:val="22"/>
          <w:szCs w:val="22"/>
          <w:lang w:val="sl-SI"/>
        </w:rPr>
        <w:t xml:space="preserve"> </w:t>
      </w:r>
      <w:r w:rsidRPr="00900F8E">
        <w:rPr>
          <w:sz w:val="22"/>
          <w:szCs w:val="22"/>
          <w:lang w:val="sl-SI"/>
        </w:rPr>
        <w:t>sklopu kontrole prireje mesa so se dnevni prirasti spremljali v 33 čredah, tehtanja so bila opravljena na 930 živalih</w:t>
      </w:r>
      <w:r w:rsidR="00EE3A13" w:rsidRPr="00900F8E">
        <w:rPr>
          <w:sz w:val="22"/>
          <w:szCs w:val="22"/>
          <w:lang w:val="sl-SI"/>
        </w:rPr>
        <w:t>;</w:t>
      </w:r>
    </w:p>
    <w:p w14:paraId="0D795F12" w14:textId="6F82B4CC" w:rsidR="00EE3A13" w:rsidRPr="00900F8E" w:rsidRDefault="00C524F4" w:rsidP="00E02BBA">
      <w:pPr>
        <w:pStyle w:val="Default"/>
        <w:numPr>
          <w:ilvl w:val="0"/>
          <w:numId w:val="5"/>
        </w:numPr>
        <w:jc w:val="both"/>
        <w:rPr>
          <w:sz w:val="22"/>
          <w:szCs w:val="22"/>
          <w:lang w:val="sl-SI"/>
        </w:rPr>
      </w:pPr>
      <w:r>
        <w:rPr>
          <w:sz w:val="22"/>
          <w:szCs w:val="22"/>
          <w:lang w:val="sl-SI"/>
        </w:rPr>
        <w:t>j</w:t>
      </w:r>
      <w:r w:rsidR="00EE3A13" w:rsidRPr="00900F8E">
        <w:rPr>
          <w:sz w:val="22"/>
          <w:szCs w:val="22"/>
          <w:lang w:val="sl-SI"/>
        </w:rPr>
        <w:t>avna služba kmetijskega svetovanja je za tehnološko, gospodarsko in okoljevarstveno svetovanje namenila 124.180 svetovalnih ur, od česar je bilo 2.755 ur namenjenih izdelavi krmnih obrokov</w:t>
      </w:r>
      <w:r w:rsidR="00E9771B" w:rsidRPr="00900F8E">
        <w:rPr>
          <w:sz w:val="22"/>
          <w:szCs w:val="22"/>
          <w:lang w:val="sl-SI"/>
        </w:rPr>
        <w:t>;</w:t>
      </w:r>
    </w:p>
    <w:p w14:paraId="09A9E6FC" w14:textId="045ED75F" w:rsidR="00E9771B" w:rsidRDefault="00E9771B" w:rsidP="00E02BBA">
      <w:pPr>
        <w:pStyle w:val="Default"/>
        <w:numPr>
          <w:ilvl w:val="0"/>
          <w:numId w:val="5"/>
        </w:numPr>
        <w:jc w:val="both"/>
        <w:rPr>
          <w:sz w:val="22"/>
          <w:szCs w:val="22"/>
          <w:lang w:val="sl-SI"/>
        </w:rPr>
      </w:pPr>
      <w:r w:rsidRPr="00900F8E">
        <w:rPr>
          <w:sz w:val="22"/>
          <w:szCs w:val="22"/>
          <w:lang w:val="sl-SI"/>
        </w:rPr>
        <w:t xml:space="preserve">v okviru podukrepa M19.2 </w:t>
      </w:r>
      <w:r w:rsidR="00C524F4">
        <w:rPr>
          <w:sz w:val="22"/>
          <w:szCs w:val="22"/>
          <w:lang w:val="sl-SI"/>
        </w:rPr>
        <w:t>p</w:t>
      </w:r>
      <w:r w:rsidRPr="00900F8E">
        <w:rPr>
          <w:sz w:val="22"/>
          <w:szCs w:val="22"/>
          <w:lang w:val="sl-SI"/>
        </w:rPr>
        <w:t>odpora za izvajanje operacij v okviru strategije lokalnega razvoja, ki ga vodi skupnost</w:t>
      </w:r>
      <w:r w:rsidR="001866C7">
        <w:rPr>
          <w:sz w:val="22"/>
          <w:szCs w:val="22"/>
          <w:lang w:val="sl-SI"/>
        </w:rPr>
        <w:t>,</w:t>
      </w:r>
      <w:r w:rsidRPr="00900F8E">
        <w:rPr>
          <w:sz w:val="22"/>
          <w:szCs w:val="22"/>
          <w:lang w:val="sl-SI"/>
        </w:rPr>
        <w:t xml:space="preserve"> </w:t>
      </w:r>
      <w:r w:rsidR="00EE0770" w:rsidRPr="00900F8E">
        <w:rPr>
          <w:sz w:val="22"/>
          <w:szCs w:val="22"/>
          <w:lang w:val="sl-SI"/>
        </w:rPr>
        <w:t xml:space="preserve">je bilo </w:t>
      </w:r>
      <w:r w:rsidRPr="00900F8E">
        <w:rPr>
          <w:sz w:val="22"/>
          <w:szCs w:val="22"/>
          <w:lang w:val="sl-SI"/>
        </w:rPr>
        <w:t xml:space="preserve">odobrenih 525 vlog v vrednosti 24.104.309 </w:t>
      </w:r>
      <w:r w:rsidR="00EE0770" w:rsidRPr="00900F8E">
        <w:rPr>
          <w:sz w:val="22"/>
          <w:szCs w:val="22"/>
          <w:lang w:val="sl-SI"/>
        </w:rPr>
        <w:t>evrov. S</w:t>
      </w:r>
      <w:r w:rsidRPr="00900F8E">
        <w:rPr>
          <w:sz w:val="22"/>
          <w:szCs w:val="22"/>
          <w:lang w:val="sl-SI"/>
        </w:rPr>
        <w:t xml:space="preserve"> področja varovanja okolja </w:t>
      </w:r>
      <w:r w:rsidR="00EE0770" w:rsidRPr="00900F8E">
        <w:rPr>
          <w:sz w:val="22"/>
          <w:szCs w:val="22"/>
          <w:lang w:val="sl-SI"/>
        </w:rPr>
        <w:t xml:space="preserve">je bilo </w:t>
      </w:r>
      <w:r w:rsidRPr="00900F8E">
        <w:rPr>
          <w:sz w:val="22"/>
          <w:szCs w:val="22"/>
          <w:lang w:val="sl-SI"/>
        </w:rPr>
        <w:t>7 % projektov.</w:t>
      </w:r>
    </w:p>
    <w:p w14:paraId="630194FA" w14:textId="4579024C" w:rsidR="00C83956" w:rsidRPr="00900F8E" w:rsidRDefault="00C83956" w:rsidP="00C83956">
      <w:pPr>
        <w:pStyle w:val="Default"/>
        <w:jc w:val="both"/>
        <w:rPr>
          <w:sz w:val="22"/>
          <w:szCs w:val="22"/>
          <w:lang w:val="sl-SI"/>
        </w:rPr>
      </w:pPr>
      <w:r w:rsidRPr="00900F8E">
        <w:rPr>
          <w:sz w:val="22"/>
          <w:szCs w:val="22"/>
          <w:lang w:val="sl-SI"/>
        </w:rPr>
        <w:t>V letu 2021 so se izvajal</w:t>
      </w:r>
      <w:r w:rsidR="003F6A94" w:rsidRPr="00900F8E">
        <w:rPr>
          <w:sz w:val="22"/>
          <w:szCs w:val="22"/>
          <w:lang w:val="sl-SI"/>
        </w:rPr>
        <w:t>e</w:t>
      </w:r>
      <w:r w:rsidRPr="00900F8E">
        <w:rPr>
          <w:sz w:val="22"/>
          <w:szCs w:val="22"/>
          <w:lang w:val="sl-SI"/>
        </w:rPr>
        <w:t xml:space="preserve"> naslednj</w:t>
      </w:r>
      <w:r w:rsidR="003F6A94" w:rsidRPr="00900F8E">
        <w:rPr>
          <w:sz w:val="22"/>
          <w:szCs w:val="22"/>
          <w:lang w:val="sl-SI"/>
        </w:rPr>
        <w:t>e</w:t>
      </w:r>
      <w:r w:rsidRPr="00900F8E">
        <w:rPr>
          <w:sz w:val="22"/>
          <w:szCs w:val="22"/>
          <w:lang w:val="sl-SI"/>
        </w:rPr>
        <w:t xml:space="preserve"> </w:t>
      </w:r>
      <w:r w:rsidR="001D6649">
        <w:rPr>
          <w:sz w:val="22"/>
          <w:szCs w:val="22"/>
          <w:lang w:val="sl-SI"/>
        </w:rPr>
        <w:t>dejavnosti</w:t>
      </w:r>
      <w:r w:rsidRPr="00900F8E">
        <w:rPr>
          <w:sz w:val="22"/>
          <w:szCs w:val="22"/>
          <w:lang w:val="sl-SI"/>
        </w:rPr>
        <w:t>:</w:t>
      </w:r>
    </w:p>
    <w:p w14:paraId="65B4C54A" w14:textId="20D07B73" w:rsidR="00C83956" w:rsidRPr="00900F8E" w:rsidRDefault="00BA464E" w:rsidP="003F6A94">
      <w:pPr>
        <w:pStyle w:val="Default"/>
        <w:numPr>
          <w:ilvl w:val="0"/>
          <w:numId w:val="23"/>
        </w:numPr>
        <w:jc w:val="both"/>
        <w:rPr>
          <w:sz w:val="22"/>
          <w:szCs w:val="22"/>
          <w:lang w:val="sl-SI"/>
        </w:rPr>
      </w:pPr>
      <w:r w:rsidRPr="00900F8E">
        <w:rPr>
          <w:sz w:val="22"/>
          <w:szCs w:val="22"/>
          <w:lang w:val="sl-SI"/>
        </w:rPr>
        <w:t xml:space="preserve">za podukrep M16.5 </w:t>
      </w:r>
      <w:r w:rsidR="00C524F4">
        <w:rPr>
          <w:sz w:val="22"/>
          <w:szCs w:val="22"/>
          <w:lang w:val="sl-SI"/>
        </w:rPr>
        <w:t>p</w:t>
      </w:r>
      <w:r w:rsidRPr="00900F8E">
        <w:rPr>
          <w:sz w:val="22"/>
          <w:szCs w:val="22"/>
          <w:lang w:val="sl-SI"/>
        </w:rPr>
        <w:t xml:space="preserve">odpora za skupno ukrepanje za blažitev podnebnih sprememb ali prilagajanje nanje ter za skupne pristope k okoljskim projektom in stalnim okoljskim praksam je bil objavljen en razpis. V sklopu podukrepa M16.5 je bilo odobrenih 16 pilotnih projektov in 23 projektov </w:t>
      </w:r>
      <w:r w:rsidR="00816F4E">
        <w:rPr>
          <w:sz w:val="22"/>
          <w:szCs w:val="22"/>
          <w:lang w:val="sl-SI"/>
        </w:rPr>
        <w:t>e</w:t>
      </w:r>
      <w:r w:rsidRPr="00900F8E">
        <w:rPr>
          <w:sz w:val="22"/>
          <w:szCs w:val="22"/>
          <w:lang w:val="sl-SI"/>
        </w:rPr>
        <w:t xml:space="preserve">vropskega inovativnega partnerstva v skupni vrednosti 6.307.410 evrov. K blaženju podnebnih sprememb prispevajo tudi nekateri projekti za podukrep 16.2 </w:t>
      </w:r>
      <w:r w:rsidR="00C524F4">
        <w:rPr>
          <w:sz w:val="22"/>
          <w:szCs w:val="22"/>
          <w:lang w:val="sl-SI"/>
        </w:rPr>
        <w:t>r</w:t>
      </w:r>
      <w:r w:rsidRPr="00900F8E">
        <w:rPr>
          <w:sz w:val="22"/>
          <w:szCs w:val="22"/>
          <w:lang w:val="sl-SI"/>
        </w:rPr>
        <w:t xml:space="preserve">azvoj novih proizvodov, praks, procesov in tehnologij. Med izbranimi je dvajset projektov, ki bodo znatneje prispevali k zmanjševanju emisij toplogrednih plinov na področju kmetijstva, in sicer gre za projekte s področij učinkovitejšega kroženja hranil v kmetijstvu in oskrbe kmetijskih rastlin s hranili, pridelovanja zrnatih stročnic in travno-deteljnih mešanic, učinkovite prireje govejega in prašičjega mesa, rejskih programov, selekcije in načinov reje živali, izboljšanja izkoriščanja živinskih gnojil, izkoriščanja koruznih oklaskov kot obnovljivega vira energije in sodobnih sistemov svetovanja na kmetijah. K zmanjšanju emisij toplogrednih plinov prispevajo tudi projekti podukrepa M16.4 </w:t>
      </w:r>
      <w:r w:rsidR="00C524F4">
        <w:rPr>
          <w:sz w:val="22"/>
          <w:szCs w:val="22"/>
          <w:lang w:val="sl-SI"/>
        </w:rPr>
        <w:t>v</w:t>
      </w:r>
      <w:r w:rsidRPr="00900F8E">
        <w:rPr>
          <w:sz w:val="22"/>
          <w:szCs w:val="22"/>
          <w:lang w:val="sl-SI"/>
        </w:rPr>
        <w:t>zpostavitev in razvoj kratkih dobavnih verig in lokalnih trgov;</w:t>
      </w:r>
    </w:p>
    <w:p w14:paraId="697142FE" w14:textId="6F3EE3DF" w:rsidR="00BA464E" w:rsidRPr="00900F8E" w:rsidRDefault="001446B8" w:rsidP="003F6A94">
      <w:pPr>
        <w:pStyle w:val="Default"/>
        <w:numPr>
          <w:ilvl w:val="0"/>
          <w:numId w:val="23"/>
        </w:numPr>
        <w:jc w:val="both"/>
        <w:rPr>
          <w:sz w:val="22"/>
          <w:szCs w:val="22"/>
          <w:lang w:val="sl-SI"/>
        </w:rPr>
      </w:pPr>
      <w:r w:rsidRPr="00900F8E">
        <w:rPr>
          <w:sz w:val="22"/>
          <w:szCs w:val="22"/>
          <w:lang w:val="sl-SI"/>
        </w:rPr>
        <w:t>Ministrstvo za kmetijstvo, gozdarstvo in prehrano</w:t>
      </w:r>
      <w:r w:rsidR="00B25658">
        <w:rPr>
          <w:sz w:val="22"/>
          <w:szCs w:val="22"/>
          <w:lang w:val="sl-SI"/>
        </w:rPr>
        <w:t xml:space="preserve"> RS</w:t>
      </w:r>
      <w:r w:rsidRPr="00900F8E">
        <w:rPr>
          <w:sz w:val="22"/>
          <w:szCs w:val="22"/>
          <w:lang w:val="sl-SI"/>
        </w:rPr>
        <w:t xml:space="preserve"> je pripravilo osnutek Strateškega načrta skupne kmetijske politike 2023</w:t>
      </w:r>
      <w:r w:rsidR="009B1AF1">
        <w:rPr>
          <w:sz w:val="22"/>
          <w:szCs w:val="22"/>
          <w:lang w:val="sl-SI"/>
        </w:rPr>
        <w:t>–</w:t>
      </w:r>
      <w:r w:rsidRPr="00900F8E">
        <w:rPr>
          <w:sz w:val="22"/>
          <w:szCs w:val="22"/>
          <w:lang w:val="sl-SI"/>
        </w:rPr>
        <w:t xml:space="preserve">2037 za Slovenijo. Dokumenti strateškega načrta skupne kmetijske politike so bili potrjeni na Vladi Republike Slovenije in uradno </w:t>
      </w:r>
      <w:r w:rsidR="00B25658">
        <w:rPr>
          <w:sz w:val="22"/>
          <w:szCs w:val="22"/>
          <w:lang w:val="sl-SI"/>
        </w:rPr>
        <w:t>poslani</w:t>
      </w:r>
      <w:r w:rsidR="00B25658" w:rsidRPr="00900F8E">
        <w:rPr>
          <w:sz w:val="22"/>
          <w:szCs w:val="22"/>
          <w:lang w:val="sl-SI"/>
        </w:rPr>
        <w:t xml:space="preserve"> </w:t>
      </w:r>
      <w:r w:rsidRPr="00900F8E">
        <w:rPr>
          <w:sz w:val="22"/>
          <w:szCs w:val="22"/>
          <w:lang w:val="sl-SI"/>
        </w:rPr>
        <w:t xml:space="preserve">v presojo Evropski komisiji. Ukrepi za blaženje podnebnih sprememb in prilagajanje na podnebne spremembe so prvič načrtovani posebej v sklopu </w:t>
      </w:r>
      <w:r w:rsidR="00B25658">
        <w:rPr>
          <w:sz w:val="22"/>
          <w:szCs w:val="22"/>
          <w:lang w:val="sl-SI"/>
        </w:rPr>
        <w:t>s</w:t>
      </w:r>
      <w:r w:rsidRPr="00900F8E">
        <w:rPr>
          <w:sz w:val="22"/>
          <w:szCs w:val="22"/>
          <w:lang w:val="sl-SI"/>
        </w:rPr>
        <w:t xml:space="preserve">pecifičnega cilja 4: </w:t>
      </w:r>
      <w:r w:rsidR="00B25658">
        <w:rPr>
          <w:sz w:val="22"/>
          <w:szCs w:val="22"/>
          <w:lang w:val="sl-SI"/>
        </w:rPr>
        <w:t>p</w:t>
      </w:r>
      <w:r w:rsidRPr="00900F8E">
        <w:rPr>
          <w:sz w:val="22"/>
          <w:szCs w:val="22"/>
          <w:lang w:val="sl-SI"/>
        </w:rPr>
        <w:t xml:space="preserve">rispevanje k blažitvi podnebnih sprememb in prilagajanju nanje ter k trajnostni energiji. Prav tako je prvič posebej </w:t>
      </w:r>
      <w:r w:rsidR="00B25658">
        <w:rPr>
          <w:sz w:val="22"/>
          <w:szCs w:val="22"/>
          <w:lang w:val="sl-SI"/>
        </w:rPr>
        <w:t>obravnavan</w:t>
      </w:r>
      <w:r w:rsidR="00B25658" w:rsidRPr="00900F8E">
        <w:rPr>
          <w:sz w:val="22"/>
          <w:szCs w:val="22"/>
          <w:lang w:val="sl-SI"/>
        </w:rPr>
        <w:t xml:space="preserve"> </w:t>
      </w:r>
      <w:r w:rsidRPr="00900F8E">
        <w:rPr>
          <w:sz w:val="22"/>
          <w:szCs w:val="22"/>
          <w:lang w:val="sl-SI"/>
        </w:rPr>
        <w:t xml:space="preserve">kmetijski sistem znanja in inovacij v sklopu </w:t>
      </w:r>
      <w:r w:rsidR="00B25658">
        <w:rPr>
          <w:sz w:val="22"/>
          <w:szCs w:val="22"/>
          <w:lang w:val="sl-SI"/>
        </w:rPr>
        <w:t>s</w:t>
      </w:r>
      <w:r w:rsidRPr="00900F8E">
        <w:rPr>
          <w:sz w:val="22"/>
          <w:szCs w:val="22"/>
          <w:lang w:val="sl-SI"/>
        </w:rPr>
        <w:t>pecifičnega cilja 10: AKIS;</w:t>
      </w:r>
    </w:p>
    <w:p w14:paraId="6D74DA6A" w14:textId="48BE96FD" w:rsidR="003F6A94" w:rsidRPr="00900F8E" w:rsidRDefault="00FE07A1" w:rsidP="00640804">
      <w:pPr>
        <w:pStyle w:val="Default"/>
        <w:numPr>
          <w:ilvl w:val="0"/>
          <w:numId w:val="23"/>
        </w:numPr>
        <w:jc w:val="both"/>
        <w:rPr>
          <w:sz w:val="22"/>
          <w:szCs w:val="22"/>
          <w:lang w:val="sl-SI"/>
        </w:rPr>
      </w:pPr>
      <w:r w:rsidRPr="00900F8E">
        <w:rPr>
          <w:sz w:val="22"/>
          <w:szCs w:val="22"/>
          <w:lang w:val="sl-SI"/>
        </w:rPr>
        <w:t xml:space="preserve">v sklopu podukrepa M04.1 je bilo objavljenih šest razpisov za naložbe v kmetijska gospodarstva v skupni vrednosti 73.334.910 evrov, od česar je bil en razpis v vrednosti 27.424.000 evrov ciljno usmerjen v naložbe v zmanjšanje emisij TGP iz kmetijstva. Predmet podpore so bile individualne naložbe kmetijskih gospodarstev v izboljšanje učinkovitosti rabe živinskih gnojil ter zmanjšanje emisij toplogrednih plinov in amonijaka </w:t>
      </w:r>
      <w:r w:rsidR="00B10913">
        <w:rPr>
          <w:sz w:val="22"/>
          <w:szCs w:val="22"/>
          <w:lang w:val="sl-SI"/>
        </w:rPr>
        <w:t>ter</w:t>
      </w:r>
      <w:r w:rsidR="00B10913" w:rsidRPr="00900F8E">
        <w:rPr>
          <w:sz w:val="22"/>
          <w:szCs w:val="22"/>
          <w:lang w:val="sl-SI"/>
        </w:rPr>
        <w:t xml:space="preserve"> </w:t>
      </w:r>
      <w:r w:rsidRPr="00900F8E">
        <w:rPr>
          <w:sz w:val="22"/>
          <w:szCs w:val="22"/>
          <w:lang w:val="sl-SI"/>
        </w:rPr>
        <w:t xml:space="preserve">ureditev hlevov oziroma nakup pripadajoče opreme, če z isto vlogo kmetijska gospodarstva uveljavljajo podporo za naložbo v povečanje </w:t>
      </w:r>
      <w:r w:rsidR="00B33D6E">
        <w:rPr>
          <w:sz w:val="22"/>
          <w:szCs w:val="22"/>
          <w:lang w:val="sl-SI"/>
        </w:rPr>
        <w:t>zmogljivosti</w:t>
      </w:r>
      <w:r w:rsidR="00B33D6E" w:rsidRPr="00900F8E">
        <w:rPr>
          <w:sz w:val="22"/>
          <w:szCs w:val="22"/>
          <w:lang w:val="sl-SI"/>
        </w:rPr>
        <w:t xml:space="preserve"> </w:t>
      </w:r>
      <w:r w:rsidRPr="00900F8E">
        <w:rPr>
          <w:sz w:val="22"/>
          <w:szCs w:val="22"/>
          <w:lang w:val="sl-SI"/>
        </w:rPr>
        <w:t xml:space="preserve">za skladiščenje živinskih gnojil, ki presegajo minimalne zahteve oziroma povečanje </w:t>
      </w:r>
      <w:r w:rsidR="00272EDB">
        <w:rPr>
          <w:sz w:val="22"/>
          <w:szCs w:val="22"/>
          <w:lang w:val="sl-SI"/>
        </w:rPr>
        <w:t xml:space="preserve">OVE </w:t>
      </w:r>
      <w:r w:rsidRPr="00900F8E">
        <w:rPr>
          <w:sz w:val="22"/>
          <w:szCs w:val="22"/>
          <w:lang w:val="sl-SI"/>
        </w:rPr>
        <w:t xml:space="preserve">oziroma </w:t>
      </w:r>
      <w:r w:rsidR="00F524B6">
        <w:rPr>
          <w:sz w:val="22"/>
          <w:szCs w:val="22"/>
          <w:lang w:val="sl-SI"/>
        </w:rPr>
        <w:t>URE</w:t>
      </w:r>
      <w:r w:rsidRPr="00900F8E">
        <w:rPr>
          <w:sz w:val="22"/>
          <w:szCs w:val="22"/>
          <w:lang w:val="sl-SI"/>
        </w:rPr>
        <w:t xml:space="preserve">. </w:t>
      </w:r>
      <w:r w:rsidRPr="00900F8E">
        <w:rPr>
          <w:sz w:val="22"/>
          <w:szCs w:val="22"/>
          <w:lang w:val="sl-SI"/>
        </w:rPr>
        <w:lastRenderedPageBreak/>
        <w:t xml:space="preserve">Za podukrep M04.3 </w:t>
      </w:r>
      <w:r w:rsidR="00097958">
        <w:rPr>
          <w:sz w:val="22"/>
          <w:szCs w:val="22"/>
          <w:lang w:val="sl-SI"/>
        </w:rPr>
        <w:t>n</w:t>
      </w:r>
      <w:r w:rsidRPr="00900F8E">
        <w:rPr>
          <w:sz w:val="22"/>
          <w:szCs w:val="22"/>
          <w:lang w:val="sl-SI"/>
        </w:rPr>
        <w:t xml:space="preserve">aložbe v infrastrukturo je bilo objavljenih </w:t>
      </w:r>
      <w:r w:rsidR="00DC5A1E" w:rsidRPr="00900F8E">
        <w:rPr>
          <w:sz w:val="22"/>
          <w:szCs w:val="22"/>
          <w:lang w:val="sl-SI"/>
        </w:rPr>
        <w:t>pet</w:t>
      </w:r>
      <w:r w:rsidRPr="00900F8E">
        <w:rPr>
          <w:sz w:val="22"/>
          <w:szCs w:val="22"/>
          <w:lang w:val="sl-SI"/>
        </w:rPr>
        <w:t xml:space="preserve"> razpisov v vrednosti 12.700.000 </w:t>
      </w:r>
      <w:r w:rsidR="00DC5A1E" w:rsidRPr="00900F8E">
        <w:rPr>
          <w:sz w:val="22"/>
          <w:szCs w:val="22"/>
          <w:lang w:val="sl-SI"/>
        </w:rPr>
        <w:t>evrov;</w:t>
      </w:r>
    </w:p>
    <w:p w14:paraId="40AB7BBB" w14:textId="6F38656D" w:rsidR="00725F4A" w:rsidRPr="00900F8E" w:rsidRDefault="00725F4A" w:rsidP="00725F4A">
      <w:pPr>
        <w:pStyle w:val="Default"/>
        <w:numPr>
          <w:ilvl w:val="0"/>
          <w:numId w:val="23"/>
        </w:numPr>
        <w:jc w:val="both"/>
        <w:rPr>
          <w:sz w:val="22"/>
          <w:szCs w:val="22"/>
          <w:lang w:val="sl-SI"/>
        </w:rPr>
      </w:pPr>
      <w:r w:rsidRPr="00900F8E">
        <w:rPr>
          <w:sz w:val="22"/>
          <w:szCs w:val="22"/>
          <w:lang w:val="sl-SI"/>
        </w:rPr>
        <w:t>ukrep M10</w:t>
      </w:r>
      <w:r w:rsidRPr="00900F8E">
        <w:t xml:space="preserve"> </w:t>
      </w:r>
      <w:r w:rsidRPr="00900F8E">
        <w:rPr>
          <w:sz w:val="22"/>
          <w:szCs w:val="22"/>
          <w:lang w:val="sl-SI"/>
        </w:rPr>
        <w:t xml:space="preserve">KOPOP se je izvajal na 359.271 ha (bruto </w:t>
      </w:r>
      <w:r w:rsidR="00097958">
        <w:rPr>
          <w:sz w:val="22"/>
          <w:szCs w:val="22"/>
          <w:lang w:val="sl-SI"/>
        </w:rPr>
        <w:t xml:space="preserve">– </w:t>
      </w:r>
      <w:r w:rsidRPr="00900F8E">
        <w:rPr>
          <w:sz w:val="22"/>
          <w:szCs w:val="22"/>
          <w:lang w:val="sl-SI"/>
        </w:rPr>
        <w:t>pomeni, da če se na istem zemljišču izvaja več zahtev, površina šteje večkrat), M11 pa na 49.448 ha (podatki o vloženih zahtevkih). Največj</w:t>
      </w:r>
      <w:r w:rsidR="00097958">
        <w:rPr>
          <w:sz w:val="22"/>
          <w:szCs w:val="22"/>
          <w:lang w:val="sl-SI"/>
        </w:rPr>
        <w:t>i</w:t>
      </w:r>
      <w:r w:rsidRPr="00900F8E">
        <w:rPr>
          <w:sz w:val="22"/>
          <w:szCs w:val="22"/>
          <w:lang w:val="sl-SI"/>
        </w:rPr>
        <w:t xml:space="preserve"> učink</w:t>
      </w:r>
      <w:r w:rsidR="00097958">
        <w:rPr>
          <w:sz w:val="22"/>
          <w:szCs w:val="22"/>
          <w:lang w:val="sl-SI"/>
        </w:rPr>
        <w:t>i</w:t>
      </w:r>
      <w:r w:rsidRPr="00900F8E">
        <w:rPr>
          <w:sz w:val="22"/>
          <w:szCs w:val="22"/>
          <w:lang w:val="sl-SI"/>
        </w:rPr>
        <w:t xml:space="preserve"> se pričakuje</w:t>
      </w:r>
      <w:r w:rsidR="00097958">
        <w:rPr>
          <w:sz w:val="22"/>
          <w:szCs w:val="22"/>
          <w:lang w:val="sl-SI"/>
        </w:rPr>
        <w:t>jo</w:t>
      </w:r>
      <w:r w:rsidRPr="00900F8E">
        <w:rPr>
          <w:sz w:val="22"/>
          <w:szCs w:val="22"/>
          <w:lang w:val="sl-SI"/>
        </w:rPr>
        <w:t xml:space="preserve"> zaradi operacije </w:t>
      </w:r>
      <w:r w:rsidR="00D37508">
        <w:rPr>
          <w:sz w:val="22"/>
          <w:szCs w:val="22"/>
          <w:lang w:val="sl-SI"/>
        </w:rPr>
        <w:t>p</w:t>
      </w:r>
      <w:r w:rsidRPr="00900F8E">
        <w:rPr>
          <w:sz w:val="22"/>
          <w:szCs w:val="22"/>
          <w:lang w:val="sl-SI"/>
        </w:rPr>
        <w:t xml:space="preserve">oljedelstvo in zelenjadarstvo, ki se je izvajala na 63.656 ha (podatki o vloženih zahtevkih), kar </w:t>
      </w:r>
      <w:r w:rsidR="009E7C98">
        <w:rPr>
          <w:sz w:val="22"/>
          <w:szCs w:val="22"/>
          <w:lang w:val="sl-SI"/>
        </w:rPr>
        <w:t>je</w:t>
      </w:r>
      <w:r w:rsidR="009E7C98" w:rsidRPr="00900F8E">
        <w:rPr>
          <w:sz w:val="22"/>
          <w:szCs w:val="22"/>
          <w:lang w:val="sl-SI"/>
        </w:rPr>
        <w:t xml:space="preserve"> </w:t>
      </w:r>
      <w:r w:rsidRPr="00900F8E">
        <w:rPr>
          <w:sz w:val="22"/>
          <w:szCs w:val="22"/>
          <w:lang w:val="sl-SI"/>
        </w:rPr>
        <w:t>35,6 % vseh njiv v Sloveniji</w:t>
      </w:r>
      <w:r w:rsidR="00D37508">
        <w:rPr>
          <w:sz w:val="22"/>
          <w:szCs w:val="22"/>
          <w:lang w:val="sl-SI"/>
        </w:rPr>
        <w:t>,</w:t>
      </w:r>
      <w:r w:rsidRPr="00900F8E">
        <w:rPr>
          <w:sz w:val="22"/>
          <w:szCs w:val="22"/>
          <w:lang w:val="sl-SI"/>
        </w:rPr>
        <w:t xml:space="preserve"> in pri kateri je obvezen petleten kolobar in izvajanje gnojenja na podlagi meritev mineralnega dušika v tleh. Med izbirnimi zahtevami operacije </w:t>
      </w:r>
      <w:r w:rsidR="00D37508">
        <w:rPr>
          <w:sz w:val="22"/>
          <w:szCs w:val="22"/>
          <w:lang w:val="sl-SI"/>
        </w:rPr>
        <w:t>p</w:t>
      </w:r>
      <w:r w:rsidRPr="00900F8E">
        <w:rPr>
          <w:sz w:val="22"/>
          <w:szCs w:val="22"/>
          <w:lang w:val="sl-SI"/>
        </w:rPr>
        <w:t xml:space="preserve">oljedelstvo in zelenjadarstvo je tudi zahteva </w:t>
      </w:r>
      <w:r w:rsidR="00D37508">
        <w:rPr>
          <w:sz w:val="22"/>
          <w:szCs w:val="22"/>
          <w:lang w:val="sl-SI"/>
        </w:rPr>
        <w:t>g</w:t>
      </w:r>
      <w:r w:rsidRPr="00900F8E">
        <w:rPr>
          <w:sz w:val="22"/>
          <w:szCs w:val="22"/>
          <w:lang w:val="sl-SI"/>
        </w:rPr>
        <w:t xml:space="preserve">nojenje z organskimi gnojili z nizkimi izpusti v zrak, za katero so bili vloženi zahtevki za 20.342 ha, to je 11,4 % vseh njiv. Za operacijo </w:t>
      </w:r>
      <w:r w:rsidR="009E7C98">
        <w:rPr>
          <w:sz w:val="22"/>
          <w:szCs w:val="22"/>
          <w:lang w:val="sl-SI"/>
        </w:rPr>
        <w:t>h</w:t>
      </w:r>
      <w:r w:rsidRPr="00900F8E">
        <w:rPr>
          <w:sz w:val="22"/>
          <w:szCs w:val="22"/>
          <w:lang w:val="sl-SI"/>
        </w:rPr>
        <w:t xml:space="preserve">meljarstvo, pri kateri so za izvajanje gnojenja prav tako obvezne določitve mineralnega dušika v tleh, so bili zahtevki vloženi za 544 ha. Tudi v okviru te operacije so se lahko kmetje odločili za izbirno zahtevo </w:t>
      </w:r>
      <w:r w:rsidR="009E7C98">
        <w:rPr>
          <w:sz w:val="22"/>
          <w:szCs w:val="22"/>
          <w:lang w:val="sl-SI"/>
        </w:rPr>
        <w:t>g</w:t>
      </w:r>
      <w:r w:rsidRPr="00900F8E">
        <w:rPr>
          <w:sz w:val="22"/>
          <w:szCs w:val="22"/>
          <w:lang w:val="sl-SI"/>
        </w:rPr>
        <w:t xml:space="preserve">nojenje z organskimi gnojili z nizkimi izpusti v zrak ter vložili zahtevke za 268 ha. Na trajnem travinju prispeva k manjšim emisijam didušikovega oksida operacija </w:t>
      </w:r>
      <w:r w:rsidR="0035120C">
        <w:rPr>
          <w:sz w:val="22"/>
          <w:szCs w:val="22"/>
          <w:lang w:val="sl-SI"/>
        </w:rPr>
        <w:t>p</w:t>
      </w:r>
      <w:r w:rsidRPr="00900F8E">
        <w:rPr>
          <w:sz w:val="22"/>
          <w:szCs w:val="22"/>
          <w:lang w:val="sl-SI"/>
        </w:rPr>
        <w:t xml:space="preserve">osebni traviščni habitati, ki dovoljuje le gnojenje z organskimi gnojili v omejeni količini, pri čemer mineralna gnojila niso dovoljena. Za to operacijo je bilo vloženih zahtevkov za 5.921 ha. Zahteva </w:t>
      </w:r>
      <w:r w:rsidR="0035120C">
        <w:rPr>
          <w:sz w:val="22"/>
          <w:szCs w:val="22"/>
          <w:lang w:val="sl-SI"/>
        </w:rPr>
        <w:t>g</w:t>
      </w:r>
      <w:r w:rsidRPr="00900F8E">
        <w:rPr>
          <w:sz w:val="22"/>
          <w:szCs w:val="22"/>
          <w:lang w:val="sl-SI"/>
        </w:rPr>
        <w:t>nojenje z organskimi gnojili z nizkimi izpusti v zrak se je na trajnem travinju izvajala v zelo omejenem obsegu, in sicer so bili zahtevki vloženi le za 307 ha, kar je 0,09 % od skupne površine trajnega travinja. Za različne ozelenitve njiv (POZ_POD, VOD_POD, VOD_ZEL, POZ_ZEL, POZ_NEP, VOD_NEP), ki prispevajo k zadržanju dušika, ki bi se sicer v zimskem obdobju izpral v podzemne ali površinske vode, in s tem prek manjše porabe mineralnih gnojil prispevajo k zmanjšanju emisij didušikovega oksida, so bili vloženi zahtevki za 60.013 ha, kar je 33,6 % vseh njiv.</w:t>
      </w:r>
    </w:p>
    <w:p w14:paraId="26096757" w14:textId="204C9804" w:rsidR="003F6A94" w:rsidRPr="00900F8E" w:rsidRDefault="00725F4A" w:rsidP="00442196">
      <w:pPr>
        <w:pStyle w:val="Default"/>
        <w:ind w:left="360"/>
        <w:jc w:val="both"/>
        <w:rPr>
          <w:sz w:val="22"/>
          <w:szCs w:val="22"/>
          <w:lang w:val="sl-SI"/>
        </w:rPr>
      </w:pPr>
      <w:r w:rsidRPr="00900F8E">
        <w:rPr>
          <w:sz w:val="22"/>
          <w:szCs w:val="22"/>
          <w:lang w:val="sl-SI"/>
        </w:rPr>
        <w:t xml:space="preserve">K zmanjšanju emisij didušikovega oksida prispeva tudi ukrep </w:t>
      </w:r>
      <w:r w:rsidR="00C82DE1">
        <w:rPr>
          <w:sz w:val="22"/>
          <w:szCs w:val="22"/>
          <w:lang w:val="sl-SI"/>
        </w:rPr>
        <w:t>e</w:t>
      </w:r>
      <w:r w:rsidRPr="00900F8E">
        <w:rPr>
          <w:sz w:val="22"/>
          <w:szCs w:val="22"/>
          <w:lang w:val="sl-SI"/>
        </w:rPr>
        <w:t>kološko kmetovanje, ki omejuje uporabo lahko topnih mineralnih gnojil</w:t>
      </w:r>
      <w:r w:rsidR="00442196" w:rsidRPr="00900F8E">
        <w:rPr>
          <w:sz w:val="22"/>
          <w:szCs w:val="22"/>
          <w:lang w:val="sl-SI"/>
        </w:rPr>
        <w:t>. Z</w:t>
      </w:r>
      <w:r w:rsidRPr="00900F8E">
        <w:rPr>
          <w:sz w:val="22"/>
          <w:szCs w:val="22"/>
          <w:lang w:val="sl-SI"/>
        </w:rPr>
        <w:t>ahtevki so bili vloženi za 49.448 ha</w:t>
      </w:r>
      <w:r w:rsidR="00442196" w:rsidRPr="00900F8E">
        <w:rPr>
          <w:sz w:val="22"/>
          <w:szCs w:val="22"/>
          <w:lang w:val="sl-SI"/>
        </w:rPr>
        <w:t>, pri čemer</w:t>
      </w:r>
      <w:r w:rsidRPr="00900F8E">
        <w:rPr>
          <w:sz w:val="22"/>
          <w:szCs w:val="22"/>
          <w:lang w:val="sl-SI"/>
        </w:rPr>
        <w:t xml:space="preserve"> je treba upoštevati, da je </w:t>
      </w:r>
      <w:r w:rsidR="0035120C">
        <w:rPr>
          <w:sz w:val="22"/>
          <w:szCs w:val="22"/>
          <w:lang w:val="sl-SI"/>
        </w:rPr>
        <w:t>več kot</w:t>
      </w:r>
      <w:r w:rsidR="0035120C" w:rsidRPr="00900F8E">
        <w:rPr>
          <w:sz w:val="22"/>
          <w:szCs w:val="22"/>
          <w:lang w:val="sl-SI"/>
        </w:rPr>
        <w:t xml:space="preserve"> </w:t>
      </w:r>
      <w:r w:rsidRPr="00900F8E">
        <w:rPr>
          <w:sz w:val="22"/>
          <w:szCs w:val="22"/>
          <w:lang w:val="sl-SI"/>
        </w:rPr>
        <w:t>80 % vseh</w:t>
      </w:r>
      <w:r w:rsidRPr="00900F8E">
        <w:t xml:space="preserve"> </w:t>
      </w:r>
      <w:r w:rsidRPr="00900F8E">
        <w:rPr>
          <w:sz w:val="22"/>
          <w:szCs w:val="22"/>
          <w:lang w:val="sl-SI"/>
        </w:rPr>
        <w:t>vključenih zemljišč trajno travinje, kjer je pričakovan učinek manjši kot na njivah</w:t>
      </w:r>
      <w:r w:rsidR="00442196" w:rsidRPr="00900F8E">
        <w:rPr>
          <w:sz w:val="22"/>
          <w:szCs w:val="22"/>
          <w:lang w:val="sl-SI"/>
        </w:rPr>
        <w:t>;</w:t>
      </w:r>
    </w:p>
    <w:p w14:paraId="70FDB018" w14:textId="3570A6B9" w:rsidR="003F6A94" w:rsidRPr="00900F8E" w:rsidRDefault="00D25B73" w:rsidP="00640804">
      <w:pPr>
        <w:pStyle w:val="Default"/>
        <w:numPr>
          <w:ilvl w:val="0"/>
          <w:numId w:val="23"/>
        </w:numPr>
        <w:jc w:val="both"/>
        <w:rPr>
          <w:sz w:val="22"/>
          <w:szCs w:val="22"/>
          <w:lang w:val="sl-SI"/>
        </w:rPr>
      </w:pPr>
      <w:r w:rsidRPr="00900F8E">
        <w:rPr>
          <w:sz w:val="22"/>
          <w:szCs w:val="22"/>
          <w:lang w:val="sl-SI"/>
        </w:rPr>
        <w:t>zahteve, ki spodbujajo pašno rejo (KRA_OGRM, KRA_VARPP, KRA_CRED, KRA_PAST)</w:t>
      </w:r>
      <w:r w:rsidR="00E62C38">
        <w:rPr>
          <w:sz w:val="22"/>
          <w:szCs w:val="22"/>
          <w:lang w:val="sl-SI"/>
        </w:rPr>
        <w:t>,</w:t>
      </w:r>
      <w:r w:rsidRPr="00900F8E">
        <w:rPr>
          <w:sz w:val="22"/>
          <w:szCs w:val="22"/>
          <w:lang w:val="sl-SI"/>
        </w:rPr>
        <w:t xml:space="preserve"> so se v sklopu ukrepa M10 izvajale na 8.389 ha, v sklopu ukrepa M11 pa na 49.448 ha (podatki o vloženih zahtevkih). Leta 2021 je izplačila za izvajanje ukrepa v letu 2020 prejelo 255 prašičerejskih kmetij, 7.841 govedorejskih kmetij in 567 kmetij z rejo drobnice. V ukrep je bilo vključenih 45.414 GVŽ prašičev, 95.668 GVŽ goved</w:t>
      </w:r>
      <w:r w:rsidR="00E62C38">
        <w:rPr>
          <w:sz w:val="22"/>
          <w:szCs w:val="22"/>
          <w:lang w:val="sl-SI"/>
        </w:rPr>
        <w:t>i</w:t>
      </w:r>
      <w:r w:rsidRPr="00900F8E">
        <w:rPr>
          <w:sz w:val="22"/>
          <w:szCs w:val="22"/>
          <w:lang w:val="sl-SI"/>
        </w:rPr>
        <w:t xml:space="preserve"> in 4.161 GVŽ drobnice;</w:t>
      </w:r>
    </w:p>
    <w:p w14:paraId="0ACC1418" w14:textId="35EDE7A9" w:rsidR="00D25B73" w:rsidRPr="00900F8E" w:rsidRDefault="00D25B73" w:rsidP="00640804">
      <w:pPr>
        <w:pStyle w:val="Default"/>
        <w:numPr>
          <w:ilvl w:val="0"/>
          <w:numId w:val="23"/>
        </w:numPr>
        <w:jc w:val="both"/>
        <w:rPr>
          <w:sz w:val="22"/>
          <w:szCs w:val="22"/>
          <w:lang w:val="sl-SI"/>
        </w:rPr>
      </w:pPr>
      <w:r w:rsidRPr="00900F8E">
        <w:rPr>
          <w:sz w:val="22"/>
          <w:szCs w:val="22"/>
          <w:lang w:val="sl-SI"/>
        </w:rPr>
        <w:t>v okviru kontrole prireje mleka so bili pridobljeni podatki o plodnosti, mlečnosti in sestavi mleka za 78.134 molznic. Delo je potekalo na 3.007 kmetijah. V sklopu kontrole prireje mesa so se dnevni prirasti spremljali v 36 čredah, tehtanja so bila opravljena na 1.124 živalih.</w:t>
      </w:r>
    </w:p>
    <w:p w14:paraId="02CEE359" w14:textId="55F47ABD" w:rsidR="004E0DCB" w:rsidRPr="00900F8E" w:rsidRDefault="004E0DCB" w:rsidP="003F6A94">
      <w:pPr>
        <w:pStyle w:val="Default"/>
        <w:jc w:val="both"/>
        <w:rPr>
          <w:sz w:val="22"/>
          <w:szCs w:val="22"/>
          <w:lang w:val="sl-SI"/>
        </w:rPr>
      </w:pPr>
    </w:p>
    <w:p w14:paraId="360570B2" w14:textId="1AE5B07E" w:rsidR="00104ECF" w:rsidRPr="00900F8E" w:rsidRDefault="003825D3" w:rsidP="0065545E">
      <w:pPr>
        <w:pStyle w:val="Naslov2"/>
        <w:rPr>
          <w:rFonts w:ascii="Arial" w:hAnsi="Arial" w:cs="Arial"/>
          <w:color w:val="auto"/>
        </w:rPr>
      </w:pPr>
      <w:bookmarkStart w:id="33" w:name="_Toc120166939"/>
      <w:r w:rsidRPr="00900F8E">
        <w:rPr>
          <w:rFonts w:ascii="Arial" w:hAnsi="Arial" w:cs="Arial"/>
          <w:color w:val="auto"/>
        </w:rPr>
        <w:t>4</w:t>
      </w:r>
      <w:r w:rsidR="00104ECF" w:rsidRPr="00900F8E">
        <w:rPr>
          <w:rFonts w:ascii="Arial" w:hAnsi="Arial" w:cs="Arial"/>
          <w:color w:val="auto"/>
        </w:rPr>
        <w:t>.</w:t>
      </w:r>
      <w:r w:rsidR="00EE70D5" w:rsidRPr="00900F8E">
        <w:rPr>
          <w:rFonts w:ascii="Arial" w:hAnsi="Arial" w:cs="Arial"/>
          <w:color w:val="auto"/>
        </w:rPr>
        <w:t>4</w:t>
      </w:r>
      <w:r w:rsidR="00104ECF" w:rsidRPr="00900F8E">
        <w:rPr>
          <w:rFonts w:ascii="Arial" w:hAnsi="Arial" w:cs="Arial"/>
          <w:color w:val="auto"/>
        </w:rPr>
        <w:t xml:space="preserve"> Široka raba – stavbe</w:t>
      </w:r>
      <w:bookmarkEnd w:id="33"/>
    </w:p>
    <w:p w14:paraId="78B08B2A" w14:textId="77777777" w:rsidR="00FD009A" w:rsidRPr="00900F8E" w:rsidRDefault="00FD009A" w:rsidP="00FD009A">
      <w:pPr>
        <w:spacing w:after="0"/>
        <w:rPr>
          <w:rFonts w:ascii="Arial" w:hAnsi="Arial" w:cs="Arial"/>
        </w:rPr>
      </w:pPr>
    </w:p>
    <w:p w14:paraId="2CCD671F" w14:textId="50D50FB2" w:rsidR="00FD009A" w:rsidRPr="00900F8E" w:rsidRDefault="00FD009A" w:rsidP="00FD009A">
      <w:pPr>
        <w:spacing w:after="0" w:line="240" w:lineRule="auto"/>
        <w:jc w:val="both"/>
        <w:rPr>
          <w:rFonts w:ascii="Arial" w:hAnsi="Arial" w:cs="Arial"/>
        </w:rPr>
      </w:pPr>
      <w:r w:rsidRPr="00900F8E">
        <w:rPr>
          <w:rFonts w:ascii="Arial" w:hAnsi="Arial" w:cs="Arial"/>
        </w:rPr>
        <w:t xml:space="preserve">Spodbujanje energetske učinkovitosti in rabe obnovljivih virov energije v stavbah se je v letu 2020 izvajalo </w:t>
      </w:r>
      <w:r w:rsidR="009E1B0F">
        <w:rPr>
          <w:rFonts w:ascii="Arial" w:hAnsi="Arial" w:cs="Arial"/>
        </w:rPr>
        <w:t>z</w:t>
      </w:r>
      <w:r w:rsidR="009E1B0F" w:rsidRPr="00900F8E">
        <w:rPr>
          <w:rFonts w:ascii="Arial" w:hAnsi="Arial" w:cs="Arial"/>
        </w:rPr>
        <w:t xml:space="preserve"> </w:t>
      </w:r>
      <w:r w:rsidRPr="00900F8E">
        <w:rPr>
          <w:rFonts w:ascii="Arial" w:hAnsi="Arial" w:cs="Arial"/>
        </w:rPr>
        <w:t>naslednji</w:t>
      </w:r>
      <w:r w:rsidR="009E1B0F">
        <w:rPr>
          <w:rFonts w:ascii="Arial" w:hAnsi="Arial" w:cs="Arial"/>
        </w:rPr>
        <w:t>mi</w:t>
      </w:r>
      <w:r w:rsidRPr="00900F8E">
        <w:rPr>
          <w:rFonts w:ascii="Arial" w:hAnsi="Arial" w:cs="Arial"/>
        </w:rPr>
        <w:t xml:space="preserve"> ukrep</w:t>
      </w:r>
      <w:r w:rsidR="009E1B0F">
        <w:rPr>
          <w:rFonts w:ascii="Arial" w:hAnsi="Arial" w:cs="Arial"/>
        </w:rPr>
        <w:t>i</w:t>
      </w:r>
      <w:r w:rsidRPr="00900F8E">
        <w:rPr>
          <w:rFonts w:ascii="Arial" w:hAnsi="Arial" w:cs="Arial"/>
        </w:rPr>
        <w:t>:</w:t>
      </w:r>
    </w:p>
    <w:p w14:paraId="5EF9CE4D" w14:textId="18C8027F"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Zakon o učinkoviti rabi energije (</w:t>
      </w:r>
      <w:r w:rsidR="00995E58" w:rsidRPr="00900F8E">
        <w:rPr>
          <w:rFonts w:ascii="Arial" w:hAnsi="Arial" w:cs="Arial"/>
        </w:rPr>
        <w:t xml:space="preserve">v </w:t>
      </w:r>
      <w:r w:rsidR="00930529">
        <w:rPr>
          <w:rFonts w:ascii="Arial" w:hAnsi="Arial" w:cs="Arial"/>
        </w:rPr>
        <w:t>nadaljnjem besedilu</w:t>
      </w:r>
      <w:r w:rsidR="00995E58" w:rsidRPr="00900F8E">
        <w:rPr>
          <w:rFonts w:ascii="Arial" w:hAnsi="Arial" w:cs="Arial"/>
        </w:rPr>
        <w:t xml:space="preserve">: </w:t>
      </w:r>
      <w:r w:rsidRPr="00900F8E">
        <w:rPr>
          <w:rFonts w:ascii="Arial" w:hAnsi="Arial" w:cs="Arial"/>
        </w:rPr>
        <w:t>ZURE)</w:t>
      </w:r>
      <w:r w:rsidR="00995E58" w:rsidRPr="00995E58">
        <w:t xml:space="preserve"> </w:t>
      </w:r>
      <w:r w:rsidR="00995E58" w:rsidRPr="00995E58">
        <w:rPr>
          <w:rFonts w:ascii="Arial" w:hAnsi="Arial" w:cs="Arial"/>
        </w:rPr>
        <w:t>(Uradni list RS, št. 158/20)</w:t>
      </w:r>
      <w:r w:rsidRPr="00900F8E">
        <w:rPr>
          <w:rFonts w:ascii="Arial" w:hAnsi="Arial" w:cs="Arial"/>
        </w:rPr>
        <w:t xml:space="preserve"> je v 25. členu opredelil, da morajo biti vse nove stavbe skoraj ničenergijske; </w:t>
      </w:r>
    </w:p>
    <w:p w14:paraId="306C4919" w14:textId="4C148C04"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po modelu energetskega pogodbeništva se je izvajal pilotni projekt energetske prenove petih stavb Ministrstva za kulturo</w:t>
      </w:r>
      <w:r w:rsidR="00B25658">
        <w:rPr>
          <w:rFonts w:ascii="Arial" w:hAnsi="Arial" w:cs="Arial"/>
        </w:rPr>
        <w:t xml:space="preserve"> RS</w:t>
      </w:r>
      <w:r w:rsidRPr="00900F8E">
        <w:rPr>
          <w:rFonts w:ascii="Arial" w:hAnsi="Arial" w:cs="Arial"/>
        </w:rPr>
        <w:t xml:space="preserve"> s skupno tlorisno površino skoraj 55.500 m</w:t>
      </w:r>
      <w:r w:rsidRPr="00900F8E">
        <w:rPr>
          <w:rFonts w:ascii="Arial" w:hAnsi="Arial" w:cs="Arial"/>
          <w:vertAlign w:val="superscript"/>
        </w:rPr>
        <w:t>2</w:t>
      </w:r>
      <w:r w:rsidRPr="00900F8E">
        <w:rPr>
          <w:rFonts w:ascii="Arial" w:hAnsi="Arial" w:cs="Arial"/>
        </w:rPr>
        <w:t>;</w:t>
      </w:r>
    </w:p>
    <w:p w14:paraId="453D17DA" w14:textId="4B4C530A"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posodobljena so bila Navodila za delo posredniških organov in upravičencev pri ukrepu energetske prenove stavb javnega sektorja, pri čemer se je za vse stavbe spremenil predvideni finančni vzvod, in sicer bo s sredstvi evropske kohezijske politike </w:t>
      </w:r>
      <w:r w:rsidR="00573EFB">
        <w:rPr>
          <w:rFonts w:ascii="Arial" w:hAnsi="Arial" w:cs="Arial"/>
        </w:rPr>
        <w:t>z</w:t>
      </w:r>
      <w:r w:rsidRPr="00900F8E">
        <w:rPr>
          <w:rFonts w:ascii="Arial" w:hAnsi="Arial" w:cs="Arial"/>
        </w:rPr>
        <w:t>daj sofinanciranih 49 % upravičenih stroškov operacije (prej 40 %);</w:t>
      </w:r>
    </w:p>
    <w:p w14:paraId="53C8E2E1" w14:textId="74FEDC4A"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v obdobju 2016–2020 je bilo v okviru razpisov za energetsko prenovo stavb občin ter ožjega in širšega javnega sektorja ter izvedbo pilotnih projektov odobrenih 83 projektov. </w:t>
      </w:r>
      <w:r w:rsidRPr="00900F8E">
        <w:rPr>
          <w:rFonts w:ascii="Arial" w:hAnsi="Arial" w:cs="Arial"/>
        </w:rPr>
        <w:lastRenderedPageBreak/>
        <w:t xml:space="preserve">Po modelu pogodbenega zagotavljanja prihrankov energije se </w:t>
      </w:r>
      <w:r w:rsidR="00472EE8" w:rsidRPr="00900F8E">
        <w:rPr>
          <w:rFonts w:ascii="Arial" w:hAnsi="Arial" w:cs="Arial"/>
        </w:rPr>
        <w:t xml:space="preserve">je </w:t>
      </w:r>
      <w:r w:rsidRPr="00900F8E">
        <w:rPr>
          <w:rFonts w:ascii="Arial" w:hAnsi="Arial" w:cs="Arial"/>
        </w:rPr>
        <w:t>izvaja</w:t>
      </w:r>
      <w:r w:rsidR="00472EE8" w:rsidRPr="00900F8E">
        <w:rPr>
          <w:rFonts w:ascii="Arial" w:hAnsi="Arial" w:cs="Arial"/>
        </w:rPr>
        <w:t>lo</w:t>
      </w:r>
      <w:r w:rsidRPr="00900F8E">
        <w:rPr>
          <w:rFonts w:ascii="Arial" w:hAnsi="Arial" w:cs="Arial"/>
        </w:rPr>
        <w:t xml:space="preserve"> 36 projektov, ki </w:t>
      </w:r>
      <w:r w:rsidR="00945037">
        <w:rPr>
          <w:rFonts w:ascii="Arial" w:hAnsi="Arial" w:cs="Arial"/>
        </w:rPr>
        <w:t>zajemajo</w:t>
      </w:r>
      <w:r w:rsidR="00945037" w:rsidRPr="00900F8E">
        <w:rPr>
          <w:rFonts w:ascii="Arial" w:hAnsi="Arial" w:cs="Arial"/>
        </w:rPr>
        <w:t xml:space="preserve"> </w:t>
      </w:r>
      <w:r w:rsidRPr="00900F8E">
        <w:rPr>
          <w:rFonts w:ascii="Arial" w:hAnsi="Arial" w:cs="Arial"/>
        </w:rPr>
        <w:t>skoraj tri četrtine neto tlorisne površine vseh v energetsko prenovo zajetih stavb;</w:t>
      </w:r>
    </w:p>
    <w:p w14:paraId="5CB4C607" w14:textId="70560A33"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objavljen je bil poziv TP ELENA 2020 z višino predvidenih sredstev 1,6 milijona evrov. Na poziv je prijavljenih 16 operacij, predvideni znesek sofinanciranja iz sredstev tehnične pomoči ELENA pa znaša dobrih 666.000 evrov;</w:t>
      </w:r>
    </w:p>
    <w:p w14:paraId="1E1DD0CA" w14:textId="2FD24887"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z izvedbo projektov EPO, ki so bili podprti z nepovratnimi sredstvi v okviru</w:t>
      </w:r>
      <w:r w:rsidR="00F10182" w:rsidRPr="00900F8E">
        <w:rPr>
          <w:rFonts w:ascii="Arial" w:hAnsi="Arial" w:cs="Arial"/>
        </w:rPr>
        <w:t xml:space="preserve"> Operativnega programa za izvajanje Evropske kohezijske politike v obdobju 2014−2020</w:t>
      </w:r>
      <w:r w:rsidRPr="00900F8E">
        <w:rPr>
          <w:rFonts w:ascii="Arial" w:hAnsi="Arial" w:cs="Arial"/>
        </w:rPr>
        <w:t xml:space="preserve"> </w:t>
      </w:r>
      <w:r w:rsidR="00F10182" w:rsidRPr="00900F8E">
        <w:rPr>
          <w:rFonts w:ascii="Arial" w:hAnsi="Arial" w:cs="Arial"/>
        </w:rPr>
        <w:t>(</w:t>
      </w:r>
      <w:r w:rsidRPr="00900F8E">
        <w:rPr>
          <w:rFonts w:ascii="Arial" w:hAnsi="Arial" w:cs="Arial"/>
        </w:rPr>
        <w:t>OP EKP</w:t>
      </w:r>
      <w:r w:rsidR="00F10182" w:rsidRPr="00900F8E">
        <w:rPr>
          <w:rFonts w:ascii="Arial" w:hAnsi="Arial" w:cs="Arial"/>
        </w:rPr>
        <w:t>)</w:t>
      </w:r>
      <w:r w:rsidRPr="00900F8E">
        <w:rPr>
          <w:rFonts w:ascii="Arial" w:hAnsi="Arial" w:cs="Arial"/>
        </w:rPr>
        <w:t>, je bilo leta 2020 doseženo zmanjšanje rabe energije za 10,0 GWh</w:t>
      </w:r>
      <w:r w:rsidR="00944F02" w:rsidRPr="00900F8E">
        <w:rPr>
          <w:rFonts w:ascii="Arial" w:hAnsi="Arial" w:cs="Arial"/>
        </w:rPr>
        <w:t xml:space="preserve"> na </w:t>
      </w:r>
      <w:r w:rsidRPr="00900F8E">
        <w:rPr>
          <w:rFonts w:ascii="Arial" w:hAnsi="Arial" w:cs="Arial"/>
        </w:rPr>
        <w:t>leto, povečanje proizvodnje energij</w:t>
      </w:r>
      <w:r w:rsidR="00945037">
        <w:rPr>
          <w:rFonts w:ascii="Arial" w:hAnsi="Arial" w:cs="Arial"/>
        </w:rPr>
        <w:t>e</w:t>
      </w:r>
      <w:r w:rsidRPr="00900F8E">
        <w:rPr>
          <w:rFonts w:ascii="Arial" w:hAnsi="Arial" w:cs="Arial"/>
        </w:rPr>
        <w:t xml:space="preserve"> iz OVE za 2,9 GWh/leto in zmanjšanje emisije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rPr>
        <w:t xml:space="preserve"> za 2,3 kt </w:t>
      </w:r>
      <w:r w:rsidR="00944F02" w:rsidRPr="00900F8E">
        <w:rPr>
          <w:rFonts w:ascii="Arial" w:hAnsi="Arial" w:cs="Arial"/>
        </w:rPr>
        <w:t xml:space="preserve">na </w:t>
      </w:r>
      <w:r w:rsidRPr="00900F8E">
        <w:rPr>
          <w:rFonts w:ascii="Arial" w:hAnsi="Arial" w:cs="Arial"/>
        </w:rPr>
        <w:t>leto;</w:t>
      </w:r>
    </w:p>
    <w:p w14:paraId="78DF8B7A" w14:textId="6347F1F1"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pripravljena je bila prva </w:t>
      </w:r>
      <w:r w:rsidR="00945037">
        <w:rPr>
          <w:rFonts w:ascii="Arial" w:hAnsi="Arial" w:cs="Arial"/>
        </w:rPr>
        <w:t>različica</w:t>
      </w:r>
      <w:r w:rsidR="00945037" w:rsidRPr="00900F8E">
        <w:rPr>
          <w:rFonts w:ascii="Arial" w:hAnsi="Arial" w:cs="Arial"/>
        </w:rPr>
        <w:t xml:space="preserve"> </w:t>
      </w:r>
      <w:r w:rsidRPr="00900F8E">
        <w:rPr>
          <w:rFonts w:ascii="Arial" w:hAnsi="Arial" w:cs="Arial"/>
        </w:rPr>
        <w:t>kazalnikov trajnostne gradnje, ki vključuje 12 kazalnikov s področja rabe energije in vode, kakovosti notranjega zraka, potenciala za globalno segrevanje v življenjskem ciklu it</w:t>
      </w:r>
      <w:r w:rsidR="00945037">
        <w:rPr>
          <w:rFonts w:ascii="Arial" w:hAnsi="Arial" w:cs="Arial"/>
        </w:rPr>
        <w:t>n</w:t>
      </w:r>
      <w:r w:rsidRPr="00900F8E">
        <w:rPr>
          <w:rFonts w:ascii="Arial" w:hAnsi="Arial" w:cs="Arial"/>
        </w:rPr>
        <w:t xml:space="preserve">. </w:t>
      </w:r>
      <w:r w:rsidR="001509ED" w:rsidRPr="00900F8E">
        <w:rPr>
          <w:rFonts w:ascii="Arial" w:hAnsi="Arial" w:cs="Arial"/>
        </w:rPr>
        <w:t xml:space="preserve">Vsak od kazalnikov je na spletni strani podrobno predstavljen, dodano pa je tudi orodje za njegov izračun. </w:t>
      </w:r>
      <w:r w:rsidRPr="00900F8E">
        <w:rPr>
          <w:rFonts w:ascii="Arial" w:hAnsi="Arial" w:cs="Arial"/>
        </w:rPr>
        <w:t>Začetnih posvetovanj o primernosti zasnovanih kazalnikov se je udeležilo 80 ključnih deležnikov iz gradbene industrije, arhitekti in inženirji, javni sektor, deležniki s področja informacijskega modeliranja zgradb in digitalizacije graditve;</w:t>
      </w:r>
    </w:p>
    <w:p w14:paraId="4125E7DB" w14:textId="5580B8AB" w:rsidR="00FD009A"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Eko sklad je </w:t>
      </w:r>
      <w:r w:rsidR="001D6649">
        <w:rPr>
          <w:rFonts w:ascii="Arial" w:hAnsi="Arial" w:cs="Arial"/>
        </w:rPr>
        <w:t>za</w:t>
      </w:r>
      <w:r w:rsidRPr="00900F8E">
        <w:rPr>
          <w:rFonts w:ascii="Arial" w:hAnsi="Arial" w:cs="Arial"/>
        </w:rPr>
        <w:t>čel izvaja</w:t>
      </w:r>
      <w:r w:rsidR="001D6649">
        <w:rPr>
          <w:rFonts w:ascii="Arial" w:hAnsi="Arial" w:cs="Arial"/>
        </w:rPr>
        <w:t>ti</w:t>
      </w:r>
      <w:r w:rsidRPr="00900F8E">
        <w:rPr>
          <w:rFonts w:ascii="Arial" w:hAnsi="Arial" w:cs="Arial"/>
        </w:rPr>
        <w:t xml:space="preserve"> </w:t>
      </w:r>
      <w:r w:rsidR="00C82DE1">
        <w:rPr>
          <w:rFonts w:ascii="Arial" w:hAnsi="Arial" w:cs="Arial"/>
        </w:rPr>
        <w:t>p</w:t>
      </w:r>
      <w:r w:rsidRPr="00900F8E">
        <w:rPr>
          <w:rFonts w:ascii="Arial" w:hAnsi="Arial" w:cs="Arial"/>
        </w:rPr>
        <w:t xml:space="preserve">rogram ZERO500. Za nepovratne finančne spodbude socialno šibkim občanom za investicije v ukrepe večje energetske učinkovitosti eno- ali dvostanovanjskih stavb je bilo razpisanih 960.000 evrov. Do konca leta 2020 je bilo izdanih 46 odločb o dodelitvi pravice do nepovratne finančne spodbude. V okviru programa so bile izvedene informativne delavnice za izvajalce, delavnica za energetske svetovalce mreže ENSVET in </w:t>
      </w:r>
      <w:r w:rsidR="00945037">
        <w:rPr>
          <w:rFonts w:ascii="Arial" w:hAnsi="Arial" w:cs="Arial"/>
        </w:rPr>
        <w:t>devet</w:t>
      </w:r>
      <w:r w:rsidRPr="00900F8E">
        <w:rPr>
          <w:rFonts w:ascii="Arial" w:hAnsi="Arial" w:cs="Arial"/>
        </w:rPr>
        <w:t xml:space="preserve"> informativnih delavnic na </w:t>
      </w:r>
      <w:r w:rsidR="00945037">
        <w:rPr>
          <w:rFonts w:ascii="Arial" w:hAnsi="Arial" w:cs="Arial"/>
        </w:rPr>
        <w:t>c</w:t>
      </w:r>
      <w:r w:rsidRPr="00900F8E">
        <w:rPr>
          <w:rFonts w:ascii="Arial" w:hAnsi="Arial" w:cs="Arial"/>
        </w:rPr>
        <w:t xml:space="preserve">entrih za socialno delo z namenom predstavitve javnega poziva, na katerih je bilo prisotnih 115 strokovnih delavcev. Slednje je pozitivno vplivalo na izvajanje projekta, saj je </w:t>
      </w:r>
      <w:r w:rsidR="001E4645">
        <w:rPr>
          <w:rFonts w:ascii="Arial" w:hAnsi="Arial" w:cs="Arial"/>
        </w:rPr>
        <w:t>E</w:t>
      </w:r>
      <w:r w:rsidRPr="00900F8E">
        <w:rPr>
          <w:rFonts w:ascii="Arial" w:hAnsi="Arial" w:cs="Arial"/>
        </w:rPr>
        <w:t>ko sklad prejel 336 prijavnic upravičenih občanov za obisk. Tudi zaradi epidemiološk</w:t>
      </w:r>
      <w:r w:rsidR="001D6649">
        <w:rPr>
          <w:rFonts w:ascii="Arial" w:hAnsi="Arial" w:cs="Arial"/>
        </w:rPr>
        <w:t>ih razmer</w:t>
      </w:r>
      <w:r w:rsidRPr="00900F8E">
        <w:rPr>
          <w:rFonts w:ascii="Arial" w:hAnsi="Arial" w:cs="Arial"/>
        </w:rPr>
        <w:t xml:space="preserve"> je bilo opravljenih 180 obiskov</w:t>
      </w:r>
      <w:r w:rsidR="00B20F46">
        <w:rPr>
          <w:rFonts w:ascii="Arial" w:hAnsi="Arial" w:cs="Arial"/>
        </w:rPr>
        <w:t>.</w:t>
      </w:r>
    </w:p>
    <w:p w14:paraId="3FBBF8C7" w14:textId="77777777" w:rsidR="00B20F46" w:rsidRDefault="00B20F46" w:rsidP="00B20F46">
      <w:pPr>
        <w:pStyle w:val="Odstavekseznama"/>
        <w:spacing w:after="0" w:line="240" w:lineRule="auto"/>
        <w:ind w:left="360"/>
        <w:jc w:val="both"/>
        <w:rPr>
          <w:rFonts w:ascii="Arial" w:hAnsi="Arial" w:cs="Arial"/>
        </w:rPr>
      </w:pPr>
      <w:r>
        <w:rPr>
          <w:rFonts w:ascii="Arial" w:hAnsi="Arial" w:cs="Arial"/>
        </w:rPr>
        <w:t>V</w:t>
      </w:r>
      <w:r w:rsidRPr="00900F8E">
        <w:rPr>
          <w:rFonts w:ascii="Arial" w:hAnsi="Arial" w:cs="Arial"/>
        </w:rPr>
        <w:t xml:space="preserve"> okviru javnega poziva 69SUB-SOCOB19 iz leta 2019 so lahko nepovratno finančno spodbudo v višini do 100 % priznanih stroškov pridobili socialno šibki občani, in sicer za zamenjavo starih kurilnih naprav na trdna goriva z novimi kurilnimi napravami na lesno biomaso. Vrednost razpisanih sredstev je bila leta 2020 povečana za 1 milijon evrov. Z dobrimi 800.000 evri nepovratnih sredstev je bilo podprtih 141 naložb. Spodbude so bile izplačane iz sredstev Sklada za podnebne spremembe. V okviru večjih naložb v starejših večstanovanjskih stavbah, ki se izplačujejo iz sredstev, zbranih s prispevkom na rabo energije za povečanje energetske učinkovitosti, je bilo za 22 naložb izplačanih 38.000 evrov nepovratnih sredstev</w:t>
      </w:r>
      <w:r>
        <w:rPr>
          <w:rFonts w:ascii="Arial" w:hAnsi="Arial" w:cs="Arial"/>
        </w:rPr>
        <w:t>.</w:t>
      </w:r>
    </w:p>
    <w:p w14:paraId="663C9EDD" w14:textId="46395016" w:rsidR="00FD009A" w:rsidRPr="00900F8E" w:rsidRDefault="00B20F46" w:rsidP="00B20F46">
      <w:pPr>
        <w:pStyle w:val="Odstavekseznama"/>
        <w:spacing w:after="0" w:line="240" w:lineRule="auto"/>
        <w:ind w:left="360"/>
        <w:jc w:val="both"/>
        <w:rPr>
          <w:rFonts w:ascii="Arial" w:hAnsi="Arial" w:cs="Arial"/>
        </w:rPr>
      </w:pPr>
      <w:r>
        <w:rPr>
          <w:rFonts w:ascii="Arial" w:hAnsi="Arial" w:cs="Arial"/>
        </w:rPr>
        <w:t>Z</w:t>
      </w:r>
      <w:r w:rsidR="00FD009A" w:rsidRPr="00900F8E">
        <w:rPr>
          <w:rFonts w:ascii="Arial" w:hAnsi="Arial" w:cs="Arial"/>
        </w:rPr>
        <w:t xml:space="preserve">a nepovratna sredstva Eko sklada so lahko občani zaprosili še v okviru poziva za nove naložbe rabe </w:t>
      </w:r>
      <w:r w:rsidR="00272EDB">
        <w:rPr>
          <w:rFonts w:ascii="Arial" w:hAnsi="Arial" w:cs="Arial"/>
        </w:rPr>
        <w:t>OVE</w:t>
      </w:r>
      <w:r w:rsidR="00FD009A" w:rsidRPr="00900F8E">
        <w:rPr>
          <w:rFonts w:ascii="Arial" w:hAnsi="Arial" w:cs="Arial"/>
        </w:rPr>
        <w:t xml:space="preserve"> in večje energijske učinkovitosti stanovanjskih stavb 74SUB-OB19 in poziva za skoraj ničenergijske stavbe 73SUBsNESOB19. Vrednost razpisanih sredstev prvega poziva je bila leta 2020 povečana za 20,4 milijona, vrednost drugega poziva pa za 2 milijona evrov. Za izvajanje ukrepov URE in OVE v gospodinjstvih je bilo izplačanih 37,9 milijona evrov</w:t>
      </w:r>
      <w:r w:rsidR="00721F46">
        <w:rPr>
          <w:rFonts w:ascii="Arial" w:hAnsi="Arial" w:cs="Arial"/>
        </w:rPr>
        <w:t>.</w:t>
      </w:r>
    </w:p>
    <w:p w14:paraId="3EA76A1D" w14:textId="4A7101EB" w:rsidR="00FD009A" w:rsidRDefault="00721F46" w:rsidP="00721F46">
      <w:pPr>
        <w:pStyle w:val="Odstavekseznama"/>
        <w:spacing w:after="0" w:line="240" w:lineRule="auto"/>
        <w:ind w:left="360"/>
        <w:jc w:val="both"/>
        <w:rPr>
          <w:rFonts w:ascii="Arial" w:hAnsi="Arial" w:cs="Arial"/>
        </w:rPr>
      </w:pPr>
      <w:r>
        <w:rPr>
          <w:rFonts w:ascii="Arial" w:hAnsi="Arial" w:cs="Arial"/>
        </w:rPr>
        <w:t>Z</w:t>
      </w:r>
      <w:r w:rsidR="00FD009A" w:rsidRPr="00900F8E">
        <w:rPr>
          <w:rFonts w:ascii="Arial" w:hAnsi="Arial" w:cs="Arial"/>
        </w:rPr>
        <w:t xml:space="preserve"> izvedbo projektov URE in OVE v gospodinjstvih, ki so bili podprti z nepovratnimi sredstvi Eko sklada, je bilo leta 2020 doseženo zmanjšanje rabe energije za 232,9 GWh</w:t>
      </w:r>
      <w:r w:rsidR="00944F02" w:rsidRPr="00900F8E">
        <w:rPr>
          <w:rFonts w:ascii="Arial" w:hAnsi="Arial" w:cs="Arial"/>
        </w:rPr>
        <w:t xml:space="preserve"> na </w:t>
      </w:r>
      <w:r w:rsidR="00FD009A" w:rsidRPr="00900F8E">
        <w:rPr>
          <w:rFonts w:ascii="Arial" w:hAnsi="Arial" w:cs="Arial"/>
        </w:rPr>
        <w:t xml:space="preserve">leto, povečanje proizvodnje energije iz OVE za 148,4 GWh/leto in zmanjšanje emisije </w:t>
      </w:r>
      <w:r w:rsidR="00BF1321" w:rsidRPr="00900F8E">
        <w:rPr>
          <w:rFonts w:ascii="Arial" w:hAnsi="Arial" w:cs="Arial"/>
        </w:rPr>
        <w:t>CO</w:t>
      </w:r>
      <w:r w:rsidR="00BF1321" w:rsidRPr="00900F8E">
        <w:rPr>
          <w:rFonts w:ascii="Arial" w:hAnsi="Arial" w:cs="Arial"/>
          <w:vertAlign w:val="subscript"/>
        </w:rPr>
        <w:t>2</w:t>
      </w:r>
      <w:r w:rsidR="00FD009A" w:rsidRPr="00900F8E">
        <w:rPr>
          <w:rFonts w:ascii="Arial" w:hAnsi="Arial" w:cs="Arial"/>
        </w:rPr>
        <w:t xml:space="preserve"> za 49,4 kt</w:t>
      </w:r>
      <w:r w:rsidR="00944F02" w:rsidRPr="00900F8E">
        <w:rPr>
          <w:rFonts w:ascii="Arial" w:hAnsi="Arial" w:cs="Arial"/>
        </w:rPr>
        <w:t xml:space="preserve"> na </w:t>
      </w:r>
      <w:r w:rsidR="00FD009A" w:rsidRPr="00900F8E">
        <w:rPr>
          <w:rFonts w:ascii="Arial" w:hAnsi="Arial" w:cs="Arial"/>
        </w:rPr>
        <w:t>leto</w:t>
      </w:r>
      <w:r w:rsidR="006E086C">
        <w:rPr>
          <w:rFonts w:ascii="Arial" w:hAnsi="Arial" w:cs="Arial"/>
        </w:rPr>
        <w:t>.</w:t>
      </w:r>
    </w:p>
    <w:p w14:paraId="6C6381B0" w14:textId="1FC23F46" w:rsidR="00655359" w:rsidRDefault="00655359" w:rsidP="00721F46">
      <w:pPr>
        <w:pStyle w:val="Odstavekseznama"/>
        <w:spacing w:after="0" w:line="240" w:lineRule="auto"/>
        <w:ind w:left="360"/>
        <w:jc w:val="both"/>
        <w:rPr>
          <w:rFonts w:ascii="Arial" w:hAnsi="Arial" w:cs="Arial"/>
        </w:rPr>
      </w:pPr>
      <w:r>
        <w:rPr>
          <w:rFonts w:ascii="Arial" w:hAnsi="Arial" w:cs="Arial"/>
        </w:rPr>
        <w:t>V</w:t>
      </w:r>
      <w:r w:rsidRPr="00900F8E">
        <w:rPr>
          <w:rFonts w:ascii="Arial" w:hAnsi="Arial" w:cs="Arial"/>
        </w:rPr>
        <w:t xml:space="preserve"> okviru javnega poziva 65OB19 za kreditiranje okoljskih naložb občanov je bila višina razpisanih kreditnih sredstev v okviru poziva povečana za 15 milijonov evrov. Eko sklad je z občani podpisal 2.065 kreditnih pogodb za izvedbo naložb v ukrepe URE in izrabe OVE. Za 683 naložb v ukrepe URE je Eko sklad namenil 13,9 milijona evrov, </w:t>
      </w:r>
      <w:r w:rsidR="009317F0">
        <w:rPr>
          <w:rFonts w:ascii="Arial" w:hAnsi="Arial" w:cs="Arial"/>
        </w:rPr>
        <w:t>pri čemer</w:t>
      </w:r>
      <w:r w:rsidR="009317F0" w:rsidRPr="00900F8E">
        <w:rPr>
          <w:rFonts w:ascii="Arial" w:hAnsi="Arial" w:cs="Arial"/>
        </w:rPr>
        <w:t xml:space="preserve"> </w:t>
      </w:r>
      <w:r w:rsidRPr="00900F8E">
        <w:rPr>
          <w:rFonts w:ascii="Arial" w:hAnsi="Arial" w:cs="Arial"/>
        </w:rPr>
        <w:t>je bilo 78 % tega zneska namenjenih nakupu 515 okolju prijaznih vozil, preostanek zneska pa 168 ukrepom URE v stavbah. 1.381 naložb v izrabo OVE, med katerimi je bilo največ naložb namenjenih postavitvi 709 sončnih elektrarn s skupno močjo 4,3 MW, je prejelo 16 milijonov evrov kreditnih sredstev. Skupna vrednost podpisanih pogodb je znašala 29,9 milijona evrov</w:t>
      </w:r>
      <w:r w:rsidR="00866193">
        <w:rPr>
          <w:rFonts w:ascii="Arial" w:hAnsi="Arial" w:cs="Arial"/>
        </w:rPr>
        <w:t>.</w:t>
      </w:r>
    </w:p>
    <w:p w14:paraId="455F8DE6" w14:textId="7A022DC1" w:rsidR="00866193" w:rsidRDefault="00866193" w:rsidP="00866193">
      <w:pPr>
        <w:pStyle w:val="Odstavekseznama"/>
        <w:spacing w:after="0" w:line="240" w:lineRule="auto"/>
        <w:ind w:left="360"/>
        <w:jc w:val="both"/>
        <w:rPr>
          <w:rFonts w:ascii="Arial" w:hAnsi="Arial" w:cs="Arial"/>
        </w:rPr>
      </w:pPr>
      <w:r>
        <w:rPr>
          <w:rFonts w:ascii="Arial" w:hAnsi="Arial" w:cs="Arial"/>
        </w:rPr>
        <w:t>V</w:t>
      </w:r>
      <w:r w:rsidRPr="00900F8E">
        <w:rPr>
          <w:rFonts w:ascii="Arial" w:hAnsi="Arial" w:cs="Arial"/>
        </w:rPr>
        <w:t xml:space="preserve"> okviru javnega poziva 61ONS17 Eko sklada za kreditiranje naložb občin v gradnjo novih skoraj ničenergijskih stavb splošnega družbenega pomena, je bil odobren en kredit v </w:t>
      </w:r>
      <w:r w:rsidRPr="00900F8E">
        <w:rPr>
          <w:rFonts w:ascii="Arial" w:hAnsi="Arial" w:cs="Arial"/>
        </w:rPr>
        <w:lastRenderedPageBreak/>
        <w:t>skupnem znesku 1 milijon evrov. V okviru javnih pozivov 57LS16 in 61ONS17 je znesek kreditov za štiri naložbe znašal 3,6 milijona evrov. Odprta sta bila tudi poziva 76FS-PO19 in 82FS-PO20, v okviru katerih je bilo lokalnim skupnostim in pravnim osebam na voljo 7 milijonov evrov nepovratnih sredstev in 10 milijonov evrov kreditnih sredstev. Med naložbami, ki so prejele spodbude v okviru poziva 76FS-PO19, je bilo hkrati z nepovratnimi sredstvi in posojilom podprtih 5 %</w:t>
      </w:r>
      <w:r>
        <w:rPr>
          <w:rFonts w:ascii="Arial" w:hAnsi="Arial" w:cs="Arial"/>
        </w:rPr>
        <w:t>.</w:t>
      </w:r>
    </w:p>
    <w:p w14:paraId="0FB59D48" w14:textId="40A23056" w:rsidR="00866193" w:rsidRPr="00866193" w:rsidRDefault="00866193" w:rsidP="00866193">
      <w:pPr>
        <w:pStyle w:val="Odstavekseznama"/>
        <w:spacing w:after="0" w:line="240" w:lineRule="auto"/>
        <w:ind w:left="360"/>
        <w:jc w:val="both"/>
        <w:rPr>
          <w:rFonts w:ascii="Arial" w:hAnsi="Arial" w:cs="Arial"/>
        </w:rPr>
      </w:pPr>
      <w:r w:rsidRPr="00900F8E">
        <w:rPr>
          <w:rFonts w:ascii="Arial" w:hAnsi="Arial" w:cs="Arial"/>
        </w:rPr>
        <w:t>Eko sklad je za 14 projektov gradnje skoraj ničenergijskih stavb splošnega družbenega pomena in 53 naložb v ukrepe URE in izrabe OVE je namenil 6,4 milijon</w:t>
      </w:r>
      <w:r w:rsidR="004D5845">
        <w:rPr>
          <w:rFonts w:ascii="Arial" w:hAnsi="Arial" w:cs="Arial"/>
        </w:rPr>
        <w:t>a</w:t>
      </w:r>
      <w:r w:rsidRPr="00900F8E">
        <w:rPr>
          <w:rFonts w:ascii="Arial" w:hAnsi="Arial" w:cs="Arial"/>
        </w:rPr>
        <w:t xml:space="preserve"> evrov. Zmanjšanje rabe energije, doseženo s temi projekti, je bilo ocenjeno na 3,9 GWh, emisije CO</w:t>
      </w:r>
      <w:r w:rsidRPr="00900F8E">
        <w:rPr>
          <w:rFonts w:ascii="Arial" w:hAnsi="Arial" w:cs="Arial"/>
          <w:vertAlign w:val="subscript"/>
        </w:rPr>
        <w:t>2</w:t>
      </w:r>
      <w:r w:rsidRPr="00900F8E">
        <w:rPr>
          <w:rFonts w:ascii="Arial" w:hAnsi="Arial" w:cs="Arial"/>
        </w:rPr>
        <w:t xml:space="preserve"> pa na 0,8 kt na leto;</w:t>
      </w:r>
    </w:p>
    <w:p w14:paraId="379EAE9B" w14:textId="3E1379BD"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v okviru projekta LIFE IP CARE4CLIMATE je bila končana analiza za razvoj finančnih in</w:t>
      </w:r>
      <w:r w:rsidR="005A0652">
        <w:rPr>
          <w:rFonts w:ascii="Arial" w:hAnsi="Arial" w:cs="Arial"/>
        </w:rPr>
        <w:t>s</w:t>
      </w:r>
      <w:r w:rsidRPr="00900F8E">
        <w:rPr>
          <w:rFonts w:ascii="Arial" w:hAnsi="Arial" w:cs="Arial"/>
        </w:rPr>
        <w:t xml:space="preserve">trumentov za </w:t>
      </w:r>
      <w:r w:rsidR="00112A8D">
        <w:rPr>
          <w:rFonts w:ascii="Arial" w:hAnsi="Arial" w:cs="Arial"/>
        </w:rPr>
        <w:t>spodbuditev</w:t>
      </w:r>
      <w:r w:rsidR="00112A8D" w:rsidRPr="00900F8E">
        <w:rPr>
          <w:rFonts w:ascii="Arial" w:hAnsi="Arial" w:cs="Arial"/>
        </w:rPr>
        <w:t xml:space="preserve"> </w:t>
      </w:r>
      <w:r w:rsidRPr="00900F8E">
        <w:rPr>
          <w:rFonts w:ascii="Arial" w:hAnsi="Arial" w:cs="Arial"/>
        </w:rPr>
        <w:t xml:space="preserve">naložb v celovite energetske prenove stanovanjskih stavb. Narejena sta bila tudi študija primerov financiranja energetskih prenov stanovanjskih stavb, ki je temeljila na odgovorih, prejetih v vprašalniku za upravnike večstanovanjskih stavb o financiranju energetskih prenov večstanovanjskih stavb, in pregled tujih praks financiranja </w:t>
      </w:r>
      <w:r w:rsidR="00112A8D">
        <w:rPr>
          <w:rFonts w:ascii="Arial" w:hAnsi="Arial" w:cs="Arial"/>
        </w:rPr>
        <w:t>takih</w:t>
      </w:r>
      <w:r w:rsidR="00112A8D" w:rsidRPr="00900F8E">
        <w:rPr>
          <w:rFonts w:ascii="Arial" w:hAnsi="Arial" w:cs="Arial"/>
        </w:rPr>
        <w:t xml:space="preserve"> </w:t>
      </w:r>
      <w:r w:rsidRPr="00900F8E">
        <w:rPr>
          <w:rFonts w:ascii="Arial" w:hAnsi="Arial" w:cs="Arial"/>
        </w:rPr>
        <w:t>prenov. Pripravljeno je bilo orodje za ocenjevanje finančnih instrumentov in modelov financiranja ter podpore financiranja energetskih prenov stanovanjskih stavb, vključno z metodologijo za njegovo uporabo. Izvedena analiza je bila podlaga za razvoj finančnih instrumentov za energetsko prenovo večstanovanjskih stavb</w:t>
      </w:r>
      <w:r w:rsidR="00112A8D">
        <w:rPr>
          <w:rFonts w:ascii="Arial" w:hAnsi="Arial" w:cs="Arial"/>
        </w:rPr>
        <w:t>,</w:t>
      </w:r>
      <w:r w:rsidRPr="00900F8E">
        <w:rPr>
          <w:rFonts w:ascii="Arial" w:hAnsi="Arial" w:cs="Arial"/>
        </w:rPr>
        <w:t xml:space="preserve"> s katerimi bi pospešili intenzivnost prenov v večstanovanjskih stavbah. Kot naj</w:t>
      </w:r>
      <w:r w:rsidR="00AA385B">
        <w:rPr>
          <w:rFonts w:ascii="Arial" w:hAnsi="Arial" w:cs="Arial"/>
        </w:rPr>
        <w:t>obetavnejša</w:t>
      </w:r>
      <w:r w:rsidRPr="00900F8E">
        <w:rPr>
          <w:rFonts w:ascii="Arial" w:hAnsi="Arial" w:cs="Arial"/>
        </w:rPr>
        <w:t xml:space="preserve"> sta bila izbrana finančni instrument energetskega pogodbeništva, kjer gre za celovito prenovo večstanovanjskih stavb, </w:t>
      </w:r>
      <w:r w:rsidR="00AA385B">
        <w:rPr>
          <w:rFonts w:ascii="Arial" w:hAnsi="Arial" w:cs="Arial"/>
        </w:rPr>
        <w:t xml:space="preserve">ki jo </w:t>
      </w:r>
      <w:r w:rsidRPr="00900F8E">
        <w:rPr>
          <w:rFonts w:ascii="Arial" w:hAnsi="Arial" w:cs="Arial"/>
        </w:rPr>
        <w:t>sofinancira</w:t>
      </w:r>
      <w:r w:rsidR="00AA385B">
        <w:rPr>
          <w:rFonts w:ascii="Arial" w:hAnsi="Arial" w:cs="Arial"/>
        </w:rPr>
        <w:t>jo</w:t>
      </w:r>
      <w:r w:rsidRPr="00900F8E">
        <w:rPr>
          <w:rFonts w:ascii="Arial" w:hAnsi="Arial" w:cs="Arial"/>
        </w:rPr>
        <w:t xml:space="preserve"> podjet</w:t>
      </w:r>
      <w:r w:rsidR="00AA385B">
        <w:rPr>
          <w:rFonts w:ascii="Arial" w:hAnsi="Arial" w:cs="Arial"/>
        </w:rPr>
        <w:t>ja</w:t>
      </w:r>
      <w:r w:rsidRPr="00900F8E">
        <w:rPr>
          <w:rFonts w:ascii="Arial" w:hAnsi="Arial" w:cs="Arial"/>
        </w:rPr>
        <w:t xml:space="preserve"> za energetske storitve, in pa finančni instrument, kjer lahko etažni lastniki za izvedbo prenove pridobijo posojila v breme rezervnega sklada;</w:t>
      </w:r>
    </w:p>
    <w:p w14:paraId="5D9D4281" w14:textId="76B285E8"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sprejet je bil Zakon o spremembah in dopolnitvah Stvarnopravnega zakonika</w:t>
      </w:r>
      <w:r w:rsidR="00890B9F" w:rsidRPr="00890B9F">
        <w:t xml:space="preserve"> </w:t>
      </w:r>
      <w:r w:rsidR="00890B9F" w:rsidRPr="00890B9F">
        <w:rPr>
          <w:rFonts w:ascii="Arial" w:hAnsi="Arial" w:cs="Arial"/>
        </w:rPr>
        <w:t>(Uradni list RS, št. 23/20)</w:t>
      </w:r>
      <w:r w:rsidRPr="00900F8E">
        <w:rPr>
          <w:rFonts w:ascii="Arial" w:hAnsi="Arial" w:cs="Arial"/>
        </w:rPr>
        <w:t>. V zakoniku je bil 67. členu, ki se nanaša na upravljanje stvar</w:t>
      </w:r>
      <w:r w:rsidR="00392369">
        <w:rPr>
          <w:rFonts w:ascii="Arial" w:hAnsi="Arial" w:cs="Arial"/>
        </w:rPr>
        <w:t>i</w:t>
      </w:r>
      <w:r w:rsidRPr="00900F8E">
        <w:rPr>
          <w:rFonts w:ascii="Arial" w:hAnsi="Arial" w:cs="Arial"/>
        </w:rPr>
        <w:t>, dodan odstavek, ki določa, da lahko solastniki, ki imajo skupaj več kot polovico idealnih deležev, sodišču predlagajo, da o poslu, ki presega okvire rednega upravljanja, odloči v nepravdnem postopku;</w:t>
      </w:r>
    </w:p>
    <w:p w14:paraId="750D32AA" w14:textId="0896761B"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v 57 pisarnah mreže ENSVET je delovalo 54 usposobljenih neodvisnih energetskih svetovalcev, ki so </w:t>
      </w:r>
      <w:r w:rsidR="001D6649">
        <w:rPr>
          <w:rFonts w:ascii="Arial" w:hAnsi="Arial" w:cs="Arial"/>
        </w:rPr>
        <w:t>izpeljali</w:t>
      </w:r>
      <w:r w:rsidR="001D6649" w:rsidRPr="00900F8E">
        <w:rPr>
          <w:rFonts w:ascii="Arial" w:hAnsi="Arial" w:cs="Arial"/>
        </w:rPr>
        <w:t xml:space="preserve"> </w:t>
      </w:r>
      <w:r w:rsidRPr="00900F8E">
        <w:rPr>
          <w:rFonts w:ascii="Arial" w:hAnsi="Arial" w:cs="Arial"/>
        </w:rPr>
        <w:t xml:space="preserve">6.498 </w:t>
      </w:r>
      <w:r w:rsidR="00392369">
        <w:rPr>
          <w:rFonts w:ascii="Arial" w:hAnsi="Arial" w:cs="Arial"/>
        </w:rPr>
        <w:t>dejavnosti</w:t>
      </w:r>
      <w:r w:rsidR="00392369" w:rsidRPr="00900F8E">
        <w:rPr>
          <w:rFonts w:ascii="Arial" w:hAnsi="Arial" w:cs="Arial"/>
        </w:rPr>
        <w:t xml:space="preserve"> </w:t>
      </w:r>
      <w:r w:rsidRPr="00900F8E">
        <w:rPr>
          <w:rFonts w:ascii="Arial" w:hAnsi="Arial" w:cs="Arial"/>
        </w:rPr>
        <w:t xml:space="preserve">(nasveti s pisnim poročilom, e-nasveti, članki, </w:t>
      </w:r>
      <w:r w:rsidR="00DF2E48">
        <w:rPr>
          <w:rFonts w:ascii="Arial" w:hAnsi="Arial" w:cs="Arial"/>
        </w:rPr>
        <w:t>radijski in televizijski</w:t>
      </w:r>
      <w:r w:rsidRPr="00900F8E">
        <w:rPr>
          <w:rFonts w:ascii="Arial" w:hAnsi="Arial" w:cs="Arial"/>
        </w:rPr>
        <w:t xml:space="preserve"> prispevki, predavanja, šole itd.). Med temi </w:t>
      </w:r>
      <w:r w:rsidR="00DF2E48">
        <w:rPr>
          <w:rFonts w:ascii="Arial" w:hAnsi="Arial" w:cs="Arial"/>
        </w:rPr>
        <w:t xml:space="preserve">dejavnostmi </w:t>
      </w:r>
      <w:r w:rsidRPr="00900F8E">
        <w:rPr>
          <w:rFonts w:ascii="Arial" w:hAnsi="Arial" w:cs="Arial"/>
        </w:rPr>
        <w:t xml:space="preserve">je bilo 5.125 pisnih nasvetov. Zaradi pandemije je bilo svetovanje po elektronski pošti dopolnjeno s svetovanjem po </w:t>
      </w:r>
      <w:proofErr w:type="spellStart"/>
      <w:r w:rsidRPr="00900F8E">
        <w:rPr>
          <w:rFonts w:ascii="Arial" w:hAnsi="Arial" w:cs="Arial"/>
        </w:rPr>
        <w:t>videoaplikacijah</w:t>
      </w:r>
      <w:proofErr w:type="spellEnd"/>
      <w:r w:rsidRPr="00900F8E">
        <w:rPr>
          <w:rFonts w:ascii="Arial" w:hAnsi="Arial" w:cs="Arial"/>
        </w:rPr>
        <w:t xml:space="preserve">. S sprejetjem </w:t>
      </w:r>
      <w:r w:rsidR="00890B9F">
        <w:rPr>
          <w:rFonts w:ascii="Arial" w:hAnsi="Arial" w:cs="Arial"/>
        </w:rPr>
        <w:t>ZURE</w:t>
      </w:r>
      <w:r w:rsidRPr="00900F8E">
        <w:rPr>
          <w:rFonts w:ascii="Arial" w:hAnsi="Arial" w:cs="Arial"/>
        </w:rPr>
        <w:t xml:space="preserve"> je mreža razširila svoje </w:t>
      </w:r>
      <w:r w:rsidR="00392369">
        <w:rPr>
          <w:rFonts w:ascii="Arial" w:hAnsi="Arial" w:cs="Arial"/>
        </w:rPr>
        <w:t>dejavnosti</w:t>
      </w:r>
      <w:r w:rsidR="00392369" w:rsidRPr="00900F8E">
        <w:rPr>
          <w:rFonts w:ascii="Arial" w:hAnsi="Arial" w:cs="Arial"/>
        </w:rPr>
        <w:t xml:space="preserve"> </w:t>
      </w:r>
      <w:r w:rsidRPr="00900F8E">
        <w:rPr>
          <w:rFonts w:ascii="Arial" w:hAnsi="Arial" w:cs="Arial"/>
        </w:rPr>
        <w:t xml:space="preserve">tudi na vse pravne osebe in javni sektor. V okviru obveznega nadzora subvencioniranih naložb so svetovalci opravili 376 ogledov izvedenih naložb. </w:t>
      </w:r>
      <w:r w:rsidR="00203E56">
        <w:rPr>
          <w:rFonts w:ascii="Arial" w:hAnsi="Arial" w:cs="Arial"/>
        </w:rPr>
        <w:t>Narejeno</w:t>
      </w:r>
      <w:r w:rsidR="00203E56" w:rsidRPr="00900F8E">
        <w:rPr>
          <w:rFonts w:ascii="Arial" w:hAnsi="Arial" w:cs="Arial"/>
        </w:rPr>
        <w:t xml:space="preserve"> </w:t>
      </w:r>
      <w:r w:rsidRPr="00900F8E">
        <w:rPr>
          <w:rFonts w:ascii="Arial" w:hAnsi="Arial" w:cs="Arial"/>
        </w:rPr>
        <w:t>je bilo tudi vrednotenje kakovosti nasvetov ENSVET</w:t>
      </w:r>
      <w:r w:rsidR="00392369">
        <w:rPr>
          <w:rFonts w:ascii="Arial" w:hAnsi="Arial" w:cs="Arial"/>
        </w:rPr>
        <w:t>, ki so ga opravili</w:t>
      </w:r>
      <w:r w:rsidRPr="00900F8E">
        <w:rPr>
          <w:rFonts w:ascii="Arial" w:hAnsi="Arial" w:cs="Arial"/>
        </w:rPr>
        <w:t xml:space="preserve"> zunanji strokovnjak</w:t>
      </w:r>
      <w:r w:rsidR="00392369">
        <w:rPr>
          <w:rFonts w:ascii="Arial" w:hAnsi="Arial" w:cs="Arial"/>
        </w:rPr>
        <w:t>i</w:t>
      </w:r>
      <w:r w:rsidRPr="00900F8E">
        <w:rPr>
          <w:rFonts w:ascii="Arial" w:hAnsi="Arial" w:cs="Arial"/>
        </w:rPr>
        <w:t>. S svetovanjem v okviru mreže ENSVET je bilo leta 2020 doseženo zmanjšanje rabe energije za 24,9 GWh</w:t>
      </w:r>
      <w:r w:rsidR="00C72994" w:rsidRPr="00900F8E">
        <w:rPr>
          <w:rFonts w:ascii="Arial" w:hAnsi="Arial" w:cs="Arial"/>
        </w:rPr>
        <w:t xml:space="preserve"> na </w:t>
      </w:r>
      <w:r w:rsidRPr="00900F8E">
        <w:rPr>
          <w:rFonts w:ascii="Arial" w:hAnsi="Arial" w:cs="Arial"/>
        </w:rPr>
        <w:t xml:space="preserve">leto in zmanjšanje emisije </w:t>
      </w:r>
      <w:r w:rsidR="00BF1321" w:rsidRPr="00900F8E">
        <w:rPr>
          <w:rFonts w:ascii="Arial" w:hAnsi="Arial" w:cs="Arial"/>
        </w:rPr>
        <w:t>CO</w:t>
      </w:r>
      <w:r w:rsidR="00BF1321" w:rsidRPr="00900F8E">
        <w:rPr>
          <w:rFonts w:ascii="Arial" w:hAnsi="Arial" w:cs="Arial"/>
          <w:vertAlign w:val="subscript"/>
        </w:rPr>
        <w:t>2</w:t>
      </w:r>
      <w:r w:rsidR="00BF1321" w:rsidRPr="00900F8E">
        <w:rPr>
          <w:rFonts w:ascii="Arial" w:hAnsi="Arial" w:cs="Arial"/>
        </w:rPr>
        <w:t xml:space="preserve"> </w:t>
      </w:r>
      <w:r w:rsidRPr="00900F8E">
        <w:rPr>
          <w:rFonts w:ascii="Arial" w:hAnsi="Arial" w:cs="Arial"/>
        </w:rPr>
        <w:t>za 6,5 kt</w:t>
      </w:r>
      <w:r w:rsidR="00944F02" w:rsidRPr="00900F8E">
        <w:rPr>
          <w:rFonts w:ascii="Arial" w:hAnsi="Arial" w:cs="Arial"/>
        </w:rPr>
        <w:t xml:space="preserve"> na </w:t>
      </w:r>
      <w:r w:rsidRPr="00900F8E">
        <w:rPr>
          <w:rFonts w:ascii="Arial" w:hAnsi="Arial" w:cs="Arial"/>
        </w:rPr>
        <w:t>leto;</w:t>
      </w:r>
    </w:p>
    <w:p w14:paraId="211769BD" w14:textId="0F3D8F0D"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Javni stanovanjski sklad MOL je objavil javni razpis za stanovanjska posojila za rekonstrukcijo in vzdrževalna dela na stanovanjskih stavbah, kjer so bili vključeni tudi prenova strehe in fasade, prenova ali zamenjava oken in zunanjih vrat itd. Za ta in še </w:t>
      </w:r>
      <w:r w:rsidR="00392369">
        <w:rPr>
          <w:rFonts w:ascii="Arial" w:hAnsi="Arial" w:cs="Arial"/>
        </w:rPr>
        <w:t>dva</w:t>
      </w:r>
      <w:r w:rsidRPr="00900F8E">
        <w:rPr>
          <w:rFonts w:ascii="Arial" w:hAnsi="Arial" w:cs="Arial"/>
        </w:rPr>
        <w:t xml:space="preserve"> druga namena je bilo skupaj na razpolago 300.000 evrov sredstev;</w:t>
      </w:r>
    </w:p>
    <w:p w14:paraId="1A4031F5" w14:textId="556C87C1"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ZURE v 15. členu opredeljuje sistem upravljanja energije v javnem sektorju;</w:t>
      </w:r>
    </w:p>
    <w:p w14:paraId="2BC9439F" w14:textId="60734B10"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spremenjena in dopolnjena je bila Uredba o upravljanju z energijo v javnem sektorju</w:t>
      </w:r>
      <w:r w:rsidR="005E59F4" w:rsidRPr="005E59F4">
        <w:t xml:space="preserve"> </w:t>
      </w:r>
      <w:r w:rsidR="005E59F4" w:rsidRPr="005E59F4">
        <w:rPr>
          <w:rFonts w:ascii="Arial" w:hAnsi="Arial" w:cs="Arial"/>
        </w:rPr>
        <w:t>(Uradni list RS, št. 52/16, 116/20 in 158/20 – ZURE)</w:t>
      </w:r>
      <w:r w:rsidRPr="00900F8E">
        <w:rPr>
          <w:rFonts w:ascii="Arial" w:hAnsi="Arial" w:cs="Arial"/>
        </w:rPr>
        <w:t>. Največ sprememb je prinesla na področju prenove ali gradnje skoraj ničenergijskih stavb oseb javnega sektorja;</w:t>
      </w:r>
    </w:p>
    <w:p w14:paraId="6333E667" w14:textId="6DA0855C"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z</w:t>
      </w:r>
      <w:r w:rsidR="00392369">
        <w:rPr>
          <w:rFonts w:ascii="Arial" w:hAnsi="Arial" w:cs="Arial"/>
        </w:rPr>
        <w:t>a</w:t>
      </w:r>
      <w:r w:rsidRPr="00900F8E">
        <w:rPr>
          <w:rFonts w:ascii="Arial" w:hAnsi="Arial" w:cs="Arial"/>
        </w:rPr>
        <w:t xml:space="preserve"> večj</w:t>
      </w:r>
      <w:r w:rsidR="00392369">
        <w:rPr>
          <w:rFonts w:ascii="Arial" w:hAnsi="Arial" w:cs="Arial"/>
        </w:rPr>
        <w:t>o</w:t>
      </w:r>
      <w:r w:rsidRPr="00900F8E">
        <w:rPr>
          <w:rFonts w:ascii="Arial" w:hAnsi="Arial" w:cs="Arial"/>
        </w:rPr>
        <w:t xml:space="preserve"> preglednost in </w:t>
      </w:r>
      <w:r w:rsidR="00392369">
        <w:rPr>
          <w:rFonts w:ascii="Arial" w:hAnsi="Arial" w:cs="Arial"/>
        </w:rPr>
        <w:t xml:space="preserve">preprostejšo </w:t>
      </w:r>
      <w:r w:rsidRPr="00900F8E">
        <w:rPr>
          <w:rFonts w:ascii="Arial" w:hAnsi="Arial" w:cs="Arial"/>
        </w:rPr>
        <w:t>uporab</w:t>
      </w:r>
      <w:r w:rsidR="00392369">
        <w:rPr>
          <w:rFonts w:ascii="Arial" w:hAnsi="Arial" w:cs="Arial"/>
        </w:rPr>
        <w:t>o</w:t>
      </w:r>
      <w:r w:rsidRPr="00900F8E">
        <w:rPr>
          <w:rFonts w:ascii="Arial" w:hAnsi="Arial" w:cs="Arial"/>
        </w:rPr>
        <w:t xml:space="preserve"> je bila nadgrajena aplikacija za poročanje podatkov energetskega knjigovodstva, pri čemer je bil med drugim poenostavljen vnos informacij o ukrepih za povečanje energetske učinkovitosti in rabe OVE ter stroških energije. Posodobljena so bila tudi navodila za poročanje in uporabo aplikacije;</w:t>
      </w:r>
    </w:p>
    <w:p w14:paraId="591AEDBC" w14:textId="70F1999D"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Borzen je izvedel </w:t>
      </w:r>
      <w:r w:rsidR="00392369">
        <w:rPr>
          <w:rFonts w:ascii="Arial" w:hAnsi="Arial" w:cs="Arial"/>
        </w:rPr>
        <w:t>pet</w:t>
      </w:r>
      <w:r w:rsidRPr="00900F8E">
        <w:rPr>
          <w:rFonts w:ascii="Arial" w:hAnsi="Arial" w:cs="Arial"/>
        </w:rPr>
        <w:t xml:space="preserve"> spletnih seminarjev s področja upravljanja energij</w:t>
      </w:r>
      <w:r w:rsidR="00392369">
        <w:rPr>
          <w:rFonts w:ascii="Arial" w:hAnsi="Arial" w:cs="Arial"/>
        </w:rPr>
        <w:t>e</w:t>
      </w:r>
      <w:r w:rsidRPr="00900F8E">
        <w:rPr>
          <w:rFonts w:ascii="Arial" w:hAnsi="Arial" w:cs="Arial"/>
        </w:rPr>
        <w:t xml:space="preserve"> v javnem sektorju (splošne informacije, financiranje trajnostnih projektov, energetski pregledi in </w:t>
      </w:r>
      <w:r w:rsidR="0022171D">
        <w:rPr>
          <w:rFonts w:ascii="Arial" w:hAnsi="Arial" w:cs="Arial"/>
        </w:rPr>
        <w:t xml:space="preserve">načrtno spremljanje stanja oziroma </w:t>
      </w:r>
      <w:r w:rsidRPr="00900F8E">
        <w:rPr>
          <w:rFonts w:ascii="Arial" w:hAnsi="Arial" w:cs="Arial"/>
        </w:rPr>
        <w:t>monitoring, javno naročanje in izraba OVE);</w:t>
      </w:r>
    </w:p>
    <w:p w14:paraId="3B9560E5" w14:textId="7F9F20E1"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lastRenderedPageBreak/>
        <w:t xml:space="preserve">za osebe celotnega javnega sektorja in ponudnike energetskih storitev so bila na voljo posojila za financiranje projektov celovite energetske prenove javnih stavb, in sicer je bilo do </w:t>
      </w:r>
      <w:r w:rsidR="001D6649">
        <w:rPr>
          <w:rFonts w:ascii="Arial" w:hAnsi="Arial" w:cs="Arial"/>
        </w:rPr>
        <w:t>z</w:t>
      </w:r>
      <w:r w:rsidRPr="00900F8E">
        <w:rPr>
          <w:rFonts w:ascii="Arial" w:hAnsi="Arial" w:cs="Arial"/>
        </w:rPr>
        <w:t>daj porabljenih 1,2 milijona kreditnih sredstev za tri projekte;</w:t>
      </w:r>
    </w:p>
    <w:p w14:paraId="6CB2FCCB" w14:textId="57DC3B99" w:rsidR="00FD009A" w:rsidRPr="00900F8E" w:rsidRDefault="00FD009A" w:rsidP="00E02BBA">
      <w:pPr>
        <w:pStyle w:val="Odstavekseznama"/>
        <w:numPr>
          <w:ilvl w:val="0"/>
          <w:numId w:val="1"/>
        </w:numPr>
        <w:spacing w:after="0" w:line="240" w:lineRule="auto"/>
        <w:jc w:val="both"/>
        <w:rPr>
          <w:rFonts w:ascii="Arial" w:hAnsi="Arial" w:cs="Arial"/>
        </w:rPr>
      </w:pPr>
      <w:r w:rsidRPr="00900F8E">
        <w:rPr>
          <w:rFonts w:ascii="Arial" w:hAnsi="Arial" w:cs="Arial"/>
        </w:rPr>
        <w:t xml:space="preserve">prenovljenih je bilo dobrih 127.000 m2 neto tlorisne površine stavb v lasti in rabi občin, stavb širšega javnega sektorja in stavb ožjega javnega sektorja, za kar je bilo dodeljenih 9,9 milijona evrov. V okviru 60 projektov je bilo skupno prenovljenih 541.000 m2 neto tlorisne površine stavb. Zmanjšanje rabe energije, doseženo s temi projekti, je bilo ocenjeno na 42,2 GWh, emisije </w:t>
      </w:r>
      <w:r w:rsidR="00BF1321" w:rsidRPr="00900F8E">
        <w:rPr>
          <w:rFonts w:ascii="Arial" w:hAnsi="Arial" w:cs="Arial"/>
        </w:rPr>
        <w:t>CO</w:t>
      </w:r>
      <w:r w:rsidR="00BF1321" w:rsidRPr="00900F8E">
        <w:rPr>
          <w:rFonts w:ascii="Arial" w:hAnsi="Arial" w:cs="Arial"/>
          <w:vertAlign w:val="subscript"/>
        </w:rPr>
        <w:t>2</w:t>
      </w:r>
      <w:r w:rsidRPr="00900F8E">
        <w:rPr>
          <w:rFonts w:ascii="Arial" w:hAnsi="Arial" w:cs="Arial"/>
        </w:rPr>
        <w:t xml:space="preserve"> pa na 11,1 kt na leto;</w:t>
      </w:r>
    </w:p>
    <w:p w14:paraId="5B3F2C3B" w14:textId="7F64271F" w:rsidR="00FD009A" w:rsidRPr="00900F8E" w:rsidRDefault="0022171D" w:rsidP="00E02BBA">
      <w:pPr>
        <w:pStyle w:val="Odstavekseznama"/>
        <w:numPr>
          <w:ilvl w:val="0"/>
          <w:numId w:val="1"/>
        </w:numPr>
        <w:spacing w:after="0" w:line="240" w:lineRule="auto"/>
        <w:jc w:val="both"/>
        <w:rPr>
          <w:rFonts w:ascii="Arial" w:hAnsi="Arial" w:cs="Arial"/>
        </w:rPr>
      </w:pPr>
      <w:r>
        <w:rPr>
          <w:rFonts w:ascii="Arial" w:hAnsi="Arial" w:cs="Arial"/>
        </w:rPr>
        <w:t>v</w:t>
      </w:r>
      <w:r w:rsidR="00FD009A" w:rsidRPr="00900F8E">
        <w:rPr>
          <w:rFonts w:ascii="Arial" w:hAnsi="Arial" w:cs="Arial"/>
        </w:rPr>
        <w:t xml:space="preserve"> okviru projekta LIFE IP CARE4CLIMATE sta </w:t>
      </w:r>
      <w:r>
        <w:rPr>
          <w:rFonts w:ascii="Arial" w:hAnsi="Arial" w:cs="Arial"/>
        </w:rPr>
        <w:t>potekala</w:t>
      </w:r>
      <w:r w:rsidR="00FD009A" w:rsidRPr="00900F8E">
        <w:rPr>
          <w:rFonts w:ascii="Arial" w:hAnsi="Arial" w:cs="Arial"/>
        </w:rPr>
        <w:t xml:space="preserve"> razvoj metodologije za kvalitativno in kvantitativno oceno projektov energetske prenove ter analiza obstoječih akcijskih načrtov za vpeljavo informacijskega modeliranja zgradb projektiranja v javno naročanje v Sloveniji in EU. Pripravljeni so bili predlogi za nadgradnjo sheme Znak kakovosti v graditeljstvu</w:t>
      </w:r>
      <w:r w:rsidR="005C6BAF" w:rsidRPr="00900F8E">
        <w:rPr>
          <w:rFonts w:ascii="Arial" w:hAnsi="Arial" w:cs="Arial"/>
        </w:rPr>
        <w:t xml:space="preserve"> (</w:t>
      </w:r>
      <w:r w:rsidR="00995E58">
        <w:rPr>
          <w:rFonts w:ascii="Arial" w:hAnsi="Arial" w:cs="Arial"/>
        </w:rPr>
        <w:t xml:space="preserve">v </w:t>
      </w:r>
      <w:r w:rsidR="00930529">
        <w:rPr>
          <w:rFonts w:ascii="Arial" w:hAnsi="Arial" w:cs="Arial"/>
        </w:rPr>
        <w:t>nadaljnjem besedilu</w:t>
      </w:r>
      <w:r w:rsidR="00995E58">
        <w:rPr>
          <w:rFonts w:ascii="Arial" w:hAnsi="Arial" w:cs="Arial"/>
        </w:rPr>
        <w:t xml:space="preserve">: </w:t>
      </w:r>
      <w:r w:rsidR="005C6BAF" w:rsidRPr="00900F8E">
        <w:rPr>
          <w:rFonts w:ascii="Arial" w:hAnsi="Arial" w:cs="Arial"/>
        </w:rPr>
        <w:t xml:space="preserve">ZKG) </w:t>
      </w:r>
      <w:r w:rsidR="00FD009A" w:rsidRPr="00900F8E">
        <w:rPr>
          <w:rFonts w:ascii="Arial" w:hAnsi="Arial" w:cs="Arial"/>
        </w:rPr>
        <w:t>z novimi kategorijami za ocenjevanje. Predlagane nove kategorije so proces načrtovanja celovite energetske prenove stavb, gradbena in energetska prenova stavb kulturne dediščine, energetska prenova kmetij, temeljita – energetska in protipotresna – prenova stavbe, učinkovito vzpostavljen sistem kakovosti pri izvajanju energetske prenove stavbe, energetska prenova stavb v lasti občin;</w:t>
      </w:r>
    </w:p>
    <w:p w14:paraId="2190B01F" w14:textId="403DCA78" w:rsidR="00FD009A" w:rsidRPr="00900F8E" w:rsidRDefault="001124D0" w:rsidP="00E02BBA">
      <w:pPr>
        <w:pStyle w:val="Odstavekseznama"/>
        <w:numPr>
          <w:ilvl w:val="0"/>
          <w:numId w:val="1"/>
        </w:numPr>
        <w:spacing w:after="0" w:line="240" w:lineRule="auto"/>
        <w:jc w:val="both"/>
        <w:rPr>
          <w:rFonts w:ascii="Arial" w:hAnsi="Arial" w:cs="Arial"/>
        </w:rPr>
      </w:pPr>
      <w:r>
        <w:rPr>
          <w:rFonts w:ascii="Arial" w:hAnsi="Arial" w:cs="Arial"/>
        </w:rPr>
        <w:t>p</w:t>
      </w:r>
      <w:r w:rsidR="00FD009A" w:rsidRPr="00900F8E">
        <w:rPr>
          <w:rFonts w:ascii="Arial" w:hAnsi="Arial" w:cs="Arial"/>
        </w:rPr>
        <w:t>rojektna pisarna je objavila tri razpise</w:t>
      </w:r>
      <w:r w:rsidR="00E049FD" w:rsidRPr="00900F8E">
        <w:rPr>
          <w:rFonts w:ascii="Arial" w:hAnsi="Arial" w:cs="Arial"/>
        </w:rPr>
        <w:t xml:space="preserve"> oziroma </w:t>
      </w:r>
      <w:r w:rsidR="00FD009A" w:rsidRPr="00900F8E">
        <w:rPr>
          <w:rFonts w:ascii="Arial" w:hAnsi="Arial" w:cs="Arial"/>
        </w:rPr>
        <w:t>povabila za energetsko prenovo stavb občin JOB-2020, stavb širšega javnega sektorja v lasti države ŠJS 2020 in stavb ožjega javnega sektorja OJS 2020</w:t>
      </w:r>
      <w:r w:rsidR="00995E58">
        <w:rPr>
          <w:rFonts w:ascii="Arial" w:hAnsi="Arial" w:cs="Arial"/>
        </w:rPr>
        <w:t>, v okviru katerih so</w:t>
      </w:r>
      <w:r>
        <w:rPr>
          <w:rFonts w:ascii="Arial" w:hAnsi="Arial" w:cs="Arial"/>
        </w:rPr>
        <w:t xml:space="preserve"> </w:t>
      </w:r>
      <w:r w:rsidR="00995E58">
        <w:rPr>
          <w:rFonts w:ascii="Arial" w:hAnsi="Arial" w:cs="Arial"/>
        </w:rPr>
        <w:t>bila</w:t>
      </w:r>
      <w:r w:rsidR="00995E58" w:rsidRPr="00995E58">
        <w:t xml:space="preserve"> </w:t>
      </w:r>
      <w:r w:rsidR="00995E58" w:rsidRPr="00995E58">
        <w:rPr>
          <w:rFonts w:ascii="Arial" w:hAnsi="Arial" w:cs="Arial"/>
        </w:rPr>
        <w:t>dodeljena sredstva petim projektom v skupni višini 4,7 milijona evrov</w:t>
      </w:r>
      <w:r w:rsidR="00FD009A" w:rsidRPr="00900F8E">
        <w:rPr>
          <w:rFonts w:ascii="Arial" w:hAnsi="Arial" w:cs="Arial"/>
        </w:rPr>
        <w:t xml:space="preserve">; objavila nov poziv k oddaji prijave za sofinanciranje izdelave tehnične in ekonomske dokumentacije za projekte energetske prenove javnih stavb iz sredstev mednarodne tehnične pomoči, imenovan ELENA 2020 (projekt </w:t>
      </w:r>
      <w:proofErr w:type="spellStart"/>
      <w:r w:rsidR="00FD009A" w:rsidRPr="00900F8E">
        <w:rPr>
          <w:rFonts w:ascii="Arial" w:hAnsi="Arial" w:cs="Arial"/>
        </w:rPr>
        <w:t>GovDER</w:t>
      </w:r>
      <w:proofErr w:type="spellEnd"/>
      <w:r w:rsidR="00FD009A" w:rsidRPr="00900F8E">
        <w:rPr>
          <w:rFonts w:ascii="Arial" w:hAnsi="Arial" w:cs="Arial"/>
        </w:rPr>
        <w:t>); vodila pripravo in spremlja izvedbo pilotnih projektov; prenovila vse dokumente z navodili za izvajanje operacij energetske prenove javnih stavb (navodila in tehnične usmeritve za energetsko prenovo javnih stavb, navodila za delo posredniških organov in upravičencev pri ukrepu energetske prenove stavb javnega, podrobnejše usmeritve javnim partnerjem pri ukrepu energetske prenove stavb javnega sektorja, priročnik upravičenih stroškov pri ukrepu energetske prenove stavb javnega sektorja); objavila evidenco stavb v lasti in uporabi ožjega javnega sektorja.</w:t>
      </w:r>
    </w:p>
    <w:p w14:paraId="3570EC96" w14:textId="4EBD26A4" w:rsidR="00A474FE" w:rsidRPr="00900F8E" w:rsidRDefault="00A474FE" w:rsidP="00133B35">
      <w:pPr>
        <w:spacing w:after="0" w:line="240" w:lineRule="auto"/>
        <w:jc w:val="both"/>
        <w:rPr>
          <w:rFonts w:ascii="Arial" w:hAnsi="Arial" w:cs="Arial"/>
        </w:rPr>
      </w:pPr>
    </w:p>
    <w:p w14:paraId="59A4D053" w14:textId="77777777" w:rsidR="00C83956" w:rsidRPr="00900F8E" w:rsidRDefault="00C83956" w:rsidP="00C83956">
      <w:pPr>
        <w:pStyle w:val="Default"/>
        <w:jc w:val="both"/>
        <w:rPr>
          <w:sz w:val="22"/>
          <w:szCs w:val="22"/>
          <w:lang w:val="sl-SI"/>
        </w:rPr>
      </w:pPr>
      <w:r w:rsidRPr="00900F8E">
        <w:rPr>
          <w:sz w:val="22"/>
          <w:szCs w:val="22"/>
          <w:lang w:val="sl-SI"/>
        </w:rPr>
        <w:t>V letu 2021 so se izvajali naslednji ukrepi:</w:t>
      </w:r>
    </w:p>
    <w:p w14:paraId="5D1AFDC8" w14:textId="77777777" w:rsidR="00F10182" w:rsidRPr="00900F8E" w:rsidRDefault="00847160" w:rsidP="00F10182">
      <w:pPr>
        <w:pStyle w:val="Odstavekseznama"/>
        <w:numPr>
          <w:ilvl w:val="0"/>
          <w:numId w:val="34"/>
        </w:numPr>
        <w:spacing w:after="0" w:line="240" w:lineRule="auto"/>
        <w:jc w:val="both"/>
        <w:rPr>
          <w:rFonts w:ascii="Arial" w:hAnsi="Arial" w:cs="Arial"/>
        </w:rPr>
      </w:pPr>
      <w:r w:rsidRPr="00900F8E">
        <w:rPr>
          <w:rFonts w:ascii="Arial" w:hAnsi="Arial" w:cs="Arial"/>
        </w:rPr>
        <w:t>v javni obravnavi je bil predlog Pravilnika o spremembah in dopolnitvah Pravilnika o učinkoviti rabi energije</w:t>
      </w:r>
      <w:r w:rsidR="00F10182" w:rsidRPr="00900F8E">
        <w:rPr>
          <w:rFonts w:ascii="Arial" w:hAnsi="Arial" w:cs="Arial"/>
        </w:rPr>
        <w:t>;</w:t>
      </w:r>
    </w:p>
    <w:p w14:paraId="2BAE9326" w14:textId="40FFB5C7" w:rsidR="00472EE8" w:rsidRPr="00900F8E" w:rsidRDefault="00F10182" w:rsidP="00A63B04">
      <w:pPr>
        <w:pStyle w:val="Odstavekseznama"/>
        <w:numPr>
          <w:ilvl w:val="0"/>
          <w:numId w:val="34"/>
        </w:numPr>
        <w:spacing w:after="0" w:line="240" w:lineRule="auto"/>
        <w:jc w:val="both"/>
        <w:rPr>
          <w:rFonts w:ascii="Arial" w:hAnsi="Arial" w:cs="Arial"/>
        </w:rPr>
      </w:pPr>
      <w:r w:rsidRPr="00900F8E">
        <w:rPr>
          <w:rFonts w:ascii="Arial" w:hAnsi="Arial" w:cs="Arial"/>
        </w:rPr>
        <w:t>Ministrstvo za kulturo</w:t>
      </w:r>
      <w:r w:rsidR="00B25658">
        <w:rPr>
          <w:rFonts w:ascii="Arial" w:hAnsi="Arial" w:cs="Arial"/>
        </w:rPr>
        <w:t xml:space="preserve"> RS</w:t>
      </w:r>
      <w:r w:rsidRPr="00900F8E">
        <w:rPr>
          <w:rFonts w:ascii="Arial" w:hAnsi="Arial" w:cs="Arial"/>
        </w:rPr>
        <w:t xml:space="preserve"> je prekinilo projekt energetske prenove petih stavb kulturne dediščine, ker izvajalec ni posredoval ustrezne dokumentacije za njegovo celovito izvedbo;</w:t>
      </w:r>
    </w:p>
    <w:p w14:paraId="2C55D0BB" w14:textId="2EC19F98" w:rsidR="00E049FD" w:rsidRPr="00900F8E" w:rsidRDefault="00A63B04" w:rsidP="00A63B04">
      <w:pPr>
        <w:pStyle w:val="Odstavekseznama"/>
        <w:numPr>
          <w:ilvl w:val="0"/>
          <w:numId w:val="34"/>
        </w:numPr>
        <w:spacing w:after="0" w:line="240" w:lineRule="auto"/>
        <w:jc w:val="both"/>
        <w:rPr>
          <w:rFonts w:ascii="Arial" w:hAnsi="Arial" w:cs="Arial"/>
        </w:rPr>
      </w:pPr>
      <w:r w:rsidRPr="00900F8E">
        <w:rPr>
          <w:rFonts w:ascii="Arial" w:hAnsi="Arial" w:cs="Arial"/>
        </w:rPr>
        <w:t>v okviru razpisov</w:t>
      </w:r>
      <w:r w:rsidR="00472EE8" w:rsidRPr="00900F8E">
        <w:rPr>
          <w:rFonts w:ascii="Arial" w:hAnsi="Arial" w:cs="Arial"/>
        </w:rPr>
        <w:t xml:space="preserve"> oziroma </w:t>
      </w:r>
      <w:r w:rsidRPr="00900F8E">
        <w:rPr>
          <w:rFonts w:ascii="Arial" w:hAnsi="Arial" w:cs="Arial"/>
        </w:rPr>
        <w:t xml:space="preserve">povabil za energetsko prenovo stavb občin ter ožjega in širšega javnega sektorja ter izvedbo pilotnih projektov v okviru izvajanja OP EKP </w:t>
      </w:r>
      <w:r w:rsidR="00472EE8" w:rsidRPr="00900F8E">
        <w:rPr>
          <w:rFonts w:ascii="Arial" w:hAnsi="Arial" w:cs="Arial"/>
        </w:rPr>
        <w:t>je bilo</w:t>
      </w:r>
      <w:r w:rsidRPr="00900F8E">
        <w:rPr>
          <w:rFonts w:ascii="Arial" w:hAnsi="Arial" w:cs="Arial"/>
        </w:rPr>
        <w:t xml:space="preserve"> odobrenih </w:t>
      </w:r>
      <w:r w:rsidR="00472EE8" w:rsidRPr="00900F8E">
        <w:rPr>
          <w:rFonts w:ascii="Arial" w:hAnsi="Arial" w:cs="Arial"/>
        </w:rPr>
        <w:t>36</w:t>
      </w:r>
      <w:r w:rsidRPr="00900F8E">
        <w:rPr>
          <w:rFonts w:ascii="Arial" w:hAnsi="Arial" w:cs="Arial"/>
        </w:rPr>
        <w:t xml:space="preserve"> projektov. Po modelu pogodbenega zagotavljanja prihrankov energije se izvaja </w:t>
      </w:r>
      <w:r w:rsidR="009F7DA1">
        <w:rPr>
          <w:rFonts w:ascii="Arial" w:hAnsi="Arial" w:cs="Arial"/>
        </w:rPr>
        <w:t>devet</w:t>
      </w:r>
      <w:r w:rsidRPr="00900F8E">
        <w:rPr>
          <w:rFonts w:ascii="Arial" w:hAnsi="Arial" w:cs="Arial"/>
        </w:rPr>
        <w:t xml:space="preserve"> projektov</w:t>
      </w:r>
      <w:r w:rsidR="00472EE8" w:rsidRPr="00900F8E">
        <w:rPr>
          <w:rFonts w:ascii="Arial" w:hAnsi="Arial" w:cs="Arial"/>
        </w:rPr>
        <w:t>.</w:t>
      </w:r>
      <w:r w:rsidRPr="00900F8E">
        <w:rPr>
          <w:rFonts w:ascii="Arial" w:hAnsi="Arial" w:cs="Arial"/>
        </w:rPr>
        <w:t xml:space="preserve"> Pri projektih energetske prenove občinskih stavb je bil največji delež projektov </w:t>
      </w:r>
      <w:r w:rsidR="00472EE8" w:rsidRPr="00900F8E">
        <w:rPr>
          <w:rFonts w:ascii="Arial" w:hAnsi="Arial" w:cs="Arial"/>
        </w:rPr>
        <w:t>energetskega pogodbeništva (</w:t>
      </w:r>
      <w:r w:rsidR="00995E58">
        <w:rPr>
          <w:rFonts w:ascii="Arial" w:hAnsi="Arial" w:cs="Arial"/>
        </w:rPr>
        <w:t xml:space="preserve">v </w:t>
      </w:r>
      <w:r w:rsidR="00930529">
        <w:rPr>
          <w:rFonts w:ascii="Arial" w:hAnsi="Arial" w:cs="Arial"/>
        </w:rPr>
        <w:t>nadaljnjem besedilu</w:t>
      </w:r>
      <w:r w:rsidR="00995E58">
        <w:rPr>
          <w:rFonts w:ascii="Arial" w:hAnsi="Arial" w:cs="Arial"/>
        </w:rPr>
        <w:t xml:space="preserve">: </w:t>
      </w:r>
      <w:r w:rsidRPr="00900F8E">
        <w:rPr>
          <w:rFonts w:ascii="Arial" w:hAnsi="Arial" w:cs="Arial"/>
        </w:rPr>
        <w:t>EPO</w:t>
      </w:r>
      <w:r w:rsidR="00472EE8" w:rsidRPr="00900F8E">
        <w:rPr>
          <w:rFonts w:ascii="Arial" w:hAnsi="Arial" w:cs="Arial"/>
        </w:rPr>
        <w:t>)</w:t>
      </w:r>
      <w:r w:rsidRPr="00900F8E">
        <w:rPr>
          <w:rFonts w:ascii="Arial" w:hAnsi="Arial" w:cs="Arial"/>
        </w:rPr>
        <w:t xml:space="preserve"> dosežen v okviru razpisa JOB-2018, k</w:t>
      </w:r>
      <w:r w:rsidR="00472EE8" w:rsidRPr="00900F8E">
        <w:rPr>
          <w:rFonts w:ascii="Arial" w:hAnsi="Arial" w:cs="Arial"/>
        </w:rPr>
        <w:t>i</w:t>
      </w:r>
      <w:r w:rsidRPr="00900F8E">
        <w:rPr>
          <w:rFonts w:ascii="Arial" w:hAnsi="Arial" w:cs="Arial"/>
        </w:rPr>
        <w:t xml:space="preserve"> je zaje</w:t>
      </w:r>
      <w:r w:rsidR="00472EE8" w:rsidRPr="00900F8E">
        <w:rPr>
          <w:rFonts w:ascii="Arial" w:hAnsi="Arial" w:cs="Arial"/>
        </w:rPr>
        <w:t>l</w:t>
      </w:r>
      <w:r w:rsidRPr="00900F8E">
        <w:rPr>
          <w:rFonts w:ascii="Arial" w:hAnsi="Arial" w:cs="Arial"/>
        </w:rPr>
        <w:t xml:space="preserve"> 95 % vse neto tlorisne površine. Po tem letu se </w:t>
      </w:r>
      <w:r w:rsidR="00472EE8" w:rsidRPr="00900F8E">
        <w:rPr>
          <w:rFonts w:ascii="Arial" w:hAnsi="Arial" w:cs="Arial"/>
        </w:rPr>
        <w:t xml:space="preserve">je </w:t>
      </w:r>
      <w:r w:rsidRPr="00900F8E">
        <w:rPr>
          <w:rFonts w:ascii="Arial" w:hAnsi="Arial" w:cs="Arial"/>
        </w:rPr>
        <w:t>delež zmanjš</w:t>
      </w:r>
      <w:r w:rsidR="00472EE8" w:rsidRPr="00900F8E">
        <w:rPr>
          <w:rFonts w:ascii="Arial" w:hAnsi="Arial" w:cs="Arial"/>
        </w:rPr>
        <w:t>eval</w:t>
      </w:r>
      <w:r w:rsidRPr="00900F8E">
        <w:rPr>
          <w:rFonts w:ascii="Arial" w:hAnsi="Arial" w:cs="Arial"/>
        </w:rPr>
        <w:t xml:space="preserve"> in je bil v okviru razpisa JOB-2021 le še 61-odstotni. Do konca leta 2021 je bilo končanih 34 projektov EPO s skupno 187 stavbami in skoraj 508.000 m</w:t>
      </w:r>
      <w:r w:rsidRPr="00900F8E">
        <w:rPr>
          <w:rFonts w:ascii="Arial" w:hAnsi="Arial" w:cs="Arial"/>
          <w:vertAlign w:val="superscript"/>
        </w:rPr>
        <w:t>2</w:t>
      </w:r>
      <w:r w:rsidRPr="00900F8E">
        <w:rPr>
          <w:rFonts w:ascii="Arial" w:hAnsi="Arial" w:cs="Arial"/>
        </w:rPr>
        <w:t xml:space="preserve"> neto tlorisne površine. V skladu z </w:t>
      </w:r>
      <w:r w:rsidR="00472EE8" w:rsidRPr="00900F8E">
        <w:rPr>
          <w:rFonts w:ascii="Arial" w:hAnsi="Arial" w:cs="Arial"/>
        </w:rPr>
        <w:t>Akcijskim načrtom za učinkovito rabo energije (</w:t>
      </w:r>
      <w:r w:rsidR="00121083">
        <w:rPr>
          <w:rFonts w:ascii="Arial" w:hAnsi="Arial" w:cs="Arial"/>
        </w:rPr>
        <w:t xml:space="preserve">v </w:t>
      </w:r>
      <w:r w:rsidR="00930529">
        <w:rPr>
          <w:rFonts w:ascii="Arial" w:hAnsi="Arial" w:cs="Arial"/>
        </w:rPr>
        <w:t>nadaljnjem besedilu</w:t>
      </w:r>
      <w:r w:rsidR="00121083">
        <w:rPr>
          <w:rFonts w:ascii="Arial" w:hAnsi="Arial" w:cs="Arial"/>
        </w:rPr>
        <w:t xml:space="preserve">: </w:t>
      </w:r>
      <w:r w:rsidRPr="00900F8E">
        <w:rPr>
          <w:rFonts w:ascii="Arial" w:hAnsi="Arial" w:cs="Arial"/>
        </w:rPr>
        <w:t>AN URE</w:t>
      </w:r>
      <w:r w:rsidR="00472EE8" w:rsidRPr="00900F8E">
        <w:rPr>
          <w:rFonts w:ascii="Arial" w:hAnsi="Arial" w:cs="Arial"/>
        </w:rPr>
        <w:t>)</w:t>
      </w:r>
      <w:r w:rsidRPr="00900F8E">
        <w:rPr>
          <w:rFonts w:ascii="Arial" w:hAnsi="Arial" w:cs="Arial"/>
        </w:rPr>
        <w:t xml:space="preserve"> naj bi bilo sicer do konca leta 2020 kar 80 % vseh finančnih podpor za energetsko prenovo javnih stavb usmerjenih v spodbujanje energetskega pogodbeništva. Pri projektih, ki so bili končani do konca leta 2020, je bilo v projekte EPO usmerjenih 71 % vseh nepovratnih sredstev, pri projektih, ki so bili končani do konca leta 2021, pa je ta delež 65-odstoten</w:t>
      </w:r>
      <w:r w:rsidR="00472EE8" w:rsidRPr="00900F8E">
        <w:rPr>
          <w:rFonts w:ascii="Arial" w:hAnsi="Arial" w:cs="Arial"/>
        </w:rPr>
        <w:t>;</w:t>
      </w:r>
    </w:p>
    <w:p w14:paraId="4A736249" w14:textId="0A3B4608" w:rsidR="00E049FD" w:rsidRPr="00900F8E" w:rsidRDefault="00E049FD" w:rsidP="00A63B04">
      <w:pPr>
        <w:pStyle w:val="Odstavekseznama"/>
        <w:numPr>
          <w:ilvl w:val="0"/>
          <w:numId w:val="34"/>
        </w:numPr>
        <w:spacing w:after="0" w:line="240" w:lineRule="auto"/>
        <w:jc w:val="both"/>
        <w:rPr>
          <w:rFonts w:ascii="Arial" w:hAnsi="Arial" w:cs="Arial"/>
        </w:rPr>
      </w:pPr>
      <w:r w:rsidRPr="00900F8E">
        <w:rPr>
          <w:rFonts w:ascii="Arial" w:hAnsi="Arial" w:cs="Arial"/>
        </w:rPr>
        <w:t>d</w:t>
      </w:r>
      <w:r w:rsidR="00A63B04" w:rsidRPr="00900F8E">
        <w:rPr>
          <w:rFonts w:ascii="Arial" w:hAnsi="Arial" w:cs="Arial"/>
        </w:rPr>
        <w:t xml:space="preserve">odeljevanje sredstev za energetsko prenovo javnih stavb iz Kohezijskega sklada je </w:t>
      </w:r>
      <w:r w:rsidR="009F7DA1">
        <w:rPr>
          <w:rFonts w:ascii="Arial" w:hAnsi="Arial" w:cs="Arial"/>
        </w:rPr>
        <w:t>potekalo</w:t>
      </w:r>
      <w:r w:rsidR="009F7DA1" w:rsidRPr="00900F8E">
        <w:rPr>
          <w:rFonts w:ascii="Arial" w:hAnsi="Arial" w:cs="Arial"/>
        </w:rPr>
        <w:t xml:space="preserve"> </w:t>
      </w:r>
      <w:r w:rsidR="00A63B04" w:rsidRPr="00900F8E">
        <w:rPr>
          <w:rFonts w:ascii="Arial" w:hAnsi="Arial" w:cs="Arial"/>
        </w:rPr>
        <w:t>v okviru razpisov</w:t>
      </w:r>
      <w:r w:rsidRPr="00900F8E">
        <w:rPr>
          <w:rFonts w:ascii="Arial" w:hAnsi="Arial" w:cs="Arial"/>
        </w:rPr>
        <w:t xml:space="preserve"> in </w:t>
      </w:r>
      <w:r w:rsidR="00A63B04" w:rsidRPr="00900F8E">
        <w:rPr>
          <w:rFonts w:ascii="Arial" w:hAnsi="Arial" w:cs="Arial"/>
        </w:rPr>
        <w:t xml:space="preserve">povabil, ki so bila objavljena </w:t>
      </w:r>
      <w:r w:rsidRPr="00900F8E">
        <w:rPr>
          <w:rFonts w:ascii="Arial" w:hAnsi="Arial" w:cs="Arial"/>
        </w:rPr>
        <w:t>v letu</w:t>
      </w:r>
      <w:r w:rsidR="00A63B04" w:rsidRPr="00900F8E">
        <w:rPr>
          <w:rFonts w:ascii="Arial" w:hAnsi="Arial" w:cs="Arial"/>
        </w:rPr>
        <w:t xml:space="preserve"> 2020 (JOB_2021, OJS 2021 in ŠJS 2021). Ob objavi je bilo skupaj razpisanih 46,8 milijon</w:t>
      </w:r>
      <w:r w:rsidR="001D6649">
        <w:rPr>
          <w:rFonts w:ascii="Arial" w:hAnsi="Arial" w:cs="Arial"/>
        </w:rPr>
        <w:t>a</w:t>
      </w:r>
      <w:r w:rsidR="00A63B04" w:rsidRPr="00900F8E">
        <w:rPr>
          <w:rFonts w:ascii="Arial" w:hAnsi="Arial" w:cs="Arial"/>
        </w:rPr>
        <w:t xml:space="preserve"> evrov sredstev, </w:t>
      </w:r>
      <w:r w:rsidRPr="00900F8E">
        <w:rPr>
          <w:rFonts w:ascii="Arial" w:hAnsi="Arial" w:cs="Arial"/>
        </w:rPr>
        <w:t>leta</w:t>
      </w:r>
      <w:r w:rsidR="00A63B04" w:rsidRPr="00900F8E">
        <w:rPr>
          <w:rFonts w:ascii="Arial" w:hAnsi="Arial" w:cs="Arial"/>
        </w:rPr>
        <w:t xml:space="preserve"> </w:t>
      </w:r>
      <w:r w:rsidR="00A63B04" w:rsidRPr="00900F8E">
        <w:rPr>
          <w:rFonts w:ascii="Arial" w:hAnsi="Arial" w:cs="Arial"/>
        </w:rPr>
        <w:lastRenderedPageBreak/>
        <w:t xml:space="preserve">2021 pa se je ta znesek </w:t>
      </w:r>
      <w:r w:rsidRPr="00900F8E">
        <w:rPr>
          <w:rFonts w:ascii="Arial" w:hAnsi="Arial" w:cs="Arial"/>
        </w:rPr>
        <w:t>p</w:t>
      </w:r>
      <w:r w:rsidR="00A63B04" w:rsidRPr="00900F8E">
        <w:rPr>
          <w:rFonts w:ascii="Arial" w:hAnsi="Arial" w:cs="Arial"/>
        </w:rPr>
        <w:t>ovečal na 58,5 milijon</w:t>
      </w:r>
      <w:r w:rsidRPr="00900F8E">
        <w:rPr>
          <w:rFonts w:ascii="Arial" w:hAnsi="Arial" w:cs="Arial"/>
        </w:rPr>
        <w:t>a</w:t>
      </w:r>
      <w:r w:rsidR="00A63B04" w:rsidRPr="00900F8E">
        <w:rPr>
          <w:rFonts w:ascii="Arial" w:hAnsi="Arial" w:cs="Arial"/>
        </w:rPr>
        <w:t xml:space="preserve"> evrov</w:t>
      </w:r>
      <w:r w:rsidR="00F37E49" w:rsidRPr="00900F8E">
        <w:rPr>
          <w:rFonts w:ascii="Arial" w:hAnsi="Arial" w:cs="Arial"/>
        </w:rPr>
        <w:t>. Za 38 projektov, prijavljenih na odpiranja do konca leta 2021, so bila dodeljena sredstva v znesku 43,3 milijona evrov</w:t>
      </w:r>
      <w:r w:rsidRPr="00900F8E">
        <w:rPr>
          <w:rFonts w:ascii="Arial" w:hAnsi="Arial" w:cs="Arial"/>
        </w:rPr>
        <w:t>;</w:t>
      </w:r>
    </w:p>
    <w:p w14:paraId="016B4B5A" w14:textId="7B6639BE" w:rsidR="00E049FD" w:rsidRPr="00900F8E" w:rsidRDefault="00A63B04" w:rsidP="00640804">
      <w:pPr>
        <w:pStyle w:val="Odstavekseznama"/>
        <w:numPr>
          <w:ilvl w:val="0"/>
          <w:numId w:val="34"/>
        </w:numPr>
        <w:spacing w:after="0" w:line="240" w:lineRule="auto"/>
        <w:jc w:val="both"/>
        <w:rPr>
          <w:rFonts w:ascii="Arial" w:hAnsi="Arial" w:cs="Arial"/>
        </w:rPr>
      </w:pPr>
      <w:r w:rsidRPr="00900F8E">
        <w:rPr>
          <w:rFonts w:ascii="Arial" w:hAnsi="Arial" w:cs="Arial"/>
        </w:rPr>
        <w:t xml:space="preserve">končal </w:t>
      </w:r>
      <w:r w:rsidR="00E049FD" w:rsidRPr="00900F8E">
        <w:rPr>
          <w:rFonts w:ascii="Arial" w:hAnsi="Arial" w:cs="Arial"/>
        </w:rPr>
        <w:t xml:space="preserve">se je </w:t>
      </w:r>
      <w:r w:rsidRPr="00900F8E">
        <w:rPr>
          <w:rFonts w:ascii="Arial" w:hAnsi="Arial" w:cs="Arial"/>
        </w:rPr>
        <w:t xml:space="preserve">projekt </w:t>
      </w:r>
      <w:proofErr w:type="spellStart"/>
      <w:r w:rsidRPr="00900F8E">
        <w:rPr>
          <w:rFonts w:ascii="Arial" w:hAnsi="Arial" w:cs="Arial"/>
        </w:rPr>
        <w:t>GovDER</w:t>
      </w:r>
      <w:proofErr w:type="spellEnd"/>
      <w:r w:rsidRPr="00900F8E">
        <w:rPr>
          <w:rFonts w:ascii="Arial" w:hAnsi="Arial" w:cs="Arial"/>
        </w:rPr>
        <w:t>, ki je bil namenjen sofinanciranju izdelave tehnične in ekonomske dokumentacije za projekte energetske prenove javnih stavb iz sredstev mednarodne tehnične pomoči ELENA.</w:t>
      </w:r>
      <w:r w:rsidR="00E049FD" w:rsidRPr="00900F8E">
        <w:rPr>
          <w:rFonts w:ascii="Arial" w:hAnsi="Arial" w:cs="Arial"/>
        </w:rPr>
        <w:t xml:space="preserve"> S</w:t>
      </w:r>
      <w:r w:rsidRPr="00900F8E">
        <w:rPr>
          <w:rFonts w:ascii="Arial" w:hAnsi="Arial" w:cs="Arial"/>
        </w:rPr>
        <w:t>kupno je bilo prijavljenih 21 operacij, ki so bile podprte z 927.000 evri. Upravičenci so bile osebe ožjega javnega sektorja in osebe širšega javnega sektorja, katerih ustanovitelj je država</w:t>
      </w:r>
      <w:r w:rsidR="00E049FD" w:rsidRPr="00900F8E">
        <w:rPr>
          <w:rFonts w:ascii="Arial" w:hAnsi="Arial" w:cs="Arial"/>
        </w:rPr>
        <w:t>;</w:t>
      </w:r>
      <w:r w:rsidRPr="00900F8E">
        <w:rPr>
          <w:rFonts w:ascii="Arial" w:hAnsi="Arial" w:cs="Arial"/>
        </w:rPr>
        <w:t xml:space="preserve"> </w:t>
      </w:r>
    </w:p>
    <w:p w14:paraId="0AAA3ABE" w14:textId="1EFA4A6B" w:rsidR="002413EF" w:rsidRDefault="00A63B04" w:rsidP="002413EF">
      <w:pPr>
        <w:pStyle w:val="Odstavekseznama"/>
        <w:numPr>
          <w:ilvl w:val="0"/>
          <w:numId w:val="34"/>
        </w:numPr>
        <w:spacing w:after="0" w:line="240" w:lineRule="auto"/>
        <w:jc w:val="both"/>
        <w:rPr>
          <w:rFonts w:ascii="Arial" w:hAnsi="Arial" w:cs="Arial"/>
        </w:rPr>
      </w:pPr>
      <w:r w:rsidRPr="00900F8E">
        <w:rPr>
          <w:rFonts w:ascii="Arial" w:hAnsi="Arial" w:cs="Arial"/>
        </w:rPr>
        <w:t xml:space="preserve">Eko sklad je objavil javni razpis za pilotne projekte celovite prenove večstanovanjskih stavb po modelu energetskega pogodbeništva. Razpis se je </w:t>
      </w:r>
      <w:r w:rsidR="004B450D">
        <w:rPr>
          <w:rFonts w:ascii="Arial" w:hAnsi="Arial" w:cs="Arial"/>
        </w:rPr>
        <w:t>končal</w:t>
      </w:r>
      <w:r w:rsidRPr="00900F8E">
        <w:rPr>
          <w:rFonts w:ascii="Arial" w:hAnsi="Arial" w:cs="Arial"/>
        </w:rPr>
        <w:t xml:space="preserve">, </w:t>
      </w:r>
      <w:r w:rsidR="00E049FD" w:rsidRPr="00900F8E">
        <w:rPr>
          <w:rFonts w:ascii="Arial" w:hAnsi="Arial" w:cs="Arial"/>
        </w:rPr>
        <w:t>ne</w:t>
      </w:r>
      <w:r w:rsidRPr="00900F8E">
        <w:rPr>
          <w:rFonts w:ascii="Arial" w:hAnsi="Arial" w:cs="Arial"/>
        </w:rPr>
        <w:t xml:space="preserve"> da bi nanj prispela popolna vloga</w:t>
      </w:r>
      <w:r w:rsidR="001E4645">
        <w:rPr>
          <w:rFonts w:ascii="Arial" w:hAnsi="Arial" w:cs="Arial"/>
        </w:rPr>
        <w:t>.</w:t>
      </w:r>
    </w:p>
    <w:p w14:paraId="4E3562FE" w14:textId="751ACFC5" w:rsidR="001E4645" w:rsidRPr="00900F8E" w:rsidRDefault="001E4645" w:rsidP="001E4645">
      <w:pPr>
        <w:pStyle w:val="Odstavekseznama"/>
        <w:spacing w:after="0" w:line="240" w:lineRule="auto"/>
        <w:ind w:left="360"/>
        <w:jc w:val="both"/>
        <w:rPr>
          <w:rFonts w:ascii="Arial" w:hAnsi="Arial" w:cs="Arial"/>
        </w:rPr>
      </w:pPr>
      <w:r>
        <w:rPr>
          <w:rFonts w:ascii="Arial" w:hAnsi="Arial" w:cs="Arial"/>
        </w:rPr>
        <w:t>V</w:t>
      </w:r>
      <w:r w:rsidRPr="00900F8E">
        <w:rPr>
          <w:rFonts w:ascii="Arial" w:hAnsi="Arial" w:cs="Arial"/>
        </w:rPr>
        <w:t xml:space="preserve"> javni obravnavi je bil predlog Uredbe o spremembah in dopolnitvah Uredbe o zagotavljanju prihrankov energije. Glavna sprememba v predlogu se je nanašala na prispevek za </w:t>
      </w:r>
      <w:r>
        <w:rPr>
          <w:rFonts w:ascii="Arial" w:hAnsi="Arial" w:cs="Arial"/>
        </w:rPr>
        <w:t>URE</w:t>
      </w:r>
      <w:r w:rsidRPr="00900F8E">
        <w:rPr>
          <w:rFonts w:ascii="Arial" w:hAnsi="Arial" w:cs="Arial"/>
        </w:rPr>
        <w:t>, kjer je predvideno, da se bo omenjeni prispevek povečal za 50 % najprej oktobra 2021, nato pa še v letih 2024 in 2026</w:t>
      </w:r>
      <w:r>
        <w:rPr>
          <w:rFonts w:ascii="Arial" w:hAnsi="Arial" w:cs="Arial"/>
        </w:rPr>
        <w:t xml:space="preserve">. Prispevek je </w:t>
      </w:r>
      <w:r w:rsidRPr="00900F8E">
        <w:rPr>
          <w:rFonts w:ascii="Arial" w:hAnsi="Arial" w:cs="Arial"/>
        </w:rPr>
        <w:t>vir sredstev za izvajanje programov Eko sklada</w:t>
      </w:r>
      <w:r>
        <w:rPr>
          <w:rFonts w:ascii="Arial" w:hAnsi="Arial" w:cs="Arial"/>
        </w:rPr>
        <w:t>.</w:t>
      </w:r>
    </w:p>
    <w:p w14:paraId="7123987E" w14:textId="0D36245D" w:rsidR="001E4645" w:rsidRPr="00900F8E" w:rsidRDefault="001E4645" w:rsidP="001E4645">
      <w:pPr>
        <w:pStyle w:val="Odstavekseznama"/>
        <w:spacing w:after="0" w:line="240" w:lineRule="auto"/>
        <w:ind w:left="360"/>
        <w:jc w:val="both"/>
        <w:rPr>
          <w:rFonts w:ascii="Arial" w:hAnsi="Arial" w:cs="Arial"/>
        </w:rPr>
      </w:pPr>
      <w:r>
        <w:rPr>
          <w:rFonts w:ascii="Arial" w:hAnsi="Arial" w:cs="Arial"/>
        </w:rPr>
        <w:t>O</w:t>
      </w:r>
      <w:r w:rsidRPr="00900F8E">
        <w:rPr>
          <w:rFonts w:ascii="Arial" w:hAnsi="Arial" w:cs="Arial"/>
        </w:rPr>
        <w:t xml:space="preserve">bčani so lahko, poleg pozivov 67SUB-OBPO19, 69SUB-SOCOB19 in 86SUB-SOCOB21, za sredstva zaprosili tudi v okviru poziva za nove naložbe rabe </w:t>
      </w:r>
      <w:r>
        <w:rPr>
          <w:rFonts w:ascii="Arial" w:hAnsi="Arial" w:cs="Arial"/>
        </w:rPr>
        <w:t xml:space="preserve">OVE </w:t>
      </w:r>
      <w:r w:rsidRPr="00900F8E">
        <w:rPr>
          <w:rFonts w:ascii="Arial" w:hAnsi="Arial" w:cs="Arial"/>
        </w:rPr>
        <w:t xml:space="preserve">in večje energijske učinkovitosti stanovanjskih stavb 74SUB-OB19. Vrednost razpoložljivih sredstev je bila povečana za 38,5 milijona evrov na skupno 75,4 milijona evrov. </w:t>
      </w:r>
      <w:r w:rsidR="004B450D">
        <w:rPr>
          <w:rFonts w:ascii="Arial" w:hAnsi="Arial" w:cs="Arial"/>
        </w:rPr>
        <w:t>Končan</w:t>
      </w:r>
      <w:r w:rsidR="004B450D" w:rsidRPr="00900F8E">
        <w:rPr>
          <w:rFonts w:ascii="Arial" w:hAnsi="Arial" w:cs="Arial"/>
        </w:rPr>
        <w:t xml:space="preserve"> </w:t>
      </w:r>
      <w:r w:rsidRPr="00900F8E">
        <w:rPr>
          <w:rFonts w:ascii="Arial" w:hAnsi="Arial" w:cs="Arial"/>
        </w:rPr>
        <w:t>je bil poziv za skoraj ničenergijske stavbe 73SUB-sNESOB19, ki ga je nadomestil poziv 89SUB-sNESOB21, z razpisanimi 6 milijoni evri nepovratnih sredstev. Odprt je bil poziv 48SUB-SKOB17 za zamenjavo starih kurilnih naprav v skupnih kotlovnicah večstanovanjskih stavb, kjer je bil razpisani znesek znižan na 1 milijon evrov</w:t>
      </w:r>
      <w:r>
        <w:rPr>
          <w:rFonts w:ascii="Arial" w:hAnsi="Arial" w:cs="Arial"/>
        </w:rPr>
        <w:t>.</w:t>
      </w:r>
    </w:p>
    <w:p w14:paraId="7D9DFB07" w14:textId="184C21A4" w:rsidR="001E4645" w:rsidRPr="00900F8E" w:rsidRDefault="001E4645" w:rsidP="001E4645">
      <w:pPr>
        <w:pStyle w:val="Odstavekseznama"/>
        <w:spacing w:after="0" w:line="240" w:lineRule="auto"/>
        <w:ind w:left="360"/>
        <w:jc w:val="both"/>
        <w:rPr>
          <w:rFonts w:ascii="Arial" w:hAnsi="Arial" w:cs="Arial"/>
        </w:rPr>
      </w:pPr>
      <w:r>
        <w:rPr>
          <w:rFonts w:ascii="Arial" w:hAnsi="Arial" w:cs="Arial"/>
        </w:rPr>
        <w:t>Z</w:t>
      </w:r>
      <w:r w:rsidRPr="00900F8E">
        <w:rPr>
          <w:rFonts w:ascii="Arial" w:hAnsi="Arial" w:cs="Arial"/>
        </w:rPr>
        <w:t>a izvajanje ukrepov URE in OVE je bilo v gospodinjstvih izplačanih 36,9 milijona evrov, kar je 3 % manj kot leto prej</w:t>
      </w:r>
      <w:r>
        <w:rPr>
          <w:rFonts w:ascii="Arial" w:hAnsi="Arial" w:cs="Arial"/>
        </w:rPr>
        <w:t>.</w:t>
      </w:r>
    </w:p>
    <w:p w14:paraId="0AFCC159" w14:textId="1C134FF6" w:rsidR="001E4645" w:rsidRPr="001E4645" w:rsidRDefault="001E4645" w:rsidP="001E4645">
      <w:pPr>
        <w:pStyle w:val="Odstavekseznama"/>
        <w:spacing w:after="0" w:line="240" w:lineRule="auto"/>
        <w:ind w:left="360"/>
        <w:jc w:val="both"/>
        <w:rPr>
          <w:rFonts w:ascii="Arial" w:hAnsi="Arial" w:cs="Arial"/>
        </w:rPr>
      </w:pPr>
      <w:r>
        <w:rPr>
          <w:rFonts w:ascii="Arial" w:hAnsi="Arial" w:cs="Arial"/>
        </w:rPr>
        <w:t>Z</w:t>
      </w:r>
      <w:r w:rsidRPr="00900F8E">
        <w:rPr>
          <w:rFonts w:ascii="Arial" w:hAnsi="Arial" w:cs="Arial"/>
        </w:rPr>
        <w:t xml:space="preserve"> izvedbo projektov URE in OVE v gospodinjstvih, ki so bili podprti z nepovratnimi sredstvi Eko sklada, je bilo doseženo zmanjšanje rabe energije za 216,3 GWh na leto, povečanje proizvodnje energije iz OVE za 143,2 GWh na leto in zmanjšanje emisije CO</w:t>
      </w:r>
      <w:r w:rsidRPr="00900F8E">
        <w:rPr>
          <w:rFonts w:ascii="Arial" w:hAnsi="Arial" w:cs="Arial"/>
          <w:vertAlign w:val="subscript"/>
        </w:rPr>
        <w:t>2</w:t>
      </w:r>
      <w:r w:rsidRPr="00900F8E">
        <w:rPr>
          <w:rFonts w:ascii="Arial" w:hAnsi="Arial" w:cs="Arial"/>
        </w:rPr>
        <w:t xml:space="preserve"> za 46,5 kt na leto;</w:t>
      </w:r>
    </w:p>
    <w:p w14:paraId="50921AE3" w14:textId="58777F28" w:rsidR="005C6BAF" w:rsidRPr="00900F8E" w:rsidRDefault="00031371" w:rsidP="00640804">
      <w:pPr>
        <w:pStyle w:val="Odstavekseznama"/>
        <w:numPr>
          <w:ilvl w:val="0"/>
          <w:numId w:val="34"/>
        </w:numPr>
        <w:spacing w:after="0" w:line="240" w:lineRule="auto"/>
        <w:jc w:val="both"/>
        <w:rPr>
          <w:rFonts w:ascii="Arial" w:hAnsi="Arial" w:cs="Arial"/>
        </w:rPr>
      </w:pPr>
      <w:r w:rsidRPr="00900F8E">
        <w:rPr>
          <w:rFonts w:ascii="Arial" w:hAnsi="Arial" w:cs="Arial"/>
        </w:rPr>
        <w:t xml:space="preserve">v </w:t>
      </w:r>
      <w:r w:rsidR="00A63B04" w:rsidRPr="00900F8E">
        <w:rPr>
          <w:rFonts w:ascii="Arial" w:hAnsi="Arial" w:cs="Arial"/>
        </w:rPr>
        <w:t xml:space="preserve">okviru projekta LIFE IP CARE4CLIMATE </w:t>
      </w:r>
      <w:r w:rsidRPr="00900F8E">
        <w:rPr>
          <w:rFonts w:ascii="Arial" w:hAnsi="Arial" w:cs="Arial"/>
        </w:rPr>
        <w:t xml:space="preserve">je bilo izvedeno tridnevno </w:t>
      </w:r>
      <w:r w:rsidR="00A63B04" w:rsidRPr="00900F8E">
        <w:rPr>
          <w:rFonts w:ascii="Arial" w:hAnsi="Arial" w:cs="Arial"/>
        </w:rPr>
        <w:t>usposabljanje za EPO</w:t>
      </w:r>
      <w:r w:rsidRPr="00900F8E">
        <w:rPr>
          <w:rFonts w:ascii="Arial" w:hAnsi="Arial" w:cs="Arial"/>
        </w:rPr>
        <w:t>, na katerem</w:t>
      </w:r>
      <w:r w:rsidR="00A63B04" w:rsidRPr="00900F8E">
        <w:rPr>
          <w:rFonts w:ascii="Arial" w:hAnsi="Arial" w:cs="Arial"/>
        </w:rPr>
        <w:t xml:space="preserve"> je sodelovalo 26 udeležencev iz javne uprave, lokalnih energetskih agencij i</w:t>
      </w:r>
      <w:r w:rsidR="00957AFE">
        <w:rPr>
          <w:rFonts w:ascii="Arial" w:hAnsi="Arial" w:cs="Arial"/>
        </w:rPr>
        <w:t>p</w:t>
      </w:r>
      <w:r w:rsidR="00A63B04" w:rsidRPr="00900F8E">
        <w:rPr>
          <w:rFonts w:ascii="Arial" w:hAnsi="Arial" w:cs="Arial"/>
        </w:rPr>
        <w:t>d.</w:t>
      </w:r>
      <w:r w:rsidRPr="00900F8E">
        <w:rPr>
          <w:rFonts w:ascii="Arial" w:hAnsi="Arial" w:cs="Arial"/>
        </w:rPr>
        <w:t>;</w:t>
      </w:r>
      <w:r w:rsidR="001509ED" w:rsidRPr="00900F8E">
        <w:rPr>
          <w:rFonts w:ascii="Arial" w:hAnsi="Arial" w:cs="Arial"/>
        </w:rPr>
        <w:t xml:space="preserve"> v okviru aktivnosti C4.4, ki razvija kazalnike trajnostne gradnje in </w:t>
      </w:r>
      <w:r w:rsidR="00957AFE">
        <w:rPr>
          <w:rFonts w:ascii="Arial" w:hAnsi="Arial" w:cs="Arial"/>
        </w:rPr>
        <w:t>objavlja</w:t>
      </w:r>
      <w:r w:rsidR="00957AFE" w:rsidRPr="00900F8E">
        <w:rPr>
          <w:rFonts w:ascii="Arial" w:hAnsi="Arial" w:cs="Arial"/>
        </w:rPr>
        <w:t xml:space="preserve"> </w:t>
      </w:r>
      <w:r w:rsidR="001509ED" w:rsidRPr="00900F8E">
        <w:rPr>
          <w:rFonts w:ascii="Arial" w:hAnsi="Arial" w:cs="Arial"/>
        </w:rPr>
        <w:t xml:space="preserve">spletno stran https://kazalnikitrajnostnegradnje.si/, je v fazi testiranja alfa </w:t>
      </w:r>
      <w:r w:rsidR="00957AFE">
        <w:rPr>
          <w:rFonts w:ascii="Arial" w:hAnsi="Arial" w:cs="Arial"/>
        </w:rPr>
        <w:t>različica</w:t>
      </w:r>
      <w:r w:rsidR="00957AFE" w:rsidRPr="00900F8E">
        <w:rPr>
          <w:rFonts w:ascii="Arial" w:hAnsi="Arial" w:cs="Arial"/>
        </w:rPr>
        <w:t xml:space="preserve"> </w:t>
      </w:r>
      <w:r w:rsidR="001509ED" w:rsidRPr="00900F8E">
        <w:rPr>
          <w:rFonts w:ascii="Arial" w:hAnsi="Arial" w:cs="Arial"/>
        </w:rPr>
        <w:t>kazalnikov trajnostne gradnje</w:t>
      </w:r>
      <w:r w:rsidR="002413EF" w:rsidRPr="00900F8E">
        <w:rPr>
          <w:rFonts w:ascii="Arial" w:hAnsi="Arial" w:cs="Arial"/>
        </w:rPr>
        <w:t>, kater</w:t>
      </w:r>
      <w:r w:rsidR="00DE629F">
        <w:rPr>
          <w:rFonts w:ascii="Arial" w:hAnsi="Arial" w:cs="Arial"/>
        </w:rPr>
        <w:t>ih</w:t>
      </w:r>
      <w:r w:rsidR="002413EF" w:rsidRPr="00900F8E">
        <w:rPr>
          <w:rFonts w:ascii="Arial" w:hAnsi="Arial" w:cs="Arial"/>
        </w:rPr>
        <w:t xml:space="preserve"> n</w:t>
      </w:r>
      <w:r w:rsidR="001509ED" w:rsidRPr="00900F8E">
        <w:rPr>
          <w:rFonts w:ascii="Arial" w:hAnsi="Arial" w:cs="Arial"/>
        </w:rPr>
        <w:t xml:space="preserve">amen je preveriti </w:t>
      </w:r>
      <w:r w:rsidR="002413EF" w:rsidRPr="00900F8E">
        <w:rPr>
          <w:rFonts w:ascii="Arial" w:hAnsi="Arial" w:cs="Arial"/>
        </w:rPr>
        <w:t>njihovo pr</w:t>
      </w:r>
      <w:r w:rsidR="001509ED" w:rsidRPr="00900F8E">
        <w:rPr>
          <w:rFonts w:ascii="Arial" w:hAnsi="Arial" w:cs="Arial"/>
        </w:rPr>
        <w:t xml:space="preserve">imernost </w:t>
      </w:r>
      <w:r w:rsidR="002413EF" w:rsidRPr="00900F8E">
        <w:rPr>
          <w:rFonts w:ascii="Arial" w:hAnsi="Arial" w:cs="Arial"/>
        </w:rPr>
        <w:t>z</w:t>
      </w:r>
      <w:r w:rsidR="001509ED" w:rsidRPr="00900F8E">
        <w:rPr>
          <w:rFonts w:ascii="Arial" w:hAnsi="Arial" w:cs="Arial"/>
        </w:rPr>
        <w:t xml:space="preserve">a slovensko okolje in njihovo </w:t>
      </w:r>
      <w:r w:rsidR="00D72D26">
        <w:rPr>
          <w:rFonts w:ascii="Arial" w:hAnsi="Arial" w:cs="Arial"/>
        </w:rPr>
        <w:t>združljivost</w:t>
      </w:r>
      <w:r w:rsidR="00D72D26" w:rsidRPr="00900F8E">
        <w:rPr>
          <w:rFonts w:ascii="Arial" w:hAnsi="Arial" w:cs="Arial"/>
        </w:rPr>
        <w:t xml:space="preserve"> </w:t>
      </w:r>
      <w:r w:rsidR="001509ED" w:rsidRPr="00900F8E">
        <w:rPr>
          <w:rFonts w:ascii="Arial" w:hAnsi="Arial" w:cs="Arial"/>
        </w:rPr>
        <w:t xml:space="preserve">z ustaljenimi fazami procesa gradnje. </w:t>
      </w:r>
      <w:r w:rsidR="002413EF" w:rsidRPr="00900F8E">
        <w:rPr>
          <w:rFonts w:ascii="Arial" w:hAnsi="Arial" w:cs="Arial"/>
        </w:rPr>
        <w:t xml:space="preserve">Za testiranje te </w:t>
      </w:r>
      <w:r w:rsidR="00D72D26">
        <w:rPr>
          <w:rFonts w:ascii="Arial" w:hAnsi="Arial" w:cs="Arial"/>
        </w:rPr>
        <w:t>različice</w:t>
      </w:r>
      <w:r w:rsidR="00D72D26" w:rsidRPr="00900F8E">
        <w:rPr>
          <w:rFonts w:ascii="Arial" w:hAnsi="Arial" w:cs="Arial"/>
        </w:rPr>
        <w:t xml:space="preserve"> </w:t>
      </w:r>
      <w:r w:rsidR="002413EF" w:rsidRPr="00900F8E">
        <w:rPr>
          <w:rFonts w:ascii="Arial" w:hAnsi="Arial" w:cs="Arial"/>
        </w:rPr>
        <w:t>je bilo organizirano tudi usposabljanje strokovnjakov, ki se ga je udeležilo 82 udeležencev, med katerimi je bilo največ arhitektov, inženirjev in raziskovalcev. Kazalniki so bili predstavljeni tudi na različnih dogodkih in v strokovnih revijah</w:t>
      </w:r>
      <w:r w:rsidR="004F59D0" w:rsidRPr="00900F8E">
        <w:rPr>
          <w:rFonts w:ascii="Arial" w:hAnsi="Arial" w:cs="Arial"/>
        </w:rPr>
        <w:t>. v okviru projekta so se izvajala tudi usposabljanja za upravljanje energij</w:t>
      </w:r>
      <w:r w:rsidR="00655789">
        <w:rPr>
          <w:rFonts w:ascii="Arial" w:hAnsi="Arial" w:cs="Arial"/>
        </w:rPr>
        <w:t>e</w:t>
      </w:r>
      <w:r w:rsidR="004F59D0" w:rsidRPr="00900F8E">
        <w:rPr>
          <w:rFonts w:ascii="Arial" w:hAnsi="Arial" w:cs="Arial"/>
        </w:rPr>
        <w:t xml:space="preserve"> v javnem sektorju. Izvedeno je bilo prvo tridnevno usposabljanje, na katerem je sodelovalo 31 udeležencev. Ciljno usposabljanje je bilo osredotočeno na pridobivanje znanj, ki so nujna za uspešno vzpostavitev sistema za upravljanje energij</w:t>
      </w:r>
      <w:r w:rsidR="00655789">
        <w:rPr>
          <w:rFonts w:ascii="Arial" w:hAnsi="Arial" w:cs="Arial"/>
        </w:rPr>
        <w:t>e</w:t>
      </w:r>
      <w:r w:rsidR="004F59D0" w:rsidRPr="00900F8E">
        <w:rPr>
          <w:rFonts w:ascii="Arial" w:hAnsi="Arial" w:cs="Arial"/>
        </w:rPr>
        <w:t xml:space="preserve"> v javnem sektorju</w:t>
      </w:r>
      <w:r w:rsidR="005C6BAF" w:rsidRPr="00900F8E">
        <w:rPr>
          <w:rFonts w:ascii="Arial" w:hAnsi="Arial" w:cs="Arial"/>
        </w:rPr>
        <w:t xml:space="preserve">. V okviru aktivnosti C4.1 je bila predvidena vzpostavitev celovitega sistema za zagotavljanje kakovosti pri energetski prenovi javnih stavb. Na področju vpeljave </w:t>
      </w:r>
      <w:r w:rsidR="00655789">
        <w:rPr>
          <w:rFonts w:ascii="Arial" w:hAnsi="Arial" w:cs="Arial"/>
        </w:rPr>
        <w:t xml:space="preserve">projektiranja </w:t>
      </w:r>
      <w:r w:rsidR="005C6BAF" w:rsidRPr="00900F8E">
        <w:rPr>
          <w:rFonts w:ascii="Arial" w:hAnsi="Arial" w:cs="Arial"/>
        </w:rPr>
        <w:t>BIM (</w:t>
      </w:r>
      <w:proofErr w:type="spellStart"/>
      <w:r w:rsidR="005C6BAF" w:rsidRPr="00E615AF">
        <w:rPr>
          <w:rFonts w:ascii="Arial" w:hAnsi="Arial" w:cs="Arial"/>
          <w:i/>
        </w:rPr>
        <w:t>Building</w:t>
      </w:r>
      <w:proofErr w:type="spellEnd"/>
      <w:r w:rsidR="005C6BAF" w:rsidRPr="00E615AF">
        <w:rPr>
          <w:rFonts w:ascii="Arial" w:hAnsi="Arial" w:cs="Arial"/>
          <w:i/>
        </w:rPr>
        <w:t xml:space="preserve"> </w:t>
      </w:r>
      <w:proofErr w:type="spellStart"/>
      <w:r w:rsidR="005C6BAF" w:rsidRPr="00E615AF">
        <w:rPr>
          <w:rFonts w:ascii="Arial" w:hAnsi="Arial" w:cs="Arial"/>
          <w:i/>
        </w:rPr>
        <w:t>Information</w:t>
      </w:r>
      <w:proofErr w:type="spellEnd"/>
      <w:r w:rsidR="005C6BAF" w:rsidRPr="00E615AF">
        <w:rPr>
          <w:rFonts w:ascii="Arial" w:hAnsi="Arial" w:cs="Arial"/>
          <w:i/>
        </w:rPr>
        <w:t xml:space="preserve"> </w:t>
      </w:r>
      <w:proofErr w:type="spellStart"/>
      <w:r w:rsidR="005C6BAF" w:rsidRPr="00E615AF">
        <w:rPr>
          <w:rFonts w:ascii="Arial" w:hAnsi="Arial" w:cs="Arial"/>
          <w:i/>
        </w:rPr>
        <w:t>Modeling</w:t>
      </w:r>
      <w:proofErr w:type="spellEnd"/>
      <w:r w:rsidR="005C6BAF" w:rsidRPr="00E615AF">
        <w:rPr>
          <w:rFonts w:ascii="Arial" w:hAnsi="Arial" w:cs="Arial"/>
          <w:i/>
        </w:rPr>
        <w:t>)</w:t>
      </w:r>
      <w:r w:rsidR="005C6BAF" w:rsidRPr="00900F8E">
        <w:rPr>
          <w:rFonts w:ascii="Arial" w:hAnsi="Arial" w:cs="Arial"/>
        </w:rPr>
        <w:t xml:space="preserve"> v javni sektor je bil objavljen razpis za zunanjega izvajalca in v drugi polovici leta se je začela izvajati naloga Oblikovanje izmenjevalnega formata na področju graditve objektov, katere rezultat bodo smernice za digitalizacijo projektne dokumentacije gradenj in prenov stavb. V sklopu C4.1 je potekal</w:t>
      </w:r>
      <w:r w:rsidR="00AF4D00">
        <w:rPr>
          <w:rFonts w:ascii="Arial" w:hAnsi="Arial" w:cs="Arial"/>
        </w:rPr>
        <w:t>o</w:t>
      </w:r>
      <w:r w:rsidR="005C6BAF" w:rsidRPr="00900F8E">
        <w:rPr>
          <w:rFonts w:ascii="Arial" w:hAnsi="Arial" w:cs="Arial"/>
        </w:rPr>
        <w:t xml:space="preserve"> tudi nadgrajevanje sheme za ZKG. Izvedene so bile vse načrtovane pripravljalne </w:t>
      </w:r>
      <w:r w:rsidR="00655789">
        <w:rPr>
          <w:rFonts w:ascii="Arial" w:hAnsi="Arial" w:cs="Arial"/>
        </w:rPr>
        <w:t>dejavnosti</w:t>
      </w:r>
      <w:r w:rsidR="00655789" w:rsidRPr="00900F8E">
        <w:rPr>
          <w:rFonts w:ascii="Arial" w:hAnsi="Arial" w:cs="Arial"/>
        </w:rPr>
        <w:t xml:space="preserve"> </w:t>
      </w:r>
      <w:r w:rsidR="005C6BAF" w:rsidRPr="00900F8E">
        <w:rPr>
          <w:rFonts w:ascii="Arial" w:hAnsi="Arial" w:cs="Arial"/>
        </w:rPr>
        <w:t>za razvoj zelenega ZKG. Objavljen je bil tudi javni razpis za podelitev okoljskega priznanja ZKG, ki je vključeval tudi kategorijo storitev pri prenovi, obnovi stavb kulturne dediščine in stavb s sestavinami kulturne dediščine (ostrešja, fasade, konstrukcijske ojačitve, sanacija vlage). Z</w:t>
      </w:r>
      <w:r w:rsidR="00AF4D00">
        <w:rPr>
          <w:rFonts w:ascii="Arial" w:hAnsi="Arial" w:cs="Arial"/>
        </w:rPr>
        <w:t>aradi</w:t>
      </w:r>
      <w:r w:rsidR="005C6BAF" w:rsidRPr="00900F8E">
        <w:rPr>
          <w:rFonts w:ascii="Arial" w:hAnsi="Arial" w:cs="Arial"/>
        </w:rPr>
        <w:t xml:space="preserve"> promocije in vidnosti zagotavljanja kakovosti pri prenovah stavb se je začela priprava spletnega portala s predstavitvijo kategorij ZKG</w:t>
      </w:r>
      <w:r w:rsidR="00567B03" w:rsidRPr="00900F8E">
        <w:rPr>
          <w:rFonts w:ascii="Arial" w:hAnsi="Arial" w:cs="Arial"/>
        </w:rPr>
        <w:t xml:space="preserve">. V okviru aktivnosti C6.1 je bil pripravljen seznam stavb </w:t>
      </w:r>
      <w:r w:rsidR="00567B03" w:rsidRPr="00900F8E">
        <w:rPr>
          <w:rFonts w:ascii="Arial" w:hAnsi="Arial" w:cs="Arial"/>
        </w:rPr>
        <w:lastRenderedPageBreak/>
        <w:t xml:space="preserve">širšega javnega sektorja, ki bo dopolnil seznam stavb ožjega javnega sektorja in tako po eni strani omogočil pripravo seznama javnih stavb za prenovo in graditev ter finančnega načrta za energetsko prenovo stavb v celotnem javnem sektorju v obdobju do leta 2030, po drugi strani pa tudi vključitev vseh teh stavb v sistem energetskega knjigovodstva; </w:t>
      </w:r>
    </w:p>
    <w:p w14:paraId="4B0ABD80" w14:textId="7B560628" w:rsidR="002413EF" w:rsidRPr="00900F8E" w:rsidRDefault="00031371" w:rsidP="00133B35">
      <w:pPr>
        <w:pStyle w:val="Odstavekseznama"/>
        <w:numPr>
          <w:ilvl w:val="0"/>
          <w:numId w:val="34"/>
        </w:numPr>
        <w:spacing w:after="0" w:line="240" w:lineRule="auto"/>
        <w:jc w:val="both"/>
        <w:rPr>
          <w:rFonts w:ascii="Arial" w:hAnsi="Arial" w:cs="Arial"/>
        </w:rPr>
      </w:pPr>
      <w:r w:rsidRPr="00900F8E">
        <w:rPr>
          <w:rFonts w:ascii="Arial" w:hAnsi="Arial" w:cs="Arial"/>
        </w:rPr>
        <w:t>z</w:t>
      </w:r>
      <w:r w:rsidR="00A63B04" w:rsidRPr="00900F8E">
        <w:rPr>
          <w:rFonts w:ascii="Arial" w:hAnsi="Arial" w:cs="Arial"/>
        </w:rPr>
        <w:t xml:space="preserve"> izvedbo projektov EPO, ki so bili podprti z nepovratnimi sredstvi v okviru OP EKP, je bilo leta 2021 doseženo</w:t>
      </w:r>
      <w:r w:rsidRPr="00900F8E">
        <w:rPr>
          <w:rFonts w:ascii="Arial" w:hAnsi="Arial" w:cs="Arial"/>
        </w:rPr>
        <w:t xml:space="preserve"> </w:t>
      </w:r>
      <w:r w:rsidR="00A63B04" w:rsidRPr="00900F8E">
        <w:rPr>
          <w:rFonts w:ascii="Arial" w:hAnsi="Arial" w:cs="Arial"/>
        </w:rPr>
        <w:t>zmanjšanje rabe energije</w:t>
      </w:r>
      <w:r w:rsidRPr="00900F8E">
        <w:rPr>
          <w:rFonts w:ascii="Arial" w:hAnsi="Arial" w:cs="Arial"/>
        </w:rPr>
        <w:t xml:space="preserve"> za </w:t>
      </w:r>
      <w:r w:rsidR="00A63B04" w:rsidRPr="00900F8E">
        <w:rPr>
          <w:rFonts w:ascii="Arial" w:hAnsi="Arial" w:cs="Arial"/>
        </w:rPr>
        <w:t>6,2 GWh</w:t>
      </w:r>
      <w:r w:rsidRPr="00900F8E">
        <w:rPr>
          <w:rFonts w:ascii="Arial" w:hAnsi="Arial" w:cs="Arial"/>
        </w:rPr>
        <w:t xml:space="preserve"> na </w:t>
      </w:r>
      <w:r w:rsidR="00A63B04" w:rsidRPr="00900F8E">
        <w:rPr>
          <w:rFonts w:ascii="Arial" w:hAnsi="Arial" w:cs="Arial"/>
        </w:rPr>
        <w:t>leto</w:t>
      </w:r>
      <w:r w:rsidRPr="00900F8E">
        <w:rPr>
          <w:rFonts w:ascii="Arial" w:hAnsi="Arial" w:cs="Arial"/>
        </w:rPr>
        <w:t xml:space="preserve">, </w:t>
      </w:r>
      <w:r w:rsidR="00A63B04" w:rsidRPr="00900F8E">
        <w:rPr>
          <w:rFonts w:ascii="Arial" w:hAnsi="Arial" w:cs="Arial"/>
        </w:rPr>
        <w:t>povečanje proizvodnje energije iz OVE</w:t>
      </w:r>
      <w:r w:rsidRPr="00900F8E">
        <w:rPr>
          <w:rFonts w:ascii="Arial" w:hAnsi="Arial" w:cs="Arial"/>
        </w:rPr>
        <w:t xml:space="preserve"> za </w:t>
      </w:r>
      <w:r w:rsidR="00A63B04" w:rsidRPr="00900F8E">
        <w:rPr>
          <w:rFonts w:ascii="Arial" w:hAnsi="Arial" w:cs="Arial"/>
        </w:rPr>
        <w:t>3,0 GWh</w:t>
      </w:r>
      <w:r w:rsidRPr="00900F8E">
        <w:rPr>
          <w:rFonts w:ascii="Arial" w:hAnsi="Arial" w:cs="Arial"/>
        </w:rPr>
        <w:t xml:space="preserve"> na </w:t>
      </w:r>
      <w:r w:rsidR="00A63B04" w:rsidRPr="00900F8E">
        <w:rPr>
          <w:rFonts w:ascii="Arial" w:hAnsi="Arial" w:cs="Arial"/>
        </w:rPr>
        <w:t>leto</w:t>
      </w:r>
      <w:r w:rsidRPr="00900F8E">
        <w:rPr>
          <w:rFonts w:ascii="Arial" w:hAnsi="Arial" w:cs="Arial"/>
        </w:rPr>
        <w:t xml:space="preserve"> in </w:t>
      </w:r>
      <w:r w:rsidR="00A63B04" w:rsidRPr="00900F8E">
        <w:rPr>
          <w:rFonts w:ascii="Arial" w:hAnsi="Arial" w:cs="Arial"/>
        </w:rPr>
        <w:t>zmanjšanje emisije CO</w:t>
      </w:r>
      <w:r w:rsidR="00A63B04" w:rsidRPr="00900F8E">
        <w:rPr>
          <w:rFonts w:ascii="Arial" w:hAnsi="Arial" w:cs="Arial"/>
          <w:vertAlign w:val="subscript"/>
        </w:rPr>
        <w:t>2</w:t>
      </w:r>
      <w:r w:rsidRPr="00900F8E">
        <w:rPr>
          <w:rFonts w:ascii="Arial" w:hAnsi="Arial" w:cs="Arial"/>
        </w:rPr>
        <w:t xml:space="preserve"> za </w:t>
      </w:r>
      <w:r w:rsidR="00A63B04" w:rsidRPr="00900F8E">
        <w:rPr>
          <w:rFonts w:ascii="Arial" w:hAnsi="Arial" w:cs="Arial"/>
        </w:rPr>
        <w:t>1,5 kt CO</w:t>
      </w:r>
      <w:r w:rsidR="00A63B04" w:rsidRPr="00900F8E">
        <w:rPr>
          <w:rFonts w:ascii="Arial" w:hAnsi="Arial" w:cs="Arial"/>
          <w:vertAlign w:val="subscript"/>
        </w:rPr>
        <w:t>2</w:t>
      </w:r>
      <w:r w:rsidRPr="00900F8E">
        <w:rPr>
          <w:rFonts w:ascii="Arial" w:hAnsi="Arial" w:cs="Arial"/>
        </w:rPr>
        <w:t xml:space="preserve"> na </w:t>
      </w:r>
      <w:r w:rsidR="00A63B04" w:rsidRPr="00900F8E">
        <w:rPr>
          <w:rFonts w:ascii="Arial" w:hAnsi="Arial" w:cs="Arial"/>
        </w:rPr>
        <w:t>leto</w:t>
      </w:r>
      <w:r w:rsidRPr="00900F8E">
        <w:rPr>
          <w:rFonts w:ascii="Arial" w:hAnsi="Arial" w:cs="Arial"/>
        </w:rPr>
        <w:t>;</w:t>
      </w:r>
    </w:p>
    <w:p w14:paraId="02F15D29" w14:textId="2E372A90" w:rsidR="00916EF3" w:rsidRPr="00900F8E" w:rsidRDefault="002413EF" w:rsidP="00133B35">
      <w:pPr>
        <w:pStyle w:val="Odstavekseznama"/>
        <w:numPr>
          <w:ilvl w:val="0"/>
          <w:numId w:val="34"/>
        </w:numPr>
        <w:spacing w:after="0" w:line="240" w:lineRule="auto"/>
        <w:jc w:val="both"/>
        <w:rPr>
          <w:rFonts w:ascii="Arial" w:hAnsi="Arial" w:cs="Arial"/>
        </w:rPr>
      </w:pPr>
      <w:r w:rsidRPr="00900F8E">
        <w:rPr>
          <w:rFonts w:ascii="Arial" w:hAnsi="Arial" w:cs="Arial"/>
        </w:rPr>
        <w:t xml:space="preserve">sprejet je bil Zakon o spodbujanju rabe obnovljivih virov energije (Uradni list RS, št. 121/21 in 189/21), ki v 53. členu prepoveduje projektiranje in vgradnjo kotlov na kurilno olje, mazut in premog, razen kjer je uporaba kurilnega olja, mazuta in premoga del industrijskega ali proizvodnega procesa. Omenjeni člen bo </w:t>
      </w:r>
      <w:r w:rsidR="003B625C">
        <w:rPr>
          <w:rFonts w:ascii="Arial" w:hAnsi="Arial" w:cs="Arial"/>
        </w:rPr>
        <w:t>začel veljati</w:t>
      </w:r>
      <w:r w:rsidRPr="00900F8E">
        <w:rPr>
          <w:rFonts w:ascii="Arial" w:hAnsi="Arial" w:cs="Arial"/>
        </w:rPr>
        <w:t xml:space="preserve"> v letu 2023;</w:t>
      </w:r>
    </w:p>
    <w:p w14:paraId="219BC646" w14:textId="697D3965" w:rsidR="00916EF3" w:rsidRPr="00900F8E" w:rsidRDefault="00C33FDD" w:rsidP="00640804">
      <w:pPr>
        <w:pStyle w:val="Odstavekseznama"/>
        <w:numPr>
          <w:ilvl w:val="0"/>
          <w:numId w:val="34"/>
        </w:numPr>
        <w:spacing w:after="0" w:line="240" w:lineRule="auto"/>
        <w:jc w:val="both"/>
        <w:rPr>
          <w:rFonts w:ascii="Arial" w:hAnsi="Arial" w:cs="Arial"/>
        </w:rPr>
      </w:pPr>
      <w:r w:rsidRPr="00900F8E">
        <w:rPr>
          <w:rFonts w:ascii="Arial" w:hAnsi="Arial" w:cs="Arial"/>
        </w:rPr>
        <w:t xml:space="preserve">MzI je pripravil osnutek seznama stavb širšega javnega sektorja, vključno s stavbami lokalnih skupnosti, ki predstavlja osnovo za nadaljnje analize </w:t>
      </w:r>
      <w:r w:rsidR="00327BE4">
        <w:rPr>
          <w:rFonts w:ascii="Arial" w:hAnsi="Arial" w:cs="Arial"/>
        </w:rPr>
        <w:t>in</w:t>
      </w:r>
      <w:r w:rsidR="00327BE4" w:rsidRPr="00900F8E">
        <w:rPr>
          <w:rFonts w:ascii="Arial" w:hAnsi="Arial" w:cs="Arial"/>
        </w:rPr>
        <w:t xml:space="preserve"> </w:t>
      </w:r>
      <w:r w:rsidRPr="00900F8E">
        <w:rPr>
          <w:rFonts w:ascii="Arial" w:hAnsi="Arial" w:cs="Arial"/>
        </w:rPr>
        <w:t>pripravo kompletnega seznama;</w:t>
      </w:r>
    </w:p>
    <w:p w14:paraId="1A4A3334" w14:textId="28BE8981" w:rsidR="00486524" w:rsidRPr="00493F46" w:rsidRDefault="00486524" w:rsidP="00493F46">
      <w:pPr>
        <w:pStyle w:val="Odstavekseznama"/>
        <w:numPr>
          <w:ilvl w:val="0"/>
          <w:numId w:val="34"/>
        </w:numPr>
        <w:jc w:val="both"/>
        <w:rPr>
          <w:rFonts w:ascii="Arial" w:hAnsi="Arial" w:cs="Arial"/>
        </w:rPr>
      </w:pPr>
      <w:r w:rsidRPr="00493F46">
        <w:rPr>
          <w:rFonts w:ascii="Arial" w:hAnsi="Arial" w:cs="Arial"/>
        </w:rPr>
        <w:t xml:space="preserve">sprejet je bil Zakon o spremembah in dopolnitvah Stanovanjskega zakona (Uradni list RS, št. 90/21). </w:t>
      </w:r>
      <w:r w:rsidR="00493F46" w:rsidRPr="00493F46">
        <w:rPr>
          <w:rFonts w:ascii="Arial" w:hAnsi="Arial" w:cs="Arial"/>
        </w:rPr>
        <w:t xml:space="preserve">Kot olajšanje sprejemanja odločitev etažnih lastnikov v večstanovanjskih stavbah, še posebej glede izboljšav in posegov, ki zahtevajo gradbeno dovoljenje, se znižujejo potrebna soglasja za izvedbo posameznih poslov. Izboljšave večstanovanjske stavbe kot celote in nekateri drugi posli, ki so bili do </w:t>
      </w:r>
      <w:r w:rsidR="00FD1E44">
        <w:rPr>
          <w:rFonts w:ascii="Arial" w:hAnsi="Arial" w:cs="Arial"/>
        </w:rPr>
        <w:t>z</w:t>
      </w:r>
      <w:r w:rsidR="00493F46" w:rsidRPr="00493F46">
        <w:rPr>
          <w:rFonts w:ascii="Arial" w:hAnsi="Arial" w:cs="Arial"/>
        </w:rPr>
        <w:t>daj opredeljeni kot posel, ki presega redno upravljanje (potrebno 75</w:t>
      </w:r>
      <w:r w:rsidR="00327BE4">
        <w:rPr>
          <w:rFonts w:ascii="Arial" w:hAnsi="Arial" w:cs="Arial"/>
        </w:rPr>
        <w:t>-</w:t>
      </w:r>
      <w:r w:rsidR="00493F46" w:rsidRPr="00493F46">
        <w:rPr>
          <w:rFonts w:ascii="Arial" w:hAnsi="Arial" w:cs="Arial"/>
        </w:rPr>
        <w:t>% soglasje) se s spremembo uvrščajo med posle v zvezi z rednim upravljanjem (50</w:t>
      </w:r>
      <w:r w:rsidR="00327BE4">
        <w:rPr>
          <w:rFonts w:ascii="Arial" w:hAnsi="Arial" w:cs="Arial"/>
        </w:rPr>
        <w:t>-</w:t>
      </w:r>
      <w:r w:rsidR="00493F46" w:rsidRPr="00493F46">
        <w:rPr>
          <w:rFonts w:ascii="Arial" w:hAnsi="Arial" w:cs="Arial"/>
        </w:rPr>
        <w:t xml:space="preserve">% soglasje). Potrebno soglasje glede gradbenih del na skupnih delih stanovanjske stavbe, za katera je </w:t>
      </w:r>
      <w:r w:rsidR="00FD1E44">
        <w:rPr>
          <w:rFonts w:ascii="Arial" w:hAnsi="Arial" w:cs="Arial"/>
        </w:rPr>
        <w:t>treba</w:t>
      </w:r>
      <w:r w:rsidR="00FD1E44" w:rsidRPr="00493F46">
        <w:rPr>
          <w:rFonts w:ascii="Arial" w:hAnsi="Arial" w:cs="Arial"/>
        </w:rPr>
        <w:t xml:space="preserve"> </w:t>
      </w:r>
      <w:r w:rsidR="00493F46" w:rsidRPr="00493F46">
        <w:rPr>
          <w:rFonts w:ascii="Arial" w:hAnsi="Arial" w:cs="Arial"/>
        </w:rPr>
        <w:t xml:space="preserve">pridobiti gradbeno dovoljenje, se </w:t>
      </w:r>
      <w:r w:rsidR="00FD1E44">
        <w:rPr>
          <w:rFonts w:ascii="Arial" w:hAnsi="Arial" w:cs="Arial"/>
        </w:rPr>
        <w:t>s</w:t>
      </w:r>
      <w:r w:rsidR="00493F46" w:rsidRPr="00493F46">
        <w:rPr>
          <w:rFonts w:ascii="Arial" w:hAnsi="Arial" w:cs="Arial"/>
        </w:rPr>
        <w:t xml:space="preserve"> 100</w:t>
      </w:r>
      <w:r w:rsidR="006A290B">
        <w:rPr>
          <w:rFonts w:ascii="Arial" w:hAnsi="Arial" w:cs="Arial"/>
        </w:rPr>
        <w:t> </w:t>
      </w:r>
      <w:r w:rsidR="00493F46" w:rsidRPr="00493F46">
        <w:rPr>
          <w:rFonts w:ascii="Arial" w:hAnsi="Arial" w:cs="Arial"/>
        </w:rPr>
        <w:t>% znižuje na več kot 75</w:t>
      </w:r>
      <w:r w:rsidR="006A290B">
        <w:rPr>
          <w:rFonts w:ascii="Arial" w:hAnsi="Arial" w:cs="Arial"/>
        </w:rPr>
        <w:t> </w:t>
      </w:r>
      <w:r w:rsidR="00493F46" w:rsidRPr="00493F46">
        <w:rPr>
          <w:rFonts w:ascii="Arial" w:hAnsi="Arial" w:cs="Arial"/>
        </w:rPr>
        <w:t>%</w:t>
      </w:r>
      <w:r w:rsidR="00493F46">
        <w:rPr>
          <w:rFonts w:ascii="Arial" w:hAnsi="Arial" w:cs="Arial"/>
        </w:rPr>
        <w:t>;</w:t>
      </w:r>
    </w:p>
    <w:p w14:paraId="61482548" w14:textId="53A1FC64" w:rsidR="00916EF3" w:rsidRPr="00900F8E" w:rsidRDefault="0097160F" w:rsidP="00640804">
      <w:pPr>
        <w:pStyle w:val="Odstavekseznama"/>
        <w:numPr>
          <w:ilvl w:val="0"/>
          <w:numId w:val="34"/>
        </w:numPr>
        <w:spacing w:after="0" w:line="240" w:lineRule="auto"/>
        <w:jc w:val="both"/>
        <w:rPr>
          <w:rFonts w:ascii="Arial" w:hAnsi="Arial" w:cs="Arial"/>
        </w:rPr>
      </w:pPr>
      <w:r w:rsidRPr="00900F8E">
        <w:rPr>
          <w:rFonts w:ascii="Arial" w:hAnsi="Arial" w:cs="Arial"/>
        </w:rPr>
        <w:t xml:space="preserve">v 59 pisarnah mreže ENSVET je delovalo 51 usposobljenih neodvisnih energetskih svetovalcev, ki so </w:t>
      </w:r>
      <w:r w:rsidR="001D6649">
        <w:rPr>
          <w:rFonts w:ascii="Arial" w:hAnsi="Arial" w:cs="Arial"/>
        </w:rPr>
        <w:t>izpeljali</w:t>
      </w:r>
      <w:r w:rsidR="001D6649" w:rsidRPr="00900F8E">
        <w:rPr>
          <w:rFonts w:ascii="Arial" w:hAnsi="Arial" w:cs="Arial"/>
        </w:rPr>
        <w:t xml:space="preserve"> </w:t>
      </w:r>
      <w:r w:rsidRPr="00900F8E">
        <w:rPr>
          <w:rFonts w:ascii="Arial" w:hAnsi="Arial" w:cs="Arial"/>
        </w:rPr>
        <w:t xml:space="preserve">8.064 </w:t>
      </w:r>
      <w:r w:rsidR="006A290B">
        <w:rPr>
          <w:rFonts w:ascii="Arial" w:hAnsi="Arial" w:cs="Arial"/>
        </w:rPr>
        <w:t>dejavnosti</w:t>
      </w:r>
      <w:r w:rsidRPr="00900F8E">
        <w:rPr>
          <w:rFonts w:ascii="Arial" w:hAnsi="Arial" w:cs="Arial"/>
        </w:rPr>
        <w:t xml:space="preserve">, in sicer nasvete s pisnim poročilom, e-nasvete, članke, </w:t>
      </w:r>
      <w:r w:rsidR="006A290B">
        <w:rPr>
          <w:rFonts w:ascii="Arial" w:hAnsi="Arial" w:cs="Arial"/>
        </w:rPr>
        <w:t>radijske in televizijske</w:t>
      </w:r>
      <w:r w:rsidRPr="00900F8E">
        <w:rPr>
          <w:rFonts w:ascii="Arial" w:hAnsi="Arial" w:cs="Arial"/>
        </w:rPr>
        <w:t xml:space="preserve"> prispevke, predavanja, šole i</w:t>
      </w:r>
      <w:r w:rsidR="006A290B">
        <w:rPr>
          <w:rFonts w:ascii="Arial" w:hAnsi="Arial" w:cs="Arial"/>
        </w:rPr>
        <w:t>p</w:t>
      </w:r>
      <w:r w:rsidRPr="00900F8E">
        <w:rPr>
          <w:rFonts w:ascii="Arial" w:hAnsi="Arial" w:cs="Arial"/>
        </w:rPr>
        <w:t xml:space="preserve">d., kar je 24 % več kot leto prej. Med temi </w:t>
      </w:r>
      <w:r w:rsidR="006A290B">
        <w:rPr>
          <w:rFonts w:ascii="Arial" w:hAnsi="Arial" w:cs="Arial"/>
        </w:rPr>
        <w:t>dejavnostmi</w:t>
      </w:r>
      <w:r w:rsidR="006A290B" w:rsidRPr="00900F8E">
        <w:rPr>
          <w:rFonts w:ascii="Arial" w:hAnsi="Arial" w:cs="Arial"/>
        </w:rPr>
        <w:t xml:space="preserve"> </w:t>
      </w:r>
      <w:r w:rsidRPr="00900F8E">
        <w:rPr>
          <w:rFonts w:ascii="Arial" w:hAnsi="Arial" w:cs="Arial"/>
        </w:rPr>
        <w:t xml:space="preserve">je bilo 5.652 pisnih nasvetov, kar je 10 % več kot leto prej. V okviru obveznega nadzora subvencioniranih naložb so svetovalci opravili 343 ogledov izvedenih naložb ter 42 ogledov z namenom ugotavljanja dejanskega stanja še med postopkom obravnave vloge. Svetovalci so drug drugemu prek programa </w:t>
      </w:r>
      <w:proofErr w:type="spellStart"/>
      <w:r w:rsidRPr="00900F8E">
        <w:rPr>
          <w:rFonts w:ascii="Arial" w:hAnsi="Arial" w:cs="Arial"/>
        </w:rPr>
        <w:t>Eduflow</w:t>
      </w:r>
      <w:proofErr w:type="spellEnd"/>
      <w:r w:rsidRPr="00900F8E">
        <w:rPr>
          <w:rFonts w:ascii="Arial" w:hAnsi="Arial" w:cs="Arial"/>
        </w:rPr>
        <w:t xml:space="preserve"> ocenjevali nasvete, kar se je izkazalo za zelo učinkovito. Delo svetovalcev je bilo ocenjeno tudi s telefonsko anketo o zadovoljstvu strank, katere rezultati so pokazali, da je brezplačno svetovanje zaželena, dobrodošla in kakovostna storitev. S svetovanjem v okviru mreže ENSVET je bilo leta</w:t>
      </w:r>
      <w:r w:rsidR="0067627F" w:rsidRPr="00900F8E">
        <w:rPr>
          <w:rFonts w:ascii="Arial" w:hAnsi="Arial" w:cs="Arial"/>
        </w:rPr>
        <w:t xml:space="preserve"> 2021</w:t>
      </w:r>
      <w:r w:rsidRPr="00900F8E">
        <w:rPr>
          <w:rFonts w:ascii="Arial" w:hAnsi="Arial" w:cs="Arial"/>
        </w:rPr>
        <w:t xml:space="preserve"> doseženo</w:t>
      </w:r>
      <w:r w:rsidR="0067627F" w:rsidRPr="00900F8E">
        <w:rPr>
          <w:rFonts w:ascii="Arial" w:hAnsi="Arial" w:cs="Arial"/>
        </w:rPr>
        <w:t xml:space="preserve"> </w:t>
      </w:r>
      <w:r w:rsidRPr="00900F8E">
        <w:rPr>
          <w:rFonts w:ascii="Arial" w:hAnsi="Arial" w:cs="Arial"/>
        </w:rPr>
        <w:t>zmanjšanje rabe energije</w:t>
      </w:r>
      <w:r w:rsidRPr="00900F8E">
        <w:rPr>
          <w:rFonts w:ascii="Arial" w:hAnsi="Arial" w:cs="Arial"/>
        </w:rPr>
        <w:tab/>
      </w:r>
      <w:r w:rsidR="0067627F" w:rsidRPr="00900F8E">
        <w:rPr>
          <w:rFonts w:ascii="Arial" w:hAnsi="Arial" w:cs="Arial"/>
        </w:rPr>
        <w:t xml:space="preserve">za </w:t>
      </w:r>
      <w:r w:rsidRPr="00900F8E">
        <w:rPr>
          <w:rFonts w:ascii="Arial" w:hAnsi="Arial" w:cs="Arial"/>
        </w:rPr>
        <w:t>25,2</w:t>
      </w:r>
      <w:r w:rsidR="00AD0093">
        <w:rPr>
          <w:rFonts w:ascii="Arial" w:hAnsi="Arial" w:cs="Arial"/>
        </w:rPr>
        <w:t> </w:t>
      </w:r>
      <w:r w:rsidRPr="00900F8E">
        <w:rPr>
          <w:rFonts w:ascii="Arial" w:hAnsi="Arial" w:cs="Arial"/>
        </w:rPr>
        <w:t>GWh</w:t>
      </w:r>
      <w:r w:rsidR="0067627F" w:rsidRPr="00900F8E">
        <w:rPr>
          <w:rFonts w:ascii="Arial" w:hAnsi="Arial" w:cs="Arial"/>
        </w:rPr>
        <w:t xml:space="preserve"> na </w:t>
      </w:r>
      <w:r w:rsidRPr="00900F8E">
        <w:rPr>
          <w:rFonts w:ascii="Arial" w:hAnsi="Arial" w:cs="Arial"/>
        </w:rPr>
        <w:t>leto</w:t>
      </w:r>
      <w:r w:rsidR="0067627F" w:rsidRPr="00900F8E">
        <w:rPr>
          <w:rFonts w:ascii="Arial" w:hAnsi="Arial" w:cs="Arial"/>
        </w:rPr>
        <w:t xml:space="preserve"> in </w:t>
      </w:r>
      <w:r w:rsidRPr="00900F8E">
        <w:rPr>
          <w:rFonts w:ascii="Arial" w:hAnsi="Arial" w:cs="Arial"/>
        </w:rPr>
        <w:t>zmanjšanje emisije CO</w:t>
      </w:r>
      <w:r w:rsidRPr="00900F8E">
        <w:rPr>
          <w:rFonts w:ascii="Arial" w:hAnsi="Arial" w:cs="Arial"/>
          <w:vertAlign w:val="subscript"/>
        </w:rPr>
        <w:t>2</w:t>
      </w:r>
      <w:r w:rsidR="0067627F" w:rsidRPr="00900F8E">
        <w:rPr>
          <w:rFonts w:ascii="Arial" w:hAnsi="Arial" w:cs="Arial"/>
        </w:rPr>
        <w:t xml:space="preserve"> za </w:t>
      </w:r>
      <w:r w:rsidRPr="00900F8E">
        <w:rPr>
          <w:rFonts w:ascii="Arial" w:hAnsi="Arial" w:cs="Arial"/>
        </w:rPr>
        <w:t>6,6 kt</w:t>
      </w:r>
      <w:r w:rsidR="0067627F" w:rsidRPr="00900F8E">
        <w:rPr>
          <w:rFonts w:ascii="Arial" w:hAnsi="Arial" w:cs="Arial"/>
        </w:rPr>
        <w:t xml:space="preserve"> na </w:t>
      </w:r>
      <w:r w:rsidRPr="00900F8E">
        <w:rPr>
          <w:rFonts w:ascii="Arial" w:hAnsi="Arial" w:cs="Arial"/>
        </w:rPr>
        <w:t>leto</w:t>
      </w:r>
      <w:r w:rsidR="0067627F" w:rsidRPr="00900F8E">
        <w:rPr>
          <w:rFonts w:ascii="Arial" w:hAnsi="Arial" w:cs="Arial"/>
        </w:rPr>
        <w:t>;</w:t>
      </w:r>
    </w:p>
    <w:p w14:paraId="09FEE4B6" w14:textId="5A8B04AA" w:rsidR="00EE0BF7" w:rsidRPr="00900F8E" w:rsidRDefault="00EA1995" w:rsidP="00EE0BF7">
      <w:pPr>
        <w:pStyle w:val="Odstavekseznama"/>
        <w:numPr>
          <w:ilvl w:val="0"/>
          <w:numId w:val="34"/>
        </w:numPr>
        <w:spacing w:after="0" w:line="240" w:lineRule="auto"/>
        <w:jc w:val="both"/>
        <w:rPr>
          <w:rFonts w:ascii="Arial" w:hAnsi="Arial" w:cs="Arial"/>
        </w:rPr>
      </w:pPr>
      <w:r>
        <w:rPr>
          <w:rFonts w:ascii="Arial" w:hAnsi="Arial" w:cs="Arial"/>
        </w:rPr>
        <w:t>z</w:t>
      </w:r>
      <w:r w:rsidR="00EE0BF7" w:rsidRPr="00900F8E">
        <w:rPr>
          <w:rFonts w:ascii="Arial" w:hAnsi="Arial" w:cs="Arial"/>
        </w:rPr>
        <w:t xml:space="preserve">a naložbe občanov je bil objavljen nov javni poziv 67OB22, v okviru katerega je bilo za kredite razpisanih 10 milijonov evrov. Poraba kreditov za financiranje naložb občanov v letu 2021 je znašala 32,9 milijona evrov, in sicer so bila sredstva namenjena za izvajanje 2.674 okoljskih naložb občanov v okviru poziva 65OB19 in </w:t>
      </w:r>
      <w:r w:rsidR="00C01D52">
        <w:rPr>
          <w:rFonts w:ascii="Arial" w:hAnsi="Arial" w:cs="Arial"/>
        </w:rPr>
        <w:t>devetih</w:t>
      </w:r>
      <w:r w:rsidR="00EE0BF7" w:rsidRPr="00900F8E">
        <w:rPr>
          <w:rFonts w:ascii="Arial" w:hAnsi="Arial" w:cs="Arial"/>
        </w:rPr>
        <w:t xml:space="preserve"> naložb v okviru poziva 59OB17. Eko sklad je leta 2021 z občani podpisal 2.445 kreditnih pogodb za izvedbo naložb v ukrepe URE in izrabe OVE, kar je za 18 % več kot leto prej. 612 naložbam v ukrepe URE je Eko sklad namenil 11,8 milijona evrov, kjer je bilo 19 % zneska namenjenega 139 ukrepom URE v stavbah. 1.833 naložb za izrabo OVE, med katerimi je bilo največ naložb namenjenih postavitvi 1.125 sončnih elektrarn s skupno močjo 15 MW, je prejelo 21,3 milijon</w:t>
      </w:r>
      <w:r w:rsidR="001D6649">
        <w:rPr>
          <w:rFonts w:ascii="Arial" w:hAnsi="Arial" w:cs="Arial"/>
        </w:rPr>
        <w:t>a</w:t>
      </w:r>
      <w:r w:rsidR="00EE0BF7" w:rsidRPr="00900F8E">
        <w:rPr>
          <w:rFonts w:ascii="Arial" w:hAnsi="Arial" w:cs="Arial"/>
        </w:rPr>
        <w:t xml:space="preserve"> evrov kreditnih sredstev</w:t>
      </w:r>
      <w:r w:rsidR="00D523E6">
        <w:rPr>
          <w:rFonts w:ascii="Arial" w:hAnsi="Arial" w:cs="Arial"/>
        </w:rPr>
        <w:t>.</w:t>
      </w:r>
    </w:p>
    <w:p w14:paraId="0576E4AD" w14:textId="223ECBDF" w:rsidR="00585915" w:rsidRPr="00900F8E" w:rsidRDefault="00D523E6" w:rsidP="00D523E6">
      <w:pPr>
        <w:pStyle w:val="Odstavekseznama"/>
        <w:spacing w:after="0" w:line="240" w:lineRule="auto"/>
        <w:ind w:left="360"/>
        <w:jc w:val="both"/>
        <w:rPr>
          <w:rFonts w:ascii="Arial" w:hAnsi="Arial" w:cs="Arial"/>
        </w:rPr>
      </w:pPr>
      <w:r>
        <w:rPr>
          <w:rFonts w:ascii="Arial" w:hAnsi="Arial" w:cs="Arial"/>
        </w:rPr>
        <w:t>P</w:t>
      </w:r>
      <w:r w:rsidR="00585915" w:rsidRPr="00900F8E">
        <w:rPr>
          <w:rFonts w:ascii="Arial" w:hAnsi="Arial" w:cs="Arial"/>
        </w:rPr>
        <w:t xml:space="preserve">rejemniki denarne socialne pomoči ali varstvenega dodatka so bili pri pozivih Eko sklada za dodeljevanje subvencij za energetsko prenovo starejših večstanovanjskih stavb (javni poziv 67SUB-OBPO19) še naprej upravičeni do spodbude v višini 100 % priznanih stroškov naložbe. Nepovratno finančno spodbudo v višini do 100 % priznanih stroškov so lahko socialno šibki občani pridobili tudi v okviru pozivov za zamenjavo starih kurilnih naprav na trdna goriva z novimi kurilnimi napravami na lesno biomaso (javna poziva 69SUB-SOCOB19 in 86SUB-SOCOB21). Z 1,1 milijona evrov nepovratnih sredstev je bilo podprtih 183 naložb. Spodbude so bile izplačane iz sredstev Sklada za podnebne spremembe. V okviru večjih naložb v starejših večstanovanjskih stavbah, ki se izplačujejo </w:t>
      </w:r>
      <w:r w:rsidR="00585915" w:rsidRPr="00900F8E">
        <w:rPr>
          <w:rFonts w:ascii="Arial" w:hAnsi="Arial" w:cs="Arial"/>
        </w:rPr>
        <w:lastRenderedPageBreak/>
        <w:t>iz sredstev, zbranih s prispevkom na rabo energije za povečanje energetske učinkovitosti, je bilo za 12 naložb izplačanih 18.100 evrov nepovratnih sredstev</w:t>
      </w:r>
      <w:r>
        <w:rPr>
          <w:rFonts w:ascii="Arial" w:hAnsi="Arial" w:cs="Arial"/>
        </w:rPr>
        <w:t>.</w:t>
      </w:r>
    </w:p>
    <w:p w14:paraId="335D3716" w14:textId="482D01B5" w:rsidR="007578D3" w:rsidRDefault="00D523E6" w:rsidP="00D523E6">
      <w:pPr>
        <w:pStyle w:val="Odstavekseznama"/>
        <w:spacing w:after="0" w:line="240" w:lineRule="auto"/>
        <w:ind w:left="360"/>
        <w:jc w:val="both"/>
        <w:rPr>
          <w:rFonts w:ascii="Arial" w:hAnsi="Arial" w:cs="Arial"/>
        </w:rPr>
      </w:pPr>
      <w:r>
        <w:rPr>
          <w:rFonts w:ascii="Arial" w:hAnsi="Arial" w:cs="Arial"/>
        </w:rPr>
        <w:t>V</w:t>
      </w:r>
      <w:r w:rsidR="00585915" w:rsidRPr="00900F8E">
        <w:rPr>
          <w:rFonts w:ascii="Arial" w:hAnsi="Arial" w:cs="Arial"/>
        </w:rPr>
        <w:t xml:space="preserve"> okviru </w:t>
      </w:r>
      <w:r w:rsidR="00047F37">
        <w:rPr>
          <w:rFonts w:ascii="Arial" w:hAnsi="Arial" w:cs="Arial"/>
        </w:rPr>
        <w:t>p</w:t>
      </w:r>
      <w:r w:rsidR="00585915" w:rsidRPr="00900F8E">
        <w:rPr>
          <w:rFonts w:ascii="Arial" w:hAnsi="Arial" w:cs="Arial"/>
        </w:rPr>
        <w:t>rograma ZERO500 je Eko sklad objavil drugi poziv za nepovratne finančne spodbude socialno šibkim občanom za investicije v ukrepe večje energetske učinkovitosti eno- ali dvostanovanjskih stavb (2-ZERO500). Razpisanih je bilo nekoliko manj kot 3,85 milijon</w:t>
      </w:r>
      <w:r w:rsidR="0064128A" w:rsidRPr="00900F8E">
        <w:rPr>
          <w:rFonts w:ascii="Arial" w:hAnsi="Arial" w:cs="Arial"/>
        </w:rPr>
        <w:t>a</w:t>
      </w:r>
      <w:r w:rsidR="00585915" w:rsidRPr="00900F8E">
        <w:rPr>
          <w:rFonts w:ascii="Arial" w:hAnsi="Arial" w:cs="Arial"/>
        </w:rPr>
        <w:t xml:space="preserve"> evrov nepovratnih sredstev. </w:t>
      </w:r>
      <w:r w:rsidR="0064128A" w:rsidRPr="00900F8E">
        <w:rPr>
          <w:rFonts w:ascii="Arial" w:hAnsi="Arial" w:cs="Arial"/>
        </w:rPr>
        <w:t>I</w:t>
      </w:r>
      <w:r w:rsidR="00585915" w:rsidRPr="00900F8E">
        <w:rPr>
          <w:rFonts w:ascii="Arial" w:hAnsi="Arial" w:cs="Arial"/>
        </w:rPr>
        <w:t>zvedenih</w:t>
      </w:r>
      <w:r w:rsidR="0064128A" w:rsidRPr="00900F8E">
        <w:rPr>
          <w:rFonts w:ascii="Arial" w:hAnsi="Arial" w:cs="Arial"/>
        </w:rPr>
        <w:t xml:space="preserve"> je bilo</w:t>
      </w:r>
      <w:r w:rsidR="00585915" w:rsidRPr="00900F8E">
        <w:rPr>
          <w:rFonts w:ascii="Arial" w:hAnsi="Arial" w:cs="Arial"/>
        </w:rPr>
        <w:t xml:space="preserve"> 77 ukrepov oz</w:t>
      </w:r>
      <w:r w:rsidR="004B450D">
        <w:rPr>
          <w:rFonts w:ascii="Arial" w:hAnsi="Arial" w:cs="Arial"/>
        </w:rPr>
        <w:t>iroma</w:t>
      </w:r>
      <w:r w:rsidR="00585915" w:rsidRPr="00900F8E">
        <w:rPr>
          <w:rFonts w:ascii="Arial" w:hAnsi="Arial" w:cs="Arial"/>
        </w:rPr>
        <w:t xml:space="preserve"> </w:t>
      </w:r>
      <w:r w:rsidR="004B450D">
        <w:rPr>
          <w:rFonts w:ascii="Arial" w:hAnsi="Arial" w:cs="Arial"/>
        </w:rPr>
        <w:t>končanih</w:t>
      </w:r>
      <w:r w:rsidR="00585915" w:rsidRPr="00900F8E">
        <w:rPr>
          <w:rFonts w:ascii="Arial" w:hAnsi="Arial" w:cs="Arial"/>
        </w:rPr>
        <w:t xml:space="preserve"> 40</w:t>
      </w:r>
      <w:r w:rsidR="0064128A" w:rsidRPr="00900F8E">
        <w:rPr>
          <w:rFonts w:ascii="Arial" w:hAnsi="Arial" w:cs="Arial"/>
        </w:rPr>
        <w:t xml:space="preserve"> p</w:t>
      </w:r>
      <w:r w:rsidR="00585915" w:rsidRPr="00900F8E">
        <w:rPr>
          <w:rFonts w:ascii="Arial" w:hAnsi="Arial" w:cs="Arial"/>
        </w:rPr>
        <w:t xml:space="preserve">rojektov. Najpogosteje izvedeni ukrepi so bili vgradnja energijsko učinkovitih oken in/ali vhodnih vrat ter izvedba toplotne izolacije strehe in fasade. Na poziv 2-ZERO500 je prispelo 394 vlog, od teh 262 popolnih. Pri 97 občanih je </w:t>
      </w:r>
      <w:r w:rsidR="001D6649">
        <w:rPr>
          <w:rFonts w:ascii="Arial" w:hAnsi="Arial" w:cs="Arial"/>
        </w:rPr>
        <w:t>energetski svetovalec</w:t>
      </w:r>
      <w:r w:rsidR="00585915" w:rsidRPr="00900F8E">
        <w:rPr>
          <w:rFonts w:ascii="Arial" w:hAnsi="Arial" w:cs="Arial"/>
        </w:rPr>
        <w:t xml:space="preserve"> tudi že </w:t>
      </w:r>
      <w:r w:rsidR="001D6649">
        <w:rPr>
          <w:rFonts w:ascii="Arial" w:hAnsi="Arial" w:cs="Arial"/>
        </w:rPr>
        <w:t>opravil</w:t>
      </w:r>
      <w:r w:rsidR="001D6649" w:rsidRPr="00900F8E">
        <w:rPr>
          <w:rFonts w:ascii="Arial" w:hAnsi="Arial" w:cs="Arial"/>
        </w:rPr>
        <w:t xml:space="preserve"> </w:t>
      </w:r>
      <w:r w:rsidR="00585915" w:rsidRPr="00900F8E">
        <w:rPr>
          <w:rFonts w:ascii="Arial" w:hAnsi="Arial" w:cs="Arial"/>
        </w:rPr>
        <w:t xml:space="preserve">predhodni ogled stavbe, izvedenih ukrepov pa še ni bilo. V okviru </w:t>
      </w:r>
      <w:r w:rsidR="001D6649">
        <w:rPr>
          <w:rFonts w:ascii="Arial" w:hAnsi="Arial" w:cs="Arial"/>
        </w:rPr>
        <w:t>p</w:t>
      </w:r>
      <w:r w:rsidR="00585915" w:rsidRPr="00900F8E">
        <w:rPr>
          <w:rFonts w:ascii="Arial" w:hAnsi="Arial" w:cs="Arial"/>
        </w:rPr>
        <w:t xml:space="preserve">rograma ZERO500 </w:t>
      </w:r>
      <w:r w:rsidR="0064128A" w:rsidRPr="00900F8E">
        <w:rPr>
          <w:rFonts w:ascii="Arial" w:hAnsi="Arial" w:cs="Arial"/>
        </w:rPr>
        <w:t>je bilo</w:t>
      </w:r>
      <w:r w:rsidR="00585915" w:rsidRPr="00900F8E">
        <w:rPr>
          <w:rFonts w:ascii="Arial" w:hAnsi="Arial" w:cs="Arial"/>
        </w:rPr>
        <w:t xml:space="preserve"> izveden</w:t>
      </w:r>
      <w:r w:rsidR="0064128A" w:rsidRPr="00900F8E">
        <w:rPr>
          <w:rFonts w:ascii="Arial" w:hAnsi="Arial" w:cs="Arial"/>
        </w:rPr>
        <w:t>ih</w:t>
      </w:r>
      <w:r w:rsidR="00585915" w:rsidRPr="00900F8E">
        <w:rPr>
          <w:rFonts w:ascii="Arial" w:hAnsi="Arial" w:cs="Arial"/>
        </w:rPr>
        <w:t xml:space="preserve"> tudi 15 posvetov na </w:t>
      </w:r>
      <w:r w:rsidR="001D6649">
        <w:rPr>
          <w:rFonts w:ascii="Arial" w:hAnsi="Arial" w:cs="Arial"/>
        </w:rPr>
        <w:t>c</w:t>
      </w:r>
      <w:r w:rsidR="00585915" w:rsidRPr="00900F8E">
        <w:rPr>
          <w:rFonts w:ascii="Arial" w:hAnsi="Arial" w:cs="Arial"/>
        </w:rPr>
        <w:t xml:space="preserve">entrih za socialno delo, </w:t>
      </w:r>
      <w:r w:rsidR="0043249B">
        <w:rPr>
          <w:rFonts w:ascii="Arial" w:hAnsi="Arial" w:cs="Arial"/>
        </w:rPr>
        <w:t>šest</w:t>
      </w:r>
      <w:r w:rsidR="00585915" w:rsidRPr="00900F8E">
        <w:rPr>
          <w:rFonts w:ascii="Arial" w:hAnsi="Arial" w:cs="Arial"/>
        </w:rPr>
        <w:t xml:space="preserve"> posvetov na regijskih Karitas</w:t>
      </w:r>
      <w:r w:rsidR="0064128A" w:rsidRPr="00900F8E">
        <w:rPr>
          <w:rFonts w:ascii="Arial" w:hAnsi="Arial" w:cs="Arial"/>
        </w:rPr>
        <w:t xml:space="preserve"> ter</w:t>
      </w:r>
      <w:r w:rsidR="00585915" w:rsidRPr="00900F8E">
        <w:rPr>
          <w:rFonts w:ascii="Arial" w:hAnsi="Arial" w:cs="Arial"/>
        </w:rPr>
        <w:t xml:space="preserve"> informativna delavnica za izvajalce</w:t>
      </w:r>
      <w:r w:rsidR="0064128A" w:rsidRPr="00900F8E">
        <w:rPr>
          <w:rFonts w:ascii="Arial" w:hAnsi="Arial" w:cs="Arial"/>
        </w:rPr>
        <w:t>. T</w:t>
      </w:r>
      <w:r w:rsidR="00585915" w:rsidRPr="00900F8E">
        <w:rPr>
          <w:rFonts w:ascii="Arial" w:hAnsi="Arial" w:cs="Arial"/>
        </w:rPr>
        <w:t xml:space="preserve">reba </w:t>
      </w:r>
      <w:r w:rsidR="0064128A" w:rsidRPr="00900F8E">
        <w:rPr>
          <w:rFonts w:ascii="Arial" w:hAnsi="Arial" w:cs="Arial"/>
        </w:rPr>
        <w:t xml:space="preserve">je </w:t>
      </w:r>
      <w:r w:rsidR="0043249B">
        <w:rPr>
          <w:rFonts w:ascii="Arial" w:hAnsi="Arial" w:cs="Arial"/>
        </w:rPr>
        <w:t>poudariti</w:t>
      </w:r>
      <w:r w:rsidR="0043249B" w:rsidRPr="00900F8E">
        <w:rPr>
          <w:rFonts w:ascii="Arial" w:hAnsi="Arial" w:cs="Arial"/>
        </w:rPr>
        <w:t xml:space="preserve"> </w:t>
      </w:r>
      <w:r w:rsidR="00585915" w:rsidRPr="00900F8E">
        <w:rPr>
          <w:rFonts w:ascii="Arial" w:hAnsi="Arial" w:cs="Arial"/>
        </w:rPr>
        <w:t>nadpovprečno angažiranost</w:t>
      </w:r>
      <w:r w:rsidR="008A0C6B" w:rsidRPr="00900F8E">
        <w:rPr>
          <w:rFonts w:ascii="Arial" w:hAnsi="Arial" w:cs="Arial"/>
        </w:rPr>
        <w:t xml:space="preserve"> centrov za socialno delo </w:t>
      </w:r>
      <w:r w:rsidR="00585915" w:rsidRPr="00900F8E">
        <w:rPr>
          <w:rFonts w:ascii="Arial" w:hAnsi="Arial" w:cs="Arial"/>
        </w:rPr>
        <w:t>s Koroške</w:t>
      </w:r>
      <w:r w:rsidR="001D6649">
        <w:rPr>
          <w:rFonts w:ascii="Arial" w:hAnsi="Arial" w:cs="Arial"/>
        </w:rPr>
        <w:t>ga</w:t>
      </w:r>
      <w:r w:rsidR="00585915" w:rsidRPr="00900F8E">
        <w:rPr>
          <w:rFonts w:ascii="Arial" w:hAnsi="Arial" w:cs="Arial"/>
        </w:rPr>
        <w:t xml:space="preserve">, Prekmurja in </w:t>
      </w:r>
      <w:r w:rsidR="00D54293">
        <w:rPr>
          <w:rFonts w:ascii="Arial" w:hAnsi="Arial" w:cs="Arial"/>
        </w:rPr>
        <w:t xml:space="preserve">iz </w:t>
      </w:r>
      <w:r w:rsidR="00585915" w:rsidRPr="00900F8E">
        <w:rPr>
          <w:rFonts w:ascii="Arial" w:hAnsi="Arial" w:cs="Arial"/>
        </w:rPr>
        <w:t xml:space="preserve">Posavja ter dobro odzivnost </w:t>
      </w:r>
      <w:r w:rsidR="008A0C6B" w:rsidRPr="00900F8E">
        <w:rPr>
          <w:rFonts w:ascii="Arial" w:hAnsi="Arial" w:cs="Arial"/>
        </w:rPr>
        <w:t>centrov za socialno delo</w:t>
      </w:r>
      <w:r w:rsidR="00585915" w:rsidRPr="00900F8E">
        <w:rPr>
          <w:rFonts w:ascii="Arial" w:hAnsi="Arial" w:cs="Arial"/>
        </w:rPr>
        <w:t xml:space="preserve"> </w:t>
      </w:r>
      <w:r w:rsidR="001D6649">
        <w:rPr>
          <w:rFonts w:ascii="Arial" w:hAnsi="Arial" w:cs="Arial"/>
        </w:rPr>
        <w:t>iz</w:t>
      </w:r>
      <w:r w:rsidR="00585915" w:rsidRPr="00900F8E">
        <w:rPr>
          <w:rFonts w:ascii="Arial" w:hAnsi="Arial" w:cs="Arial"/>
        </w:rPr>
        <w:t xml:space="preserve"> </w:t>
      </w:r>
      <w:r w:rsidR="001D6649">
        <w:rPr>
          <w:rFonts w:ascii="Arial" w:hAnsi="Arial" w:cs="Arial"/>
        </w:rPr>
        <w:t>š</w:t>
      </w:r>
      <w:r w:rsidR="00585915" w:rsidRPr="00900F8E">
        <w:rPr>
          <w:rFonts w:ascii="Arial" w:hAnsi="Arial" w:cs="Arial"/>
        </w:rPr>
        <w:t xml:space="preserve">tajerske in </w:t>
      </w:r>
      <w:r w:rsidR="001D6649">
        <w:rPr>
          <w:rFonts w:ascii="Arial" w:hAnsi="Arial" w:cs="Arial"/>
        </w:rPr>
        <w:t>s</w:t>
      </w:r>
      <w:r w:rsidR="00585915" w:rsidRPr="00900F8E">
        <w:rPr>
          <w:rFonts w:ascii="Arial" w:hAnsi="Arial" w:cs="Arial"/>
        </w:rPr>
        <w:t>avinjske regije ter društva Mozaik iz Murske Sobote. Eko sklad je prejel 481 prijavnic upravičenih občanov za obisk in paket ZERO, kar je 43 % več kot leto prej. Opravljenih je bilo tudi 360 obiskov, kar je še enkrat več kot leta 2020. Obiske pri upravičencih opravljajo energetski svetovalci mreže ENSVET</w:t>
      </w:r>
      <w:r w:rsidR="002F1436">
        <w:rPr>
          <w:rFonts w:ascii="Arial" w:hAnsi="Arial" w:cs="Arial"/>
        </w:rPr>
        <w:t>.</w:t>
      </w:r>
    </w:p>
    <w:p w14:paraId="569A5826" w14:textId="01A76908" w:rsidR="002F1436" w:rsidRDefault="002F1436" w:rsidP="002F1436">
      <w:pPr>
        <w:pStyle w:val="Odstavekseznama"/>
        <w:spacing w:after="0" w:line="240" w:lineRule="auto"/>
        <w:ind w:left="360"/>
        <w:jc w:val="both"/>
        <w:rPr>
          <w:rFonts w:ascii="Arial" w:hAnsi="Arial" w:cs="Arial"/>
        </w:rPr>
      </w:pPr>
      <w:r>
        <w:rPr>
          <w:rFonts w:ascii="Arial" w:hAnsi="Arial" w:cs="Arial"/>
        </w:rPr>
        <w:t>O</w:t>
      </w:r>
      <w:r w:rsidRPr="00900F8E">
        <w:rPr>
          <w:rFonts w:ascii="Arial" w:hAnsi="Arial" w:cs="Arial"/>
        </w:rPr>
        <w:t>bčine so lahko zaprosile za posojila Eko sklada v okviru poziva za kreditiranje okoljskih naložb občin 60LS17 s 5 milijoni evrov razpoložljivih sredstev in v okviru poziva za kreditiranje naložb občin v gradnjo novih skoraj ničenergijskih stavb splošnega družbenega pomena 61ONS17 z razpisanimi 20 milijoni evrov ugodnih kreditov. Pri prvem ni bil odobren noben kredit, pri drugem sta bila odobrena dva kredita v skupni vrednosti 2,9 milijona evrov. Poraba kreditov za financiranje naložb občin je znašala 1,5 milijona evrov, in sicer so bila sredstva namenjena izvajanju petih naložb, ki so bile odobrene v okviru javnih pozivov 57LS16 in 61ONS17. Znesek porabljenih kreditov je bil v primerjavi z letom prej manjši za 57 %. Lokalne skupnosti so lahko ugodne kredite pridobile tudi v pozivu 82FS-PO20. Na voljo je bilo 6 milijonov evrov nepovratnih sredstev in 5 milijonov evrov kreditnih sredstev. Za osebe celotnega javnega sektorja in ponudnike energetskih storitev so bila na voljo posojila za financiranje projektov celovite energetske prenove javnih stavb v višini 38,5 milijona evrov, ki jih je maja 2019 razpisala SID banka v okviru Sklada skladov</w:t>
      </w:r>
      <w:r w:rsidR="00EC25A0">
        <w:rPr>
          <w:rFonts w:ascii="Arial" w:hAnsi="Arial" w:cs="Arial"/>
        </w:rPr>
        <w:t>.</w:t>
      </w:r>
    </w:p>
    <w:p w14:paraId="6481F5FE" w14:textId="38378353" w:rsidR="00C068C7" w:rsidRPr="00900F8E" w:rsidRDefault="00C068C7" w:rsidP="00C068C7">
      <w:pPr>
        <w:pStyle w:val="Odstavekseznama"/>
        <w:spacing w:after="0" w:line="240" w:lineRule="auto"/>
        <w:ind w:left="360"/>
        <w:jc w:val="both"/>
        <w:rPr>
          <w:rFonts w:ascii="Arial" w:hAnsi="Arial" w:cs="Arial"/>
        </w:rPr>
      </w:pPr>
      <w:r>
        <w:rPr>
          <w:rFonts w:ascii="Arial" w:hAnsi="Arial" w:cs="Arial"/>
        </w:rPr>
        <w:t>Z</w:t>
      </w:r>
      <w:r w:rsidRPr="00900F8E">
        <w:rPr>
          <w:rFonts w:ascii="Arial" w:hAnsi="Arial" w:cs="Arial"/>
        </w:rPr>
        <w:t>a izvajanje ukrepov je nepovratna sredstva javnemu sektorju ponovno izplačal tudi Eko sklad. Za 20 projektov gradnje skoraj ničenergijskih stavb splošnega družbenega pomena in 44 naložb v ukrepe URE in izrabe OVE je namenil 10,5 milijona evrov. Kar 93 % tega zneska je bilo namenjenega gradnji skoraj ničenergijskih stavb. Zmanjšanje rabe energije, doseženo s temi projekti, je bilo ocenjeno na 4,2 GWh, emisije CO</w:t>
      </w:r>
      <w:r w:rsidRPr="00900F8E">
        <w:rPr>
          <w:rFonts w:ascii="Arial" w:hAnsi="Arial" w:cs="Arial"/>
          <w:vertAlign w:val="subscript"/>
        </w:rPr>
        <w:t>2</w:t>
      </w:r>
      <w:r w:rsidRPr="00900F8E">
        <w:rPr>
          <w:rFonts w:ascii="Arial" w:hAnsi="Arial" w:cs="Arial"/>
        </w:rPr>
        <w:t xml:space="preserve"> pa na 0,9 kt na leto. Za gospodarstvo in javni sektor je bil odprt poziv 82FS-PO20, katerega znesek nepovratnih sredstev je bil povišan na 6 milijonov evrov. Objavljena sta bila tudi poziv 92FS-PO21 z razpisanimi 5 milijoni evrov nepovratnih sredstev in 2 milijonoma evrov kreditnih sredstev, kjer so med upravičenci tudi pravne osebe javnega prava</w:t>
      </w:r>
      <w:r w:rsidR="00EC25A0">
        <w:rPr>
          <w:rFonts w:ascii="Arial" w:hAnsi="Arial" w:cs="Arial"/>
        </w:rPr>
        <w:t>,</w:t>
      </w:r>
      <w:r w:rsidRPr="00900F8E">
        <w:rPr>
          <w:rFonts w:ascii="Arial" w:hAnsi="Arial" w:cs="Arial"/>
        </w:rPr>
        <w:t xml:space="preserve"> ter poziv za spodbude lokalnim skupnostim za gradnjo skoraj ničenergijskih stavb 90SUB-sNESLS21 s skupno višino razpoložljivih sredstev 14 milijonov evrov</w:t>
      </w:r>
      <w:r w:rsidR="00EC25A0">
        <w:rPr>
          <w:rFonts w:ascii="Arial" w:hAnsi="Arial" w:cs="Arial"/>
        </w:rPr>
        <w:t>.</w:t>
      </w:r>
    </w:p>
    <w:p w14:paraId="7C019A1B" w14:textId="177D3002" w:rsidR="00C068C7" w:rsidRPr="00C068C7" w:rsidRDefault="00C068C7" w:rsidP="00C068C7">
      <w:pPr>
        <w:pStyle w:val="Odstavekseznama"/>
        <w:spacing w:after="0" w:line="240" w:lineRule="auto"/>
        <w:ind w:left="360"/>
        <w:jc w:val="both"/>
        <w:rPr>
          <w:rFonts w:ascii="Arial" w:hAnsi="Arial" w:cs="Arial"/>
        </w:rPr>
      </w:pPr>
      <w:r>
        <w:rPr>
          <w:rFonts w:ascii="Arial" w:hAnsi="Arial" w:cs="Arial"/>
        </w:rPr>
        <w:t>Z</w:t>
      </w:r>
      <w:r w:rsidRPr="00900F8E">
        <w:rPr>
          <w:rFonts w:ascii="Arial" w:hAnsi="Arial" w:cs="Arial"/>
        </w:rPr>
        <w:t xml:space="preserve"> energetsko prenovo stavb javnega sektorja je bilo doseženo zmanjšanje rabe energije za 12,1 GWh na leto, povečanje proizvodnje energije iz OVE za 4,1 GWh na leto in zmanjšanje emisije CO</w:t>
      </w:r>
      <w:r w:rsidRPr="00900F8E">
        <w:rPr>
          <w:rFonts w:ascii="Arial" w:hAnsi="Arial" w:cs="Arial"/>
          <w:vertAlign w:val="subscript"/>
        </w:rPr>
        <w:t>2</w:t>
      </w:r>
      <w:r w:rsidRPr="00900F8E">
        <w:rPr>
          <w:rFonts w:ascii="Arial" w:hAnsi="Arial" w:cs="Arial"/>
        </w:rPr>
        <w:t xml:space="preserve"> za 3,1 kt na leto. S spodbudami Eko sklada za zmanjšanje rabe energije in povečanje proizvodnje energije iz OVE v javnem sektorju je bilo doseženo zmanjšanje rabe energije za 4,2 GWh na leto, povečanje proizvodnje energija iz OVE za 0,9 GWh na leto in zmanjšanje emisije CO</w:t>
      </w:r>
      <w:r w:rsidRPr="00900F8E">
        <w:rPr>
          <w:rFonts w:ascii="Arial" w:hAnsi="Arial" w:cs="Arial"/>
          <w:vertAlign w:val="subscript"/>
        </w:rPr>
        <w:t>2</w:t>
      </w:r>
      <w:r w:rsidRPr="00900F8E">
        <w:rPr>
          <w:rFonts w:ascii="Arial" w:hAnsi="Arial" w:cs="Arial"/>
        </w:rPr>
        <w:t xml:space="preserve"> za 0,9 kt na leto;</w:t>
      </w:r>
    </w:p>
    <w:p w14:paraId="7BF30AD2" w14:textId="0D1159AE" w:rsidR="006E7AD3" w:rsidRPr="006E7AD3" w:rsidRDefault="006E7AD3" w:rsidP="006E7AD3">
      <w:pPr>
        <w:pStyle w:val="Odstavekseznama"/>
        <w:numPr>
          <w:ilvl w:val="0"/>
          <w:numId w:val="34"/>
        </w:numPr>
        <w:spacing w:after="0" w:line="240" w:lineRule="auto"/>
        <w:jc w:val="both"/>
        <w:rPr>
          <w:rFonts w:ascii="Arial" w:hAnsi="Arial" w:cs="Arial"/>
        </w:rPr>
      </w:pPr>
      <w:r w:rsidRPr="00900F8E">
        <w:rPr>
          <w:rFonts w:ascii="Arial" w:hAnsi="Arial" w:cs="Arial"/>
        </w:rPr>
        <w:t>Javni stanovanjski sklad MOL je objavil javni razpis za stanovanjska posojila za rekonstrukcijo in vzdrževalna dela na stanovanjskih stavbah</w:t>
      </w:r>
      <w:r>
        <w:rPr>
          <w:rFonts w:ascii="Arial" w:hAnsi="Arial" w:cs="Arial"/>
        </w:rPr>
        <w:t>.</w:t>
      </w:r>
      <w:r w:rsidRPr="00900F8E">
        <w:rPr>
          <w:rFonts w:ascii="Arial" w:hAnsi="Arial" w:cs="Arial"/>
        </w:rPr>
        <w:t xml:space="preserve"> Ekološka oz</w:t>
      </w:r>
      <w:r w:rsidR="00256E6D">
        <w:rPr>
          <w:rFonts w:ascii="Arial" w:hAnsi="Arial" w:cs="Arial"/>
        </w:rPr>
        <w:t>iroma</w:t>
      </w:r>
      <w:r w:rsidRPr="00900F8E">
        <w:rPr>
          <w:rFonts w:ascii="Arial" w:hAnsi="Arial" w:cs="Arial"/>
        </w:rPr>
        <w:t xml:space="preserve"> zelena posojila so za različne namene ponujale tudi nekatere poslovne banke (npr. BKS banka – zeleni stanovanjski kredit, Delavska hranilnica – eko kredit, Deželna banka Slovenije – eko kredit, NLB – NLB zeleni stanovanjski kredit, Sparkasse – ponovno je na voljo zeleni kredit). N</w:t>
      </w:r>
      <w:r>
        <w:rPr>
          <w:rFonts w:ascii="Arial" w:hAnsi="Arial" w:cs="Arial"/>
        </w:rPr>
        <w:t xml:space="preserve"> </w:t>
      </w:r>
      <w:r w:rsidRPr="00900F8E">
        <w:rPr>
          <w:rFonts w:ascii="Arial" w:hAnsi="Arial" w:cs="Arial"/>
        </w:rPr>
        <w:t xml:space="preserve">Banka iz NLB </w:t>
      </w:r>
      <w:proofErr w:type="spellStart"/>
      <w:r w:rsidRPr="00900F8E">
        <w:rPr>
          <w:rFonts w:ascii="Arial" w:hAnsi="Arial" w:cs="Arial"/>
        </w:rPr>
        <w:t>Group</w:t>
      </w:r>
      <w:proofErr w:type="spellEnd"/>
      <w:r w:rsidRPr="00900F8E">
        <w:rPr>
          <w:rFonts w:ascii="Arial" w:hAnsi="Arial" w:cs="Arial"/>
        </w:rPr>
        <w:t xml:space="preserve"> je ponujala za okolju prijazne naložbe </w:t>
      </w:r>
      <w:r w:rsidR="00256E6D">
        <w:rPr>
          <w:rFonts w:ascii="Arial" w:hAnsi="Arial" w:cs="Arial"/>
        </w:rPr>
        <w:t xml:space="preserve">namenski kredit </w:t>
      </w:r>
      <w:r w:rsidRPr="00900F8E">
        <w:rPr>
          <w:rFonts w:ascii="Arial" w:hAnsi="Arial" w:cs="Arial"/>
        </w:rPr>
        <w:t xml:space="preserve">TOP </w:t>
      </w:r>
      <w:r w:rsidRPr="00900F8E">
        <w:rPr>
          <w:rFonts w:ascii="Arial" w:hAnsi="Arial" w:cs="Arial"/>
        </w:rPr>
        <w:lastRenderedPageBreak/>
        <w:t>ZELENI, ki ga lahko stranke sklenejo pri njihovih pogodbenih partnerjih, pri čemer gre predvsem za podjetja, ki vgrajujejo sončne elektrarne;</w:t>
      </w:r>
    </w:p>
    <w:p w14:paraId="296271A6" w14:textId="7B7BBE7A" w:rsidR="00916EF3" w:rsidRPr="00900F8E" w:rsidRDefault="007578D3" w:rsidP="00640804">
      <w:pPr>
        <w:pStyle w:val="Odstavekseznama"/>
        <w:numPr>
          <w:ilvl w:val="0"/>
          <w:numId w:val="34"/>
        </w:numPr>
        <w:spacing w:after="0" w:line="240" w:lineRule="auto"/>
        <w:jc w:val="both"/>
        <w:rPr>
          <w:rFonts w:ascii="Arial" w:hAnsi="Arial" w:cs="Arial"/>
        </w:rPr>
      </w:pPr>
      <w:r w:rsidRPr="00900F8E">
        <w:rPr>
          <w:rFonts w:ascii="Arial" w:hAnsi="Arial" w:cs="Arial"/>
        </w:rPr>
        <w:t>Javna agencija za raziskovalno dejavnost RS (</w:t>
      </w:r>
      <w:r w:rsidR="00D4691C">
        <w:rPr>
          <w:rFonts w:ascii="Arial" w:hAnsi="Arial" w:cs="Arial"/>
        </w:rPr>
        <w:t xml:space="preserve">v </w:t>
      </w:r>
      <w:r w:rsidR="00930529">
        <w:rPr>
          <w:rFonts w:ascii="Arial" w:hAnsi="Arial" w:cs="Arial"/>
        </w:rPr>
        <w:t>nadaljnjem besedilu</w:t>
      </w:r>
      <w:r w:rsidR="00D4691C">
        <w:rPr>
          <w:rFonts w:ascii="Arial" w:hAnsi="Arial" w:cs="Arial"/>
        </w:rPr>
        <w:t xml:space="preserve">: </w:t>
      </w:r>
      <w:r w:rsidRPr="00900F8E">
        <w:rPr>
          <w:rFonts w:ascii="Arial" w:hAnsi="Arial" w:cs="Arial"/>
        </w:rPr>
        <w:t xml:space="preserve">ARRS) je objavila javni razpis za izbiro raziskovalnih projektov Ciljnega raziskovalnega programa »CRP 2021«, v okviru katerega je bila za izvedbo projekta razpisana tudi tema Strokovne podlage za razvoj ukrepov za boj proti energetski revščini. Opis dela je zajemal vse od priprave definicije energetske revščine in meril za določanje ranljivih skupin prebivalcev do določitve okvirnega nacionalnega cilja za zmanjšanje energetske revščine, opredelitve politik in ukrepov za njegovo doseganje ter vzpostavitve sistema spremljanja. Razpis je bil </w:t>
      </w:r>
      <w:r w:rsidR="004B450D">
        <w:rPr>
          <w:rFonts w:ascii="Arial" w:hAnsi="Arial" w:cs="Arial"/>
        </w:rPr>
        <w:t>končan</w:t>
      </w:r>
      <w:r w:rsidRPr="00900F8E">
        <w:rPr>
          <w:rFonts w:ascii="Arial" w:hAnsi="Arial" w:cs="Arial"/>
        </w:rPr>
        <w:t>, na razpisano temo pa ni prispela nobena prijava. MzI je zato objavil povabilo k oddaji ponudbe za izvedbo projekta z naslovom Preučitev in strokovne podlage za razvoj ukrepov za boj proti energetski revščini. Z izbranim izvajalcem se je projekt začel izvajati decembra 2021;</w:t>
      </w:r>
    </w:p>
    <w:p w14:paraId="5EE34672" w14:textId="6DDEF625" w:rsidR="004F59D0" w:rsidRPr="00900F8E" w:rsidRDefault="002A2D2B" w:rsidP="00640804">
      <w:pPr>
        <w:pStyle w:val="Odstavekseznama"/>
        <w:numPr>
          <w:ilvl w:val="0"/>
          <w:numId w:val="34"/>
        </w:numPr>
        <w:spacing w:after="0" w:line="240" w:lineRule="auto"/>
        <w:jc w:val="both"/>
        <w:rPr>
          <w:rFonts w:ascii="Arial" w:hAnsi="Arial" w:cs="Arial"/>
        </w:rPr>
      </w:pPr>
      <w:r w:rsidRPr="00900F8E">
        <w:rPr>
          <w:rFonts w:ascii="Arial" w:hAnsi="Arial" w:cs="Arial"/>
        </w:rPr>
        <w:t>sprejet je bil Zakon o oskrbi z električno energijo (Uradni list RS, št. 172/21), ki predstavlja pravno podlago za oblikovanje ukrepov za zmanjševanje energetske revščine. V skladu s 34. členom zakona mora Vlada RS predpisati merila za opredelitev in ocenjevanje števila energetsko revnih gospodinjstev ter sprejeti ustrezne ukrepe za zagotavljanje podpore za izboljšanje energetske učinkovitosti z namenom zmanjšanja energetske revščine;</w:t>
      </w:r>
    </w:p>
    <w:p w14:paraId="387E9DE1" w14:textId="2A040ECB" w:rsidR="004F59D0" w:rsidRPr="00900F8E" w:rsidRDefault="004F59D0" w:rsidP="004F59D0">
      <w:pPr>
        <w:pStyle w:val="Odstavekseznama"/>
        <w:numPr>
          <w:ilvl w:val="0"/>
          <w:numId w:val="34"/>
        </w:numPr>
        <w:spacing w:after="0" w:line="240" w:lineRule="auto"/>
        <w:jc w:val="both"/>
        <w:rPr>
          <w:rFonts w:ascii="Arial" w:hAnsi="Arial" w:cs="Arial"/>
        </w:rPr>
      </w:pPr>
      <w:r w:rsidRPr="00900F8E">
        <w:rPr>
          <w:rFonts w:ascii="Arial" w:hAnsi="Arial" w:cs="Arial"/>
        </w:rPr>
        <w:t>z</w:t>
      </w:r>
      <w:r w:rsidR="004B450D">
        <w:rPr>
          <w:rFonts w:ascii="Arial" w:hAnsi="Arial" w:cs="Arial"/>
        </w:rPr>
        <w:t>aradi</w:t>
      </w:r>
      <w:r w:rsidRPr="00900F8E">
        <w:rPr>
          <w:rFonts w:ascii="Arial" w:hAnsi="Arial" w:cs="Arial"/>
        </w:rPr>
        <w:t xml:space="preserve"> večje preglednosti in </w:t>
      </w:r>
      <w:r w:rsidR="00327BE4">
        <w:rPr>
          <w:rFonts w:ascii="Arial" w:hAnsi="Arial" w:cs="Arial"/>
        </w:rPr>
        <w:t>preprostejše</w:t>
      </w:r>
      <w:r w:rsidR="00327BE4" w:rsidRPr="00900F8E">
        <w:rPr>
          <w:rFonts w:ascii="Arial" w:hAnsi="Arial" w:cs="Arial"/>
        </w:rPr>
        <w:t xml:space="preserve"> </w:t>
      </w:r>
      <w:r w:rsidRPr="00900F8E">
        <w:rPr>
          <w:rFonts w:ascii="Arial" w:hAnsi="Arial" w:cs="Arial"/>
        </w:rPr>
        <w:t xml:space="preserve">uporabe je bila nadgrajena aplikacija za poročanje podatkov energetskega knjigovodstva. Poenostavljen je bil vnos informacij o ukrepih za povečanje energetske učinkovitosti in rabe OVE, stroških energije in podobno. Posodobljena so bila tudi navodila za poročanje in uporabo aplikacije; </w:t>
      </w:r>
    </w:p>
    <w:p w14:paraId="5253F94D" w14:textId="2DF24324" w:rsidR="004F59D0" w:rsidRPr="00900F8E" w:rsidRDefault="004F59D0" w:rsidP="00640804">
      <w:pPr>
        <w:pStyle w:val="Odstavekseznama"/>
        <w:numPr>
          <w:ilvl w:val="0"/>
          <w:numId w:val="34"/>
        </w:numPr>
        <w:spacing w:after="0" w:line="240" w:lineRule="auto"/>
        <w:jc w:val="both"/>
        <w:rPr>
          <w:rFonts w:ascii="Arial" w:hAnsi="Arial" w:cs="Arial"/>
        </w:rPr>
      </w:pPr>
      <w:r w:rsidRPr="00900F8E">
        <w:rPr>
          <w:rFonts w:ascii="Arial" w:hAnsi="Arial" w:cs="Arial"/>
        </w:rPr>
        <w:t>Borzen je v sodelovanju z MzI izvedel spletni seminar o poročanju podatkov energetskega knjigovodstva, v okviru katerega je bila predstavljena tudi uporaba nadgrajene aplikacije za vnos podatkov. Na seminarju je sodelovalo več kot 60 udeležencev. Borzen je v javnem sektorju izvedel še svetovanja za upravljanje energij</w:t>
      </w:r>
      <w:r w:rsidR="00327BE4">
        <w:rPr>
          <w:rFonts w:ascii="Arial" w:hAnsi="Arial" w:cs="Arial"/>
        </w:rPr>
        <w:t>e</w:t>
      </w:r>
      <w:r w:rsidRPr="00900F8E">
        <w:rPr>
          <w:rFonts w:ascii="Arial" w:hAnsi="Arial" w:cs="Arial"/>
        </w:rPr>
        <w:t xml:space="preserve"> v zdravstvenem sektorju, upravljanje energij</w:t>
      </w:r>
      <w:r w:rsidR="00327BE4">
        <w:rPr>
          <w:rFonts w:ascii="Arial" w:hAnsi="Arial" w:cs="Arial"/>
        </w:rPr>
        <w:t>e</w:t>
      </w:r>
      <w:r w:rsidRPr="00900F8E">
        <w:rPr>
          <w:rFonts w:ascii="Arial" w:hAnsi="Arial" w:cs="Arial"/>
        </w:rPr>
        <w:t xml:space="preserve"> v šolskem sektorju, upravljanje energij</w:t>
      </w:r>
      <w:r w:rsidR="00327BE4">
        <w:rPr>
          <w:rFonts w:ascii="Arial" w:hAnsi="Arial" w:cs="Arial"/>
        </w:rPr>
        <w:t>e</w:t>
      </w:r>
      <w:r w:rsidRPr="00900F8E">
        <w:rPr>
          <w:rFonts w:ascii="Arial" w:hAnsi="Arial" w:cs="Arial"/>
        </w:rPr>
        <w:t xml:space="preserve"> v ožjem javnem sektorju in specifični ukrepi upravljanja energij</w:t>
      </w:r>
      <w:r w:rsidR="00327BE4">
        <w:rPr>
          <w:rFonts w:ascii="Arial" w:hAnsi="Arial" w:cs="Arial"/>
        </w:rPr>
        <w:t>e</w:t>
      </w:r>
      <w:r w:rsidRPr="00900F8E">
        <w:rPr>
          <w:rFonts w:ascii="Arial" w:hAnsi="Arial" w:cs="Arial"/>
        </w:rPr>
        <w:t xml:space="preserve"> po skupinah stavb za upravnike stavb;</w:t>
      </w:r>
    </w:p>
    <w:p w14:paraId="355DCFFF" w14:textId="0D70BB10" w:rsidR="00347592" w:rsidRPr="00900F8E" w:rsidRDefault="004F59D0" w:rsidP="00347592">
      <w:pPr>
        <w:pStyle w:val="Odstavekseznama"/>
        <w:numPr>
          <w:ilvl w:val="0"/>
          <w:numId w:val="34"/>
        </w:numPr>
        <w:spacing w:after="0" w:line="240" w:lineRule="auto"/>
        <w:jc w:val="both"/>
        <w:rPr>
          <w:rFonts w:ascii="Arial" w:hAnsi="Arial" w:cs="Arial"/>
        </w:rPr>
      </w:pPr>
      <w:r w:rsidRPr="00900F8E">
        <w:rPr>
          <w:rFonts w:ascii="Arial" w:hAnsi="Arial" w:cs="Arial"/>
        </w:rPr>
        <w:t>za namen nadzora nad kakovostjo zbranih podatkov v aplikaciji energetsko knjigovodstvo se je začela izvajati projektna naloga analiza ukrepa iz Uredbe o upravljanju z energijo v javnem sektorju (Ur</w:t>
      </w:r>
      <w:r w:rsidR="00327BE4">
        <w:rPr>
          <w:rFonts w:ascii="Arial" w:hAnsi="Arial" w:cs="Arial"/>
        </w:rPr>
        <w:t>adni</w:t>
      </w:r>
      <w:r w:rsidRPr="00900F8E">
        <w:rPr>
          <w:rFonts w:ascii="Arial" w:hAnsi="Arial" w:cs="Arial"/>
        </w:rPr>
        <w:t xml:space="preserve"> l</w:t>
      </w:r>
      <w:r w:rsidR="00327BE4">
        <w:rPr>
          <w:rFonts w:ascii="Arial" w:hAnsi="Arial" w:cs="Arial"/>
        </w:rPr>
        <w:t>ist</w:t>
      </w:r>
      <w:r w:rsidRPr="00900F8E">
        <w:rPr>
          <w:rFonts w:ascii="Arial" w:hAnsi="Arial" w:cs="Arial"/>
        </w:rPr>
        <w:t xml:space="preserve"> RS, št. 52/16, 116/20 in 158/20 – ZURE) ter predlog za nadgradnjo in izboljšavo izvajanja ukrepa;</w:t>
      </w:r>
    </w:p>
    <w:p w14:paraId="05A19667" w14:textId="42528B66" w:rsidR="00396A40" w:rsidRPr="00900F8E" w:rsidRDefault="00396A40" w:rsidP="00396A40">
      <w:pPr>
        <w:pStyle w:val="Odstavekseznama"/>
        <w:numPr>
          <w:ilvl w:val="0"/>
          <w:numId w:val="34"/>
        </w:numPr>
        <w:spacing w:after="0" w:line="240" w:lineRule="auto"/>
        <w:jc w:val="both"/>
        <w:rPr>
          <w:rFonts w:ascii="Arial" w:hAnsi="Arial" w:cs="Arial"/>
        </w:rPr>
      </w:pPr>
      <w:r w:rsidRPr="00900F8E">
        <w:rPr>
          <w:rFonts w:ascii="Arial" w:hAnsi="Arial" w:cs="Arial"/>
        </w:rPr>
        <w:t>izvajali so se projekti, ki so prejeli nepovratna sredstva iz Kohezijskega sklada za energetsko prenovo stavb v lasti in rabi občin, stavb širšega javnega sektorja in stavb ožjega javnega sektorja. Skupno je bilo prenovljenih skoraj 149.000 m</w:t>
      </w:r>
      <w:r w:rsidRPr="00900F8E">
        <w:rPr>
          <w:rFonts w:ascii="Arial" w:hAnsi="Arial" w:cs="Arial"/>
          <w:vertAlign w:val="superscript"/>
        </w:rPr>
        <w:t>2</w:t>
      </w:r>
      <w:r w:rsidRPr="00900F8E">
        <w:rPr>
          <w:rFonts w:ascii="Arial" w:hAnsi="Arial" w:cs="Arial"/>
        </w:rPr>
        <w:t xml:space="preserve"> neto tlorisne površine stavb. Za izvedbo teh naložb je bilo dodeljenih 15,7 milijona evrov. V okviru 77 projektov je bilo skupno prenovljenih 690.000 m</w:t>
      </w:r>
      <w:r w:rsidRPr="00900F8E">
        <w:rPr>
          <w:rFonts w:ascii="Arial" w:hAnsi="Arial" w:cs="Arial"/>
          <w:vertAlign w:val="superscript"/>
        </w:rPr>
        <w:t>2</w:t>
      </w:r>
      <w:r w:rsidRPr="00900F8E">
        <w:rPr>
          <w:rFonts w:ascii="Arial" w:hAnsi="Arial" w:cs="Arial"/>
        </w:rPr>
        <w:t xml:space="preserve"> neto tlorisne površine stavb. Zmanjšanje rabe energije, doseženo s temi projekti, je bilo ocenjeno na 54,3 GWh, emisije CO</w:t>
      </w:r>
      <w:r w:rsidRPr="00900F8E">
        <w:rPr>
          <w:rFonts w:ascii="Arial" w:hAnsi="Arial" w:cs="Arial"/>
          <w:vertAlign w:val="subscript"/>
        </w:rPr>
        <w:t>2</w:t>
      </w:r>
      <w:r w:rsidRPr="00900F8E">
        <w:rPr>
          <w:rFonts w:ascii="Arial" w:hAnsi="Arial" w:cs="Arial"/>
        </w:rPr>
        <w:t xml:space="preserve"> pa na 14,2 kt na leto. Zmanjšanje rabe energije na enoto površine znaša 79 kWh/m</w:t>
      </w:r>
      <w:r w:rsidRPr="00900F8E">
        <w:rPr>
          <w:rFonts w:ascii="Arial" w:hAnsi="Arial" w:cs="Arial"/>
          <w:vertAlign w:val="superscript"/>
        </w:rPr>
        <w:t>2</w:t>
      </w:r>
      <w:r w:rsidRPr="00900F8E">
        <w:rPr>
          <w:rFonts w:ascii="Arial" w:hAnsi="Arial" w:cs="Arial"/>
        </w:rPr>
        <w:t xml:space="preserve"> na leto;</w:t>
      </w:r>
    </w:p>
    <w:p w14:paraId="73615D93" w14:textId="78240457" w:rsidR="00396A40" w:rsidRPr="00900F8E" w:rsidRDefault="00396A40" w:rsidP="00396A40">
      <w:pPr>
        <w:pStyle w:val="Odstavekseznama"/>
        <w:numPr>
          <w:ilvl w:val="0"/>
          <w:numId w:val="34"/>
        </w:numPr>
        <w:spacing w:after="0" w:line="240" w:lineRule="auto"/>
        <w:jc w:val="both"/>
        <w:rPr>
          <w:rFonts w:ascii="Arial" w:hAnsi="Arial" w:cs="Arial"/>
        </w:rPr>
      </w:pPr>
      <w:r w:rsidRPr="00900F8E">
        <w:rPr>
          <w:rFonts w:ascii="Arial" w:hAnsi="Arial" w:cs="Arial"/>
        </w:rPr>
        <w:t xml:space="preserve">v OP EKP se v okviru prednostne osi 15 za spodbujanje odprave posledic krize v okviru pandemije COVID-19 ter priprave zelenega, digitalnega in odpornega okrevanja gospodarstva v sklopu programa </w:t>
      </w:r>
      <w:proofErr w:type="spellStart"/>
      <w:r w:rsidRPr="00900F8E">
        <w:rPr>
          <w:rFonts w:ascii="Arial" w:hAnsi="Arial" w:cs="Arial"/>
        </w:rPr>
        <w:t>React</w:t>
      </w:r>
      <w:proofErr w:type="spellEnd"/>
      <w:r w:rsidRPr="00900F8E">
        <w:rPr>
          <w:rFonts w:ascii="Arial" w:hAnsi="Arial" w:cs="Arial"/>
        </w:rPr>
        <w:t>-EU</w:t>
      </w:r>
      <w:r w:rsidR="00A36498">
        <w:rPr>
          <w:rFonts w:ascii="Arial" w:hAnsi="Arial" w:cs="Arial"/>
        </w:rPr>
        <w:t xml:space="preserve"> </w:t>
      </w:r>
      <w:r w:rsidRPr="00900F8E">
        <w:rPr>
          <w:rFonts w:ascii="Arial" w:hAnsi="Arial" w:cs="Arial"/>
        </w:rPr>
        <w:t xml:space="preserve">za obdobje 2020–2023 s prilagoditvijo sedanjega večletnega finančnega okvira sofinancirajo ključni ukrepi za odpravo posledic pandemije koronavirusa. Za krepitev odpornosti zdravstvenih sistemov so zagotovljeni tudi viri za izvajanje naložb v energetske prenove stavb zdravstvene infrastrukture posebnega pomena zaradi koronavirusa. V okviru zadnje spremembe OP EKP je bila predvidena izvedba šestih projektov s skupno vrednostjo operacij 80 milijonov evrov. Eden od teh projektov ne bo izveden, saj je </w:t>
      </w:r>
      <w:r w:rsidR="00D05445">
        <w:rPr>
          <w:rFonts w:ascii="Arial" w:hAnsi="Arial" w:cs="Arial"/>
        </w:rPr>
        <w:t>treba</w:t>
      </w:r>
      <w:r w:rsidR="00D05445" w:rsidRPr="00900F8E">
        <w:rPr>
          <w:rFonts w:ascii="Arial" w:hAnsi="Arial" w:cs="Arial"/>
        </w:rPr>
        <w:t xml:space="preserve"> </w:t>
      </w:r>
      <w:r w:rsidRPr="00900F8E">
        <w:rPr>
          <w:rFonts w:ascii="Arial" w:hAnsi="Arial" w:cs="Arial"/>
        </w:rPr>
        <w:t xml:space="preserve">objekt, predviden za energetsko prenovo, predhodno še statično sanirati. Od </w:t>
      </w:r>
      <w:r w:rsidR="00D05445">
        <w:rPr>
          <w:rFonts w:ascii="Arial" w:hAnsi="Arial" w:cs="Arial"/>
        </w:rPr>
        <w:t>pre</w:t>
      </w:r>
      <w:r w:rsidRPr="00900F8E">
        <w:rPr>
          <w:rFonts w:ascii="Arial" w:hAnsi="Arial" w:cs="Arial"/>
        </w:rPr>
        <w:t xml:space="preserve">ostalih predvidenih projektov je bila do konca leta 2021 izdana odločba o podpori za en projekt, in sicer za energetsko sanacijo </w:t>
      </w:r>
      <w:r w:rsidR="00D05445">
        <w:rPr>
          <w:rFonts w:ascii="Arial" w:hAnsi="Arial" w:cs="Arial"/>
        </w:rPr>
        <w:t>g</w:t>
      </w:r>
      <w:r w:rsidRPr="00900F8E">
        <w:rPr>
          <w:rFonts w:ascii="Arial" w:hAnsi="Arial" w:cs="Arial"/>
        </w:rPr>
        <w:t>lavne stavbe – Hospital UKC Ljubljana v skupni vrednosti 50 milijonov evrov;</w:t>
      </w:r>
    </w:p>
    <w:p w14:paraId="6A39B54E" w14:textId="34E24606" w:rsidR="005C6BAF" w:rsidRPr="00900F8E" w:rsidRDefault="005C6BAF" w:rsidP="00640804">
      <w:pPr>
        <w:pStyle w:val="Odstavekseznama"/>
        <w:numPr>
          <w:ilvl w:val="0"/>
          <w:numId w:val="34"/>
        </w:numPr>
        <w:spacing w:after="0" w:line="240" w:lineRule="auto"/>
        <w:jc w:val="both"/>
        <w:rPr>
          <w:rFonts w:ascii="Arial" w:hAnsi="Arial" w:cs="Arial"/>
        </w:rPr>
      </w:pPr>
      <w:r w:rsidRPr="00900F8E">
        <w:rPr>
          <w:rFonts w:ascii="Arial" w:hAnsi="Arial" w:cs="Arial"/>
        </w:rPr>
        <w:t xml:space="preserve">predvidena analiza projektov energetske prenove javnih stavb, ki so bili sofinancirani s kohezijskimi sredstvi, je bila prekinjena, saj je SVRK objavil javni razpis 008534/2021 za naročilo male vrednosti, namenjeno analizi smotrnosti porabe kohezijskih sredstev za </w:t>
      </w:r>
      <w:r w:rsidRPr="00900F8E">
        <w:rPr>
          <w:rFonts w:ascii="Arial" w:hAnsi="Arial" w:cs="Arial"/>
        </w:rPr>
        <w:lastRenderedPageBreak/>
        <w:t xml:space="preserve">energetsko prenovo javnih stavb (naloga Vrednotenje izvajanja v okviru PN 4.1. Spodbujanje energetske učinkovitosti, pametnega ravnanja z energijo in uporabe obnovljivih virov v javni infrastrukturi, vključno z javnimi stavbami, in v stanovanjskem sektorju, </w:t>
      </w:r>
      <w:r w:rsidR="00D05445">
        <w:rPr>
          <w:rFonts w:ascii="Arial" w:hAnsi="Arial" w:cs="Arial"/>
        </w:rPr>
        <w:t>s</w:t>
      </w:r>
      <w:r w:rsidRPr="00900F8E">
        <w:rPr>
          <w:rFonts w:ascii="Arial" w:hAnsi="Arial" w:cs="Arial"/>
        </w:rPr>
        <w:t xml:space="preserve">pecifični cilj 1: </w:t>
      </w:r>
      <w:r w:rsidR="00D05445">
        <w:rPr>
          <w:rFonts w:ascii="Arial" w:hAnsi="Arial" w:cs="Arial"/>
        </w:rPr>
        <w:t>p</w:t>
      </w:r>
      <w:r w:rsidRPr="00900F8E">
        <w:rPr>
          <w:rFonts w:ascii="Arial" w:hAnsi="Arial" w:cs="Arial"/>
        </w:rPr>
        <w:t>ovečanje učinkovitosti rabe energije v javnem sektorju);</w:t>
      </w:r>
    </w:p>
    <w:p w14:paraId="525FF7BC" w14:textId="04D81FD8" w:rsidR="00B67580" w:rsidRPr="00900F8E" w:rsidRDefault="00D05445" w:rsidP="00640804">
      <w:pPr>
        <w:pStyle w:val="Odstavekseznama"/>
        <w:numPr>
          <w:ilvl w:val="0"/>
          <w:numId w:val="34"/>
        </w:numPr>
        <w:spacing w:after="0" w:line="240" w:lineRule="auto"/>
        <w:jc w:val="both"/>
        <w:rPr>
          <w:rFonts w:ascii="Arial" w:hAnsi="Arial" w:cs="Arial"/>
        </w:rPr>
      </w:pPr>
      <w:r>
        <w:rPr>
          <w:rFonts w:ascii="Arial" w:hAnsi="Arial" w:cs="Arial"/>
        </w:rPr>
        <w:t>p</w:t>
      </w:r>
      <w:r w:rsidR="00B67580" w:rsidRPr="00900F8E">
        <w:rPr>
          <w:rFonts w:ascii="Arial" w:hAnsi="Arial" w:cs="Arial"/>
        </w:rPr>
        <w:t xml:space="preserve">rojektna pisarna je nadaljevala spremljanje izvajanja projektov energetske prenove javnih stavb v okviru OP EKP in uspešno končala projekt </w:t>
      </w:r>
      <w:proofErr w:type="spellStart"/>
      <w:r w:rsidR="00B67580" w:rsidRPr="00900F8E">
        <w:rPr>
          <w:rFonts w:ascii="Arial" w:hAnsi="Arial" w:cs="Arial"/>
        </w:rPr>
        <w:t>GovDER</w:t>
      </w:r>
      <w:proofErr w:type="spellEnd"/>
      <w:r w:rsidR="00B67580" w:rsidRPr="00900F8E">
        <w:rPr>
          <w:rFonts w:ascii="Arial" w:hAnsi="Arial" w:cs="Arial"/>
        </w:rPr>
        <w:t xml:space="preserve">. Objavila je navodila za pripravo vlog za neposredno potrditev operacij energetske prenove stavb zdravstvene infrastrukture posebnega pomena zaradi COVID-19 v sklopu pobude </w:t>
      </w:r>
      <w:proofErr w:type="spellStart"/>
      <w:r w:rsidR="00B67580" w:rsidRPr="00900F8E">
        <w:rPr>
          <w:rFonts w:ascii="Arial" w:hAnsi="Arial" w:cs="Arial"/>
        </w:rPr>
        <w:t>React</w:t>
      </w:r>
      <w:proofErr w:type="spellEnd"/>
      <w:r w:rsidR="00B67580" w:rsidRPr="00900F8E">
        <w:rPr>
          <w:rFonts w:ascii="Arial" w:hAnsi="Arial" w:cs="Arial"/>
        </w:rPr>
        <w:t xml:space="preserve">-EU. V okviru povabila ŠJS 2021 je zagotovila dodatnih 11,8 milijona evrov nepovratnih sredstev, ponovno posodobila evidenco stavb v lasti in uporabi ožjega javnega sektorja; </w:t>
      </w:r>
    </w:p>
    <w:p w14:paraId="60574A03" w14:textId="01901C3A" w:rsidR="00FC1B1F" w:rsidRPr="00900F8E" w:rsidRDefault="00D05445" w:rsidP="00640804">
      <w:pPr>
        <w:pStyle w:val="Odstavekseznama"/>
        <w:numPr>
          <w:ilvl w:val="0"/>
          <w:numId w:val="34"/>
        </w:numPr>
        <w:spacing w:after="0" w:line="240" w:lineRule="auto"/>
        <w:jc w:val="both"/>
        <w:rPr>
          <w:rFonts w:ascii="Arial" w:hAnsi="Arial" w:cs="Arial"/>
        </w:rPr>
      </w:pPr>
      <w:r>
        <w:rPr>
          <w:rFonts w:ascii="Arial" w:hAnsi="Arial" w:cs="Arial"/>
        </w:rPr>
        <w:t>v</w:t>
      </w:r>
      <w:r w:rsidR="00FC1B1F" w:rsidRPr="00900F8E">
        <w:rPr>
          <w:rFonts w:ascii="Arial" w:hAnsi="Arial" w:cs="Arial"/>
        </w:rPr>
        <w:t xml:space="preserve"> NOO je v okviru razvojnega področja </w:t>
      </w:r>
      <w:r>
        <w:rPr>
          <w:rFonts w:ascii="Arial" w:hAnsi="Arial" w:cs="Arial"/>
        </w:rPr>
        <w:t>z</w:t>
      </w:r>
      <w:r w:rsidR="00FC1B1F" w:rsidRPr="00900F8E">
        <w:rPr>
          <w:rFonts w:ascii="Arial" w:hAnsi="Arial" w:cs="Arial"/>
        </w:rPr>
        <w:t xml:space="preserve">eleni prehod vključena tudi komponenta </w:t>
      </w:r>
      <w:r>
        <w:rPr>
          <w:rFonts w:ascii="Arial" w:hAnsi="Arial" w:cs="Arial"/>
        </w:rPr>
        <w:t>t</w:t>
      </w:r>
      <w:r w:rsidR="00FC1B1F" w:rsidRPr="00900F8E">
        <w:rPr>
          <w:rFonts w:ascii="Arial" w:hAnsi="Arial" w:cs="Arial"/>
        </w:rPr>
        <w:t>rajnostna prenova stavb, kjer je v okviru reformnega dela predvidena priprava seznama stavb, primernih za prenovo</w:t>
      </w:r>
      <w:r>
        <w:rPr>
          <w:rFonts w:ascii="Arial" w:hAnsi="Arial" w:cs="Arial"/>
        </w:rPr>
        <w:t>,</w:t>
      </w:r>
      <w:r w:rsidR="00FC1B1F" w:rsidRPr="00900F8E">
        <w:rPr>
          <w:rFonts w:ascii="Arial" w:hAnsi="Arial" w:cs="Arial"/>
        </w:rPr>
        <w:t xml:space="preserve"> ter sprejetje zakonske podlage za vzpostavitev sistemskega finančnega vira za energetsko prenovo stavb ožjega javnega sektorja. V okviru investicijskega dela je za energetsko prenovo iz NOO načrtovanih 86 milijonov evrov nepovratnih sredstev, skupna vrednost naložb pa je ocenjena na 105,3 milijona evrov;</w:t>
      </w:r>
    </w:p>
    <w:p w14:paraId="42EDAFFD" w14:textId="10977CFE" w:rsidR="00B6584A" w:rsidRPr="00900F8E" w:rsidRDefault="00E15908" w:rsidP="00640804">
      <w:pPr>
        <w:pStyle w:val="Odstavekseznama"/>
        <w:numPr>
          <w:ilvl w:val="0"/>
          <w:numId w:val="34"/>
        </w:numPr>
        <w:spacing w:after="0" w:line="240" w:lineRule="auto"/>
        <w:jc w:val="both"/>
        <w:rPr>
          <w:rFonts w:ascii="Arial" w:hAnsi="Arial" w:cs="Arial"/>
        </w:rPr>
      </w:pPr>
      <w:r w:rsidRPr="00900F8E">
        <w:rPr>
          <w:rFonts w:ascii="Arial" w:hAnsi="Arial" w:cs="Arial"/>
        </w:rPr>
        <w:t xml:space="preserve">objavljena je bila </w:t>
      </w:r>
      <w:r w:rsidR="00D05445">
        <w:rPr>
          <w:rFonts w:ascii="Arial" w:hAnsi="Arial" w:cs="Arial"/>
        </w:rPr>
        <w:t>e</w:t>
      </w:r>
      <w:r w:rsidRPr="00900F8E">
        <w:rPr>
          <w:rFonts w:ascii="Arial" w:hAnsi="Arial" w:cs="Arial"/>
        </w:rPr>
        <w:t>videnca stavb v lasti in uporabi ožjega javnega sektorja, ki kaže, da znaša skupna tlorisna površina 522 stavb oziroma delov stavb ožjega javnega sektorja 957.014 m</w:t>
      </w:r>
      <w:r w:rsidRPr="00900F8E">
        <w:rPr>
          <w:rFonts w:ascii="Arial" w:hAnsi="Arial" w:cs="Arial"/>
          <w:vertAlign w:val="superscript"/>
        </w:rPr>
        <w:t>2</w:t>
      </w:r>
      <w:r w:rsidRPr="00900F8E">
        <w:rPr>
          <w:rFonts w:ascii="Arial" w:hAnsi="Arial" w:cs="Arial"/>
        </w:rPr>
        <w:t xml:space="preserve">. </w:t>
      </w:r>
    </w:p>
    <w:p w14:paraId="1FBF3A02" w14:textId="06211A73" w:rsidR="00B6584A" w:rsidRPr="00900F8E" w:rsidRDefault="00B6584A" w:rsidP="00133B35">
      <w:pPr>
        <w:spacing w:after="0" w:line="240" w:lineRule="auto"/>
        <w:jc w:val="both"/>
        <w:rPr>
          <w:rFonts w:ascii="Arial" w:hAnsi="Arial" w:cs="Arial"/>
        </w:rPr>
      </w:pPr>
    </w:p>
    <w:p w14:paraId="65D57973" w14:textId="6C9832BB" w:rsidR="00104ECF" w:rsidRPr="00900F8E" w:rsidRDefault="003825D3" w:rsidP="0065545E">
      <w:pPr>
        <w:pStyle w:val="Naslov2"/>
        <w:rPr>
          <w:rFonts w:ascii="Arial" w:hAnsi="Arial" w:cs="Arial"/>
          <w:color w:val="auto"/>
        </w:rPr>
      </w:pPr>
      <w:bookmarkStart w:id="34" w:name="_Toc120166940"/>
      <w:r w:rsidRPr="00900F8E">
        <w:rPr>
          <w:rFonts w:ascii="Arial" w:hAnsi="Arial" w:cs="Arial"/>
          <w:color w:val="auto"/>
        </w:rPr>
        <w:t>4</w:t>
      </w:r>
      <w:r w:rsidR="00104ECF" w:rsidRPr="00900F8E">
        <w:rPr>
          <w:rFonts w:ascii="Arial" w:hAnsi="Arial" w:cs="Arial"/>
          <w:color w:val="auto"/>
        </w:rPr>
        <w:t>.</w:t>
      </w:r>
      <w:r w:rsidR="00EE70D5" w:rsidRPr="00900F8E">
        <w:rPr>
          <w:rFonts w:ascii="Arial" w:hAnsi="Arial" w:cs="Arial"/>
          <w:color w:val="auto"/>
        </w:rPr>
        <w:t>5</w:t>
      </w:r>
      <w:r w:rsidR="00104ECF" w:rsidRPr="00900F8E">
        <w:rPr>
          <w:rFonts w:ascii="Arial" w:hAnsi="Arial" w:cs="Arial"/>
          <w:color w:val="auto"/>
        </w:rPr>
        <w:t xml:space="preserve"> </w:t>
      </w:r>
      <w:r w:rsidR="00D05445">
        <w:rPr>
          <w:rFonts w:ascii="Arial" w:hAnsi="Arial" w:cs="Arial"/>
          <w:color w:val="auto"/>
        </w:rPr>
        <w:t xml:space="preserve">Industrija </w:t>
      </w:r>
      <w:r w:rsidR="00100DF6">
        <w:rPr>
          <w:rFonts w:ascii="Arial" w:hAnsi="Arial" w:cs="Arial"/>
          <w:color w:val="auto"/>
        </w:rPr>
        <w:t>n</w:t>
      </w:r>
      <w:r w:rsidR="00920F43" w:rsidRPr="00900F8E">
        <w:rPr>
          <w:rFonts w:ascii="Arial" w:hAnsi="Arial" w:cs="Arial"/>
          <w:color w:val="auto"/>
        </w:rPr>
        <w:t>eETS</w:t>
      </w:r>
      <w:bookmarkEnd w:id="34"/>
      <w:r w:rsidR="000F67B2" w:rsidRPr="00900F8E">
        <w:rPr>
          <w:rFonts w:ascii="Arial" w:hAnsi="Arial" w:cs="Arial"/>
          <w:color w:val="auto"/>
        </w:rPr>
        <w:t xml:space="preserve"> </w:t>
      </w:r>
    </w:p>
    <w:p w14:paraId="00991B78" w14:textId="0CBF718F" w:rsidR="00C46EC7" w:rsidRPr="00900F8E" w:rsidRDefault="00C46EC7" w:rsidP="00C52E4C">
      <w:pPr>
        <w:spacing w:after="0" w:line="240" w:lineRule="auto"/>
        <w:jc w:val="both"/>
        <w:rPr>
          <w:rFonts w:ascii="Arial" w:hAnsi="Arial" w:cs="Arial"/>
          <w:sz w:val="16"/>
          <w:szCs w:val="16"/>
        </w:rPr>
      </w:pPr>
    </w:p>
    <w:p w14:paraId="4932F971" w14:textId="4C507325" w:rsidR="000F2458" w:rsidRPr="00900F8E" w:rsidRDefault="00DD0C29" w:rsidP="00C52E4C">
      <w:pPr>
        <w:spacing w:after="0" w:line="240" w:lineRule="auto"/>
        <w:jc w:val="both"/>
        <w:rPr>
          <w:rFonts w:ascii="Arial" w:hAnsi="Arial" w:cs="Arial"/>
        </w:rPr>
      </w:pPr>
      <w:r w:rsidRPr="00900F8E">
        <w:rPr>
          <w:rFonts w:ascii="Arial" w:hAnsi="Arial" w:cs="Arial"/>
        </w:rPr>
        <w:t>V nadaljevanju so navedeni u</w:t>
      </w:r>
      <w:r w:rsidR="00056D72" w:rsidRPr="00900F8E">
        <w:rPr>
          <w:rFonts w:ascii="Arial" w:hAnsi="Arial" w:cs="Arial"/>
        </w:rPr>
        <w:t xml:space="preserve">krepi zmanjševanja emisij TGP </w:t>
      </w:r>
      <w:r w:rsidR="00281F4A" w:rsidRPr="00900F8E">
        <w:rPr>
          <w:rFonts w:ascii="Arial" w:hAnsi="Arial" w:cs="Arial"/>
        </w:rPr>
        <w:t>v</w:t>
      </w:r>
      <w:r w:rsidR="00056D72" w:rsidRPr="00900F8E">
        <w:rPr>
          <w:rFonts w:ascii="Arial" w:hAnsi="Arial" w:cs="Arial"/>
        </w:rPr>
        <w:t xml:space="preserve"> sektorj</w:t>
      </w:r>
      <w:r w:rsidR="00281F4A" w:rsidRPr="00900F8E">
        <w:rPr>
          <w:rFonts w:ascii="Arial" w:hAnsi="Arial" w:cs="Arial"/>
        </w:rPr>
        <w:t>u</w:t>
      </w:r>
      <w:r w:rsidR="00056D72" w:rsidRPr="00900F8E">
        <w:rPr>
          <w:rFonts w:ascii="Arial" w:hAnsi="Arial" w:cs="Arial"/>
        </w:rPr>
        <w:t xml:space="preserve"> industrija </w:t>
      </w:r>
      <w:r w:rsidR="00920F43" w:rsidRPr="00900F8E">
        <w:rPr>
          <w:rFonts w:ascii="Arial" w:hAnsi="Arial" w:cs="Arial"/>
        </w:rPr>
        <w:t>neETS</w:t>
      </w:r>
      <w:r w:rsidRPr="00900F8E">
        <w:rPr>
          <w:rFonts w:ascii="Arial" w:hAnsi="Arial" w:cs="Arial"/>
        </w:rPr>
        <w:t>, ki</w:t>
      </w:r>
      <w:r w:rsidR="00056D72" w:rsidRPr="00900F8E">
        <w:rPr>
          <w:rFonts w:ascii="Arial" w:hAnsi="Arial" w:cs="Arial"/>
        </w:rPr>
        <w:t xml:space="preserve"> </w:t>
      </w:r>
      <w:r w:rsidR="001F6E93" w:rsidRPr="00900F8E">
        <w:rPr>
          <w:rFonts w:ascii="Arial" w:hAnsi="Arial" w:cs="Arial"/>
        </w:rPr>
        <w:t xml:space="preserve">so </w:t>
      </w:r>
      <w:r w:rsidR="00056D72" w:rsidRPr="00900F8E">
        <w:rPr>
          <w:rFonts w:ascii="Arial" w:hAnsi="Arial" w:cs="Arial"/>
        </w:rPr>
        <w:t xml:space="preserve">se </w:t>
      </w:r>
      <w:r w:rsidRPr="00900F8E">
        <w:rPr>
          <w:rFonts w:ascii="Arial" w:hAnsi="Arial" w:cs="Arial"/>
        </w:rPr>
        <w:t xml:space="preserve">izvajali </w:t>
      </w:r>
      <w:r w:rsidR="001F6E93" w:rsidRPr="00900F8E">
        <w:rPr>
          <w:rFonts w:ascii="Arial" w:hAnsi="Arial" w:cs="Arial"/>
        </w:rPr>
        <w:t>v letu 20</w:t>
      </w:r>
      <w:r w:rsidRPr="00900F8E">
        <w:rPr>
          <w:rFonts w:ascii="Arial" w:hAnsi="Arial" w:cs="Arial"/>
        </w:rPr>
        <w:t>20</w:t>
      </w:r>
      <w:r w:rsidR="001F6E93" w:rsidRPr="00900F8E">
        <w:rPr>
          <w:rFonts w:ascii="Arial" w:hAnsi="Arial" w:cs="Arial"/>
        </w:rPr>
        <w:t>:</w:t>
      </w:r>
    </w:p>
    <w:p w14:paraId="6AF32B12" w14:textId="6E85A9F1" w:rsidR="00323632" w:rsidRPr="00900F8E" w:rsidRDefault="008C0010" w:rsidP="00E02BBA">
      <w:pPr>
        <w:pStyle w:val="Default"/>
        <w:numPr>
          <w:ilvl w:val="0"/>
          <w:numId w:val="8"/>
        </w:numPr>
        <w:jc w:val="both"/>
        <w:rPr>
          <w:sz w:val="22"/>
          <w:szCs w:val="22"/>
          <w:lang w:val="sl-SI"/>
        </w:rPr>
      </w:pPr>
      <w:r w:rsidRPr="00900F8E">
        <w:rPr>
          <w:sz w:val="22"/>
          <w:szCs w:val="22"/>
          <w:lang w:val="sl-SI"/>
        </w:rPr>
        <w:t xml:space="preserve">Eko sklad je objavil vrsto razpisov za kreditiranje naložb za zmanjšanje emisij TGP. </w:t>
      </w:r>
      <w:r w:rsidR="00E7355B" w:rsidRPr="00900F8E">
        <w:rPr>
          <w:sz w:val="22"/>
          <w:szCs w:val="22"/>
          <w:lang w:val="sl-SI"/>
        </w:rPr>
        <w:t xml:space="preserve">Gre za naložbe v investicijske ukrepe </w:t>
      </w:r>
      <w:r w:rsidR="00F524B6">
        <w:rPr>
          <w:sz w:val="22"/>
          <w:szCs w:val="22"/>
          <w:lang w:val="sl-SI"/>
        </w:rPr>
        <w:t>URE</w:t>
      </w:r>
      <w:r w:rsidR="00E7355B" w:rsidRPr="00900F8E">
        <w:rPr>
          <w:sz w:val="22"/>
          <w:szCs w:val="22"/>
          <w:lang w:val="sl-SI"/>
        </w:rPr>
        <w:t xml:space="preserve"> in rabe </w:t>
      </w:r>
      <w:r w:rsidR="00272EDB">
        <w:rPr>
          <w:sz w:val="22"/>
          <w:szCs w:val="22"/>
          <w:lang w:val="sl-SI"/>
        </w:rPr>
        <w:t xml:space="preserve">OVE </w:t>
      </w:r>
      <w:r w:rsidR="00E7355B" w:rsidRPr="00900F8E">
        <w:rPr>
          <w:sz w:val="22"/>
          <w:szCs w:val="22"/>
          <w:lang w:val="sl-SI"/>
        </w:rPr>
        <w:t>za proizvodnjo toplote in električne energije. Zanimanje industrije se povečuje.</w:t>
      </w:r>
    </w:p>
    <w:p w14:paraId="4DB7E376" w14:textId="5C2AE179" w:rsidR="00C25339" w:rsidRPr="00900F8E" w:rsidRDefault="00815640" w:rsidP="00C25339">
      <w:pPr>
        <w:pStyle w:val="Default"/>
        <w:ind w:left="360"/>
        <w:jc w:val="both"/>
        <w:rPr>
          <w:sz w:val="22"/>
          <w:szCs w:val="22"/>
          <w:lang w:val="sl-SI"/>
        </w:rPr>
      </w:pPr>
      <w:r w:rsidRPr="00900F8E">
        <w:rPr>
          <w:sz w:val="22"/>
          <w:szCs w:val="22"/>
          <w:lang w:val="sl-SI"/>
        </w:rPr>
        <w:t xml:space="preserve">Na </w:t>
      </w:r>
      <w:r w:rsidR="00BF0146" w:rsidRPr="00900F8E">
        <w:rPr>
          <w:sz w:val="22"/>
          <w:szCs w:val="22"/>
          <w:lang w:val="sl-SI"/>
        </w:rPr>
        <w:t>javn</w:t>
      </w:r>
      <w:r w:rsidR="00001B20">
        <w:rPr>
          <w:sz w:val="22"/>
          <w:szCs w:val="22"/>
          <w:lang w:val="sl-SI"/>
        </w:rPr>
        <w:t>em</w:t>
      </w:r>
      <w:r w:rsidR="00BF0146" w:rsidRPr="00900F8E">
        <w:rPr>
          <w:sz w:val="22"/>
          <w:szCs w:val="22"/>
          <w:lang w:val="sl-SI"/>
        </w:rPr>
        <w:t xml:space="preserve"> poziv</w:t>
      </w:r>
      <w:r w:rsidR="00001B20">
        <w:rPr>
          <w:sz w:val="22"/>
          <w:szCs w:val="22"/>
          <w:lang w:val="sl-SI"/>
        </w:rPr>
        <w:t>u</w:t>
      </w:r>
      <w:r w:rsidRPr="00900F8E">
        <w:rPr>
          <w:sz w:val="22"/>
          <w:szCs w:val="22"/>
          <w:lang w:val="sl-SI"/>
        </w:rPr>
        <w:t xml:space="preserve"> 56PO16 za kreditiranje okoljskih naložb pravnih oseb je bilo odobrenih 11 kreditov v skupnem znesku 690.427 </w:t>
      </w:r>
      <w:r w:rsidR="00574BA9">
        <w:rPr>
          <w:sz w:val="22"/>
          <w:szCs w:val="22"/>
          <w:lang w:val="sl-SI"/>
        </w:rPr>
        <w:t>evrov</w:t>
      </w:r>
      <w:r w:rsidRPr="00900F8E">
        <w:rPr>
          <w:sz w:val="22"/>
          <w:szCs w:val="22"/>
          <w:lang w:val="sl-SI"/>
        </w:rPr>
        <w:t xml:space="preserve">, podpisanih pa 11 kreditnih pogodb v skupnem znesku 1.113.933 </w:t>
      </w:r>
      <w:r w:rsidR="00574BA9">
        <w:rPr>
          <w:sz w:val="22"/>
          <w:szCs w:val="22"/>
          <w:lang w:val="sl-SI"/>
        </w:rPr>
        <w:t>evrov</w:t>
      </w:r>
      <w:r w:rsidRPr="00900F8E">
        <w:rPr>
          <w:sz w:val="22"/>
          <w:szCs w:val="22"/>
          <w:lang w:val="sl-SI"/>
        </w:rPr>
        <w:t>.</w:t>
      </w:r>
      <w:r w:rsidRPr="00900F8E">
        <w:t xml:space="preserve"> </w:t>
      </w:r>
      <w:r w:rsidRPr="00900F8E">
        <w:rPr>
          <w:sz w:val="22"/>
          <w:szCs w:val="22"/>
          <w:lang w:val="sl-SI"/>
        </w:rPr>
        <w:t xml:space="preserve">Na </w:t>
      </w:r>
      <w:r w:rsidR="00BF0146" w:rsidRPr="00900F8E">
        <w:rPr>
          <w:sz w:val="22"/>
          <w:szCs w:val="22"/>
          <w:lang w:val="sl-SI"/>
        </w:rPr>
        <w:t>javn</w:t>
      </w:r>
      <w:r w:rsidR="005D5AE3">
        <w:rPr>
          <w:sz w:val="22"/>
          <w:szCs w:val="22"/>
          <w:lang w:val="sl-SI"/>
        </w:rPr>
        <w:t>em</w:t>
      </w:r>
      <w:r w:rsidR="00BF0146" w:rsidRPr="00900F8E">
        <w:rPr>
          <w:sz w:val="22"/>
          <w:szCs w:val="22"/>
          <w:lang w:val="sl-SI"/>
        </w:rPr>
        <w:t xml:space="preserve"> poziv</w:t>
      </w:r>
      <w:r w:rsidR="005D5AE3">
        <w:rPr>
          <w:sz w:val="22"/>
          <w:szCs w:val="22"/>
          <w:lang w:val="sl-SI"/>
        </w:rPr>
        <w:t>u</w:t>
      </w:r>
      <w:r w:rsidRPr="00900F8E">
        <w:rPr>
          <w:sz w:val="22"/>
          <w:szCs w:val="22"/>
          <w:lang w:val="sl-SI"/>
        </w:rPr>
        <w:t xml:space="preserve"> 76FS-PO19 za finančne spodbude za nove naložbe podjetij v </w:t>
      </w:r>
      <w:r w:rsidR="00F524B6">
        <w:rPr>
          <w:sz w:val="22"/>
          <w:szCs w:val="22"/>
          <w:lang w:val="sl-SI"/>
        </w:rPr>
        <w:t>URE</w:t>
      </w:r>
      <w:r w:rsidRPr="00900F8E">
        <w:rPr>
          <w:sz w:val="22"/>
          <w:szCs w:val="22"/>
          <w:lang w:val="sl-SI"/>
        </w:rPr>
        <w:t xml:space="preserve"> in rabo </w:t>
      </w:r>
      <w:r w:rsidR="00272EDB">
        <w:rPr>
          <w:sz w:val="22"/>
          <w:szCs w:val="22"/>
          <w:lang w:val="sl-SI"/>
        </w:rPr>
        <w:t>OVE</w:t>
      </w:r>
      <w:r w:rsidRPr="00900F8E">
        <w:rPr>
          <w:sz w:val="22"/>
          <w:szCs w:val="22"/>
          <w:lang w:val="sl-SI"/>
        </w:rPr>
        <w:t xml:space="preserve"> je bilo odobrenih 20 kreditov v skupnem znesku 2.855.785 </w:t>
      </w:r>
      <w:r w:rsidR="00574BA9">
        <w:rPr>
          <w:sz w:val="22"/>
          <w:szCs w:val="22"/>
          <w:lang w:val="sl-SI"/>
        </w:rPr>
        <w:t>evrov</w:t>
      </w:r>
      <w:r w:rsidRPr="00900F8E">
        <w:rPr>
          <w:sz w:val="22"/>
          <w:szCs w:val="22"/>
          <w:lang w:val="sl-SI"/>
        </w:rPr>
        <w:t xml:space="preserve">, podpisanih pa je bilo 19 kreditnih pogodb v skupnem znesku 2.684.652 </w:t>
      </w:r>
      <w:r w:rsidR="00574BA9">
        <w:rPr>
          <w:sz w:val="22"/>
          <w:szCs w:val="22"/>
          <w:lang w:val="sl-SI"/>
        </w:rPr>
        <w:t>evrov</w:t>
      </w:r>
      <w:r w:rsidR="002F1BE1" w:rsidRPr="00900F8E">
        <w:rPr>
          <w:sz w:val="22"/>
          <w:szCs w:val="22"/>
          <w:lang w:val="sl-SI"/>
        </w:rPr>
        <w:t xml:space="preserve">. </w:t>
      </w:r>
    </w:p>
    <w:p w14:paraId="6822FDE3" w14:textId="68CA8006" w:rsidR="00C25339" w:rsidRPr="00900F8E" w:rsidRDefault="002F1BE1" w:rsidP="00C25339">
      <w:pPr>
        <w:pStyle w:val="Default"/>
        <w:ind w:left="360"/>
        <w:jc w:val="both"/>
        <w:rPr>
          <w:sz w:val="22"/>
          <w:szCs w:val="22"/>
          <w:lang w:val="sl-SI"/>
        </w:rPr>
      </w:pPr>
      <w:r w:rsidRPr="00900F8E">
        <w:rPr>
          <w:sz w:val="22"/>
          <w:szCs w:val="22"/>
          <w:lang w:val="sl-SI"/>
        </w:rPr>
        <w:t xml:space="preserve">Na </w:t>
      </w:r>
      <w:r w:rsidR="00BF0146" w:rsidRPr="00900F8E">
        <w:rPr>
          <w:sz w:val="22"/>
          <w:szCs w:val="22"/>
          <w:lang w:val="sl-SI"/>
        </w:rPr>
        <w:t>javn</w:t>
      </w:r>
      <w:r w:rsidR="005D5AE3">
        <w:rPr>
          <w:sz w:val="22"/>
          <w:szCs w:val="22"/>
          <w:lang w:val="sl-SI"/>
        </w:rPr>
        <w:t>em</w:t>
      </w:r>
      <w:r w:rsidR="00BF0146" w:rsidRPr="00900F8E">
        <w:rPr>
          <w:sz w:val="22"/>
          <w:szCs w:val="22"/>
          <w:lang w:val="sl-SI"/>
        </w:rPr>
        <w:t xml:space="preserve"> poziv</w:t>
      </w:r>
      <w:r w:rsidR="005D5AE3">
        <w:rPr>
          <w:sz w:val="22"/>
          <w:szCs w:val="22"/>
          <w:lang w:val="sl-SI"/>
        </w:rPr>
        <w:t>u</w:t>
      </w:r>
      <w:r w:rsidRPr="00900F8E">
        <w:rPr>
          <w:sz w:val="22"/>
          <w:szCs w:val="22"/>
          <w:lang w:val="sl-SI"/>
        </w:rPr>
        <w:t xml:space="preserve"> 51FS-PO18 za dodeljevanje finančnih spodbud v obliki nepovratnih sredstev in kredita s subvencionirano obrestno mero podjetjem za nove naložbe v </w:t>
      </w:r>
      <w:r w:rsidR="00F524B6">
        <w:rPr>
          <w:sz w:val="22"/>
          <w:szCs w:val="22"/>
          <w:lang w:val="sl-SI"/>
        </w:rPr>
        <w:t>URE</w:t>
      </w:r>
      <w:r w:rsidRPr="00900F8E">
        <w:rPr>
          <w:sz w:val="22"/>
          <w:szCs w:val="22"/>
          <w:lang w:val="sl-SI"/>
        </w:rPr>
        <w:t xml:space="preserve"> in </w:t>
      </w:r>
      <w:r w:rsidR="00272EDB">
        <w:rPr>
          <w:sz w:val="22"/>
          <w:szCs w:val="22"/>
          <w:lang w:val="sl-SI"/>
        </w:rPr>
        <w:t>OVE</w:t>
      </w:r>
      <w:r w:rsidRPr="00900F8E">
        <w:rPr>
          <w:sz w:val="22"/>
          <w:szCs w:val="22"/>
          <w:lang w:val="sl-SI"/>
        </w:rPr>
        <w:t xml:space="preserve"> je bilo izplačanih 2.974.995 evrov nepovratnih sredstev. Na </w:t>
      </w:r>
      <w:r w:rsidR="00BF0146" w:rsidRPr="00900F8E">
        <w:rPr>
          <w:sz w:val="22"/>
          <w:szCs w:val="22"/>
          <w:lang w:val="sl-SI"/>
        </w:rPr>
        <w:t>javn</w:t>
      </w:r>
      <w:r w:rsidR="005D5AE3">
        <w:rPr>
          <w:sz w:val="22"/>
          <w:szCs w:val="22"/>
          <w:lang w:val="sl-SI"/>
        </w:rPr>
        <w:t>em</w:t>
      </w:r>
      <w:r w:rsidR="00BF0146" w:rsidRPr="00900F8E">
        <w:rPr>
          <w:sz w:val="22"/>
          <w:szCs w:val="22"/>
          <w:lang w:val="sl-SI"/>
        </w:rPr>
        <w:t xml:space="preserve"> poziv</w:t>
      </w:r>
      <w:r w:rsidR="005D5AE3">
        <w:rPr>
          <w:sz w:val="22"/>
          <w:szCs w:val="22"/>
          <w:lang w:val="sl-SI"/>
        </w:rPr>
        <w:t>u</w:t>
      </w:r>
      <w:r w:rsidRPr="00900F8E">
        <w:rPr>
          <w:sz w:val="22"/>
          <w:szCs w:val="22"/>
          <w:lang w:val="sl-SI"/>
        </w:rPr>
        <w:t xml:space="preserve"> 76FS-PO19 za finančne spodbude lokalnim skupnostim, pravnim osebam, samostojnim podjetnikom posameznikom in drugim fizičnim osebam, ki opravljajo registrirane dejavnosti</w:t>
      </w:r>
      <w:r w:rsidR="005D5AE3">
        <w:rPr>
          <w:sz w:val="22"/>
          <w:szCs w:val="22"/>
          <w:lang w:val="sl-SI"/>
        </w:rPr>
        <w:t>,</w:t>
      </w:r>
      <w:r w:rsidRPr="00900F8E">
        <w:rPr>
          <w:sz w:val="22"/>
          <w:szCs w:val="22"/>
          <w:lang w:val="sl-SI"/>
        </w:rPr>
        <w:t xml:space="preserve"> ter pravnim osebam javnega prava, ki imajo stvarno premoženje v svoji lasti, razen neposrednim uporabnikom državnega proračuna, </w:t>
      </w:r>
      <w:r w:rsidR="00613CB5">
        <w:rPr>
          <w:sz w:val="22"/>
          <w:szCs w:val="22"/>
          <w:lang w:val="sl-SI"/>
        </w:rPr>
        <w:t xml:space="preserve">je </w:t>
      </w:r>
      <w:r w:rsidRPr="00900F8E">
        <w:rPr>
          <w:sz w:val="22"/>
          <w:szCs w:val="22"/>
          <w:lang w:val="sl-SI"/>
        </w:rPr>
        <w:t xml:space="preserve">za naložbe v </w:t>
      </w:r>
      <w:r w:rsidR="00F524B6">
        <w:rPr>
          <w:sz w:val="22"/>
          <w:szCs w:val="22"/>
          <w:lang w:val="sl-SI"/>
        </w:rPr>
        <w:t>URE</w:t>
      </w:r>
      <w:r w:rsidRPr="00900F8E">
        <w:rPr>
          <w:sz w:val="22"/>
          <w:szCs w:val="22"/>
          <w:lang w:val="sl-SI"/>
        </w:rPr>
        <w:t xml:space="preserve"> in </w:t>
      </w:r>
      <w:r w:rsidR="00272EDB">
        <w:rPr>
          <w:sz w:val="22"/>
          <w:szCs w:val="22"/>
          <w:lang w:val="sl-SI"/>
        </w:rPr>
        <w:t>OVE</w:t>
      </w:r>
      <w:r w:rsidRPr="00900F8E">
        <w:rPr>
          <w:sz w:val="22"/>
          <w:szCs w:val="22"/>
          <w:lang w:val="sl-SI"/>
        </w:rPr>
        <w:t xml:space="preserve"> prispelo 131 vlog, izplačanih pa je bilo 6.321.332 evrov nepovratnih sredstev. Na </w:t>
      </w:r>
      <w:r w:rsidR="00BF0146" w:rsidRPr="00900F8E">
        <w:rPr>
          <w:sz w:val="22"/>
          <w:szCs w:val="22"/>
          <w:lang w:val="sl-SI"/>
        </w:rPr>
        <w:t>javn</w:t>
      </w:r>
      <w:r w:rsidR="005D5AE3">
        <w:rPr>
          <w:sz w:val="22"/>
          <w:szCs w:val="22"/>
          <w:lang w:val="sl-SI"/>
        </w:rPr>
        <w:t>em</w:t>
      </w:r>
      <w:r w:rsidR="00BF0146" w:rsidRPr="00900F8E">
        <w:rPr>
          <w:sz w:val="22"/>
          <w:szCs w:val="22"/>
          <w:lang w:val="sl-SI"/>
        </w:rPr>
        <w:t xml:space="preserve"> poziv</w:t>
      </w:r>
      <w:r w:rsidR="005D5AE3">
        <w:rPr>
          <w:sz w:val="22"/>
          <w:szCs w:val="22"/>
          <w:lang w:val="sl-SI"/>
        </w:rPr>
        <w:t>u</w:t>
      </w:r>
      <w:r w:rsidRPr="00900F8E">
        <w:rPr>
          <w:sz w:val="22"/>
          <w:szCs w:val="22"/>
          <w:lang w:val="sl-SI"/>
        </w:rPr>
        <w:t xml:space="preserve"> 71SUB-SO19, v okviru katerega je namenjenih 10 milijonov evrov nepovratnih finančnih spodbud za nove naložbe v naprave za samooskrbo z električno energijo, ki električno energijo proizvajajo z izrabo sončne energije, in sicer tudi pri pravnih osebah, je prispelo 4.359 vlog, izplačanih pa je bilo 5.011.599 evrov nepovratnih sredstev.</w:t>
      </w:r>
      <w:r w:rsidR="00175F26" w:rsidRPr="00900F8E">
        <w:rPr>
          <w:sz w:val="22"/>
          <w:szCs w:val="22"/>
          <w:lang w:val="sl-SI"/>
        </w:rPr>
        <w:t xml:space="preserve"> Z izvedbo ukrepov URE in izrabe OVE, ki so bili podprti z nepovratnimi sredstvi Eko sklada, je bilo leta 2020 doseženo zmanjšanje rabe energije za 19,1 GWh</w:t>
      </w:r>
      <w:r w:rsidR="00944F02" w:rsidRPr="00900F8E">
        <w:rPr>
          <w:sz w:val="22"/>
          <w:szCs w:val="22"/>
          <w:lang w:val="sl-SI"/>
        </w:rPr>
        <w:t xml:space="preserve"> na </w:t>
      </w:r>
      <w:r w:rsidR="00175F26" w:rsidRPr="00900F8E">
        <w:rPr>
          <w:sz w:val="22"/>
          <w:szCs w:val="22"/>
          <w:lang w:val="sl-SI"/>
        </w:rPr>
        <w:t>leto, povečanje proizvodnje energije iz OVE za 1,6 GWh</w:t>
      </w:r>
      <w:r w:rsidR="00573C43" w:rsidRPr="00900F8E">
        <w:rPr>
          <w:sz w:val="22"/>
          <w:szCs w:val="22"/>
          <w:lang w:val="sl-SI"/>
        </w:rPr>
        <w:t xml:space="preserve"> na </w:t>
      </w:r>
      <w:r w:rsidR="00175F26" w:rsidRPr="00900F8E">
        <w:rPr>
          <w:sz w:val="22"/>
          <w:szCs w:val="22"/>
          <w:lang w:val="sl-SI"/>
        </w:rPr>
        <w:t xml:space="preserve">leto in zmanjšanje emisije </w:t>
      </w:r>
      <w:r w:rsidR="00BF1321" w:rsidRPr="00900F8E">
        <w:t>CO</w:t>
      </w:r>
      <w:r w:rsidR="00BF1321" w:rsidRPr="00900F8E">
        <w:rPr>
          <w:vertAlign w:val="subscript"/>
        </w:rPr>
        <w:t>2</w:t>
      </w:r>
      <w:r w:rsidR="00175F26" w:rsidRPr="00900F8E">
        <w:rPr>
          <w:sz w:val="22"/>
          <w:szCs w:val="22"/>
          <w:lang w:val="sl-SI"/>
        </w:rPr>
        <w:t xml:space="preserve"> za 4,8 kt </w:t>
      </w:r>
      <w:r w:rsidR="00944F02" w:rsidRPr="00900F8E">
        <w:rPr>
          <w:lang w:val="sl-SI"/>
        </w:rPr>
        <w:t xml:space="preserve">na </w:t>
      </w:r>
      <w:r w:rsidR="00175F26" w:rsidRPr="00900F8E">
        <w:rPr>
          <w:sz w:val="22"/>
          <w:szCs w:val="22"/>
          <w:lang w:val="sl-SI"/>
        </w:rPr>
        <w:t>leto</w:t>
      </w:r>
      <w:r w:rsidR="00311408">
        <w:rPr>
          <w:sz w:val="22"/>
          <w:szCs w:val="22"/>
          <w:lang w:val="sl-SI"/>
        </w:rPr>
        <w:t>.</w:t>
      </w:r>
      <w:r w:rsidR="00012594" w:rsidRPr="00900F8E">
        <w:rPr>
          <w:sz w:val="22"/>
          <w:szCs w:val="22"/>
          <w:lang w:val="sl-SI"/>
        </w:rPr>
        <w:t xml:space="preserve"> </w:t>
      </w:r>
    </w:p>
    <w:p w14:paraId="7004FE94" w14:textId="7BF11DA7" w:rsidR="004805CC" w:rsidRPr="00900F8E" w:rsidRDefault="00311408" w:rsidP="00311408">
      <w:pPr>
        <w:pStyle w:val="Default"/>
        <w:ind w:left="360"/>
        <w:jc w:val="both"/>
        <w:rPr>
          <w:sz w:val="22"/>
          <w:szCs w:val="22"/>
          <w:lang w:val="sl-SI"/>
        </w:rPr>
      </w:pPr>
      <w:r>
        <w:rPr>
          <w:sz w:val="22"/>
          <w:szCs w:val="22"/>
          <w:lang w:val="sl-SI"/>
        </w:rPr>
        <w:t>Z</w:t>
      </w:r>
      <w:r w:rsidR="00012594" w:rsidRPr="00900F8E">
        <w:rPr>
          <w:sz w:val="22"/>
          <w:szCs w:val="22"/>
          <w:lang w:val="sl-SI"/>
        </w:rPr>
        <w:t xml:space="preserve">a </w:t>
      </w:r>
      <w:r w:rsidR="00BF0146" w:rsidRPr="00900F8E">
        <w:rPr>
          <w:sz w:val="22"/>
          <w:szCs w:val="22"/>
          <w:lang w:val="sl-SI"/>
        </w:rPr>
        <w:t>javni poziv</w:t>
      </w:r>
      <w:r w:rsidR="00012594" w:rsidRPr="00900F8E">
        <w:rPr>
          <w:sz w:val="22"/>
          <w:szCs w:val="22"/>
          <w:lang w:val="sl-SI"/>
        </w:rPr>
        <w:t xml:space="preserve"> 75SUB-EPPO19, ki namenja podjetjem 500.000 </w:t>
      </w:r>
      <w:r w:rsidR="00087F63">
        <w:rPr>
          <w:sz w:val="22"/>
          <w:szCs w:val="22"/>
          <w:lang w:val="sl-SI"/>
        </w:rPr>
        <w:t>evrov</w:t>
      </w:r>
      <w:r w:rsidR="00012594" w:rsidRPr="00900F8E">
        <w:rPr>
          <w:sz w:val="22"/>
          <w:szCs w:val="22"/>
          <w:lang w:val="sl-SI"/>
        </w:rPr>
        <w:t xml:space="preserve"> nepovratnih sredstev za izvedbo energetskega pregleda stavbe, procesov in transporta v podjetju ali za uvedbo sistema upravljanja z energijo, je prispelo 25 vlog. Z energetsko optimizacijo v procesih, upravljanjem energij</w:t>
      </w:r>
      <w:r w:rsidR="00327BE4">
        <w:rPr>
          <w:sz w:val="22"/>
          <w:szCs w:val="22"/>
          <w:lang w:val="sl-SI"/>
        </w:rPr>
        <w:t>e</w:t>
      </w:r>
      <w:r w:rsidR="00012594" w:rsidRPr="00900F8E">
        <w:rPr>
          <w:sz w:val="22"/>
          <w:szCs w:val="22"/>
          <w:lang w:val="sl-SI"/>
        </w:rPr>
        <w:t xml:space="preserve"> v procesu in energetskimi pregledi, ki so bili podprti z nepovratnimi </w:t>
      </w:r>
      <w:r w:rsidR="00012594" w:rsidRPr="00900F8E">
        <w:rPr>
          <w:sz w:val="22"/>
          <w:szCs w:val="22"/>
          <w:lang w:val="sl-SI"/>
        </w:rPr>
        <w:lastRenderedPageBreak/>
        <w:t>sredstvi Eko sklada, je bilo leta 2020 doseženo zmanjšanje rabe energije za 15,5 GWh</w:t>
      </w:r>
      <w:r w:rsidR="00573C43" w:rsidRPr="00900F8E">
        <w:rPr>
          <w:sz w:val="22"/>
          <w:szCs w:val="22"/>
          <w:lang w:val="sl-SI"/>
        </w:rPr>
        <w:t xml:space="preserve"> na </w:t>
      </w:r>
      <w:r w:rsidR="00012594" w:rsidRPr="00900F8E">
        <w:rPr>
          <w:sz w:val="22"/>
          <w:szCs w:val="22"/>
          <w:lang w:val="sl-SI"/>
        </w:rPr>
        <w:t xml:space="preserve">leto in zmanjšanje emisije </w:t>
      </w:r>
      <w:r w:rsidR="00BF1321" w:rsidRPr="00900F8E">
        <w:t>CO</w:t>
      </w:r>
      <w:r w:rsidR="00BF1321" w:rsidRPr="00900F8E">
        <w:rPr>
          <w:vertAlign w:val="subscript"/>
        </w:rPr>
        <w:t>2</w:t>
      </w:r>
      <w:r w:rsidR="00012594" w:rsidRPr="00900F8E">
        <w:rPr>
          <w:sz w:val="22"/>
          <w:szCs w:val="22"/>
          <w:lang w:val="sl-SI"/>
        </w:rPr>
        <w:t xml:space="preserve"> za 3,2 kt </w:t>
      </w:r>
      <w:r w:rsidR="00944F02" w:rsidRPr="00900F8E">
        <w:rPr>
          <w:sz w:val="22"/>
          <w:szCs w:val="22"/>
          <w:lang w:val="sl-SI"/>
        </w:rPr>
        <w:t>na l</w:t>
      </w:r>
      <w:r w:rsidR="00012594" w:rsidRPr="00900F8E">
        <w:rPr>
          <w:sz w:val="22"/>
          <w:szCs w:val="22"/>
          <w:lang w:val="sl-SI"/>
        </w:rPr>
        <w:t>eto;</w:t>
      </w:r>
    </w:p>
    <w:p w14:paraId="2C27EC7B" w14:textId="0C0C9A82" w:rsidR="0096728F" w:rsidRPr="00900F8E" w:rsidRDefault="00AD4A64" w:rsidP="00E02BBA">
      <w:pPr>
        <w:pStyle w:val="Default"/>
        <w:numPr>
          <w:ilvl w:val="0"/>
          <w:numId w:val="8"/>
        </w:numPr>
        <w:jc w:val="both"/>
        <w:rPr>
          <w:sz w:val="22"/>
          <w:szCs w:val="22"/>
          <w:lang w:val="sl-SI"/>
        </w:rPr>
      </w:pPr>
      <w:r w:rsidRPr="00900F8E">
        <w:rPr>
          <w:sz w:val="22"/>
          <w:szCs w:val="22"/>
          <w:lang w:val="sl-SI"/>
        </w:rPr>
        <w:t>SID banka je v okviru različnih programov in prek Sklada skladov ponudila povratna sredstva prek kreditov za podjetja</w:t>
      </w:r>
      <w:r w:rsidR="00F338E4" w:rsidRPr="00900F8E">
        <w:rPr>
          <w:sz w:val="22"/>
          <w:szCs w:val="22"/>
          <w:lang w:val="sl-SI"/>
        </w:rPr>
        <w:t xml:space="preserve">. Ti programi so bili za financiranje tehnološko-razvojnih projektov (tretji razvojno-spodbujevalni program SID banke za financiranje tehnološko-razvojnih projektov (RRI3); </w:t>
      </w:r>
      <w:r w:rsidR="000B78A1" w:rsidRPr="00900F8E">
        <w:rPr>
          <w:sz w:val="22"/>
          <w:szCs w:val="22"/>
          <w:lang w:val="sl-SI"/>
        </w:rPr>
        <w:t>financiranje naložbenih projektov, ki prispevajo k prehodu v krožno gospodarstvo (N</w:t>
      </w:r>
      <w:r w:rsidR="00D4691C">
        <w:rPr>
          <w:sz w:val="22"/>
          <w:szCs w:val="22"/>
          <w:lang w:val="sl-SI"/>
        </w:rPr>
        <w:t>ALOŽBE</w:t>
      </w:r>
      <w:r w:rsidR="000B78A1" w:rsidRPr="00900F8E">
        <w:rPr>
          <w:sz w:val="22"/>
          <w:szCs w:val="22"/>
          <w:lang w:val="sl-SI"/>
        </w:rPr>
        <w:t xml:space="preserve"> 3), v obsegu 40 milijonov evrov povratnih sredstev; financiranje naložb in kapitalskega utrjevanja (MSP 6) v obsegu 50 milijon</w:t>
      </w:r>
      <w:r w:rsidR="003C0B72" w:rsidRPr="00900F8E">
        <w:rPr>
          <w:sz w:val="22"/>
          <w:szCs w:val="22"/>
          <w:lang w:val="sl-SI"/>
        </w:rPr>
        <w:t>ov</w:t>
      </w:r>
      <w:r w:rsidR="000B78A1" w:rsidRPr="00900F8E">
        <w:rPr>
          <w:sz w:val="22"/>
          <w:szCs w:val="22"/>
          <w:lang w:val="sl-SI"/>
        </w:rPr>
        <w:t xml:space="preserve"> evrov; </w:t>
      </w:r>
      <w:r w:rsidR="001E3389" w:rsidRPr="00900F8E">
        <w:rPr>
          <w:sz w:val="22"/>
          <w:szCs w:val="22"/>
          <w:lang w:val="sl-SI"/>
        </w:rPr>
        <w:t>financiranje naložb v gozdno</w:t>
      </w:r>
      <w:r w:rsidR="00CF17E8">
        <w:rPr>
          <w:sz w:val="22"/>
          <w:szCs w:val="22"/>
          <w:lang w:val="sl-SI"/>
        </w:rPr>
        <w:t>-</w:t>
      </w:r>
      <w:r w:rsidR="001E3389" w:rsidRPr="00900F8E">
        <w:rPr>
          <w:sz w:val="22"/>
          <w:szCs w:val="22"/>
          <w:lang w:val="sl-SI"/>
        </w:rPr>
        <w:t xml:space="preserve">lesno predelovalno verigo (LES 1); </w:t>
      </w:r>
      <w:r w:rsidR="00C82848" w:rsidRPr="00900F8E">
        <w:rPr>
          <w:sz w:val="22"/>
          <w:szCs w:val="22"/>
          <w:lang w:val="sl-SI"/>
        </w:rPr>
        <w:t>financiranje po zakonu</w:t>
      </w:r>
      <w:r w:rsidR="00890B9F">
        <w:rPr>
          <w:sz w:val="22"/>
          <w:szCs w:val="22"/>
          <w:lang w:val="sl-SI"/>
        </w:rPr>
        <w:t>, ki ureja</w:t>
      </w:r>
      <w:r w:rsidR="00C82848" w:rsidRPr="00900F8E">
        <w:rPr>
          <w:sz w:val="22"/>
          <w:szCs w:val="22"/>
          <w:lang w:val="sl-SI"/>
        </w:rPr>
        <w:t xml:space="preserve"> spodbujanj</w:t>
      </w:r>
      <w:r w:rsidR="00890B9F">
        <w:rPr>
          <w:sz w:val="22"/>
          <w:szCs w:val="22"/>
          <w:lang w:val="sl-SI"/>
        </w:rPr>
        <w:t>e</w:t>
      </w:r>
      <w:r w:rsidR="00C82848" w:rsidRPr="00900F8E">
        <w:rPr>
          <w:sz w:val="22"/>
          <w:szCs w:val="22"/>
          <w:lang w:val="sl-SI"/>
        </w:rPr>
        <w:t xml:space="preserve"> investicij (NALOŽBE 2); </w:t>
      </w:r>
      <w:r w:rsidR="003C0B72" w:rsidRPr="00900F8E">
        <w:rPr>
          <w:sz w:val="22"/>
          <w:szCs w:val="22"/>
          <w:lang w:val="sl-SI"/>
        </w:rPr>
        <w:t xml:space="preserve">Sklad skladov, posojila za raziskave, razvoj in inovacije, nameni financiranja; </w:t>
      </w:r>
      <w:r w:rsidR="0015171C" w:rsidRPr="00900F8E">
        <w:rPr>
          <w:sz w:val="22"/>
          <w:szCs w:val="22"/>
          <w:lang w:val="sl-SI"/>
        </w:rPr>
        <w:t>financiranje naložb v raziskave, razvoj in inovacije (</w:t>
      </w:r>
      <w:r w:rsidR="00D4691C">
        <w:t xml:space="preserve">v </w:t>
      </w:r>
      <w:r w:rsidR="00930529">
        <w:t>nadaljnjem besedilu</w:t>
      </w:r>
      <w:r w:rsidR="00D4691C">
        <w:t xml:space="preserve">: </w:t>
      </w:r>
      <w:r w:rsidR="0015171C" w:rsidRPr="00900F8E">
        <w:rPr>
          <w:sz w:val="22"/>
          <w:szCs w:val="22"/>
          <w:lang w:val="sl-SI"/>
        </w:rPr>
        <w:t xml:space="preserve">RRI) iz Sklada skladov </w:t>
      </w:r>
      <w:r w:rsidR="00AC0B7B" w:rsidRPr="00900F8E">
        <w:rPr>
          <w:sz w:val="22"/>
          <w:szCs w:val="22"/>
          <w:lang w:val="sl-SI"/>
        </w:rPr>
        <w:t>covid</w:t>
      </w:r>
      <w:r w:rsidR="0015171C" w:rsidRPr="00900F8E">
        <w:rPr>
          <w:sz w:val="22"/>
          <w:szCs w:val="22"/>
          <w:lang w:val="sl-SI"/>
        </w:rPr>
        <w:t>-19;</w:t>
      </w:r>
    </w:p>
    <w:p w14:paraId="78B31C76" w14:textId="0F894351" w:rsidR="00DD0C29" w:rsidRPr="00900F8E" w:rsidRDefault="00DE3C88" w:rsidP="00E02BBA">
      <w:pPr>
        <w:pStyle w:val="Default"/>
        <w:numPr>
          <w:ilvl w:val="0"/>
          <w:numId w:val="8"/>
        </w:numPr>
        <w:jc w:val="both"/>
        <w:rPr>
          <w:sz w:val="22"/>
          <w:szCs w:val="22"/>
          <w:lang w:val="sl-SI"/>
        </w:rPr>
      </w:pPr>
      <w:r w:rsidRPr="00900F8E">
        <w:rPr>
          <w:sz w:val="22"/>
          <w:szCs w:val="22"/>
          <w:lang w:val="sl-SI"/>
        </w:rPr>
        <w:t>v Sloveniji je bilo prvič registriranih 62.577 avtomobilov. Ker so imeli v klimatskih napravah plin HFO-1234yf, so se emisije HFC na letni ravni zmanjšale za 6 kt</w:t>
      </w:r>
      <w:r w:rsidR="00F15480" w:rsidRPr="00900F8E">
        <w:rPr>
          <w:sz w:val="22"/>
          <w:szCs w:val="22"/>
          <w:lang w:val="sl-SI"/>
        </w:rPr>
        <w:t xml:space="preserve"> ekv. CO</w:t>
      </w:r>
      <w:r w:rsidR="00F15480" w:rsidRPr="00900F8E">
        <w:rPr>
          <w:sz w:val="22"/>
          <w:szCs w:val="22"/>
          <w:vertAlign w:val="subscript"/>
          <w:lang w:val="sl-SI"/>
        </w:rPr>
        <w:t>2</w:t>
      </w:r>
      <w:r w:rsidRPr="00900F8E">
        <w:rPr>
          <w:sz w:val="22"/>
          <w:szCs w:val="22"/>
          <w:lang w:val="sl-SI"/>
        </w:rPr>
        <w:t>.</w:t>
      </w:r>
    </w:p>
    <w:p w14:paraId="2C0BF865" w14:textId="1B04F9F4" w:rsidR="00C83956" w:rsidRPr="00900F8E" w:rsidRDefault="00C83956" w:rsidP="008817E8">
      <w:pPr>
        <w:pStyle w:val="Default"/>
        <w:jc w:val="both"/>
        <w:rPr>
          <w:sz w:val="22"/>
          <w:szCs w:val="22"/>
          <w:lang w:val="sl-SI"/>
        </w:rPr>
      </w:pPr>
    </w:p>
    <w:p w14:paraId="4DC2C779" w14:textId="18130AFF" w:rsidR="00C83956" w:rsidRPr="00900F8E" w:rsidRDefault="00C83956" w:rsidP="008817E8">
      <w:pPr>
        <w:pStyle w:val="Default"/>
        <w:jc w:val="both"/>
        <w:rPr>
          <w:sz w:val="22"/>
          <w:szCs w:val="22"/>
          <w:lang w:val="sl-SI"/>
        </w:rPr>
      </w:pPr>
      <w:r w:rsidRPr="00900F8E">
        <w:rPr>
          <w:sz w:val="22"/>
          <w:szCs w:val="22"/>
          <w:lang w:val="sl-SI"/>
        </w:rPr>
        <w:t>V letu 2021 so se izvajali naslednji ukrepi:</w:t>
      </w:r>
    </w:p>
    <w:p w14:paraId="3D43D9BD" w14:textId="3F86A77B" w:rsidR="00323632" w:rsidRPr="00900F8E" w:rsidRDefault="006F5C42" w:rsidP="00C83956">
      <w:pPr>
        <w:pStyle w:val="Default"/>
        <w:numPr>
          <w:ilvl w:val="0"/>
          <w:numId w:val="14"/>
        </w:numPr>
        <w:jc w:val="both"/>
        <w:rPr>
          <w:sz w:val="22"/>
          <w:szCs w:val="22"/>
          <w:lang w:val="sl-SI"/>
        </w:rPr>
      </w:pPr>
      <w:r w:rsidRPr="00900F8E">
        <w:rPr>
          <w:sz w:val="22"/>
          <w:szCs w:val="22"/>
          <w:lang w:val="sl-SI"/>
        </w:rPr>
        <w:t>Eko sklad je med prednostne cilje postavil ugodno kreditiranje naložb</w:t>
      </w:r>
      <w:r w:rsidRPr="00900F8E">
        <w:rPr>
          <w:lang w:val="sl-SI"/>
        </w:rPr>
        <w:t xml:space="preserve"> </w:t>
      </w:r>
      <w:r w:rsidRPr="00900F8E">
        <w:rPr>
          <w:sz w:val="22"/>
          <w:szCs w:val="22"/>
          <w:lang w:val="sl-SI"/>
        </w:rPr>
        <w:t xml:space="preserve">v investicijske ukrepe </w:t>
      </w:r>
      <w:r w:rsidR="00F524B6">
        <w:rPr>
          <w:sz w:val="22"/>
          <w:szCs w:val="22"/>
          <w:lang w:val="sl-SI"/>
        </w:rPr>
        <w:t>URE</w:t>
      </w:r>
      <w:r w:rsidRPr="00900F8E">
        <w:rPr>
          <w:sz w:val="22"/>
          <w:szCs w:val="22"/>
          <w:lang w:val="sl-SI"/>
        </w:rPr>
        <w:t xml:space="preserve"> in rabe </w:t>
      </w:r>
      <w:r w:rsidR="00272EDB">
        <w:rPr>
          <w:sz w:val="22"/>
          <w:szCs w:val="22"/>
          <w:lang w:val="sl-SI"/>
        </w:rPr>
        <w:t>OVE</w:t>
      </w:r>
      <w:r w:rsidRPr="00900F8E">
        <w:rPr>
          <w:sz w:val="22"/>
          <w:szCs w:val="22"/>
          <w:lang w:val="sl-SI"/>
        </w:rPr>
        <w:t xml:space="preserve"> za proizvodnjo toplote in električne energije ter omogočil kreditiranje na področju odvajanja in čiščenja odpadnih voda ter na področju učinkovite rabe vode.</w:t>
      </w:r>
      <w:r w:rsidRPr="00900F8E">
        <w:t xml:space="preserve"> </w:t>
      </w:r>
    </w:p>
    <w:p w14:paraId="6F85BCBD" w14:textId="5C0ED2A2" w:rsidR="00275BC6" w:rsidRPr="00900F8E" w:rsidRDefault="006F5C42" w:rsidP="00323632">
      <w:pPr>
        <w:pStyle w:val="Default"/>
        <w:ind w:left="360"/>
        <w:jc w:val="both"/>
        <w:rPr>
          <w:sz w:val="22"/>
          <w:szCs w:val="22"/>
          <w:lang w:val="sl-SI"/>
        </w:rPr>
      </w:pPr>
      <w:r w:rsidRPr="00900F8E">
        <w:rPr>
          <w:sz w:val="22"/>
          <w:szCs w:val="22"/>
          <w:lang w:val="sl-SI"/>
        </w:rPr>
        <w:t xml:space="preserve">Na </w:t>
      </w:r>
      <w:r w:rsidR="003D1338">
        <w:rPr>
          <w:sz w:val="22"/>
          <w:szCs w:val="22"/>
          <w:lang w:val="sl-SI"/>
        </w:rPr>
        <w:t>j</w:t>
      </w:r>
      <w:r w:rsidRPr="00900F8E">
        <w:rPr>
          <w:sz w:val="22"/>
          <w:szCs w:val="22"/>
          <w:lang w:val="sl-SI"/>
        </w:rPr>
        <w:t xml:space="preserve">avnem pozivu 56PO16 za kreditiranje okoljskih naložb pravnih oseb je bil odobren en kredit v skupnem znesku 30 tisoč evrov, podpisane so bile </w:t>
      </w:r>
      <w:r w:rsidR="003D1338">
        <w:rPr>
          <w:sz w:val="22"/>
          <w:szCs w:val="22"/>
          <w:lang w:val="sl-SI"/>
        </w:rPr>
        <w:t>štiri</w:t>
      </w:r>
      <w:r w:rsidRPr="00900F8E">
        <w:rPr>
          <w:sz w:val="22"/>
          <w:szCs w:val="22"/>
          <w:lang w:val="sl-SI"/>
        </w:rPr>
        <w:t xml:space="preserve"> kreditne pogodbe v skupnem znesku 396 tisoč evrov. Na </w:t>
      </w:r>
      <w:r w:rsidR="003D1338">
        <w:rPr>
          <w:sz w:val="22"/>
          <w:szCs w:val="22"/>
          <w:lang w:val="sl-SI"/>
        </w:rPr>
        <w:t>j</w:t>
      </w:r>
      <w:r w:rsidRPr="00900F8E">
        <w:rPr>
          <w:sz w:val="22"/>
          <w:szCs w:val="22"/>
          <w:lang w:val="sl-SI"/>
        </w:rPr>
        <w:t xml:space="preserve">avnem pozivu 76FS-PO19 za finančne spodbude za nove naložbe podjetij v </w:t>
      </w:r>
      <w:r w:rsidR="00F524B6">
        <w:rPr>
          <w:sz w:val="22"/>
          <w:szCs w:val="22"/>
          <w:lang w:val="sl-SI"/>
        </w:rPr>
        <w:t>URE</w:t>
      </w:r>
      <w:r w:rsidRPr="00900F8E">
        <w:rPr>
          <w:sz w:val="22"/>
          <w:szCs w:val="22"/>
          <w:lang w:val="sl-SI"/>
        </w:rPr>
        <w:t xml:space="preserve"> in rabo </w:t>
      </w:r>
      <w:r w:rsidR="00272EDB">
        <w:rPr>
          <w:sz w:val="22"/>
          <w:szCs w:val="22"/>
          <w:lang w:val="sl-SI"/>
        </w:rPr>
        <w:t>OVE</w:t>
      </w:r>
      <w:r w:rsidRPr="00900F8E">
        <w:rPr>
          <w:sz w:val="22"/>
          <w:szCs w:val="22"/>
          <w:lang w:val="sl-SI"/>
        </w:rPr>
        <w:t xml:space="preserve"> je bil odobren en kredit v skupnem znesku 227 tisoč evrov.</w:t>
      </w:r>
      <w:r w:rsidR="00122B97" w:rsidRPr="00900F8E">
        <w:t xml:space="preserve"> </w:t>
      </w:r>
      <w:r w:rsidR="00122B97" w:rsidRPr="00900F8E">
        <w:rPr>
          <w:sz w:val="22"/>
          <w:szCs w:val="22"/>
          <w:lang w:val="sl-SI"/>
        </w:rPr>
        <w:t xml:space="preserve">Na </w:t>
      </w:r>
      <w:r w:rsidR="003D1338">
        <w:rPr>
          <w:sz w:val="22"/>
          <w:szCs w:val="22"/>
          <w:lang w:val="sl-SI"/>
        </w:rPr>
        <w:t>j</w:t>
      </w:r>
      <w:r w:rsidR="00122B97" w:rsidRPr="00900F8E">
        <w:rPr>
          <w:sz w:val="22"/>
          <w:szCs w:val="22"/>
          <w:lang w:val="sl-SI"/>
        </w:rPr>
        <w:t xml:space="preserve">avnem pozivu 82FS-PO20 za finančne spodbude za nove naložbe podjetij v </w:t>
      </w:r>
      <w:r w:rsidR="00F524B6">
        <w:rPr>
          <w:sz w:val="22"/>
          <w:szCs w:val="22"/>
          <w:lang w:val="sl-SI"/>
        </w:rPr>
        <w:t>URE</w:t>
      </w:r>
      <w:r w:rsidR="00122B97" w:rsidRPr="00900F8E">
        <w:rPr>
          <w:sz w:val="22"/>
          <w:szCs w:val="22"/>
          <w:lang w:val="sl-SI"/>
        </w:rPr>
        <w:t xml:space="preserve"> in rabo </w:t>
      </w:r>
      <w:r w:rsidR="00272EDB">
        <w:rPr>
          <w:sz w:val="22"/>
          <w:szCs w:val="22"/>
          <w:lang w:val="sl-SI"/>
        </w:rPr>
        <w:t>OVE</w:t>
      </w:r>
      <w:r w:rsidR="00122B97" w:rsidRPr="00900F8E">
        <w:t xml:space="preserve"> </w:t>
      </w:r>
      <w:r w:rsidR="00122B97" w:rsidRPr="00900F8E">
        <w:rPr>
          <w:sz w:val="22"/>
          <w:szCs w:val="22"/>
          <w:lang w:val="sl-SI"/>
        </w:rPr>
        <w:t xml:space="preserve">je bil razpisan znesek 5 milijonov evrov zelo ugodnih kreditov. Odobrenih je bilo 10 kreditov v skupnem znesku 3,373 milijona evrov, podpisana pa je bila </w:t>
      </w:r>
      <w:r w:rsidR="006F1476">
        <w:rPr>
          <w:sz w:val="22"/>
          <w:szCs w:val="22"/>
          <w:lang w:val="sl-SI"/>
        </w:rPr>
        <w:t>ena</w:t>
      </w:r>
      <w:r w:rsidR="00122B97" w:rsidRPr="00900F8E">
        <w:rPr>
          <w:sz w:val="22"/>
          <w:szCs w:val="22"/>
          <w:lang w:val="sl-SI"/>
        </w:rPr>
        <w:t xml:space="preserve"> kreditna pogodba v vrednosti 306</w:t>
      </w:r>
      <w:r w:rsidR="006F1476">
        <w:rPr>
          <w:sz w:val="22"/>
          <w:szCs w:val="22"/>
          <w:lang w:val="sl-SI"/>
        </w:rPr>
        <w:t>.000</w:t>
      </w:r>
      <w:r w:rsidR="00122B97" w:rsidRPr="00900F8E">
        <w:rPr>
          <w:sz w:val="22"/>
          <w:szCs w:val="22"/>
          <w:lang w:val="sl-SI"/>
        </w:rPr>
        <w:t xml:space="preserve"> evrov.</w:t>
      </w:r>
      <w:r w:rsidR="003353D9" w:rsidRPr="00900F8E">
        <w:t xml:space="preserve"> </w:t>
      </w:r>
      <w:r w:rsidR="003353D9" w:rsidRPr="00900F8E">
        <w:rPr>
          <w:sz w:val="22"/>
          <w:szCs w:val="22"/>
          <w:lang w:val="sl-SI"/>
        </w:rPr>
        <w:t xml:space="preserve">Javni poziv 92FS-PO21 za finančne spodbude za nove naložbe podjetij v </w:t>
      </w:r>
      <w:r w:rsidR="00F524B6">
        <w:rPr>
          <w:sz w:val="22"/>
          <w:szCs w:val="22"/>
          <w:lang w:val="sl-SI"/>
        </w:rPr>
        <w:t>URE</w:t>
      </w:r>
      <w:r w:rsidR="003353D9" w:rsidRPr="00900F8E">
        <w:rPr>
          <w:sz w:val="22"/>
          <w:szCs w:val="22"/>
          <w:lang w:val="sl-SI"/>
        </w:rPr>
        <w:t xml:space="preserve"> in rabo </w:t>
      </w:r>
      <w:r w:rsidR="00272EDB">
        <w:rPr>
          <w:sz w:val="22"/>
          <w:szCs w:val="22"/>
          <w:lang w:val="sl-SI"/>
        </w:rPr>
        <w:t>OVE</w:t>
      </w:r>
      <w:r w:rsidR="003353D9" w:rsidRPr="00900F8E">
        <w:rPr>
          <w:sz w:val="22"/>
          <w:szCs w:val="22"/>
          <w:lang w:val="sl-SI"/>
        </w:rPr>
        <w:t xml:space="preserve"> je imel razpisan znesek 5 milijonov evrov ugodnih kreditov.</w:t>
      </w:r>
      <w:r w:rsidR="003353D9" w:rsidRPr="00900F8E">
        <w:rPr>
          <w:sz w:val="22"/>
          <w:szCs w:val="22"/>
        </w:rPr>
        <w:t xml:space="preserve"> </w:t>
      </w:r>
      <w:r w:rsidR="003353D9" w:rsidRPr="00900F8E">
        <w:rPr>
          <w:sz w:val="22"/>
          <w:szCs w:val="22"/>
          <w:lang w:val="sl-SI"/>
        </w:rPr>
        <w:t>V letu 2021 ni bila izdana nobena odločba</w:t>
      </w:r>
      <w:r w:rsidR="00B6584A" w:rsidRPr="00900F8E">
        <w:rPr>
          <w:sz w:val="22"/>
          <w:szCs w:val="22"/>
          <w:lang w:val="sl-SI"/>
        </w:rPr>
        <w:t xml:space="preserve">. </w:t>
      </w:r>
    </w:p>
    <w:p w14:paraId="5E6C622F" w14:textId="4D86503F" w:rsidR="00E07ED3" w:rsidRDefault="00B6584A" w:rsidP="00811631">
      <w:pPr>
        <w:pStyle w:val="Default"/>
        <w:ind w:left="360"/>
        <w:jc w:val="both"/>
        <w:rPr>
          <w:sz w:val="22"/>
          <w:szCs w:val="22"/>
          <w:lang w:val="sl-SI"/>
        </w:rPr>
      </w:pPr>
      <w:r w:rsidRPr="00900F8E">
        <w:rPr>
          <w:sz w:val="22"/>
          <w:szCs w:val="22"/>
          <w:lang w:val="sl-SI"/>
        </w:rPr>
        <w:t xml:space="preserve">V okviru javnega poziva 51FS-PO18 za dodeljevanje finančnih spodbud v obliki nepovratnih sredstev in kredita s subvencionirano obrestno mero podjetjem za nove naložbe v </w:t>
      </w:r>
      <w:r w:rsidR="00F524B6">
        <w:rPr>
          <w:sz w:val="22"/>
          <w:szCs w:val="22"/>
          <w:lang w:val="sl-SI"/>
        </w:rPr>
        <w:t>URE</w:t>
      </w:r>
      <w:r w:rsidRPr="00900F8E">
        <w:rPr>
          <w:sz w:val="22"/>
          <w:szCs w:val="22"/>
          <w:lang w:val="sl-SI"/>
        </w:rPr>
        <w:t xml:space="preserve"> in </w:t>
      </w:r>
      <w:r w:rsidR="00272EDB">
        <w:rPr>
          <w:sz w:val="22"/>
          <w:szCs w:val="22"/>
          <w:lang w:val="sl-SI"/>
        </w:rPr>
        <w:t>OVE</w:t>
      </w:r>
      <w:r w:rsidRPr="00900F8E">
        <w:rPr>
          <w:sz w:val="22"/>
          <w:szCs w:val="22"/>
          <w:lang w:val="sl-SI"/>
        </w:rPr>
        <w:t xml:space="preserve"> je bilo izplačanih 961.814 evrov nepovratnih sredstev. Na javni poziv 71SUB-SO19 za nove naložbe v naprave za samooskrbo z električno energijo, ki električno energijo proizvajajo z izrabo sončne energije, je prispelo 8.094 vlog, izplačanih pa je bilo 10.390.598 evrov nepovratnih sredstev. Za objavljen poziv 76FS-PO19 za finančne spodbude lokalnim skupnostim, pravnim osebam, samostojnim podjetnikom posameznikom in drugim fizičnim osebam, ki opravljajo registrirane dejavnosti</w:t>
      </w:r>
      <w:r w:rsidR="006F1476">
        <w:rPr>
          <w:sz w:val="22"/>
          <w:szCs w:val="22"/>
          <w:lang w:val="sl-SI"/>
        </w:rPr>
        <w:t>,</w:t>
      </w:r>
      <w:r w:rsidRPr="00900F8E">
        <w:rPr>
          <w:sz w:val="22"/>
          <w:szCs w:val="22"/>
          <w:lang w:val="sl-SI"/>
        </w:rPr>
        <w:t xml:space="preserve"> ter pravnim osebam javnega prava, ki imajo stvarno premoženje v svoji lasti, razen neposrednim uporabnikom državnega proračuna, </w:t>
      </w:r>
      <w:r w:rsidR="00931509">
        <w:rPr>
          <w:sz w:val="22"/>
          <w:szCs w:val="22"/>
          <w:lang w:val="sl-SI"/>
        </w:rPr>
        <w:t xml:space="preserve">je bilo </w:t>
      </w:r>
      <w:r w:rsidRPr="00900F8E">
        <w:rPr>
          <w:sz w:val="22"/>
          <w:szCs w:val="22"/>
          <w:lang w:val="sl-SI"/>
        </w:rPr>
        <w:t xml:space="preserve">za naložbe v </w:t>
      </w:r>
      <w:r w:rsidR="00F524B6">
        <w:rPr>
          <w:sz w:val="22"/>
          <w:szCs w:val="22"/>
          <w:lang w:val="sl-SI"/>
        </w:rPr>
        <w:t>URE</w:t>
      </w:r>
      <w:r w:rsidRPr="00900F8E">
        <w:rPr>
          <w:sz w:val="22"/>
          <w:szCs w:val="22"/>
          <w:lang w:val="sl-SI"/>
        </w:rPr>
        <w:t xml:space="preserve"> in </w:t>
      </w:r>
      <w:r w:rsidR="00272EDB">
        <w:rPr>
          <w:sz w:val="22"/>
          <w:szCs w:val="22"/>
          <w:lang w:val="sl-SI"/>
        </w:rPr>
        <w:t>OVE</w:t>
      </w:r>
      <w:r w:rsidRPr="00900F8E">
        <w:rPr>
          <w:sz w:val="22"/>
          <w:szCs w:val="22"/>
          <w:lang w:val="sl-SI"/>
        </w:rPr>
        <w:t xml:space="preserve"> izdanih 10 odločb, izplačanih pa 3.642.529 evrov nepovratnih sredstev. Na</w:t>
      </w:r>
      <w:r w:rsidRPr="00900F8E">
        <w:t xml:space="preserve"> </w:t>
      </w:r>
      <w:r w:rsidRPr="00900F8E">
        <w:rPr>
          <w:sz w:val="22"/>
          <w:szCs w:val="22"/>
          <w:lang w:val="sl-SI"/>
        </w:rPr>
        <w:t xml:space="preserve">javni poziv 92FS-PO21 za spodbudo izvedbe ukrepov </w:t>
      </w:r>
      <w:r w:rsidR="00F524B6">
        <w:rPr>
          <w:sz w:val="22"/>
          <w:szCs w:val="22"/>
          <w:lang w:val="sl-SI"/>
        </w:rPr>
        <w:t>URE</w:t>
      </w:r>
      <w:r w:rsidRPr="00900F8E">
        <w:rPr>
          <w:sz w:val="22"/>
          <w:szCs w:val="22"/>
          <w:lang w:val="sl-SI"/>
        </w:rPr>
        <w:t xml:space="preserve"> v stavbah in tehnoloških procesih, ukrepov učinkovite rabe električne energije, rabe odpadne toplote v procesih ter ukrepov za povečanje rabe </w:t>
      </w:r>
      <w:r w:rsidR="00272EDB">
        <w:rPr>
          <w:sz w:val="22"/>
          <w:szCs w:val="22"/>
          <w:lang w:val="sl-SI"/>
        </w:rPr>
        <w:t>OVE</w:t>
      </w:r>
      <w:r w:rsidRPr="00900F8E">
        <w:rPr>
          <w:sz w:val="22"/>
          <w:szCs w:val="22"/>
          <w:lang w:val="sl-SI"/>
        </w:rPr>
        <w:t xml:space="preserve"> je prispelo 43 vlog</w:t>
      </w:r>
      <w:r w:rsidR="005D2149" w:rsidRPr="00900F8E">
        <w:rPr>
          <w:sz w:val="22"/>
          <w:szCs w:val="22"/>
          <w:lang w:val="sl-SI"/>
        </w:rPr>
        <w:t xml:space="preserve">. Na </w:t>
      </w:r>
      <w:r w:rsidR="0009571E">
        <w:rPr>
          <w:sz w:val="22"/>
          <w:szCs w:val="22"/>
          <w:lang w:val="sl-SI"/>
        </w:rPr>
        <w:t>j</w:t>
      </w:r>
      <w:r w:rsidR="005D2149" w:rsidRPr="00900F8E">
        <w:rPr>
          <w:sz w:val="22"/>
          <w:szCs w:val="22"/>
          <w:lang w:val="sl-SI"/>
        </w:rPr>
        <w:t xml:space="preserve">avnem pozivu 82FS-PO20 za finančne spodbude za nove naložbe podjetij v </w:t>
      </w:r>
      <w:r w:rsidR="00F524B6">
        <w:rPr>
          <w:sz w:val="22"/>
          <w:szCs w:val="22"/>
          <w:lang w:val="sl-SI"/>
        </w:rPr>
        <w:t>URE</w:t>
      </w:r>
      <w:r w:rsidR="005D2149" w:rsidRPr="00900F8E">
        <w:rPr>
          <w:sz w:val="22"/>
          <w:szCs w:val="22"/>
          <w:lang w:val="sl-SI"/>
        </w:rPr>
        <w:t xml:space="preserve"> in rabo </w:t>
      </w:r>
      <w:r w:rsidR="00272EDB">
        <w:rPr>
          <w:sz w:val="22"/>
          <w:szCs w:val="22"/>
          <w:lang w:val="sl-SI"/>
        </w:rPr>
        <w:t>OVE</w:t>
      </w:r>
      <w:r w:rsidR="005D2149" w:rsidRPr="00900F8E">
        <w:rPr>
          <w:sz w:val="22"/>
          <w:szCs w:val="22"/>
          <w:lang w:val="sl-SI"/>
        </w:rPr>
        <w:t xml:space="preserve"> je</w:t>
      </w:r>
      <w:r w:rsidR="005D2149" w:rsidRPr="00900F8E">
        <w:t xml:space="preserve"> </w:t>
      </w:r>
      <w:r w:rsidR="005D2149" w:rsidRPr="00900F8E">
        <w:rPr>
          <w:sz w:val="22"/>
          <w:szCs w:val="22"/>
          <w:lang w:val="sl-SI"/>
        </w:rPr>
        <w:t>prispelo 246 vlog</w:t>
      </w:r>
      <w:r w:rsidR="008F4B55">
        <w:rPr>
          <w:sz w:val="22"/>
          <w:szCs w:val="22"/>
          <w:lang w:val="sl-SI"/>
        </w:rPr>
        <w:t>,</w:t>
      </w:r>
      <w:r w:rsidR="005D2149" w:rsidRPr="00900F8E">
        <w:rPr>
          <w:sz w:val="22"/>
          <w:szCs w:val="22"/>
          <w:lang w:val="sl-SI"/>
        </w:rPr>
        <w:t xml:space="preserve"> izplačan</w:t>
      </w:r>
      <w:r w:rsidR="008F4B55">
        <w:rPr>
          <w:sz w:val="22"/>
          <w:szCs w:val="22"/>
          <w:lang w:val="sl-SI"/>
        </w:rPr>
        <w:t xml:space="preserve">ih </w:t>
      </w:r>
      <w:r w:rsidR="005D2149" w:rsidRPr="00900F8E">
        <w:rPr>
          <w:sz w:val="22"/>
          <w:szCs w:val="22"/>
          <w:lang w:val="sl-SI"/>
        </w:rPr>
        <w:t xml:space="preserve">pa </w:t>
      </w:r>
      <w:r w:rsidR="008F4B55">
        <w:rPr>
          <w:sz w:val="22"/>
          <w:szCs w:val="22"/>
          <w:lang w:val="sl-SI"/>
        </w:rPr>
        <w:t xml:space="preserve">je bilo </w:t>
      </w:r>
      <w:r w:rsidR="005D2149" w:rsidRPr="00900F8E">
        <w:rPr>
          <w:sz w:val="22"/>
          <w:szCs w:val="22"/>
          <w:lang w:val="sl-SI"/>
        </w:rPr>
        <w:t>1.445.853 evrov</w:t>
      </w:r>
      <w:r w:rsidR="00811631" w:rsidRPr="00900F8E">
        <w:rPr>
          <w:sz w:val="22"/>
          <w:szCs w:val="22"/>
          <w:lang w:val="sl-SI"/>
        </w:rPr>
        <w:t>. Z izvedbo ukrepov URE in izrabe OVE, ki so bili podprti z nepovratnimi sredstvi Eko sklada, je bilo leta 2021 v podjetjih doseženo zmanjšanje rabe energije za 13,7 GWh na leto, zmanjšanje emisije CO</w:t>
      </w:r>
      <w:r w:rsidR="00811631" w:rsidRPr="00900F8E">
        <w:rPr>
          <w:sz w:val="22"/>
          <w:szCs w:val="22"/>
          <w:vertAlign w:val="subscript"/>
          <w:lang w:val="sl-SI"/>
        </w:rPr>
        <w:t>2</w:t>
      </w:r>
      <w:r w:rsidR="00811631" w:rsidRPr="00900F8E">
        <w:rPr>
          <w:sz w:val="22"/>
          <w:szCs w:val="22"/>
          <w:lang w:val="sl-SI"/>
        </w:rPr>
        <w:t xml:space="preserve"> za 2,9 kt CO</w:t>
      </w:r>
      <w:r w:rsidR="00811631" w:rsidRPr="00900F8E">
        <w:rPr>
          <w:sz w:val="22"/>
          <w:szCs w:val="22"/>
          <w:vertAlign w:val="subscript"/>
          <w:lang w:val="sl-SI"/>
        </w:rPr>
        <w:t>2</w:t>
      </w:r>
      <w:r w:rsidR="00811631" w:rsidRPr="00900F8E">
        <w:rPr>
          <w:sz w:val="22"/>
          <w:szCs w:val="22"/>
          <w:lang w:val="sl-SI"/>
        </w:rPr>
        <w:t xml:space="preserve"> na leto</w:t>
      </w:r>
      <w:r w:rsidR="00311408">
        <w:rPr>
          <w:sz w:val="22"/>
          <w:szCs w:val="22"/>
          <w:lang w:val="sl-SI"/>
        </w:rPr>
        <w:t>.</w:t>
      </w:r>
    </w:p>
    <w:p w14:paraId="322FE27A" w14:textId="7BF59E62" w:rsidR="00311408" w:rsidRPr="00900F8E" w:rsidRDefault="00311408" w:rsidP="00311408">
      <w:pPr>
        <w:pStyle w:val="Default"/>
        <w:ind w:left="360"/>
        <w:jc w:val="both"/>
        <w:rPr>
          <w:sz w:val="22"/>
          <w:szCs w:val="22"/>
          <w:lang w:val="sl-SI"/>
        </w:rPr>
      </w:pPr>
      <w:r>
        <w:rPr>
          <w:sz w:val="22"/>
          <w:szCs w:val="22"/>
          <w:lang w:val="sl-SI"/>
        </w:rPr>
        <w:t>N</w:t>
      </w:r>
      <w:r w:rsidRPr="00900F8E">
        <w:rPr>
          <w:sz w:val="22"/>
          <w:szCs w:val="22"/>
          <w:lang w:val="sl-SI"/>
        </w:rPr>
        <w:t>a javni poziv 75SUB-EPPO19, namenjen podjetjem za izvedbo energetskega pregleda stavbe, procesov in transporta v podjetju ali za uvedbo sistema upravljanja energij</w:t>
      </w:r>
      <w:r w:rsidR="008F4B55">
        <w:rPr>
          <w:sz w:val="22"/>
          <w:szCs w:val="22"/>
          <w:lang w:val="sl-SI"/>
        </w:rPr>
        <w:t>e</w:t>
      </w:r>
      <w:r w:rsidR="005D5AE3">
        <w:rPr>
          <w:sz w:val="22"/>
          <w:szCs w:val="22"/>
          <w:lang w:val="sl-SI"/>
        </w:rPr>
        <w:t>,</w:t>
      </w:r>
      <w:r w:rsidRPr="00900F8E">
        <w:rPr>
          <w:sz w:val="22"/>
          <w:szCs w:val="22"/>
          <w:lang w:val="sl-SI"/>
        </w:rPr>
        <w:t xml:space="preserve"> je prispelo 19 vlog, izplačanih pa je bilo 74.938 evrov</w:t>
      </w:r>
      <w:r>
        <w:rPr>
          <w:sz w:val="22"/>
          <w:szCs w:val="22"/>
          <w:lang w:val="sl-SI"/>
        </w:rPr>
        <w:t>.</w:t>
      </w:r>
    </w:p>
    <w:p w14:paraId="72102501" w14:textId="18189B2D" w:rsidR="00311408" w:rsidRPr="00900F8E" w:rsidRDefault="00311408" w:rsidP="00311408">
      <w:pPr>
        <w:pStyle w:val="Default"/>
        <w:ind w:left="360"/>
        <w:jc w:val="both"/>
        <w:rPr>
          <w:sz w:val="22"/>
          <w:szCs w:val="22"/>
          <w:lang w:val="sl-SI"/>
        </w:rPr>
      </w:pPr>
      <w:r>
        <w:rPr>
          <w:sz w:val="22"/>
          <w:szCs w:val="22"/>
          <w:lang w:val="sl-SI"/>
        </w:rPr>
        <w:t>Z</w:t>
      </w:r>
      <w:r w:rsidRPr="00900F8E">
        <w:rPr>
          <w:sz w:val="22"/>
          <w:szCs w:val="22"/>
          <w:lang w:val="sl-SI"/>
        </w:rPr>
        <w:t xml:space="preserve"> nepovratnimi sredstvi Eko sklada je bilo z energetsko optimizacijo v procesih doseženo zmanjšanje rabe energije za 7,9 GWh na leto in zmanjšanje emisije CO</w:t>
      </w:r>
      <w:r w:rsidRPr="00900F8E">
        <w:rPr>
          <w:sz w:val="22"/>
          <w:szCs w:val="22"/>
          <w:vertAlign w:val="subscript"/>
          <w:lang w:val="sl-SI"/>
        </w:rPr>
        <w:t>2</w:t>
      </w:r>
      <w:r w:rsidRPr="00900F8E">
        <w:rPr>
          <w:sz w:val="22"/>
          <w:szCs w:val="22"/>
          <w:lang w:val="sl-SI"/>
        </w:rPr>
        <w:t xml:space="preserve"> za 1,7 kt CO</w:t>
      </w:r>
      <w:r w:rsidRPr="00900F8E">
        <w:rPr>
          <w:sz w:val="22"/>
          <w:szCs w:val="22"/>
          <w:vertAlign w:val="subscript"/>
          <w:lang w:val="sl-SI"/>
        </w:rPr>
        <w:t>2</w:t>
      </w:r>
      <w:r w:rsidRPr="00900F8E">
        <w:rPr>
          <w:sz w:val="22"/>
          <w:szCs w:val="22"/>
          <w:lang w:val="sl-SI"/>
        </w:rPr>
        <w:t xml:space="preserve"> na leto, z upravljanjem energij</w:t>
      </w:r>
      <w:r w:rsidR="00327BE4">
        <w:rPr>
          <w:sz w:val="22"/>
          <w:szCs w:val="22"/>
          <w:lang w:val="sl-SI"/>
        </w:rPr>
        <w:t>e</w:t>
      </w:r>
      <w:r w:rsidRPr="00900F8E">
        <w:rPr>
          <w:sz w:val="22"/>
          <w:szCs w:val="22"/>
          <w:lang w:val="sl-SI"/>
        </w:rPr>
        <w:t xml:space="preserve"> v procesu je bilo doseženo zmanjšanje rabe energije za 1,9 </w:t>
      </w:r>
      <w:r w:rsidRPr="00900F8E">
        <w:rPr>
          <w:sz w:val="22"/>
          <w:szCs w:val="22"/>
          <w:lang w:val="sl-SI"/>
        </w:rPr>
        <w:lastRenderedPageBreak/>
        <w:t>GWh na leto in zmanjšanje emisije CO</w:t>
      </w:r>
      <w:r w:rsidRPr="00900F8E">
        <w:rPr>
          <w:sz w:val="22"/>
          <w:szCs w:val="22"/>
          <w:vertAlign w:val="subscript"/>
          <w:lang w:val="sl-SI"/>
        </w:rPr>
        <w:t>2</w:t>
      </w:r>
      <w:r w:rsidRPr="00900F8E">
        <w:rPr>
          <w:sz w:val="22"/>
          <w:szCs w:val="22"/>
          <w:lang w:val="sl-SI"/>
        </w:rPr>
        <w:t xml:space="preserve"> za 0,4 kt CO</w:t>
      </w:r>
      <w:r w:rsidRPr="00900F8E">
        <w:rPr>
          <w:sz w:val="22"/>
          <w:szCs w:val="22"/>
          <w:vertAlign w:val="subscript"/>
          <w:lang w:val="sl-SI"/>
        </w:rPr>
        <w:t>2</w:t>
      </w:r>
      <w:r w:rsidRPr="00900F8E">
        <w:rPr>
          <w:sz w:val="22"/>
          <w:szCs w:val="22"/>
          <w:lang w:val="sl-SI"/>
        </w:rPr>
        <w:t xml:space="preserve"> na leto in energetskimi pregledi zmanjšanje rabe energije za 0,4 GWh na leto in zmanjšanje emisije CO</w:t>
      </w:r>
      <w:r w:rsidRPr="00900F8E">
        <w:rPr>
          <w:sz w:val="22"/>
          <w:szCs w:val="22"/>
          <w:vertAlign w:val="subscript"/>
          <w:lang w:val="sl-SI"/>
        </w:rPr>
        <w:t>2</w:t>
      </w:r>
      <w:r w:rsidRPr="00900F8E">
        <w:rPr>
          <w:sz w:val="22"/>
          <w:szCs w:val="22"/>
          <w:lang w:val="sl-SI"/>
        </w:rPr>
        <w:t xml:space="preserve"> 0,08 kt CO</w:t>
      </w:r>
      <w:r w:rsidRPr="00900F8E">
        <w:rPr>
          <w:sz w:val="22"/>
          <w:szCs w:val="22"/>
          <w:vertAlign w:val="subscript"/>
          <w:lang w:val="sl-SI"/>
        </w:rPr>
        <w:t>2</w:t>
      </w:r>
      <w:r w:rsidRPr="00900F8E">
        <w:rPr>
          <w:sz w:val="22"/>
          <w:szCs w:val="22"/>
          <w:lang w:val="sl-SI"/>
        </w:rPr>
        <w:t>;</w:t>
      </w:r>
    </w:p>
    <w:p w14:paraId="2D999555" w14:textId="0DCEDB52" w:rsidR="00C83956" w:rsidRPr="00900F8E" w:rsidRDefault="00FD272D" w:rsidP="00E07ED3">
      <w:pPr>
        <w:pStyle w:val="Default"/>
        <w:numPr>
          <w:ilvl w:val="0"/>
          <w:numId w:val="14"/>
        </w:numPr>
        <w:jc w:val="both"/>
        <w:rPr>
          <w:sz w:val="22"/>
          <w:szCs w:val="22"/>
          <w:lang w:val="sl-SI"/>
        </w:rPr>
      </w:pPr>
      <w:r>
        <w:rPr>
          <w:sz w:val="22"/>
          <w:szCs w:val="22"/>
          <w:lang w:val="sl-SI"/>
        </w:rPr>
        <w:t>MzI</w:t>
      </w:r>
      <w:r w:rsidR="00A93486" w:rsidRPr="00900F8E">
        <w:rPr>
          <w:sz w:val="22"/>
          <w:szCs w:val="22"/>
          <w:lang w:val="sl-SI"/>
        </w:rPr>
        <w:t xml:space="preserve"> je objavil javni razpis JR DO OVE 2021 za sofinanciranje daljinskega ogrevanja na </w:t>
      </w:r>
      <w:r w:rsidR="00272EDB">
        <w:rPr>
          <w:sz w:val="22"/>
          <w:szCs w:val="22"/>
          <w:lang w:val="sl-SI"/>
        </w:rPr>
        <w:t>OVE</w:t>
      </w:r>
      <w:r w:rsidR="00A93486" w:rsidRPr="00900F8E">
        <w:rPr>
          <w:sz w:val="22"/>
          <w:szCs w:val="22"/>
          <w:lang w:val="sl-SI"/>
        </w:rPr>
        <w:t xml:space="preserve"> (lesna biomasa in sončna energija) za gospodarske družbe in samostojne podjetnike posameznike po Zakonu o gospodarskih družbah</w:t>
      </w:r>
      <w:r w:rsidR="00890B9F" w:rsidRPr="00890B9F">
        <w:t xml:space="preserve"> </w:t>
      </w:r>
      <w:r w:rsidR="00890B9F" w:rsidRPr="00890B9F">
        <w:rPr>
          <w:sz w:val="22"/>
          <w:szCs w:val="22"/>
          <w:lang w:val="sl-SI"/>
        </w:rPr>
        <w:t xml:space="preserve">(Uradni list RS, št. 65/09 – uradno prečiščeno besedilo, 33/11, 91/11, 32/12, 57/12, 44/13 – </w:t>
      </w:r>
      <w:proofErr w:type="spellStart"/>
      <w:r w:rsidR="00890B9F" w:rsidRPr="00890B9F">
        <w:rPr>
          <w:sz w:val="22"/>
          <w:szCs w:val="22"/>
          <w:lang w:val="sl-SI"/>
        </w:rPr>
        <w:t>odl</w:t>
      </w:r>
      <w:proofErr w:type="spellEnd"/>
      <w:r w:rsidR="00890B9F" w:rsidRPr="00890B9F">
        <w:rPr>
          <w:sz w:val="22"/>
          <w:szCs w:val="22"/>
          <w:lang w:val="sl-SI"/>
        </w:rPr>
        <w:t xml:space="preserve">. US, 82/13, 55/15, 15/17, 22/19 – </w:t>
      </w:r>
      <w:proofErr w:type="spellStart"/>
      <w:r w:rsidR="00890B9F" w:rsidRPr="00890B9F">
        <w:rPr>
          <w:sz w:val="22"/>
          <w:szCs w:val="22"/>
          <w:lang w:val="sl-SI"/>
        </w:rPr>
        <w:t>ZPosS</w:t>
      </w:r>
      <w:proofErr w:type="spellEnd"/>
      <w:r w:rsidR="00890B9F" w:rsidRPr="00890B9F">
        <w:rPr>
          <w:sz w:val="22"/>
          <w:szCs w:val="22"/>
          <w:lang w:val="sl-SI"/>
        </w:rPr>
        <w:t xml:space="preserve">, 158/20 – </w:t>
      </w:r>
      <w:proofErr w:type="spellStart"/>
      <w:r w:rsidR="00890B9F" w:rsidRPr="00890B9F">
        <w:rPr>
          <w:sz w:val="22"/>
          <w:szCs w:val="22"/>
          <w:lang w:val="sl-SI"/>
        </w:rPr>
        <w:t>ZIntPK</w:t>
      </w:r>
      <w:proofErr w:type="spellEnd"/>
      <w:r w:rsidR="00890B9F" w:rsidRPr="00890B9F">
        <w:rPr>
          <w:sz w:val="22"/>
          <w:szCs w:val="22"/>
          <w:lang w:val="sl-SI"/>
        </w:rPr>
        <w:t>-C in 18/21)</w:t>
      </w:r>
      <w:r w:rsidR="00A93486" w:rsidRPr="00900F8E">
        <w:rPr>
          <w:sz w:val="22"/>
          <w:szCs w:val="22"/>
          <w:lang w:val="sl-SI"/>
        </w:rPr>
        <w:t xml:space="preserve"> in zadruge po Zakonu o zadrugah</w:t>
      </w:r>
      <w:r w:rsidR="00890B9F" w:rsidRPr="00890B9F">
        <w:t xml:space="preserve"> </w:t>
      </w:r>
      <w:r w:rsidR="00890B9F" w:rsidRPr="00890B9F">
        <w:rPr>
          <w:sz w:val="22"/>
          <w:szCs w:val="22"/>
          <w:lang w:val="sl-SI"/>
        </w:rPr>
        <w:t>(Uradni list RS, št. 97/09 – uradno prečiščeno besedilo in 121/21)</w:t>
      </w:r>
      <w:r w:rsidR="00A93486" w:rsidRPr="00900F8E">
        <w:rPr>
          <w:sz w:val="22"/>
          <w:szCs w:val="22"/>
          <w:lang w:val="sl-SI"/>
        </w:rPr>
        <w:t>. Nepovratna sredstva so bila namenjena za sisteme</w:t>
      </w:r>
      <w:r w:rsidR="00DA241C">
        <w:rPr>
          <w:sz w:val="22"/>
          <w:szCs w:val="22"/>
          <w:lang w:val="sl-SI"/>
        </w:rPr>
        <w:t>,</w:t>
      </w:r>
      <w:r w:rsidR="00A93486" w:rsidRPr="00900F8E">
        <w:rPr>
          <w:sz w:val="22"/>
          <w:szCs w:val="22"/>
          <w:lang w:val="sl-SI"/>
        </w:rPr>
        <w:t xml:space="preserve"> zgrajene v Republiki Sloveniji. Višina nepovratnih sredstev, ki je na razpolago za sofinanciranje operacij po tem javnem razpisu, </w:t>
      </w:r>
      <w:r w:rsidR="00907589" w:rsidRPr="00900F8E">
        <w:rPr>
          <w:sz w:val="22"/>
          <w:szCs w:val="22"/>
          <w:lang w:val="sl-SI"/>
        </w:rPr>
        <w:t xml:space="preserve">je </w:t>
      </w:r>
      <w:r w:rsidR="00A93486" w:rsidRPr="00900F8E">
        <w:rPr>
          <w:sz w:val="22"/>
          <w:szCs w:val="22"/>
          <w:lang w:val="sl-SI"/>
        </w:rPr>
        <w:t>znaša</w:t>
      </w:r>
      <w:r w:rsidR="00907589" w:rsidRPr="00900F8E">
        <w:rPr>
          <w:sz w:val="22"/>
          <w:szCs w:val="22"/>
          <w:lang w:val="sl-SI"/>
        </w:rPr>
        <w:t>la</w:t>
      </w:r>
      <w:r w:rsidR="00A93486" w:rsidRPr="00900F8E">
        <w:rPr>
          <w:sz w:val="22"/>
          <w:szCs w:val="22"/>
          <w:lang w:val="sl-SI"/>
        </w:rPr>
        <w:t xml:space="preserve"> okvirno 16 milijon</w:t>
      </w:r>
      <w:r w:rsidR="0052118C">
        <w:rPr>
          <w:sz w:val="22"/>
          <w:szCs w:val="22"/>
          <w:lang w:val="sl-SI"/>
        </w:rPr>
        <w:t>ov</w:t>
      </w:r>
      <w:r w:rsidR="00A93486" w:rsidRPr="00900F8E">
        <w:rPr>
          <w:sz w:val="22"/>
          <w:szCs w:val="22"/>
          <w:lang w:val="sl-SI"/>
        </w:rPr>
        <w:t xml:space="preserve"> evrov</w:t>
      </w:r>
      <w:r w:rsidR="00907589" w:rsidRPr="00900F8E">
        <w:rPr>
          <w:sz w:val="22"/>
          <w:szCs w:val="22"/>
          <w:lang w:val="sl-SI"/>
        </w:rPr>
        <w:t>. Ministrstvo za infrastrukturo</w:t>
      </w:r>
      <w:r w:rsidR="00B25658">
        <w:rPr>
          <w:sz w:val="22"/>
          <w:szCs w:val="22"/>
          <w:lang w:val="sl-SI"/>
        </w:rPr>
        <w:t xml:space="preserve"> RS</w:t>
      </w:r>
      <w:r w:rsidR="00907589" w:rsidRPr="00900F8E">
        <w:rPr>
          <w:sz w:val="22"/>
          <w:szCs w:val="22"/>
          <w:lang w:val="sl-SI"/>
        </w:rPr>
        <w:t xml:space="preserve"> je objavilo tudi javni razpis za sofinanciranje nakupa in vgradnje naprav za proizvodnjo električne energije z izrabo sončne energije, kar vključuje tudi nakup in vgradnjo tovrstnih naprav za namen samooskrbe z električno energijo ter hranilnikov energije.</w:t>
      </w:r>
      <w:r w:rsidR="00907589" w:rsidRPr="00900F8E">
        <w:t xml:space="preserve"> </w:t>
      </w:r>
      <w:r w:rsidR="00907589" w:rsidRPr="00900F8E">
        <w:rPr>
          <w:sz w:val="22"/>
          <w:szCs w:val="22"/>
          <w:lang w:val="sl-SI"/>
        </w:rPr>
        <w:t>Višina razpisanih sredstev je bila 19.092.930,69 evra</w:t>
      </w:r>
      <w:r w:rsidR="00A93486" w:rsidRPr="00900F8E">
        <w:rPr>
          <w:sz w:val="22"/>
          <w:szCs w:val="22"/>
          <w:lang w:val="sl-SI"/>
        </w:rPr>
        <w:t>;</w:t>
      </w:r>
    </w:p>
    <w:p w14:paraId="65EB2CF1" w14:textId="3A3131BB" w:rsidR="00864818" w:rsidRPr="00900F8E" w:rsidRDefault="00481AF4" w:rsidP="008E2160">
      <w:pPr>
        <w:pStyle w:val="Odstavekseznama"/>
        <w:numPr>
          <w:ilvl w:val="0"/>
          <w:numId w:val="14"/>
        </w:numPr>
        <w:spacing w:after="0"/>
        <w:jc w:val="both"/>
        <w:rPr>
          <w:rFonts w:ascii="Arial" w:hAnsi="Arial" w:cs="Arial"/>
          <w:color w:val="000000"/>
        </w:rPr>
      </w:pPr>
      <w:r w:rsidRPr="00900F8E">
        <w:rPr>
          <w:rFonts w:ascii="Arial" w:hAnsi="Arial" w:cs="Arial"/>
        </w:rPr>
        <w:t xml:space="preserve">SID banka je prek Sklada skladov in drugih programov ponujala povratna sredstva prek </w:t>
      </w:r>
      <w:r w:rsidR="00864818" w:rsidRPr="00900F8E">
        <w:rPr>
          <w:rFonts w:ascii="Arial" w:hAnsi="Arial" w:cs="Arial"/>
        </w:rPr>
        <w:t>k</w:t>
      </w:r>
      <w:r w:rsidRPr="00900F8E">
        <w:rPr>
          <w:rFonts w:ascii="Arial" w:hAnsi="Arial" w:cs="Arial"/>
        </w:rPr>
        <w:t>reditov</w:t>
      </w:r>
      <w:r w:rsidR="00864818" w:rsidRPr="00900F8E">
        <w:rPr>
          <w:rFonts w:ascii="Arial" w:hAnsi="Arial" w:cs="Arial"/>
        </w:rPr>
        <w:t xml:space="preserve">. Nadaljeval se je </w:t>
      </w:r>
      <w:r w:rsidR="00864818" w:rsidRPr="00900F8E">
        <w:rPr>
          <w:rFonts w:ascii="Arial" w:hAnsi="Arial" w:cs="Arial"/>
          <w:color w:val="000000"/>
        </w:rPr>
        <w:t>program za financiranje tehnološko-razvojnih projektov (RRI3)</w:t>
      </w:r>
      <w:r w:rsidR="00475664" w:rsidRPr="00900F8E">
        <w:rPr>
          <w:rFonts w:ascii="Arial" w:hAnsi="Arial" w:cs="Arial"/>
        </w:rPr>
        <w:t xml:space="preserve"> in</w:t>
      </w:r>
      <w:r w:rsidR="00475664" w:rsidRPr="00900F8E">
        <w:rPr>
          <w:rFonts w:ascii="Arial" w:hAnsi="Arial" w:cs="Arial"/>
          <w:color w:val="000000"/>
        </w:rPr>
        <w:t xml:space="preserve"> p</w:t>
      </w:r>
      <w:r w:rsidR="007D5090" w:rsidRPr="00900F8E">
        <w:rPr>
          <w:rFonts w:ascii="Arial" w:hAnsi="Arial" w:cs="Arial"/>
          <w:color w:val="000000"/>
        </w:rPr>
        <w:t>rogram financiranja naložb v gozdno</w:t>
      </w:r>
      <w:r w:rsidR="0052118C">
        <w:rPr>
          <w:rFonts w:ascii="Arial" w:hAnsi="Arial" w:cs="Arial"/>
          <w:color w:val="000000"/>
        </w:rPr>
        <w:t>-</w:t>
      </w:r>
      <w:r w:rsidR="007D5090" w:rsidRPr="00900F8E">
        <w:rPr>
          <w:rFonts w:ascii="Arial" w:hAnsi="Arial" w:cs="Arial"/>
          <w:color w:val="000000"/>
        </w:rPr>
        <w:t>lesno predelovalno verigo (LES 1)</w:t>
      </w:r>
      <w:r w:rsidR="00864818" w:rsidRPr="00900F8E">
        <w:rPr>
          <w:rFonts w:ascii="Arial" w:hAnsi="Arial" w:cs="Arial"/>
          <w:color w:val="000000"/>
        </w:rPr>
        <w:t>.</w:t>
      </w:r>
      <w:r w:rsidR="00475664" w:rsidRPr="00900F8E">
        <w:rPr>
          <w:rFonts w:ascii="Arial" w:hAnsi="Arial" w:cs="Arial"/>
          <w:color w:val="000000"/>
        </w:rPr>
        <w:t xml:space="preserve"> Izvajal se je program za financiranje naložb in kapitalskega utrjevanja </w:t>
      </w:r>
      <w:r w:rsidR="007946ED" w:rsidRPr="00900F8E">
        <w:rPr>
          <w:rFonts w:ascii="Arial" w:hAnsi="Arial" w:cs="Arial"/>
          <w:color w:val="000000"/>
        </w:rPr>
        <w:t>malih in srednje velikih podjetij</w:t>
      </w:r>
      <w:r w:rsidR="00475664" w:rsidRPr="00900F8E">
        <w:rPr>
          <w:rFonts w:ascii="Arial" w:hAnsi="Arial" w:cs="Arial"/>
          <w:color w:val="000000"/>
        </w:rPr>
        <w:t xml:space="preserve"> (MSP 7) in financiranje podjetij vseh velikosti za obratna sredstva in naložbe (OSN) z možnostjo jamstva Panevropskega garancijskega sklada</w:t>
      </w:r>
      <w:r w:rsidR="00475664" w:rsidRPr="00900F8E">
        <w:rPr>
          <w:rFonts w:ascii="Arial" w:hAnsi="Arial" w:cs="Arial"/>
        </w:rPr>
        <w:t>.</w:t>
      </w:r>
      <w:r w:rsidR="00864818" w:rsidRPr="00900F8E">
        <w:rPr>
          <w:rFonts w:ascii="Arial" w:hAnsi="Arial" w:cs="Arial"/>
          <w:color w:val="000000"/>
        </w:rPr>
        <w:t xml:space="preserve"> </w:t>
      </w:r>
      <w:r w:rsidR="00475664" w:rsidRPr="00900F8E">
        <w:rPr>
          <w:rFonts w:ascii="Arial" w:hAnsi="Arial" w:cs="Arial"/>
          <w:color w:val="000000"/>
        </w:rPr>
        <w:t>V</w:t>
      </w:r>
      <w:r w:rsidR="00411729" w:rsidRPr="00900F8E">
        <w:rPr>
          <w:rFonts w:ascii="Arial" w:hAnsi="Arial" w:cs="Arial"/>
          <w:color w:val="000000"/>
        </w:rPr>
        <w:t xml:space="preserve"> okviru f</w:t>
      </w:r>
      <w:r w:rsidR="003A54D1" w:rsidRPr="00900F8E">
        <w:rPr>
          <w:rFonts w:ascii="Arial" w:hAnsi="Arial" w:cs="Arial"/>
          <w:color w:val="000000"/>
        </w:rPr>
        <w:t>inanciranj</w:t>
      </w:r>
      <w:r w:rsidR="00411729" w:rsidRPr="00900F8E">
        <w:rPr>
          <w:rFonts w:ascii="Arial" w:hAnsi="Arial" w:cs="Arial"/>
          <w:color w:val="000000"/>
        </w:rPr>
        <w:t>a</w:t>
      </w:r>
      <w:r w:rsidR="003A54D1" w:rsidRPr="00900F8E">
        <w:rPr>
          <w:rFonts w:ascii="Arial" w:hAnsi="Arial" w:cs="Arial"/>
          <w:color w:val="000000"/>
        </w:rPr>
        <w:t xml:space="preserve"> naložbenih projektov, ki prispevajo k prehodu v krožno gospodarstvo (NALOŽBE 3)</w:t>
      </w:r>
      <w:r w:rsidR="00411729" w:rsidRPr="00900F8E">
        <w:rPr>
          <w:rFonts w:ascii="Arial" w:hAnsi="Arial" w:cs="Arial"/>
          <w:color w:val="000000"/>
        </w:rPr>
        <w:t xml:space="preserve">, je bilo </w:t>
      </w:r>
      <w:r w:rsidR="0096694E" w:rsidRPr="00900F8E">
        <w:rPr>
          <w:rFonts w:ascii="Arial" w:hAnsi="Arial" w:cs="Arial"/>
          <w:color w:val="000000"/>
        </w:rPr>
        <w:t xml:space="preserve">za en projekt </w:t>
      </w:r>
      <w:r w:rsidR="00411729" w:rsidRPr="00900F8E">
        <w:rPr>
          <w:rFonts w:ascii="Arial" w:hAnsi="Arial" w:cs="Arial"/>
          <w:color w:val="000000"/>
        </w:rPr>
        <w:t>odobrenih 9,4 milijona evrov</w:t>
      </w:r>
      <w:r w:rsidR="0096694E" w:rsidRPr="00900F8E">
        <w:rPr>
          <w:rFonts w:ascii="Arial" w:hAnsi="Arial" w:cs="Arial"/>
          <w:color w:val="000000"/>
        </w:rPr>
        <w:t>.</w:t>
      </w:r>
      <w:r w:rsidR="00411729" w:rsidRPr="00900F8E">
        <w:rPr>
          <w:rFonts w:ascii="Arial" w:hAnsi="Arial" w:cs="Arial"/>
          <w:color w:val="000000"/>
        </w:rPr>
        <w:t xml:space="preserve"> </w:t>
      </w:r>
      <w:r w:rsidR="00AC0B7B" w:rsidRPr="00900F8E">
        <w:rPr>
          <w:rFonts w:ascii="Arial" w:hAnsi="Arial" w:cs="Arial"/>
          <w:color w:val="000000"/>
        </w:rPr>
        <w:t xml:space="preserve">Iz Sklada skladov covid-19 so se financirale naložbe </w:t>
      </w:r>
      <w:r w:rsidR="00D4691C">
        <w:rPr>
          <w:rFonts w:ascii="Arial" w:hAnsi="Arial" w:cs="Arial"/>
          <w:color w:val="000000"/>
        </w:rPr>
        <w:t xml:space="preserve">za </w:t>
      </w:r>
      <w:r w:rsidR="00AC0B7B" w:rsidRPr="00900F8E">
        <w:rPr>
          <w:rFonts w:ascii="Arial" w:hAnsi="Arial" w:cs="Arial"/>
          <w:color w:val="000000"/>
        </w:rPr>
        <w:t xml:space="preserve">RRI. V okviru EKP posojil RRI je bilo razpoložljivih sredstev 11 milijonov evrov. SID banka je na podlagi dogovora </w:t>
      </w:r>
      <w:r w:rsidR="002E74F3" w:rsidRPr="00900F8E">
        <w:rPr>
          <w:rFonts w:ascii="Arial" w:hAnsi="Arial" w:cs="Arial"/>
          <w:color w:val="000000"/>
        </w:rPr>
        <w:t>z</w:t>
      </w:r>
      <w:r w:rsidR="002E74F3" w:rsidRPr="00900F8E">
        <w:rPr>
          <w:rFonts w:ascii="Arial" w:hAnsi="Arial" w:cs="Arial"/>
        </w:rPr>
        <w:t xml:space="preserve"> </w:t>
      </w:r>
      <w:r w:rsidR="002E74F3" w:rsidRPr="00900F8E">
        <w:rPr>
          <w:rFonts w:ascii="Arial" w:hAnsi="Arial" w:cs="Arial"/>
          <w:color w:val="000000"/>
        </w:rPr>
        <w:t>Ministrstvom za gospodarski razvoj in tehnologijo</w:t>
      </w:r>
      <w:r w:rsidR="00B25658">
        <w:rPr>
          <w:rFonts w:ascii="Arial" w:hAnsi="Arial" w:cs="Arial"/>
          <w:color w:val="000000"/>
        </w:rPr>
        <w:t xml:space="preserve"> RS</w:t>
      </w:r>
      <w:r w:rsidR="00AC0B7B" w:rsidRPr="00900F8E">
        <w:rPr>
          <w:rFonts w:ascii="Arial" w:hAnsi="Arial" w:cs="Arial"/>
          <w:color w:val="000000"/>
        </w:rPr>
        <w:t xml:space="preserve"> povečala sredstva za 9,9 milijona evrov</w:t>
      </w:r>
      <w:r w:rsidR="00F43549" w:rsidRPr="00900F8E">
        <w:rPr>
          <w:rFonts w:ascii="Arial" w:hAnsi="Arial" w:cs="Arial"/>
          <w:color w:val="000000"/>
        </w:rPr>
        <w:t>. Neto dani krediti iz naslova vseh programov finančnega inženiringa SID banke so ob koncu leta 2021 znašali 420,8 milijona evrov. Podpisanih je bilo 49 pogodb v vrednosti 50,2 milijona evrov</w:t>
      </w:r>
      <w:r w:rsidR="006F1D83" w:rsidRPr="00900F8E">
        <w:rPr>
          <w:rFonts w:ascii="Arial" w:hAnsi="Arial" w:cs="Arial"/>
          <w:color w:val="000000"/>
        </w:rPr>
        <w:t>;</w:t>
      </w:r>
    </w:p>
    <w:p w14:paraId="5F37F292" w14:textId="46C070B3" w:rsidR="00FD0ECE" w:rsidRPr="00900F8E" w:rsidRDefault="008E2160" w:rsidP="00C83956">
      <w:pPr>
        <w:pStyle w:val="Default"/>
        <w:numPr>
          <w:ilvl w:val="0"/>
          <w:numId w:val="14"/>
        </w:numPr>
        <w:jc w:val="both"/>
        <w:rPr>
          <w:sz w:val="22"/>
          <w:szCs w:val="22"/>
          <w:lang w:val="sl-SI"/>
        </w:rPr>
      </w:pPr>
      <w:r w:rsidRPr="00900F8E">
        <w:rPr>
          <w:sz w:val="22"/>
          <w:szCs w:val="22"/>
          <w:lang w:val="sl-SI"/>
        </w:rPr>
        <w:t xml:space="preserve">Slovenski podjetniški sklad je objavil REVAV-15-Vavčer. Namen vavčerja je </w:t>
      </w:r>
      <w:r w:rsidR="00E33A95" w:rsidRPr="00900F8E">
        <w:rPr>
          <w:sz w:val="22"/>
          <w:szCs w:val="22"/>
          <w:lang w:val="sl-SI"/>
        </w:rPr>
        <w:t>malim in srednje velikim podjetjem</w:t>
      </w:r>
      <w:r w:rsidRPr="00900F8E">
        <w:rPr>
          <w:sz w:val="22"/>
          <w:szCs w:val="22"/>
          <w:lang w:val="sl-SI"/>
        </w:rPr>
        <w:t xml:space="preserve"> omogočiti izvedbo celostnega vrednotenja okoljskih vplivov, ki nastajajo v življenjskem ciklu izdelka. Višina razpisanih sredstev znaša 309.000 evrov;</w:t>
      </w:r>
    </w:p>
    <w:p w14:paraId="0837C02F" w14:textId="0C4DADFA" w:rsidR="008E2160" w:rsidRPr="00900F8E" w:rsidRDefault="008E2160" w:rsidP="00C83956">
      <w:pPr>
        <w:pStyle w:val="Default"/>
        <w:numPr>
          <w:ilvl w:val="0"/>
          <w:numId w:val="14"/>
        </w:numPr>
        <w:jc w:val="both"/>
        <w:rPr>
          <w:sz w:val="22"/>
          <w:szCs w:val="22"/>
          <w:lang w:val="sl-SI"/>
        </w:rPr>
      </w:pPr>
      <w:r w:rsidRPr="00900F8E">
        <w:rPr>
          <w:sz w:val="22"/>
          <w:szCs w:val="22"/>
          <w:lang w:val="sl-SI"/>
        </w:rPr>
        <w:t xml:space="preserve">agencija SPIRIT je objavila javni poziv Varovanje inovacijskega potenciala, katerega namen je sofinanciranje upravičenih stroškov dela raziskovalca, pri čemer se </w:t>
      </w:r>
      <w:proofErr w:type="spellStart"/>
      <w:r w:rsidRPr="00900F8E">
        <w:rPr>
          <w:sz w:val="22"/>
          <w:szCs w:val="22"/>
          <w:lang w:val="sl-SI"/>
        </w:rPr>
        <w:t>raziskovalnorazvojna</w:t>
      </w:r>
      <w:proofErr w:type="spellEnd"/>
      <w:r w:rsidRPr="00900F8E">
        <w:rPr>
          <w:sz w:val="22"/>
          <w:szCs w:val="22"/>
          <w:lang w:val="sl-SI"/>
        </w:rPr>
        <w:t xml:space="preserve"> in inovacijska dejavnost prijavitelja uvršča v vsaj eno od prednostnih področij uporabe veljavne Slovenske strategije pametne specializacije – S4 in prispeva tudi k digitalnemu ali zelenemu gospodarstvu. Razpisanih je 7 milijon</w:t>
      </w:r>
      <w:r w:rsidR="00CB1CA3" w:rsidRPr="00900F8E">
        <w:rPr>
          <w:sz w:val="22"/>
          <w:szCs w:val="22"/>
          <w:lang w:val="sl-SI"/>
        </w:rPr>
        <w:t>ov</w:t>
      </w:r>
      <w:r w:rsidRPr="00900F8E">
        <w:rPr>
          <w:sz w:val="22"/>
          <w:szCs w:val="22"/>
          <w:lang w:val="sl-SI"/>
        </w:rPr>
        <w:t xml:space="preserve"> evrov;</w:t>
      </w:r>
    </w:p>
    <w:p w14:paraId="29C999C8" w14:textId="620F7C40" w:rsidR="00C25339" w:rsidRPr="00900F8E" w:rsidRDefault="00C25339" w:rsidP="00C25339">
      <w:pPr>
        <w:pStyle w:val="Default"/>
        <w:numPr>
          <w:ilvl w:val="0"/>
          <w:numId w:val="14"/>
        </w:numPr>
        <w:jc w:val="both"/>
        <w:rPr>
          <w:sz w:val="22"/>
          <w:szCs w:val="22"/>
          <w:lang w:val="sl-SI"/>
        </w:rPr>
      </w:pPr>
      <w:r w:rsidRPr="00900F8E">
        <w:rPr>
          <w:sz w:val="22"/>
          <w:szCs w:val="22"/>
          <w:lang w:val="sl-SI"/>
        </w:rPr>
        <w:t>uvajanje sistemov za upravljanje energij</w:t>
      </w:r>
      <w:r w:rsidR="00327BE4">
        <w:rPr>
          <w:sz w:val="22"/>
          <w:szCs w:val="22"/>
          <w:lang w:val="sl-SI"/>
        </w:rPr>
        <w:t>e</w:t>
      </w:r>
      <w:r w:rsidRPr="00900F8E">
        <w:rPr>
          <w:sz w:val="22"/>
          <w:szCs w:val="22"/>
          <w:lang w:val="sl-SI"/>
        </w:rPr>
        <w:t xml:space="preserve"> se spodbuja tudi v okviru obveznosti dobaviteljev energije za doseganje prihrankov končne energije pri končnih odjemalcih. Leta 2020 je bilo v tem okviru z uvajanjem sistemov upravljanja energij</w:t>
      </w:r>
      <w:r w:rsidR="00CE259A">
        <w:rPr>
          <w:sz w:val="22"/>
          <w:szCs w:val="22"/>
          <w:lang w:val="sl-SI"/>
        </w:rPr>
        <w:t>e</w:t>
      </w:r>
      <w:r w:rsidRPr="00900F8E">
        <w:rPr>
          <w:sz w:val="22"/>
          <w:szCs w:val="22"/>
          <w:lang w:val="sl-SI"/>
        </w:rPr>
        <w:t xml:space="preserve"> v industriji doseženo zmanjšanje rabe energije za 70,9 GWh in zmanjšanje emisij 20,3 kt</w:t>
      </w:r>
      <w:r w:rsidR="00F15480" w:rsidRPr="00900F8E">
        <w:rPr>
          <w:sz w:val="22"/>
          <w:szCs w:val="22"/>
          <w:lang w:val="sl-SI"/>
        </w:rPr>
        <w:t xml:space="preserve"> ekv. CO</w:t>
      </w:r>
      <w:r w:rsidR="00F15480" w:rsidRPr="00900F8E">
        <w:rPr>
          <w:sz w:val="22"/>
          <w:szCs w:val="22"/>
          <w:vertAlign w:val="subscript"/>
          <w:lang w:val="sl-SI"/>
        </w:rPr>
        <w:t>2</w:t>
      </w:r>
      <w:r w:rsidRPr="00900F8E">
        <w:rPr>
          <w:sz w:val="22"/>
          <w:szCs w:val="22"/>
          <w:lang w:val="sl-SI"/>
        </w:rPr>
        <w:t xml:space="preserve"> na leto;</w:t>
      </w:r>
    </w:p>
    <w:p w14:paraId="0541FD84" w14:textId="06E4213A" w:rsidR="0007578A" w:rsidRPr="00900F8E" w:rsidRDefault="002F1E2B" w:rsidP="00C83956">
      <w:pPr>
        <w:pStyle w:val="Default"/>
        <w:numPr>
          <w:ilvl w:val="0"/>
          <w:numId w:val="14"/>
        </w:numPr>
        <w:jc w:val="both"/>
        <w:rPr>
          <w:sz w:val="22"/>
          <w:szCs w:val="22"/>
          <w:lang w:val="sl-SI"/>
        </w:rPr>
      </w:pPr>
      <w:r w:rsidRPr="00900F8E">
        <w:rPr>
          <w:sz w:val="22"/>
          <w:szCs w:val="22"/>
          <w:lang w:val="sl-SI"/>
        </w:rPr>
        <w:t>v Sloveniji je bilo prvič registriranih 71.329 avtomobilov, v katerih je večina imela v klimatskih napravah plin HFO-1234yf, kar je emisije HFC na letni ravni znižalo za 7 kt</w:t>
      </w:r>
      <w:r w:rsidR="00F15480" w:rsidRPr="00900F8E">
        <w:rPr>
          <w:sz w:val="22"/>
          <w:szCs w:val="22"/>
          <w:lang w:val="sl-SI"/>
        </w:rPr>
        <w:t xml:space="preserve"> ekv. CO</w:t>
      </w:r>
      <w:r w:rsidR="00F15480" w:rsidRPr="00900F8E">
        <w:rPr>
          <w:sz w:val="22"/>
          <w:szCs w:val="22"/>
          <w:vertAlign w:val="subscript"/>
          <w:lang w:val="sl-SI"/>
        </w:rPr>
        <w:t>2</w:t>
      </w:r>
      <w:r w:rsidRPr="00900F8E">
        <w:rPr>
          <w:sz w:val="22"/>
          <w:szCs w:val="22"/>
          <w:lang w:val="sl-SI"/>
        </w:rPr>
        <w:t>.</w:t>
      </w:r>
    </w:p>
    <w:p w14:paraId="164CD933" w14:textId="3958CD46" w:rsidR="00C83956" w:rsidRDefault="00C83956" w:rsidP="008817E8">
      <w:pPr>
        <w:pStyle w:val="Default"/>
        <w:jc w:val="both"/>
        <w:rPr>
          <w:sz w:val="22"/>
          <w:szCs w:val="22"/>
          <w:lang w:val="sl-SI"/>
        </w:rPr>
      </w:pPr>
    </w:p>
    <w:p w14:paraId="1EC7CF39" w14:textId="77777777" w:rsidR="00100DF6" w:rsidRPr="00900F8E" w:rsidRDefault="00100DF6" w:rsidP="008817E8">
      <w:pPr>
        <w:pStyle w:val="Default"/>
        <w:jc w:val="both"/>
        <w:rPr>
          <w:sz w:val="22"/>
          <w:szCs w:val="22"/>
          <w:lang w:val="sl-SI"/>
        </w:rPr>
      </w:pPr>
    </w:p>
    <w:p w14:paraId="11C90AAE" w14:textId="3A1B3995" w:rsidR="00C82A07" w:rsidRPr="00900F8E" w:rsidRDefault="003825D3" w:rsidP="0065545E">
      <w:pPr>
        <w:pStyle w:val="Naslov2"/>
        <w:rPr>
          <w:rFonts w:ascii="Arial" w:hAnsi="Arial" w:cs="Arial"/>
          <w:color w:val="auto"/>
        </w:rPr>
      </w:pPr>
      <w:bookmarkStart w:id="35" w:name="_Toc120166941"/>
      <w:r w:rsidRPr="00900F8E">
        <w:rPr>
          <w:rFonts w:ascii="Arial" w:hAnsi="Arial" w:cs="Arial"/>
          <w:color w:val="auto"/>
        </w:rPr>
        <w:t>4</w:t>
      </w:r>
      <w:r w:rsidR="00C82A07" w:rsidRPr="00900F8E">
        <w:rPr>
          <w:rFonts w:ascii="Arial" w:hAnsi="Arial" w:cs="Arial"/>
          <w:color w:val="auto"/>
        </w:rPr>
        <w:t xml:space="preserve">.6 </w:t>
      </w:r>
      <w:r w:rsidR="00327BE4">
        <w:rPr>
          <w:rFonts w:ascii="Arial" w:hAnsi="Arial" w:cs="Arial"/>
          <w:color w:val="auto"/>
        </w:rPr>
        <w:t xml:space="preserve">Energetika </w:t>
      </w:r>
      <w:r w:rsidR="00100DF6">
        <w:rPr>
          <w:rFonts w:ascii="Arial" w:hAnsi="Arial" w:cs="Arial"/>
          <w:color w:val="auto"/>
        </w:rPr>
        <w:t>n</w:t>
      </w:r>
      <w:r w:rsidR="00920F43" w:rsidRPr="00900F8E">
        <w:rPr>
          <w:rFonts w:ascii="Arial" w:hAnsi="Arial" w:cs="Arial"/>
          <w:color w:val="auto"/>
        </w:rPr>
        <w:t>eETS</w:t>
      </w:r>
      <w:bookmarkEnd w:id="35"/>
      <w:r w:rsidR="000F67B2" w:rsidRPr="00900F8E">
        <w:rPr>
          <w:rFonts w:ascii="Arial" w:hAnsi="Arial" w:cs="Arial"/>
          <w:color w:val="auto"/>
        </w:rPr>
        <w:t xml:space="preserve"> </w:t>
      </w:r>
    </w:p>
    <w:p w14:paraId="68AB757F" w14:textId="77777777" w:rsidR="00C82A07" w:rsidRPr="00900F8E" w:rsidRDefault="00C82A07" w:rsidP="00C82A07">
      <w:pPr>
        <w:spacing w:after="0" w:line="240" w:lineRule="auto"/>
        <w:jc w:val="both"/>
        <w:rPr>
          <w:rFonts w:ascii="Arial" w:hAnsi="Arial" w:cs="Arial"/>
        </w:rPr>
      </w:pPr>
    </w:p>
    <w:p w14:paraId="450C6A5D" w14:textId="2FD7604D" w:rsidR="00C82A07" w:rsidRPr="00900F8E" w:rsidRDefault="00327BE4" w:rsidP="00C82A07">
      <w:pPr>
        <w:spacing w:after="0" w:line="240" w:lineRule="auto"/>
        <w:jc w:val="both"/>
        <w:rPr>
          <w:rFonts w:ascii="Arial" w:hAnsi="Arial" w:cs="Arial"/>
        </w:rPr>
      </w:pPr>
      <w:r>
        <w:rPr>
          <w:rFonts w:ascii="Arial" w:hAnsi="Arial" w:cs="Arial"/>
        </w:rPr>
        <w:t>Dejavnosti</w:t>
      </w:r>
      <w:r w:rsidR="00594330">
        <w:rPr>
          <w:rFonts w:ascii="Arial" w:hAnsi="Arial" w:cs="Arial"/>
        </w:rPr>
        <w:t>,</w:t>
      </w:r>
      <w:r w:rsidRPr="00900F8E">
        <w:rPr>
          <w:rFonts w:ascii="Arial" w:hAnsi="Arial" w:cs="Arial"/>
        </w:rPr>
        <w:t xml:space="preserve"> </w:t>
      </w:r>
      <w:r w:rsidR="00096FA6" w:rsidRPr="00900F8E">
        <w:rPr>
          <w:rFonts w:ascii="Arial" w:hAnsi="Arial" w:cs="Arial"/>
        </w:rPr>
        <w:t>izvedene na področju energetike</w:t>
      </w:r>
      <w:r w:rsidR="00786519" w:rsidRPr="00900F8E">
        <w:rPr>
          <w:rFonts w:ascii="Arial" w:hAnsi="Arial" w:cs="Arial"/>
        </w:rPr>
        <w:t xml:space="preserve"> </w:t>
      </w:r>
      <w:r w:rsidR="00920F43" w:rsidRPr="00900F8E">
        <w:rPr>
          <w:rFonts w:ascii="Arial" w:hAnsi="Arial" w:cs="Arial"/>
        </w:rPr>
        <w:t>neETS</w:t>
      </w:r>
      <w:r w:rsidR="00096FA6" w:rsidRPr="00900F8E">
        <w:rPr>
          <w:rFonts w:ascii="Arial" w:hAnsi="Arial" w:cs="Arial"/>
        </w:rPr>
        <w:t xml:space="preserve"> v letu 2020</w:t>
      </w:r>
      <w:r w:rsidR="001D6649">
        <w:rPr>
          <w:rFonts w:ascii="Arial" w:hAnsi="Arial" w:cs="Arial"/>
        </w:rPr>
        <w:t>,</w:t>
      </w:r>
      <w:r w:rsidR="00096FA6" w:rsidRPr="00900F8E">
        <w:rPr>
          <w:rFonts w:ascii="Arial" w:hAnsi="Arial" w:cs="Arial"/>
        </w:rPr>
        <w:t xml:space="preserve"> so bile:</w:t>
      </w:r>
    </w:p>
    <w:p w14:paraId="0437FF36" w14:textId="4D22C7E9" w:rsidR="00096FA6" w:rsidRPr="00900F8E" w:rsidRDefault="00490DCC" w:rsidP="00E02BBA">
      <w:pPr>
        <w:pStyle w:val="Odstavekseznama"/>
        <w:numPr>
          <w:ilvl w:val="0"/>
          <w:numId w:val="6"/>
        </w:numPr>
        <w:spacing w:after="0" w:line="240" w:lineRule="auto"/>
        <w:jc w:val="both"/>
        <w:rPr>
          <w:rFonts w:ascii="Arial" w:hAnsi="Arial" w:cs="Arial"/>
        </w:rPr>
      </w:pPr>
      <w:r w:rsidRPr="00900F8E">
        <w:rPr>
          <w:rFonts w:ascii="Arial" w:hAnsi="Arial" w:cs="Arial"/>
        </w:rPr>
        <w:t>Agencija za energijo je v skladu s 50. členom ZURE pripravila pregled energetske učinkovitosti distribucijskih sistemov toplote in hladu</w:t>
      </w:r>
      <w:r w:rsidR="00E04794" w:rsidRPr="00900F8E">
        <w:rPr>
          <w:rFonts w:ascii="Arial" w:hAnsi="Arial" w:cs="Arial"/>
        </w:rPr>
        <w:t xml:space="preserve">. Med 108 analiziranimi sistemi </w:t>
      </w:r>
      <w:r w:rsidR="001D6F08" w:rsidRPr="00900F8E">
        <w:rPr>
          <w:rFonts w:ascii="Arial" w:hAnsi="Arial" w:cs="Arial"/>
        </w:rPr>
        <w:t>daljinskega ogrevanja (</w:t>
      </w:r>
      <w:r w:rsidR="00E04794" w:rsidRPr="00900F8E">
        <w:rPr>
          <w:rFonts w:ascii="Arial" w:hAnsi="Arial" w:cs="Arial"/>
        </w:rPr>
        <w:t>DO</w:t>
      </w:r>
      <w:r w:rsidR="001D6F08" w:rsidRPr="00900F8E">
        <w:rPr>
          <w:rFonts w:ascii="Arial" w:hAnsi="Arial" w:cs="Arial"/>
        </w:rPr>
        <w:t>)</w:t>
      </w:r>
      <w:r w:rsidR="00E04794" w:rsidRPr="00900F8E">
        <w:rPr>
          <w:rFonts w:ascii="Arial" w:hAnsi="Arial" w:cs="Arial"/>
        </w:rPr>
        <w:t xml:space="preserve"> je bilo učinkovitih 61 %. </w:t>
      </w:r>
      <w:r w:rsidR="00327BE4">
        <w:rPr>
          <w:rFonts w:ascii="Arial" w:hAnsi="Arial" w:cs="Arial"/>
        </w:rPr>
        <w:t>Merilo</w:t>
      </w:r>
      <w:r w:rsidR="00327BE4" w:rsidRPr="00900F8E">
        <w:rPr>
          <w:rFonts w:ascii="Arial" w:hAnsi="Arial" w:cs="Arial"/>
        </w:rPr>
        <w:t xml:space="preserve"> </w:t>
      </w:r>
      <w:r w:rsidR="00E04794" w:rsidRPr="00900F8E">
        <w:rPr>
          <w:rFonts w:ascii="Arial" w:hAnsi="Arial" w:cs="Arial"/>
        </w:rPr>
        <w:t xml:space="preserve">OVE, ki določa, da je vsaj 50 % toplote proizvedene posredno ali neposredno iz </w:t>
      </w:r>
      <w:r w:rsidR="00005E5F" w:rsidRPr="00900F8E">
        <w:rPr>
          <w:rFonts w:ascii="Arial" w:hAnsi="Arial" w:cs="Arial"/>
        </w:rPr>
        <w:t>OVE</w:t>
      </w:r>
      <w:r w:rsidR="00E04794" w:rsidRPr="00900F8E">
        <w:rPr>
          <w:rFonts w:ascii="Arial" w:hAnsi="Arial" w:cs="Arial"/>
        </w:rPr>
        <w:t xml:space="preserve">, izpolnjuje 46 % sistemov, po </w:t>
      </w:r>
      <w:r w:rsidR="00327BE4">
        <w:rPr>
          <w:rFonts w:ascii="Arial" w:hAnsi="Arial" w:cs="Arial"/>
        </w:rPr>
        <w:lastRenderedPageBreak/>
        <w:t>merilu</w:t>
      </w:r>
      <w:r w:rsidR="00327BE4" w:rsidRPr="00900F8E">
        <w:rPr>
          <w:rFonts w:ascii="Arial" w:hAnsi="Arial" w:cs="Arial"/>
        </w:rPr>
        <w:t xml:space="preserve"> </w:t>
      </w:r>
      <w:r w:rsidR="00E04794" w:rsidRPr="00900F8E">
        <w:rPr>
          <w:rFonts w:ascii="Arial" w:hAnsi="Arial" w:cs="Arial"/>
        </w:rPr>
        <w:t xml:space="preserve">vsaj 50 % odvečne toplote ni bil energetsko učinkovit noben sistem, </w:t>
      </w:r>
      <w:r w:rsidR="00327BE4">
        <w:rPr>
          <w:rFonts w:ascii="Arial" w:hAnsi="Arial" w:cs="Arial"/>
        </w:rPr>
        <w:t>merilo</w:t>
      </w:r>
      <w:r w:rsidR="00327BE4" w:rsidRPr="00900F8E">
        <w:rPr>
          <w:rFonts w:ascii="Arial" w:hAnsi="Arial" w:cs="Arial"/>
        </w:rPr>
        <w:t xml:space="preserve"> </w:t>
      </w:r>
      <w:r w:rsidR="00E04794" w:rsidRPr="00900F8E">
        <w:rPr>
          <w:rFonts w:ascii="Arial" w:hAnsi="Arial" w:cs="Arial"/>
        </w:rPr>
        <w:t>vsaj 75</w:t>
      </w:r>
      <w:r w:rsidR="00327BE4">
        <w:rPr>
          <w:rFonts w:ascii="Arial" w:hAnsi="Arial" w:cs="Arial"/>
        </w:rPr>
        <w:t> </w:t>
      </w:r>
      <w:r w:rsidR="00E04794" w:rsidRPr="00900F8E">
        <w:rPr>
          <w:rFonts w:ascii="Arial" w:hAnsi="Arial" w:cs="Arial"/>
        </w:rPr>
        <w:t>% toplote iz soproizvodnje</w:t>
      </w:r>
      <w:r w:rsidR="00651893" w:rsidRPr="00900F8E">
        <w:rPr>
          <w:rFonts w:ascii="Arial" w:hAnsi="Arial" w:cs="Arial"/>
        </w:rPr>
        <w:t xml:space="preserve"> toplote in električne energije</w:t>
      </w:r>
      <w:r w:rsidR="00E04794" w:rsidRPr="00900F8E">
        <w:rPr>
          <w:rFonts w:ascii="Arial" w:hAnsi="Arial" w:cs="Arial"/>
        </w:rPr>
        <w:t xml:space="preserve"> (SPTE) pa je izpolnilo 14 % sistemov. Izpolnitev kombiniranega </w:t>
      </w:r>
      <w:r w:rsidR="00327BE4">
        <w:rPr>
          <w:rFonts w:ascii="Arial" w:hAnsi="Arial" w:cs="Arial"/>
        </w:rPr>
        <w:t>merila</w:t>
      </w:r>
      <w:r w:rsidR="00327BE4" w:rsidRPr="00900F8E">
        <w:rPr>
          <w:rFonts w:ascii="Arial" w:hAnsi="Arial" w:cs="Arial"/>
        </w:rPr>
        <w:t xml:space="preserve"> </w:t>
      </w:r>
      <w:r w:rsidR="00E04794" w:rsidRPr="00900F8E">
        <w:rPr>
          <w:rFonts w:ascii="Arial" w:hAnsi="Arial" w:cs="Arial"/>
        </w:rPr>
        <w:t>vsaj 50 % proizvedene toplote iz najmanj dveh virov iz prejšnjih treh možnosti je doseglo 9 % sistemov DO;</w:t>
      </w:r>
    </w:p>
    <w:p w14:paraId="0380F276" w14:textId="624805E7" w:rsidR="00E04794" w:rsidRPr="00900F8E" w:rsidRDefault="001D6F08" w:rsidP="00E02BBA">
      <w:pPr>
        <w:pStyle w:val="Odstavekseznama"/>
        <w:numPr>
          <w:ilvl w:val="0"/>
          <w:numId w:val="6"/>
        </w:numPr>
        <w:spacing w:after="0" w:line="240" w:lineRule="auto"/>
        <w:jc w:val="both"/>
        <w:rPr>
          <w:rFonts w:ascii="Arial" w:hAnsi="Arial" w:cs="Arial"/>
        </w:rPr>
      </w:pPr>
      <w:r w:rsidRPr="00900F8E">
        <w:rPr>
          <w:rFonts w:ascii="Arial" w:hAnsi="Arial" w:cs="Arial"/>
        </w:rPr>
        <w:t xml:space="preserve">do konca leta 2020 je bilo za sisteme </w:t>
      </w:r>
      <w:r w:rsidR="003350CD" w:rsidRPr="00900F8E">
        <w:rPr>
          <w:rFonts w:ascii="Arial" w:hAnsi="Arial" w:cs="Arial"/>
        </w:rPr>
        <w:t>daljinskega ogrevanja na obnovljive vire energije (</w:t>
      </w:r>
      <w:r w:rsidR="00D4691C">
        <w:rPr>
          <w:rFonts w:ascii="Arial" w:hAnsi="Arial" w:cs="Arial"/>
        </w:rPr>
        <w:t xml:space="preserve">v </w:t>
      </w:r>
      <w:r w:rsidR="00930529">
        <w:rPr>
          <w:rFonts w:ascii="Arial" w:hAnsi="Arial" w:cs="Arial"/>
        </w:rPr>
        <w:t>nadaljnjem besedilu</w:t>
      </w:r>
      <w:r w:rsidR="00D4691C">
        <w:rPr>
          <w:rFonts w:ascii="Arial" w:hAnsi="Arial" w:cs="Arial"/>
        </w:rPr>
        <w:t xml:space="preserve">: </w:t>
      </w:r>
      <w:r w:rsidRPr="00900F8E">
        <w:rPr>
          <w:rFonts w:ascii="Arial" w:hAnsi="Arial" w:cs="Arial"/>
        </w:rPr>
        <w:t>DO OVE</w:t>
      </w:r>
      <w:r w:rsidR="003350CD" w:rsidRPr="00900F8E">
        <w:rPr>
          <w:rFonts w:ascii="Arial" w:hAnsi="Arial" w:cs="Arial"/>
        </w:rPr>
        <w:t>)</w:t>
      </w:r>
      <w:r w:rsidRPr="00900F8E">
        <w:rPr>
          <w:rFonts w:ascii="Arial" w:hAnsi="Arial" w:cs="Arial"/>
        </w:rPr>
        <w:t xml:space="preserve"> v okviru treh razpisov skupaj razpisanih 39 milijonov evrov nepovratnih sredstev. </w:t>
      </w:r>
      <w:r w:rsidR="001325F8" w:rsidRPr="00900F8E">
        <w:rPr>
          <w:rFonts w:ascii="Arial" w:hAnsi="Arial" w:cs="Arial"/>
        </w:rPr>
        <w:t xml:space="preserve">Zadnji razpis je bil namenjen gradnji sistemov s kotlovsko kapaciteto največ do 10 MW in </w:t>
      </w:r>
      <w:proofErr w:type="spellStart"/>
      <w:r w:rsidR="001325F8" w:rsidRPr="00900F8E">
        <w:rPr>
          <w:rFonts w:ascii="Arial" w:hAnsi="Arial" w:cs="Arial"/>
        </w:rPr>
        <w:t>mikrosistemov</w:t>
      </w:r>
      <w:proofErr w:type="spellEnd"/>
      <w:r w:rsidR="001325F8" w:rsidRPr="00900F8E">
        <w:rPr>
          <w:rFonts w:ascii="Arial" w:hAnsi="Arial" w:cs="Arial"/>
        </w:rPr>
        <w:t xml:space="preserve"> DO OVE s kotlovsko kapaciteto največ do 1 MW ter širitvam daljinskega omrežja pri obstoječih sistemih DO OVE. </w:t>
      </w:r>
      <w:r w:rsidRPr="00900F8E">
        <w:rPr>
          <w:rFonts w:ascii="Arial" w:hAnsi="Arial" w:cs="Arial"/>
        </w:rPr>
        <w:t>Desetim upravičencem je bilo skupno dodeljenih 7,54 milijona evrov;</w:t>
      </w:r>
    </w:p>
    <w:p w14:paraId="4AB6524F" w14:textId="11DF6983" w:rsidR="001D6F08" w:rsidRPr="00900F8E" w:rsidRDefault="004B450D" w:rsidP="00E02BBA">
      <w:pPr>
        <w:pStyle w:val="Odstavekseznama"/>
        <w:numPr>
          <w:ilvl w:val="0"/>
          <w:numId w:val="6"/>
        </w:numPr>
        <w:spacing w:after="0" w:line="240" w:lineRule="auto"/>
        <w:jc w:val="both"/>
        <w:rPr>
          <w:rFonts w:ascii="Arial" w:hAnsi="Arial" w:cs="Arial"/>
        </w:rPr>
      </w:pPr>
      <w:r>
        <w:rPr>
          <w:rFonts w:ascii="Arial" w:hAnsi="Arial" w:cs="Arial"/>
        </w:rPr>
        <w:t>končana</w:t>
      </w:r>
      <w:r w:rsidRPr="00900F8E">
        <w:rPr>
          <w:rFonts w:ascii="Arial" w:hAnsi="Arial" w:cs="Arial"/>
        </w:rPr>
        <w:t xml:space="preserve"> </w:t>
      </w:r>
      <w:r w:rsidR="003350CD" w:rsidRPr="00900F8E">
        <w:rPr>
          <w:rFonts w:ascii="Arial" w:hAnsi="Arial" w:cs="Arial"/>
        </w:rPr>
        <w:t>je bila ena operacija iz razpisa DO OVE 2017 v vrednosti 749</w:t>
      </w:r>
      <w:r w:rsidR="00B10C85">
        <w:rPr>
          <w:rFonts w:ascii="Arial" w:hAnsi="Arial" w:cs="Arial"/>
        </w:rPr>
        <w:t>.000</w:t>
      </w:r>
      <w:r w:rsidR="003350CD" w:rsidRPr="00900F8E">
        <w:rPr>
          <w:rFonts w:ascii="Arial" w:hAnsi="Arial" w:cs="Arial"/>
        </w:rPr>
        <w:t xml:space="preserve"> evrov in dve iz razpisa DO OVE 2019 v skupni vrednosti 685</w:t>
      </w:r>
      <w:r w:rsidR="009E3AD1">
        <w:rPr>
          <w:rFonts w:ascii="Arial" w:hAnsi="Arial" w:cs="Arial"/>
        </w:rPr>
        <w:t>.000</w:t>
      </w:r>
      <w:r w:rsidR="003350CD" w:rsidRPr="00900F8E">
        <w:rPr>
          <w:rFonts w:ascii="Arial" w:hAnsi="Arial" w:cs="Arial"/>
        </w:rPr>
        <w:t xml:space="preserve"> evrov;</w:t>
      </w:r>
    </w:p>
    <w:p w14:paraId="3E749DE0" w14:textId="789B424B" w:rsidR="003350CD" w:rsidRPr="00900F8E" w:rsidRDefault="003350CD" w:rsidP="00E02BBA">
      <w:pPr>
        <w:pStyle w:val="Odstavekseznama"/>
        <w:numPr>
          <w:ilvl w:val="0"/>
          <w:numId w:val="6"/>
        </w:numPr>
        <w:spacing w:after="0" w:line="240" w:lineRule="auto"/>
        <w:jc w:val="both"/>
        <w:rPr>
          <w:rFonts w:ascii="Arial" w:hAnsi="Arial" w:cs="Arial"/>
        </w:rPr>
      </w:pPr>
      <w:r w:rsidRPr="00900F8E">
        <w:rPr>
          <w:rFonts w:ascii="Arial" w:hAnsi="Arial" w:cs="Arial"/>
        </w:rPr>
        <w:t xml:space="preserve">objavljen je bil javni razpis za Program razvoja podeželja za podukrep 6.4 </w:t>
      </w:r>
      <w:r w:rsidR="009E3AD1">
        <w:rPr>
          <w:rFonts w:ascii="Arial" w:hAnsi="Arial" w:cs="Arial"/>
        </w:rPr>
        <w:t>p</w:t>
      </w:r>
      <w:r w:rsidRPr="00900F8E">
        <w:rPr>
          <w:rFonts w:ascii="Arial" w:hAnsi="Arial" w:cs="Arial"/>
        </w:rPr>
        <w:t xml:space="preserve">odpora za naložbe v vzpostavitev in razvoj nekmetijskih dejavnosti, kamor </w:t>
      </w:r>
      <w:r w:rsidR="009E3AD1">
        <w:rPr>
          <w:rFonts w:ascii="Arial" w:hAnsi="Arial" w:cs="Arial"/>
        </w:rPr>
        <w:t>spada</w:t>
      </w:r>
      <w:r w:rsidR="009E3AD1" w:rsidRPr="00900F8E">
        <w:rPr>
          <w:rFonts w:ascii="Arial" w:hAnsi="Arial" w:cs="Arial"/>
        </w:rPr>
        <w:t xml:space="preserve"> </w:t>
      </w:r>
      <w:r w:rsidRPr="00900F8E">
        <w:rPr>
          <w:rFonts w:ascii="Arial" w:hAnsi="Arial" w:cs="Arial"/>
        </w:rPr>
        <w:t>tudi pridobivanje električne energije in toplote iz OVE, kot so lesna masa, gnoj, voda, veter ali sonce, in ki je namenjena za prodajo, razen bioplina in biogoriv. Višina razpisanih nepovratnih sredstev je znašala do vključno 15 milijonov evrov. Na razpis je prispelo 253 vlog v skupni višini zaprošenih sredstev 29,2 milijona evrov;</w:t>
      </w:r>
    </w:p>
    <w:p w14:paraId="0A906ECC" w14:textId="0860D184" w:rsidR="00881FA1" w:rsidRPr="00900F8E" w:rsidRDefault="008C35A1" w:rsidP="00E02BBA">
      <w:pPr>
        <w:pStyle w:val="Odstavekseznama"/>
        <w:numPr>
          <w:ilvl w:val="0"/>
          <w:numId w:val="6"/>
        </w:numPr>
        <w:spacing w:after="0" w:line="240" w:lineRule="auto"/>
        <w:jc w:val="both"/>
        <w:rPr>
          <w:rFonts w:ascii="Arial" w:hAnsi="Arial" w:cs="Arial"/>
        </w:rPr>
      </w:pPr>
      <w:r w:rsidRPr="00900F8E">
        <w:rPr>
          <w:rFonts w:ascii="Arial" w:hAnsi="Arial" w:cs="Arial"/>
        </w:rPr>
        <w:t xml:space="preserve">Eko sklad je v okviru javnega poziva 82FS-PO20 ponudil finančne spodbude v višini 11 milijonov evrov za nove naložbe v URE in </w:t>
      </w:r>
      <w:r w:rsidR="00005E5F" w:rsidRPr="00900F8E">
        <w:rPr>
          <w:rFonts w:ascii="Arial" w:hAnsi="Arial" w:cs="Arial"/>
        </w:rPr>
        <w:t>OVE</w:t>
      </w:r>
      <w:r w:rsidRPr="00900F8E">
        <w:rPr>
          <w:rFonts w:ascii="Arial" w:hAnsi="Arial" w:cs="Arial"/>
        </w:rPr>
        <w:t xml:space="preserve">, in sicer za zamenjavo toplotne postaje ali vgradnjo toplotne postaje za priklop na sistem daljinskega ogrevanja. </w:t>
      </w:r>
      <w:r w:rsidR="00936788" w:rsidRPr="00900F8E">
        <w:rPr>
          <w:rFonts w:ascii="Arial" w:hAnsi="Arial" w:cs="Arial"/>
        </w:rPr>
        <w:t xml:space="preserve">V okviru </w:t>
      </w:r>
      <w:r w:rsidR="00BF0146" w:rsidRPr="00900F8E">
        <w:rPr>
          <w:rFonts w:ascii="Arial" w:hAnsi="Arial" w:cs="Arial"/>
        </w:rPr>
        <w:t>javnega poziva</w:t>
      </w:r>
      <w:r w:rsidR="00936788" w:rsidRPr="00900F8E">
        <w:rPr>
          <w:rFonts w:ascii="Arial" w:hAnsi="Arial" w:cs="Arial"/>
        </w:rPr>
        <w:t xml:space="preserve"> 64PO20 in </w:t>
      </w:r>
      <w:r w:rsidR="00BF0146" w:rsidRPr="00900F8E">
        <w:rPr>
          <w:rFonts w:ascii="Arial" w:hAnsi="Arial" w:cs="Arial"/>
        </w:rPr>
        <w:t>javnega poziva</w:t>
      </w:r>
      <w:r w:rsidR="00936788" w:rsidRPr="00900F8E">
        <w:rPr>
          <w:rFonts w:ascii="Arial" w:hAnsi="Arial" w:cs="Arial"/>
        </w:rPr>
        <w:t xml:space="preserve"> 64P021 so podjetja lahko kandidirala za kredite za okoljske naložbe v višini 20 milijonov evrov</w:t>
      </w:r>
      <w:r w:rsidR="00881FA1" w:rsidRPr="00900F8E">
        <w:rPr>
          <w:rFonts w:ascii="Arial" w:hAnsi="Arial" w:cs="Arial"/>
        </w:rPr>
        <w:t>. V</w:t>
      </w:r>
      <w:r w:rsidR="00BC0281" w:rsidRPr="00900F8E">
        <w:rPr>
          <w:rFonts w:ascii="Arial" w:hAnsi="Arial" w:cs="Arial"/>
        </w:rPr>
        <w:t xml:space="preserve"> sklopu pozivov 54SUB-OB17 in 74SUB-OB19 so bili s 3700 evri nepovratnih sredstev podprti </w:t>
      </w:r>
      <w:r w:rsidR="009E3AD1">
        <w:rPr>
          <w:rFonts w:ascii="Arial" w:hAnsi="Arial" w:cs="Arial"/>
        </w:rPr>
        <w:t>trije</w:t>
      </w:r>
      <w:r w:rsidR="00BC0281" w:rsidRPr="00900F8E">
        <w:rPr>
          <w:rFonts w:ascii="Arial" w:hAnsi="Arial" w:cs="Arial"/>
        </w:rPr>
        <w:t xml:space="preserve"> priklopi starejše eno- ali dvostanovanjske stavbe na sisteme DO</w:t>
      </w:r>
      <w:r w:rsidR="00881FA1" w:rsidRPr="00900F8E">
        <w:rPr>
          <w:rFonts w:ascii="Arial" w:hAnsi="Arial" w:cs="Arial"/>
        </w:rPr>
        <w:t>. Z izvedbo projektov za trajnostni razvoj obstoječih sistemov DO, ki so bili v letu 2020 podprti z nepovratnimi sredstvi Eko sklada, je bilo doseženo zmanjšanje rabe energije za 31 MWh</w:t>
      </w:r>
      <w:r w:rsidR="00944F02" w:rsidRPr="00900F8E">
        <w:rPr>
          <w:rFonts w:ascii="Arial" w:hAnsi="Arial" w:cs="Arial"/>
        </w:rPr>
        <w:t xml:space="preserve"> na </w:t>
      </w:r>
      <w:r w:rsidR="00881FA1" w:rsidRPr="00900F8E">
        <w:rPr>
          <w:rFonts w:ascii="Arial" w:hAnsi="Arial" w:cs="Arial"/>
        </w:rPr>
        <w:t xml:space="preserve">leto in zmanjšanje emisije </w:t>
      </w:r>
      <w:r w:rsidR="00944F02" w:rsidRPr="00900F8E">
        <w:rPr>
          <w:rFonts w:ascii="Arial" w:hAnsi="Arial" w:cs="Arial"/>
        </w:rPr>
        <w:t>CO</w:t>
      </w:r>
      <w:r w:rsidR="00944F02" w:rsidRPr="00900F8E">
        <w:rPr>
          <w:rFonts w:ascii="Arial" w:hAnsi="Arial" w:cs="Arial"/>
          <w:vertAlign w:val="subscript"/>
        </w:rPr>
        <w:t>2</w:t>
      </w:r>
      <w:r w:rsidR="00881FA1" w:rsidRPr="00900F8E">
        <w:rPr>
          <w:rFonts w:ascii="Arial" w:hAnsi="Arial" w:cs="Arial"/>
        </w:rPr>
        <w:t xml:space="preserve"> za 10 t</w:t>
      </w:r>
      <w:r w:rsidR="00944F02" w:rsidRPr="00900F8E">
        <w:rPr>
          <w:rFonts w:ascii="Arial" w:hAnsi="Arial" w:cs="Arial"/>
        </w:rPr>
        <w:t xml:space="preserve"> na </w:t>
      </w:r>
      <w:r w:rsidR="00881FA1" w:rsidRPr="00900F8E">
        <w:rPr>
          <w:rFonts w:ascii="Arial" w:hAnsi="Arial" w:cs="Arial"/>
        </w:rPr>
        <w:t xml:space="preserve">leto. </w:t>
      </w:r>
    </w:p>
    <w:p w14:paraId="36DD3C02" w14:textId="1B76D7C3" w:rsidR="0066089C" w:rsidRPr="00900F8E" w:rsidRDefault="0066089C" w:rsidP="00C82A07">
      <w:pPr>
        <w:spacing w:after="0" w:line="240" w:lineRule="auto"/>
        <w:jc w:val="both"/>
        <w:rPr>
          <w:rFonts w:ascii="Arial" w:hAnsi="Arial" w:cs="Arial"/>
        </w:rPr>
      </w:pPr>
    </w:p>
    <w:p w14:paraId="6BB29A13" w14:textId="05527432" w:rsidR="00C83956" w:rsidRPr="00900F8E" w:rsidRDefault="00C83956" w:rsidP="00C83956">
      <w:pPr>
        <w:pStyle w:val="Default"/>
        <w:jc w:val="both"/>
        <w:rPr>
          <w:sz w:val="22"/>
          <w:szCs w:val="22"/>
          <w:lang w:val="sl-SI"/>
        </w:rPr>
      </w:pPr>
      <w:r w:rsidRPr="00900F8E">
        <w:rPr>
          <w:sz w:val="22"/>
          <w:szCs w:val="22"/>
          <w:lang w:val="sl-SI"/>
        </w:rPr>
        <w:t>V letu 2021 so se izvajal</w:t>
      </w:r>
      <w:r w:rsidR="00334F23" w:rsidRPr="00900F8E">
        <w:rPr>
          <w:sz w:val="22"/>
          <w:szCs w:val="22"/>
          <w:lang w:val="sl-SI"/>
        </w:rPr>
        <w:t>e</w:t>
      </w:r>
      <w:r w:rsidRPr="00900F8E">
        <w:rPr>
          <w:sz w:val="22"/>
          <w:szCs w:val="22"/>
          <w:lang w:val="sl-SI"/>
        </w:rPr>
        <w:t xml:space="preserve"> naslednj</w:t>
      </w:r>
      <w:r w:rsidR="00334F23" w:rsidRPr="00900F8E">
        <w:rPr>
          <w:sz w:val="22"/>
          <w:szCs w:val="22"/>
          <w:lang w:val="sl-SI"/>
        </w:rPr>
        <w:t>e</w:t>
      </w:r>
      <w:r w:rsidRPr="00900F8E">
        <w:rPr>
          <w:sz w:val="22"/>
          <w:szCs w:val="22"/>
          <w:lang w:val="sl-SI"/>
        </w:rPr>
        <w:t xml:space="preserve"> </w:t>
      </w:r>
      <w:r w:rsidR="00AF66CF">
        <w:rPr>
          <w:sz w:val="22"/>
          <w:szCs w:val="22"/>
          <w:lang w:val="sl-SI"/>
        </w:rPr>
        <w:t>dejavnosti</w:t>
      </w:r>
      <w:r w:rsidRPr="00900F8E">
        <w:rPr>
          <w:sz w:val="22"/>
          <w:szCs w:val="22"/>
          <w:lang w:val="sl-SI"/>
        </w:rPr>
        <w:t>:</w:t>
      </w:r>
    </w:p>
    <w:p w14:paraId="39401D58" w14:textId="60322FDD" w:rsidR="00C83956" w:rsidRPr="00900F8E" w:rsidRDefault="00C3078B" w:rsidP="00922589">
      <w:pPr>
        <w:pStyle w:val="Odstavekseznama"/>
        <w:numPr>
          <w:ilvl w:val="0"/>
          <w:numId w:val="17"/>
        </w:numPr>
        <w:spacing w:after="0" w:line="240" w:lineRule="auto"/>
        <w:jc w:val="both"/>
        <w:rPr>
          <w:rFonts w:ascii="Arial" w:hAnsi="Arial" w:cs="Arial"/>
        </w:rPr>
      </w:pPr>
      <w:r w:rsidRPr="00900F8E">
        <w:rPr>
          <w:rFonts w:ascii="Arial" w:hAnsi="Arial" w:cs="Arial"/>
        </w:rPr>
        <w:t>v</w:t>
      </w:r>
      <w:r w:rsidR="00A8747A" w:rsidRPr="00900F8E">
        <w:rPr>
          <w:rFonts w:ascii="Arial" w:hAnsi="Arial" w:cs="Arial"/>
        </w:rPr>
        <w:t xml:space="preserve"> skladu </w:t>
      </w:r>
      <w:r w:rsidR="00AF66CF">
        <w:rPr>
          <w:rFonts w:ascii="Arial" w:hAnsi="Arial" w:cs="Arial"/>
        </w:rPr>
        <w:t>s</w:t>
      </w:r>
      <w:r w:rsidR="00A8747A" w:rsidRPr="00900F8E">
        <w:rPr>
          <w:rFonts w:ascii="Arial" w:hAnsi="Arial" w:cs="Arial"/>
        </w:rPr>
        <w:t xml:space="preserve"> </w:t>
      </w:r>
      <w:r w:rsidR="00D1404A" w:rsidRPr="00900F8E">
        <w:rPr>
          <w:rFonts w:ascii="Arial" w:hAnsi="Arial" w:cs="Arial"/>
        </w:rPr>
        <w:t xml:space="preserve">50. členom ZURE </w:t>
      </w:r>
      <w:r w:rsidR="00A8747A" w:rsidRPr="00900F8E">
        <w:rPr>
          <w:rFonts w:ascii="Arial" w:hAnsi="Arial" w:cs="Arial"/>
        </w:rPr>
        <w:t>je bilo</w:t>
      </w:r>
      <w:r w:rsidR="00D1404A" w:rsidRPr="00900F8E">
        <w:rPr>
          <w:rFonts w:ascii="Arial" w:hAnsi="Arial" w:cs="Arial"/>
        </w:rPr>
        <w:t xml:space="preserve"> </w:t>
      </w:r>
      <w:r w:rsidR="00DD68E3" w:rsidRPr="00900F8E">
        <w:rPr>
          <w:rFonts w:ascii="Arial" w:hAnsi="Arial" w:cs="Arial"/>
        </w:rPr>
        <w:t xml:space="preserve">učinkovitih sistemov DO 67. </w:t>
      </w:r>
      <w:r w:rsidR="00655789">
        <w:rPr>
          <w:rFonts w:ascii="Arial" w:hAnsi="Arial" w:cs="Arial"/>
        </w:rPr>
        <w:t>Merilo</w:t>
      </w:r>
      <w:r w:rsidR="00655789" w:rsidRPr="00900F8E">
        <w:rPr>
          <w:rFonts w:ascii="Arial" w:hAnsi="Arial" w:cs="Arial"/>
        </w:rPr>
        <w:t xml:space="preserve"> </w:t>
      </w:r>
      <w:r w:rsidR="005675FA" w:rsidRPr="00900F8E">
        <w:rPr>
          <w:rFonts w:ascii="Arial" w:hAnsi="Arial" w:cs="Arial"/>
        </w:rPr>
        <w:t xml:space="preserve">OVE, ki določa, da je vsaj 50 % toplote proizvedene posredno ali neposredno iz </w:t>
      </w:r>
      <w:r w:rsidR="00272EDB">
        <w:rPr>
          <w:rFonts w:ascii="Arial" w:hAnsi="Arial" w:cs="Arial"/>
        </w:rPr>
        <w:t>OVE</w:t>
      </w:r>
      <w:r w:rsidR="005675FA" w:rsidRPr="00900F8E">
        <w:rPr>
          <w:rFonts w:ascii="Arial" w:hAnsi="Arial" w:cs="Arial"/>
        </w:rPr>
        <w:t>, izpolnjuje 53 sistemov</w:t>
      </w:r>
      <w:r w:rsidR="00A8747A" w:rsidRPr="00900F8E">
        <w:rPr>
          <w:rFonts w:ascii="Arial" w:hAnsi="Arial" w:cs="Arial"/>
        </w:rPr>
        <w:t xml:space="preserve"> (47 %)</w:t>
      </w:r>
      <w:r w:rsidR="005675FA" w:rsidRPr="00900F8E">
        <w:rPr>
          <w:rFonts w:ascii="Arial" w:hAnsi="Arial" w:cs="Arial"/>
        </w:rPr>
        <w:t xml:space="preserve">, po </w:t>
      </w:r>
      <w:r w:rsidR="00655789">
        <w:rPr>
          <w:rFonts w:ascii="Arial" w:hAnsi="Arial" w:cs="Arial"/>
        </w:rPr>
        <w:t>merilu</w:t>
      </w:r>
      <w:r w:rsidR="00655789" w:rsidRPr="00900F8E">
        <w:rPr>
          <w:rFonts w:ascii="Arial" w:hAnsi="Arial" w:cs="Arial"/>
        </w:rPr>
        <w:t xml:space="preserve"> </w:t>
      </w:r>
      <w:r w:rsidR="005675FA" w:rsidRPr="00900F8E">
        <w:rPr>
          <w:rFonts w:ascii="Arial" w:hAnsi="Arial" w:cs="Arial"/>
        </w:rPr>
        <w:t xml:space="preserve">vsaj 50 % odvečne toplote ni energetsko učinkovit noben sistem. Pri </w:t>
      </w:r>
      <w:r w:rsidR="00655789">
        <w:rPr>
          <w:rFonts w:ascii="Arial" w:hAnsi="Arial" w:cs="Arial"/>
        </w:rPr>
        <w:t>merilu</w:t>
      </w:r>
      <w:r w:rsidR="00655789" w:rsidRPr="00900F8E">
        <w:rPr>
          <w:rFonts w:ascii="Arial" w:hAnsi="Arial" w:cs="Arial"/>
        </w:rPr>
        <w:t xml:space="preserve"> </w:t>
      </w:r>
      <w:r w:rsidR="005675FA" w:rsidRPr="00900F8E">
        <w:rPr>
          <w:rFonts w:ascii="Arial" w:hAnsi="Arial" w:cs="Arial"/>
        </w:rPr>
        <w:t>vsaj 75% toplote iz SPTE je t</w:t>
      </w:r>
      <w:r w:rsidR="00655789">
        <w:rPr>
          <w:rFonts w:ascii="Arial" w:hAnsi="Arial" w:cs="Arial"/>
        </w:rPr>
        <w:t>o</w:t>
      </w:r>
      <w:r w:rsidR="005675FA" w:rsidRPr="00900F8E">
        <w:rPr>
          <w:rFonts w:ascii="Arial" w:hAnsi="Arial" w:cs="Arial"/>
        </w:rPr>
        <w:t xml:space="preserve"> </w:t>
      </w:r>
      <w:r w:rsidR="00655789">
        <w:rPr>
          <w:rFonts w:ascii="Arial" w:hAnsi="Arial" w:cs="Arial"/>
        </w:rPr>
        <w:t>merilo</w:t>
      </w:r>
      <w:r w:rsidR="00655789" w:rsidRPr="00900F8E">
        <w:rPr>
          <w:rFonts w:ascii="Arial" w:hAnsi="Arial" w:cs="Arial"/>
        </w:rPr>
        <w:t xml:space="preserve"> </w:t>
      </w:r>
      <w:r w:rsidR="005675FA" w:rsidRPr="00900F8E">
        <w:rPr>
          <w:rFonts w:ascii="Arial" w:hAnsi="Arial" w:cs="Arial"/>
        </w:rPr>
        <w:t xml:space="preserve">izpolnilo 11 sistemov (10 %). Izpolnitev kombiniranega </w:t>
      </w:r>
      <w:r w:rsidR="00655789">
        <w:rPr>
          <w:rFonts w:ascii="Arial" w:hAnsi="Arial" w:cs="Arial"/>
        </w:rPr>
        <w:t>merila</w:t>
      </w:r>
      <w:r w:rsidR="00655789" w:rsidRPr="00900F8E">
        <w:rPr>
          <w:rFonts w:ascii="Arial" w:hAnsi="Arial" w:cs="Arial"/>
        </w:rPr>
        <w:t xml:space="preserve"> </w:t>
      </w:r>
      <w:r w:rsidR="005675FA" w:rsidRPr="00900F8E">
        <w:rPr>
          <w:rFonts w:ascii="Arial" w:hAnsi="Arial" w:cs="Arial"/>
        </w:rPr>
        <w:t xml:space="preserve">vsaj 50 % proizvedene toplote iz najmanj dveh virov iz prejšnjih treh možnosti je doseglo 12 sistemov DO. </w:t>
      </w:r>
      <w:r w:rsidR="00A8747A" w:rsidRPr="00900F8E">
        <w:rPr>
          <w:rFonts w:ascii="Arial" w:hAnsi="Arial" w:cs="Arial"/>
        </w:rPr>
        <w:t>K</w:t>
      </w:r>
      <w:r w:rsidR="005675FA" w:rsidRPr="00900F8E">
        <w:rPr>
          <w:rFonts w:ascii="Arial" w:hAnsi="Arial" w:cs="Arial"/>
        </w:rPr>
        <w:t>ar 40 % vseh sistemov DO je še vedno neučinkovitih</w:t>
      </w:r>
      <w:r w:rsidR="00592100" w:rsidRPr="00900F8E">
        <w:rPr>
          <w:rFonts w:ascii="Arial" w:hAnsi="Arial" w:cs="Arial"/>
        </w:rPr>
        <w:t>;</w:t>
      </w:r>
    </w:p>
    <w:p w14:paraId="178BC3E0" w14:textId="1FFB5410" w:rsidR="00C83956" w:rsidRPr="00900F8E" w:rsidRDefault="00564375" w:rsidP="00640804">
      <w:pPr>
        <w:pStyle w:val="Odstavekseznama"/>
        <w:numPr>
          <w:ilvl w:val="0"/>
          <w:numId w:val="17"/>
        </w:numPr>
        <w:spacing w:after="0" w:line="240" w:lineRule="auto"/>
        <w:jc w:val="both"/>
        <w:rPr>
          <w:rFonts w:ascii="Arial" w:hAnsi="Arial" w:cs="Arial"/>
        </w:rPr>
      </w:pPr>
      <w:r w:rsidRPr="00900F8E">
        <w:rPr>
          <w:rFonts w:ascii="Arial" w:hAnsi="Arial" w:cs="Arial"/>
        </w:rPr>
        <w:t xml:space="preserve">objavljen je bil javni razpis za sofinanciranje DO na OVE (JR DO OVE 2021) za dodelitev nepovratnih sredstev za sofinanciranje naložb v nove sisteme DO na lesno biomaso in sončno energijo ter v širitev sistemov DO OVE. Od razpisanih 16 milijonov evrov nepovratnih sredstev je bilo </w:t>
      </w:r>
      <w:r w:rsidR="00AF66CF">
        <w:rPr>
          <w:rFonts w:ascii="Arial" w:hAnsi="Arial" w:cs="Arial"/>
        </w:rPr>
        <w:t>štirim</w:t>
      </w:r>
      <w:r w:rsidRPr="00900F8E">
        <w:rPr>
          <w:rFonts w:ascii="Arial" w:hAnsi="Arial" w:cs="Arial"/>
        </w:rPr>
        <w:t xml:space="preserve"> upravičencem skupno dodeljenih 2,43 milijona evrov. </w:t>
      </w:r>
      <w:r w:rsidR="004B450D">
        <w:rPr>
          <w:rFonts w:ascii="Arial" w:hAnsi="Arial" w:cs="Arial"/>
        </w:rPr>
        <w:t>Končane</w:t>
      </w:r>
      <w:r w:rsidR="004B450D" w:rsidRPr="00900F8E">
        <w:rPr>
          <w:rFonts w:ascii="Arial" w:hAnsi="Arial" w:cs="Arial"/>
        </w:rPr>
        <w:t xml:space="preserve"> </w:t>
      </w:r>
      <w:r w:rsidRPr="00900F8E">
        <w:rPr>
          <w:rFonts w:ascii="Arial" w:hAnsi="Arial" w:cs="Arial"/>
        </w:rPr>
        <w:t>so bile štiri operacije iz razpisa DO OVE 2019 v skupni vrednosti upravičeni stroški 4,05 milijona evrov in dve operaciji iz JR DO OVE 2021 v vrednosti 1,44 milijona evrov. Skupni znesek sofinanciranja je znašal 2,16 milijona evrov, delež sofinanciranja za posamezen projekt je bil med 35 % in 65 %</w:t>
      </w:r>
      <w:r w:rsidR="00D229A1" w:rsidRPr="00900F8E">
        <w:rPr>
          <w:rFonts w:ascii="Arial" w:hAnsi="Arial" w:cs="Arial"/>
        </w:rPr>
        <w:t xml:space="preserve">. </w:t>
      </w:r>
      <w:r w:rsidRPr="00900F8E">
        <w:rPr>
          <w:rFonts w:ascii="Arial" w:hAnsi="Arial" w:cs="Arial"/>
        </w:rPr>
        <w:t xml:space="preserve">Z realizacijo operacij, ki so bile </w:t>
      </w:r>
      <w:r w:rsidR="004B450D">
        <w:rPr>
          <w:rFonts w:ascii="Arial" w:hAnsi="Arial" w:cs="Arial"/>
        </w:rPr>
        <w:t>končane</w:t>
      </w:r>
      <w:r w:rsidR="004B450D" w:rsidRPr="00900F8E">
        <w:rPr>
          <w:rFonts w:ascii="Arial" w:hAnsi="Arial" w:cs="Arial"/>
        </w:rPr>
        <w:t xml:space="preserve"> </w:t>
      </w:r>
      <w:r w:rsidRPr="00900F8E">
        <w:rPr>
          <w:rFonts w:ascii="Arial" w:hAnsi="Arial" w:cs="Arial"/>
        </w:rPr>
        <w:t>v letu 2021, se na letni ravni proizvodnja iz OVE povečuje za 4,52 GWh, vrednost emisij CO</w:t>
      </w:r>
      <w:r w:rsidRPr="00900F8E">
        <w:rPr>
          <w:rFonts w:ascii="Arial" w:hAnsi="Arial" w:cs="Arial"/>
          <w:vertAlign w:val="subscript"/>
        </w:rPr>
        <w:t>2</w:t>
      </w:r>
      <w:r w:rsidRPr="00900F8E">
        <w:rPr>
          <w:rFonts w:ascii="Arial" w:hAnsi="Arial" w:cs="Arial"/>
        </w:rPr>
        <w:t xml:space="preserve"> se zmanjšuje za 2,95 kt</w:t>
      </w:r>
      <w:r w:rsidR="00D229A1" w:rsidRPr="00900F8E">
        <w:rPr>
          <w:rFonts w:ascii="Arial" w:hAnsi="Arial" w:cs="Arial"/>
        </w:rPr>
        <w:t>;</w:t>
      </w:r>
    </w:p>
    <w:p w14:paraId="1360361A" w14:textId="7C6C912D" w:rsidR="00EB3C78" w:rsidRPr="00900F8E" w:rsidRDefault="00066A45" w:rsidP="00640804">
      <w:pPr>
        <w:pStyle w:val="Odstavekseznama"/>
        <w:numPr>
          <w:ilvl w:val="0"/>
          <w:numId w:val="17"/>
        </w:numPr>
        <w:spacing w:after="0" w:line="240" w:lineRule="auto"/>
        <w:jc w:val="both"/>
        <w:rPr>
          <w:rFonts w:ascii="Arial" w:hAnsi="Arial" w:cs="Arial"/>
        </w:rPr>
      </w:pPr>
      <w:r w:rsidRPr="00900F8E">
        <w:rPr>
          <w:rFonts w:ascii="Arial" w:hAnsi="Arial" w:cs="Arial"/>
        </w:rPr>
        <w:t xml:space="preserve">objavljen je bil drugi javni razpis za Program razvoja podeželja za podukrep 6.4 </w:t>
      </w:r>
      <w:r w:rsidR="00046485">
        <w:rPr>
          <w:rFonts w:ascii="Arial" w:hAnsi="Arial" w:cs="Arial"/>
        </w:rPr>
        <w:t>p</w:t>
      </w:r>
      <w:r w:rsidRPr="00900F8E">
        <w:rPr>
          <w:rFonts w:ascii="Arial" w:hAnsi="Arial" w:cs="Arial"/>
        </w:rPr>
        <w:t xml:space="preserve">odpora za naložbe v vzpostavitev in razvoj nekmetijskih dejavnosti. </w:t>
      </w:r>
      <w:r w:rsidR="0017038C" w:rsidRPr="00900F8E">
        <w:rPr>
          <w:rFonts w:ascii="Arial" w:hAnsi="Arial" w:cs="Arial"/>
        </w:rPr>
        <w:t>Sredstva so bila namenjena za naložbe, ki prispevajo k varovanju okolja oz</w:t>
      </w:r>
      <w:r w:rsidR="00046485">
        <w:rPr>
          <w:rFonts w:ascii="Arial" w:hAnsi="Arial" w:cs="Arial"/>
        </w:rPr>
        <w:t>iroma</w:t>
      </w:r>
      <w:r w:rsidR="0017038C" w:rsidRPr="00900F8E">
        <w:rPr>
          <w:rFonts w:ascii="Arial" w:hAnsi="Arial" w:cs="Arial"/>
        </w:rPr>
        <w:t xml:space="preserve"> zmanjšanju izpustov, v </w:t>
      </w:r>
      <w:r w:rsidR="00613339">
        <w:rPr>
          <w:rFonts w:ascii="Arial" w:hAnsi="Arial" w:cs="Arial"/>
        </w:rPr>
        <w:t>URE</w:t>
      </w:r>
      <w:r w:rsidR="0017038C" w:rsidRPr="00900F8E">
        <w:rPr>
          <w:rFonts w:ascii="Arial" w:hAnsi="Arial" w:cs="Arial"/>
        </w:rPr>
        <w:t xml:space="preserve">, posodobitev energetsko učinkovitih ogrevalnih sistemov in v pridobivanje elektrike in toplotne energije iz obnovljivih virov za namen prodaje. </w:t>
      </w:r>
      <w:r w:rsidR="00710AE0" w:rsidRPr="00900F8E">
        <w:rPr>
          <w:rFonts w:ascii="Arial" w:hAnsi="Arial" w:cs="Arial"/>
        </w:rPr>
        <w:t>Prevladoval</w:t>
      </w:r>
      <w:r w:rsidR="00C42CE6">
        <w:rPr>
          <w:rFonts w:ascii="Arial" w:hAnsi="Arial" w:cs="Arial"/>
        </w:rPr>
        <w:t>a</w:t>
      </w:r>
      <w:r w:rsidR="00710AE0" w:rsidRPr="00900F8E">
        <w:rPr>
          <w:rFonts w:ascii="Arial" w:hAnsi="Arial" w:cs="Arial"/>
        </w:rPr>
        <w:t xml:space="preserve"> sta gradnja sončnih elektrarn in nakup opreme za proizvodnjo sekancev. </w:t>
      </w:r>
      <w:r w:rsidR="0017038C" w:rsidRPr="00900F8E">
        <w:rPr>
          <w:rFonts w:ascii="Arial" w:hAnsi="Arial" w:cs="Arial"/>
        </w:rPr>
        <w:t>Odobrenih je bilo 14 vlog za naložbe v OVE v skupnem znesku 1,74 milijona evrov</w:t>
      </w:r>
      <w:r w:rsidR="00710AE0" w:rsidRPr="00900F8E">
        <w:rPr>
          <w:rFonts w:ascii="Arial" w:hAnsi="Arial" w:cs="Arial"/>
        </w:rPr>
        <w:t>.</w:t>
      </w:r>
    </w:p>
    <w:p w14:paraId="4FAA4679" w14:textId="48AB204F" w:rsidR="00CC1DEB" w:rsidRPr="00900F8E" w:rsidRDefault="003825D3" w:rsidP="0065545E">
      <w:pPr>
        <w:pStyle w:val="Naslov2"/>
        <w:rPr>
          <w:rFonts w:ascii="Arial" w:hAnsi="Arial" w:cs="Arial"/>
          <w:color w:val="auto"/>
        </w:rPr>
      </w:pPr>
      <w:bookmarkStart w:id="36" w:name="_Toc120166942"/>
      <w:r w:rsidRPr="00900F8E">
        <w:rPr>
          <w:rFonts w:ascii="Arial" w:hAnsi="Arial" w:cs="Arial"/>
          <w:color w:val="auto"/>
        </w:rPr>
        <w:lastRenderedPageBreak/>
        <w:t>4</w:t>
      </w:r>
      <w:r w:rsidR="00CC1DEB" w:rsidRPr="00900F8E">
        <w:rPr>
          <w:rFonts w:ascii="Arial" w:hAnsi="Arial" w:cs="Arial"/>
          <w:color w:val="auto"/>
        </w:rPr>
        <w:t>.</w:t>
      </w:r>
      <w:r w:rsidR="00C82A07" w:rsidRPr="00900F8E">
        <w:rPr>
          <w:rFonts w:ascii="Arial" w:hAnsi="Arial" w:cs="Arial"/>
          <w:color w:val="auto"/>
        </w:rPr>
        <w:t>7</w:t>
      </w:r>
      <w:r w:rsidR="00CC1DEB" w:rsidRPr="00900F8E">
        <w:rPr>
          <w:rFonts w:ascii="Arial" w:hAnsi="Arial" w:cs="Arial"/>
          <w:color w:val="auto"/>
        </w:rPr>
        <w:t xml:space="preserve"> Odpadki</w:t>
      </w:r>
      <w:bookmarkEnd w:id="36"/>
    </w:p>
    <w:p w14:paraId="4C2FAC3D" w14:textId="23D5E358" w:rsidR="00C46EC7" w:rsidRPr="00900F8E" w:rsidRDefault="00C46EC7" w:rsidP="00C52E4C">
      <w:pPr>
        <w:spacing w:after="0" w:line="240" w:lineRule="auto"/>
        <w:jc w:val="both"/>
        <w:rPr>
          <w:rFonts w:ascii="Arial" w:hAnsi="Arial" w:cs="Arial"/>
        </w:rPr>
      </w:pPr>
    </w:p>
    <w:p w14:paraId="0D015562" w14:textId="6C0A6B66" w:rsidR="00C46EC7" w:rsidRPr="00900F8E" w:rsidRDefault="00433DBD" w:rsidP="00C52E4C">
      <w:pPr>
        <w:spacing w:after="0" w:line="240" w:lineRule="auto"/>
        <w:jc w:val="both"/>
        <w:rPr>
          <w:rFonts w:ascii="Arial" w:hAnsi="Arial" w:cs="Arial"/>
        </w:rPr>
      </w:pPr>
      <w:r w:rsidRPr="00900F8E">
        <w:rPr>
          <w:rFonts w:ascii="Arial" w:hAnsi="Arial" w:cs="Arial"/>
        </w:rPr>
        <w:t>Na področju odpadkov so se v letu 2020 izvajali naslednji ukrepi:</w:t>
      </w:r>
    </w:p>
    <w:p w14:paraId="7BE6266E" w14:textId="53428CE4" w:rsidR="003F5EE2" w:rsidRPr="00900F8E" w:rsidRDefault="003F5EE2" w:rsidP="00E02BBA">
      <w:pPr>
        <w:pStyle w:val="Odstavekseznama"/>
        <w:numPr>
          <w:ilvl w:val="0"/>
          <w:numId w:val="7"/>
        </w:numPr>
        <w:spacing w:after="0" w:line="240" w:lineRule="auto"/>
        <w:jc w:val="both"/>
        <w:rPr>
          <w:rFonts w:ascii="Arial" w:hAnsi="Arial" w:cs="Arial"/>
        </w:rPr>
      </w:pPr>
      <w:r w:rsidRPr="00900F8E">
        <w:rPr>
          <w:rFonts w:ascii="Arial" w:hAnsi="Arial" w:cs="Arial"/>
        </w:rPr>
        <w:t>k sporazumu Skupnost slovenskih občin o spodbujanju zmanjšanja uporabe plastičnega pribora v slovenskih občinah je do leta 2020 pristopilo 48 občin;</w:t>
      </w:r>
    </w:p>
    <w:p w14:paraId="1E7281DB" w14:textId="7E1323BE" w:rsidR="003F5EE2" w:rsidRPr="00900F8E" w:rsidRDefault="003F5EE2" w:rsidP="00E02BBA">
      <w:pPr>
        <w:pStyle w:val="Odstavekseznama"/>
        <w:numPr>
          <w:ilvl w:val="0"/>
          <w:numId w:val="7"/>
        </w:numPr>
        <w:spacing w:after="0" w:line="240" w:lineRule="auto"/>
        <w:jc w:val="both"/>
        <w:rPr>
          <w:rFonts w:ascii="Arial" w:hAnsi="Arial" w:cs="Arial"/>
        </w:rPr>
      </w:pPr>
      <w:r w:rsidRPr="00900F8E">
        <w:rPr>
          <w:rFonts w:ascii="Arial" w:hAnsi="Arial" w:cs="Arial"/>
        </w:rPr>
        <w:t xml:space="preserve">v okviru projekta LIFE IP CARE4CLIMATE </w:t>
      </w:r>
      <w:r w:rsidR="00E33EC6" w:rsidRPr="00900F8E">
        <w:rPr>
          <w:rFonts w:ascii="Arial" w:hAnsi="Arial" w:cs="Arial"/>
        </w:rPr>
        <w:t xml:space="preserve">so </w:t>
      </w:r>
      <w:r w:rsidRPr="00900F8E">
        <w:rPr>
          <w:rFonts w:ascii="Arial" w:hAnsi="Arial" w:cs="Arial"/>
        </w:rPr>
        <w:t>se izvaja</w:t>
      </w:r>
      <w:r w:rsidR="00E33EC6" w:rsidRPr="00900F8E">
        <w:rPr>
          <w:rFonts w:ascii="Arial" w:hAnsi="Arial" w:cs="Arial"/>
        </w:rPr>
        <w:t>le</w:t>
      </w:r>
      <w:r w:rsidRPr="00900F8E">
        <w:rPr>
          <w:rFonts w:ascii="Arial" w:hAnsi="Arial" w:cs="Arial"/>
        </w:rPr>
        <w:t xml:space="preserve"> </w:t>
      </w:r>
      <w:r w:rsidR="003E29F3">
        <w:rPr>
          <w:rFonts w:ascii="Arial" w:hAnsi="Arial" w:cs="Arial"/>
        </w:rPr>
        <w:t>dejavnosti</w:t>
      </w:r>
      <w:r w:rsidR="003E29F3" w:rsidRPr="00900F8E">
        <w:rPr>
          <w:rFonts w:ascii="Arial" w:hAnsi="Arial" w:cs="Arial"/>
        </w:rPr>
        <w:t xml:space="preserve"> </w:t>
      </w:r>
      <w:r w:rsidRPr="00900F8E">
        <w:rPr>
          <w:rFonts w:ascii="Arial" w:hAnsi="Arial" w:cs="Arial"/>
        </w:rPr>
        <w:t xml:space="preserve">za zmanjšanje količine odpadne hrane (npr. priprava letaka z nasveti za manj odpadne hrane, posveti, ozaveščanje na </w:t>
      </w:r>
      <w:r w:rsidR="003E29F3">
        <w:rPr>
          <w:rFonts w:ascii="Arial" w:hAnsi="Arial" w:cs="Arial"/>
        </w:rPr>
        <w:t>družbenih</w:t>
      </w:r>
      <w:r w:rsidR="003E29F3" w:rsidRPr="00900F8E">
        <w:rPr>
          <w:rFonts w:ascii="Arial" w:hAnsi="Arial" w:cs="Arial"/>
        </w:rPr>
        <w:t xml:space="preserve"> </w:t>
      </w:r>
      <w:r w:rsidRPr="00900F8E">
        <w:rPr>
          <w:rFonts w:ascii="Arial" w:hAnsi="Arial" w:cs="Arial"/>
        </w:rPr>
        <w:t>omrežjih);</w:t>
      </w:r>
    </w:p>
    <w:p w14:paraId="70A55942" w14:textId="3861E136" w:rsidR="00433DBD" w:rsidRPr="00900F8E" w:rsidRDefault="003F5EE2" w:rsidP="00E02BBA">
      <w:pPr>
        <w:pStyle w:val="Odstavekseznama"/>
        <w:numPr>
          <w:ilvl w:val="0"/>
          <w:numId w:val="7"/>
        </w:numPr>
        <w:spacing w:after="0" w:line="240" w:lineRule="auto"/>
        <w:jc w:val="both"/>
        <w:rPr>
          <w:rFonts w:ascii="Arial" w:hAnsi="Arial" w:cs="Arial"/>
        </w:rPr>
      </w:pPr>
      <w:r w:rsidRPr="00900F8E">
        <w:rPr>
          <w:rFonts w:ascii="Arial" w:hAnsi="Arial" w:cs="Arial"/>
        </w:rPr>
        <w:t>MOP se je zavezal, da v svojih prostorih in na dogodkih, ki jih organizira, ponuja pitno vodo iz pipe in k njenemu pitju spodbuja tudi zaposlene;</w:t>
      </w:r>
    </w:p>
    <w:p w14:paraId="1E09AA30" w14:textId="6AFC31BC" w:rsidR="003F5EE2" w:rsidRPr="00900F8E" w:rsidRDefault="00D43E2C" w:rsidP="00E02BBA">
      <w:pPr>
        <w:pStyle w:val="Odstavekseznama"/>
        <w:numPr>
          <w:ilvl w:val="0"/>
          <w:numId w:val="7"/>
        </w:numPr>
        <w:spacing w:after="0" w:line="240" w:lineRule="auto"/>
        <w:jc w:val="both"/>
        <w:rPr>
          <w:rFonts w:ascii="Arial" w:hAnsi="Arial" w:cs="Arial"/>
        </w:rPr>
      </w:pPr>
      <w:r w:rsidRPr="00900F8E">
        <w:rPr>
          <w:rFonts w:ascii="Arial" w:hAnsi="Arial" w:cs="Arial"/>
        </w:rPr>
        <w:t>sofinanciranih je bilo 14 projektov odvajanja in čiščenja komunalnih odpadnih voda, za sofinanciranje pa je bilo namenjenih 38 milijonov evrov;</w:t>
      </w:r>
    </w:p>
    <w:p w14:paraId="680CE7D1" w14:textId="4545DCDA" w:rsidR="00D43E2C" w:rsidRPr="00900F8E" w:rsidRDefault="00815C12" w:rsidP="00E02BBA">
      <w:pPr>
        <w:pStyle w:val="Odstavekseznama"/>
        <w:numPr>
          <w:ilvl w:val="0"/>
          <w:numId w:val="7"/>
        </w:numPr>
        <w:spacing w:after="0" w:line="240" w:lineRule="auto"/>
        <w:jc w:val="both"/>
        <w:rPr>
          <w:rFonts w:ascii="Arial" w:hAnsi="Arial" w:cs="Arial"/>
        </w:rPr>
      </w:pPr>
      <w:r w:rsidRPr="00900F8E">
        <w:rPr>
          <w:rFonts w:ascii="Arial" w:hAnsi="Arial" w:cs="Arial"/>
        </w:rPr>
        <w:t>novela ZVO-1J je jasneje določila, da proizvajalci izdelkov, za katere velja proizvajalčeva razširjena odgovornost, organizacijsko in praviloma v celoti tudi finančno odgovarjajo za ravnanje z vsemi odpadki, ki na območju Republike Slovenije nastanejo iz izdelkov, za katere velja proizvajalčeva razširjena odgovornost;</w:t>
      </w:r>
    </w:p>
    <w:p w14:paraId="24366798" w14:textId="7106E6C6" w:rsidR="00815C12" w:rsidRPr="00900F8E" w:rsidRDefault="00815C12" w:rsidP="00E02BBA">
      <w:pPr>
        <w:pStyle w:val="Odstavekseznama"/>
        <w:numPr>
          <w:ilvl w:val="0"/>
          <w:numId w:val="7"/>
        </w:numPr>
        <w:spacing w:after="0" w:line="240" w:lineRule="auto"/>
        <w:jc w:val="both"/>
        <w:rPr>
          <w:rFonts w:ascii="Arial" w:hAnsi="Arial" w:cs="Arial"/>
        </w:rPr>
      </w:pPr>
      <w:r w:rsidRPr="00900F8E">
        <w:rPr>
          <w:rFonts w:ascii="Arial" w:hAnsi="Arial" w:cs="Arial"/>
        </w:rPr>
        <w:t>sprejeta je bila novela Uredbe o odpadkih</w:t>
      </w:r>
      <w:r w:rsidR="005E59F4" w:rsidRPr="005E59F4">
        <w:t xml:space="preserve"> </w:t>
      </w:r>
      <w:r w:rsidR="005E59F4" w:rsidRPr="005E59F4">
        <w:rPr>
          <w:rFonts w:ascii="Arial" w:hAnsi="Arial" w:cs="Arial"/>
        </w:rPr>
        <w:t>(Uradni list RS, št. 37/15, 69/15</w:t>
      </w:r>
      <w:r w:rsidR="005E59F4">
        <w:rPr>
          <w:rFonts w:ascii="Arial" w:hAnsi="Arial" w:cs="Arial"/>
        </w:rPr>
        <w:t xml:space="preserve"> in</w:t>
      </w:r>
      <w:r w:rsidR="005E59F4" w:rsidRPr="005E59F4">
        <w:rPr>
          <w:rFonts w:ascii="Arial" w:hAnsi="Arial" w:cs="Arial"/>
        </w:rPr>
        <w:t xml:space="preserve"> 129/20</w:t>
      </w:r>
      <w:r w:rsidR="005E59F4">
        <w:rPr>
          <w:rFonts w:ascii="Arial" w:hAnsi="Arial" w:cs="Arial"/>
        </w:rPr>
        <w:t>)</w:t>
      </w:r>
      <w:r w:rsidRPr="00900F8E">
        <w:rPr>
          <w:rFonts w:ascii="Arial" w:hAnsi="Arial" w:cs="Arial"/>
        </w:rPr>
        <w:t>, ki z namenom povečanja deleža predelave in recikliranja odpadkov ter uporabe sekundarnih surovin ureja pogoje prenehanja statusa odpadka, spreminja določila glede vsebine vloge za pridobitev okoljevarstvenega dovoljenja ter uvaja nekatere spremembe glede poročanja;</w:t>
      </w:r>
    </w:p>
    <w:p w14:paraId="27BE6E77" w14:textId="1F636D90" w:rsidR="00815C12" w:rsidRPr="00900F8E" w:rsidRDefault="00815C12" w:rsidP="00E02BBA">
      <w:pPr>
        <w:pStyle w:val="Odstavekseznama"/>
        <w:numPr>
          <w:ilvl w:val="0"/>
          <w:numId w:val="7"/>
        </w:numPr>
        <w:spacing w:after="0" w:line="240" w:lineRule="auto"/>
        <w:jc w:val="both"/>
        <w:rPr>
          <w:rFonts w:ascii="Arial" w:hAnsi="Arial" w:cs="Arial"/>
        </w:rPr>
      </w:pPr>
      <w:r w:rsidRPr="00900F8E">
        <w:rPr>
          <w:rFonts w:ascii="Arial" w:hAnsi="Arial" w:cs="Arial"/>
        </w:rPr>
        <w:t>sprejet je bil Operativni program odvajanja in čiščenja komunalne odpadne vode;</w:t>
      </w:r>
    </w:p>
    <w:p w14:paraId="446EF338" w14:textId="3F4F26B6" w:rsidR="00815C12" w:rsidRPr="00900F8E" w:rsidRDefault="003A6E58" w:rsidP="00E02BBA">
      <w:pPr>
        <w:pStyle w:val="Odstavekseznama"/>
        <w:numPr>
          <w:ilvl w:val="0"/>
          <w:numId w:val="7"/>
        </w:numPr>
        <w:spacing w:after="0" w:line="240" w:lineRule="auto"/>
        <w:jc w:val="both"/>
        <w:rPr>
          <w:rFonts w:ascii="Arial" w:hAnsi="Arial" w:cs="Arial"/>
        </w:rPr>
      </w:pPr>
      <w:r w:rsidRPr="00900F8E">
        <w:rPr>
          <w:rFonts w:ascii="Arial" w:hAnsi="Arial" w:cs="Arial"/>
        </w:rPr>
        <w:t>zaradi kopičenja odpadne embalaže na podlagi 100.a člena Zakona o interventnih ukrepih za zajezitev epidemije COVID-19 in omilitev njenih posledic za državljane in gospodarstvo</w:t>
      </w:r>
      <w:r w:rsidR="00890B9F" w:rsidRPr="00890B9F">
        <w:t xml:space="preserve"> </w:t>
      </w:r>
      <w:r w:rsidR="00890B9F" w:rsidRPr="00890B9F">
        <w:rPr>
          <w:rFonts w:ascii="Arial" w:hAnsi="Arial" w:cs="Arial"/>
        </w:rPr>
        <w:t>(Uradni list RS, št. 49/20, 61/20, 152/20 – ZZUOOP, 175/20 – ZIUOPDVE, 15/21 – ZDUOP in 206/21 – ZDUPŠOP</w:t>
      </w:r>
      <w:r w:rsidR="00890B9F">
        <w:rPr>
          <w:rFonts w:ascii="Arial" w:hAnsi="Arial" w:cs="Arial"/>
        </w:rPr>
        <w:t>)</w:t>
      </w:r>
      <w:r w:rsidRPr="00900F8E">
        <w:rPr>
          <w:rFonts w:ascii="Arial" w:hAnsi="Arial" w:cs="Arial"/>
        </w:rPr>
        <w:t xml:space="preserve"> so bile podpisane pogodbe, ki so omogočile takojšen odvoz odpadne embalaže, nakopičene večinoma pri izvajalcih javne službe zbiranja komunalnih odpadkov;</w:t>
      </w:r>
    </w:p>
    <w:p w14:paraId="0F75B333" w14:textId="38EA010F" w:rsidR="003A6E58" w:rsidRPr="00900F8E" w:rsidRDefault="003A6E58" w:rsidP="00E02BBA">
      <w:pPr>
        <w:pStyle w:val="Odstavekseznama"/>
        <w:numPr>
          <w:ilvl w:val="0"/>
          <w:numId w:val="7"/>
        </w:numPr>
        <w:spacing w:after="0" w:line="240" w:lineRule="auto"/>
        <w:jc w:val="both"/>
        <w:rPr>
          <w:rFonts w:ascii="Arial" w:hAnsi="Arial" w:cs="Arial"/>
        </w:rPr>
      </w:pPr>
      <w:r w:rsidRPr="00900F8E">
        <w:rPr>
          <w:rFonts w:ascii="Arial" w:hAnsi="Arial" w:cs="Arial"/>
        </w:rPr>
        <w:t>MOP je sofinanciral projekt Posoškega razvojnega centra iz Tolmina, ki je pripravil ozaveščevalno plakatno kampanjo, ki nagovarja posameznike in skupnosti k bolj odgovornemu ravnanju in spremembam vzorcev obnašanja</w:t>
      </w:r>
      <w:r w:rsidR="001B5CFE" w:rsidRPr="00900F8E">
        <w:rPr>
          <w:rFonts w:ascii="Arial" w:hAnsi="Arial" w:cs="Arial"/>
        </w:rPr>
        <w:t>.</w:t>
      </w:r>
    </w:p>
    <w:p w14:paraId="575FED4F" w14:textId="77777777" w:rsidR="0012733A" w:rsidRPr="00900F8E" w:rsidRDefault="0012733A" w:rsidP="00C83956">
      <w:pPr>
        <w:pStyle w:val="Default"/>
        <w:jc w:val="both"/>
        <w:rPr>
          <w:sz w:val="22"/>
          <w:szCs w:val="22"/>
          <w:lang w:val="sl-SI"/>
        </w:rPr>
      </w:pPr>
    </w:p>
    <w:p w14:paraId="12BAED73" w14:textId="07662DD4" w:rsidR="00C83956" w:rsidRPr="00900F8E" w:rsidRDefault="00C83956" w:rsidP="00C83956">
      <w:pPr>
        <w:pStyle w:val="Default"/>
        <w:jc w:val="both"/>
        <w:rPr>
          <w:sz w:val="22"/>
          <w:szCs w:val="22"/>
          <w:lang w:val="sl-SI"/>
        </w:rPr>
      </w:pPr>
      <w:r w:rsidRPr="00900F8E">
        <w:rPr>
          <w:sz w:val="22"/>
          <w:szCs w:val="22"/>
          <w:lang w:val="sl-SI"/>
        </w:rPr>
        <w:t>V letu 2021 so se izvajali naslednji ukrepi:</w:t>
      </w:r>
    </w:p>
    <w:p w14:paraId="31F6F459" w14:textId="5A8CE32A" w:rsidR="007655A5" w:rsidRPr="00900F8E" w:rsidRDefault="00B95D3F" w:rsidP="00640804">
      <w:pPr>
        <w:pStyle w:val="Odstavekseznama"/>
        <w:numPr>
          <w:ilvl w:val="0"/>
          <w:numId w:val="20"/>
        </w:numPr>
        <w:spacing w:after="0" w:line="240" w:lineRule="auto"/>
        <w:jc w:val="both"/>
        <w:rPr>
          <w:rFonts w:ascii="Arial" w:hAnsi="Arial" w:cs="Arial"/>
        </w:rPr>
      </w:pPr>
      <w:r w:rsidRPr="00900F8E">
        <w:rPr>
          <w:rFonts w:ascii="Arial" w:hAnsi="Arial" w:cs="Arial"/>
        </w:rPr>
        <w:t>Vlada</w:t>
      </w:r>
      <w:r w:rsidR="00C04B87">
        <w:rPr>
          <w:rFonts w:ascii="Arial" w:hAnsi="Arial" w:cs="Arial"/>
        </w:rPr>
        <w:t xml:space="preserve"> RS</w:t>
      </w:r>
      <w:r w:rsidRPr="00900F8E">
        <w:rPr>
          <w:rFonts w:ascii="Arial" w:hAnsi="Arial" w:cs="Arial"/>
        </w:rPr>
        <w:t xml:space="preserve"> je sprejela spremembo Uredbe o odlagališčih odpadkov (Uradni list RS, št. 10/14, 54/15, 36/16, 37/18, 13/21 in 44/22 – ZVO-2), ki določa zahteve za postopno zmanjšanje odlaganja komunalnih odpadkov na odlagališčih, vključno z novim ciljem, da se količina na odlagališčih odloženih komunalnih odpadkov do leta 2035 zmanjša na 10</w:t>
      </w:r>
      <w:r w:rsidR="00C04B87">
        <w:rPr>
          <w:rFonts w:ascii="Arial" w:hAnsi="Arial" w:cs="Arial"/>
        </w:rPr>
        <w:t> %</w:t>
      </w:r>
      <w:r w:rsidRPr="00900F8E">
        <w:rPr>
          <w:rFonts w:ascii="Arial" w:hAnsi="Arial" w:cs="Arial"/>
        </w:rPr>
        <w:t xml:space="preserve"> skupne količine (po masi) nastalih komunalnih odpadkov ali manj;</w:t>
      </w:r>
    </w:p>
    <w:p w14:paraId="546EF329" w14:textId="6F6303B5" w:rsidR="00B95D3F" w:rsidRPr="00900F8E" w:rsidRDefault="00B23BEA" w:rsidP="00640804">
      <w:pPr>
        <w:pStyle w:val="Odstavekseznama"/>
        <w:numPr>
          <w:ilvl w:val="0"/>
          <w:numId w:val="20"/>
        </w:numPr>
        <w:spacing w:after="0" w:line="240" w:lineRule="auto"/>
        <w:jc w:val="both"/>
        <w:rPr>
          <w:rFonts w:ascii="Arial" w:hAnsi="Arial" w:cs="Arial"/>
        </w:rPr>
      </w:pPr>
      <w:r w:rsidRPr="00900F8E">
        <w:rPr>
          <w:rFonts w:ascii="Arial" w:hAnsi="Arial" w:cs="Arial"/>
        </w:rPr>
        <w:t>Vlada</w:t>
      </w:r>
      <w:r w:rsidR="00B93BAE">
        <w:rPr>
          <w:rFonts w:ascii="Arial" w:hAnsi="Arial" w:cs="Arial"/>
        </w:rPr>
        <w:t xml:space="preserve"> RS</w:t>
      </w:r>
      <w:r w:rsidRPr="00900F8E">
        <w:rPr>
          <w:rFonts w:ascii="Arial" w:hAnsi="Arial" w:cs="Arial"/>
        </w:rPr>
        <w:t xml:space="preserve"> je sprejela Uredbo o embalaži in odpadni embalaži (Uradni list RS, št. 54/21, 208/21 in 44/22 – ZVO-2), </w:t>
      </w:r>
      <w:r w:rsidR="00D75D0D" w:rsidRPr="00900F8E">
        <w:rPr>
          <w:rFonts w:ascii="Arial" w:hAnsi="Arial" w:cs="Arial"/>
        </w:rPr>
        <w:t>ki bo prispevala k bolj učinkovitemu izvajanju sistema ravnanja z odpadno embalažo. Z uredbo se ureja proizvajalčeva razširjena odgovornost za embalažo (PRO). Določeno je</w:t>
      </w:r>
      <w:r w:rsidR="00B93BAE">
        <w:rPr>
          <w:rFonts w:ascii="Arial" w:hAnsi="Arial" w:cs="Arial"/>
        </w:rPr>
        <w:t>,</w:t>
      </w:r>
      <w:r w:rsidR="00D75D0D" w:rsidRPr="00900F8E">
        <w:rPr>
          <w:rFonts w:ascii="Arial" w:hAnsi="Arial" w:cs="Arial"/>
        </w:rPr>
        <w:t xml:space="preserve"> kdo je proizvajalec, ki daje embalažo na trg v RS in ima obveznost PRO</w:t>
      </w:r>
      <w:r w:rsidR="00B93BAE">
        <w:rPr>
          <w:rFonts w:ascii="Arial" w:hAnsi="Arial" w:cs="Arial"/>
        </w:rPr>
        <w:t>,</w:t>
      </w:r>
      <w:r w:rsidR="00D75D0D" w:rsidRPr="00900F8E">
        <w:rPr>
          <w:rFonts w:ascii="Arial" w:hAnsi="Arial" w:cs="Arial"/>
        </w:rPr>
        <w:t xml:space="preserve"> ter kdaj se šteje, da je embalaža dana na trg v Slovenji. Za proizvajalce se ukinja količinski prag 15 ton dane embalaže letno na trg v Sloveniji, uvaja se možnost pavšalnega plačila za proizvajalce z manj kot 1 tono embalaže, dane letno na trg v Sloveniji</w:t>
      </w:r>
      <w:r w:rsidR="00435435" w:rsidRPr="00900F8E">
        <w:rPr>
          <w:rFonts w:ascii="Arial" w:hAnsi="Arial" w:cs="Arial"/>
        </w:rPr>
        <w:t>;</w:t>
      </w:r>
    </w:p>
    <w:p w14:paraId="17F764D4" w14:textId="76D72C2F" w:rsidR="003B428C" w:rsidRPr="00900F8E" w:rsidRDefault="00B75F58" w:rsidP="00640804">
      <w:pPr>
        <w:pStyle w:val="Odstavekseznama"/>
        <w:numPr>
          <w:ilvl w:val="0"/>
          <w:numId w:val="20"/>
        </w:numPr>
        <w:spacing w:after="0" w:line="240" w:lineRule="auto"/>
        <w:jc w:val="both"/>
        <w:rPr>
          <w:rFonts w:ascii="Arial" w:hAnsi="Arial" w:cs="Arial"/>
        </w:rPr>
      </w:pPr>
      <w:r w:rsidRPr="00900F8E">
        <w:rPr>
          <w:rFonts w:ascii="Arial" w:hAnsi="Arial" w:cs="Arial"/>
        </w:rPr>
        <w:t>Vlada</w:t>
      </w:r>
      <w:r w:rsidR="00B93BAE">
        <w:rPr>
          <w:rFonts w:ascii="Arial" w:hAnsi="Arial" w:cs="Arial"/>
        </w:rPr>
        <w:t xml:space="preserve"> RS</w:t>
      </w:r>
      <w:r w:rsidRPr="00900F8E">
        <w:rPr>
          <w:rFonts w:ascii="Arial" w:hAnsi="Arial" w:cs="Arial"/>
        </w:rPr>
        <w:t xml:space="preserve"> je sprejela Uredbo o spremembah Uredbe o odvajanju in čiščenju komunalne odpadne vode (Uradni list RS, št. 194/21 z dne 10.</w:t>
      </w:r>
      <w:r w:rsidR="006F0712">
        <w:rPr>
          <w:rFonts w:ascii="Arial" w:hAnsi="Arial" w:cs="Arial"/>
        </w:rPr>
        <w:t> </w:t>
      </w:r>
      <w:r w:rsidRPr="00900F8E">
        <w:rPr>
          <w:rFonts w:ascii="Arial" w:hAnsi="Arial" w:cs="Arial"/>
        </w:rPr>
        <w:t>12.</w:t>
      </w:r>
      <w:r w:rsidR="006F0712">
        <w:rPr>
          <w:rFonts w:ascii="Arial" w:hAnsi="Arial" w:cs="Arial"/>
        </w:rPr>
        <w:t> </w:t>
      </w:r>
      <w:r w:rsidRPr="00900F8E">
        <w:rPr>
          <w:rFonts w:ascii="Arial" w:hAnsi="Arial" w:cs="Arial"/>
        </w:rPr>
        <w:t>2021), s katero se podaljšuje prehodno obdobje za oskrbovalne standarde in prilagoditev odvajanja in čiščenja komunalne odpadne vode v aglomeracijah s skupno obremenitvijo, manjšo od 2.000 populacijskih enot, kjer se odpadna voda še ne odvaja v javno kanalizacijo</w:t>
      </w:r>
      <w:r w:rsidR="006F0712">
        <w:rPr>
          <w:rFonts w:ascii="Arial" w:hAnsi="Arial" w:cs="Arial"/>
        </w:rPr>
        <w:t>,</w:t>
      </w:r>
      <w:r w:rsidRPr="00900F8E">
        <w:rPr>
          <w:rFonts w:ascii="Arial" w:hAnsi="Arial" w:cs="Arial"/>
        </w:rPr>
        <w:t xml:space="preserve"> in za obstoječe objekte na območjih, kjer ni predpisano opremljanje z javno kanalizacijo;</w:t>
      </w:r>
    </w:p>
    <w:p w14:paraId="4AFF2C6D" w14:textId="1B7C2547" w:rsidR="00574A7C" w:rsidRPr="00900F8E" w:rsidRDefault="00402BAC" w:rsidP="00640804">
      <w:pPr>
        <w:pStyle w:val="Odstavekseznama"/>
        <w:numPr>
          <w:ilvl w:val="0"/>
          <w:numId w:val="20"/>
        </w:numPr>
        <w:spacing w:after="0" w:line="240" w:lineRule="auto"/>
        <w:jc w:val="both"/>
        <w:rPr>
          <w:rFonts w:ascii="Arial" w:hAnsi="Arial" w:cs="Arial"/>
        </w:rPr>
      </w:pPr>
      <w:r w:rsidRPr="00900F8E">
        <w:rPr>
          <w:rFonts w:ascii="Arial" w:hAnsi="Arial" w:cs="Arial"/>
        </w:rPr>
        <w:t>objavljen</w:t>
      </w:r>
      <w:r w:rsidR="00574A7C" w:rsidRPr="00900F8E">
        <w:rPr>
          <w:rFonts w:ascii="Arial" w:hAnsi="Arial" w:cs="Arial"/>
        </w:rPr>
        <w:t xml:space="preserve"> je bil osnutek Programa ravnanja z odpadki in programa preprečevanja odpadkov Republike Slovenije;</w:t>
      </w:r>
    </w:p>
    <w:p w14:paraId="4D321E38" w14:textId="181A5CE4" w:rsidR="00574A7C" w:rsidRPr="00900F8E" w:rsidRDefault="00402BAC" w:rsidP="00640804">
      <w:pPr>
        <w:pStyle w:val="Odstavekseznama"/>
        <w:numPr>
          <w:ilvl w:val="0"/>
          <w:numId w:val="20"/>
        </w:numPr>
        <w:spacing w:after="0" w:line="240" w:lineRule="auto"/>
        <w:jc w:val="both"/>
        <w:rPr>
          <w:rFonts w:ascii="Arial" w:hAnsi="Arial" w:cs="Arial"/>
        </w:rPr>
      </w:pPr>
      <w:r w:rsidRPr="00900F8E">
        <w:rPr>
          <w:rFonts w:ascii="Arial" w:hAnsi="Arial" w:cs="Arial"/>
        </w:rPr>
        <w:lastRenderedPageBreak/>
        <w:t>začela je veljati prepoved prodaje plastičnih izdelkov za enkratno uporabo, ki izhaja iz Direktive 2019/904/EU o zmanjšanju vpliva nekaterih plastičnih izdelkov na okolje (UL št. 155 z dne 12. 6. 2019, str. 1). Sprejeta je bila Uredba o prepovedi dajanja nekaterih plastičnih proizvodov za enkratno uporabo na trg v Republiki Sloveniji in o označevanju nekaterih plastičnih proizvodov</w:t>
      </w:r>
      <w:r w:rsidR="00D61EF2" w:rsidRPr="00900F8E">
        <w:rPr>
          <w:rFonts w:ascii="Arial" w:hAnsi="Arial" w:cs="Arial"/>
        </w:rPr>
        <w:t xml:space="preserve"> </w:t>
      </w:r>
      <w:r w:rsidRPr="00900F8E">
        <w:rPr>
          <w:rFonts w:ascii="Arial" w:hAnsi="Arial" w:cs="Arial"/>
        </w:rPr>
        <w:t>(Uradni list RS, št. 131/21, 192/21 – ZPDPPEUT in 44/22 – ZVO-2);</w:t>
      </w:r>
    </w:p>
    <w:p w14:paraId="466A5F22" w14:textId="37C70195" w:rsidR="00D61EF2" w:rsidRPr="00900F8E" w:rsidRDefault="00E552E0" w:rsidP="00640804">
      <w:pPr>
        <w:pStyle w:val="Odstavekseznama"/>
        <w:numPr>
          <w:ilvl w:val="0"/>
          <w:numId w:val="20"/>
        </w:numPr>
        <w:spacing w:after="0" w:line="240" w:lineRule="auto"/>
        <w:jc w:val="both"/>
        <w:rPr>
          <w:rFonts w:ascii="Arial" w:hAnsi="Arial" w:cs="Arial"/>
        </w:rPr>
      </w:pPr>
      <w:r w:rsidRPr="00900F8E">
        <w:rPr>
          <w:rFonts w:ascii="Arial" w:hAnsi="Arial" w:cs="Arial"/>
        </w:rPr>
        <w:t xml:space="preserve">v okviru projekta LIFE IP CARE4CLIMATE so se nadaljevale </w:t>
      </w:r>
      <w:r w:rsidR="00D139EE">
        <w:rPr>
          <w:rFonts w:ascii="Arial" w:hAnsi="Arial" w:cs="Arial"/>
        </w:rPr>
        <w:t>dejavnosti</w:t>
      </w:r>
      <w:r w:rsidR="00D139EE" w:rsidRPr="00900F8E">
        <w:rPr>
          <w:rFonts w:ascii="Arial" w:hAnsi="Arial" w:cs="Arial"/>
        </w:rPr>
        <w:t xml:space="preserve"> </w:t>
      </w:r>
      <w:r w:rsidRPr="00900F8E">
        <w:rPr>
          <w:rFonts w:ascii="Arial" w:hAnsi="Arial" w:cs="Arial"/>
        </w:rPr>
        <w:t>s področja odpadne hrane. Prvič je bila izvedena sortirna analiza bioloških odpadkov s poudarkom na določanju količine odpadne hrane, s čimer so bili pridobljeni natančnejši podatki o količinah odpadne hrane. Razvita je bila metodologija za izvedbo sortirnih analiz, ki bo v obliki različnih delavnic in izobraževanj skupaj z ukrepi za preprečevanje in zmanjševanje količin odpadne hrane predstavljena različnim deležnikom. Pripravljena so bila navodila za obveščanje in ozaveščanje gospodinjstev glede zmanjšanja in preprečevanja odpadne hrane ter tudi nastavljen koncept in program za izobraževanje ostalih deležnikov;</w:t>
      </w:r>
    </w:p>
    <w:p w14:paraId="24333160" w14:textId="60BC8E2C" w:rsidR="00E552E0" w:rsidRPr="00900F8E" w:rsidRDefault="00C34584" w:rsidP="00640804">
      <w:pPr>
        <w:pStyle w:val="Odstavekseznama"/>
        <w:numPr>
          <w:ilvl w:val="0"/>
          <w:numId w:val="20"/>
        </w:numPr>
        <w:spacing w:after="0" w:line="240" w:lineRule="auto"/>
        <w:jc w:val="both"/>
        <w:rPr>
          <w:rFonts w:ascii="Arial" w:hAnsi="Arial" w:cs="Arial"/>
        </w:rPr>
      </w:pPr>
      <w:r w:rsidRPr="00900F8E">
        <w:rPr>
          <w:rFonts w:ascii="Arial" w:hAnsi="Arial" w:cs="Arial"/>
        </w:rPr>
        <w:t>podpisani sta bili dve pogodbi o sofinanciranju gradnje kanalizacije s sredstvi Kohezijskega sklada za investiciji v višini 5,5 milijona evrov ter ena pogodba za sofinanciranje projekta iz sredstev Evropskega sklada za regionalni razvoj za investicijo v višini 5,6 milijona evrov;</w:t>
      </w:r>
    </w:p>
    <w:p w14:paraId="3CA7062D" w14:textId="61F8AA00" w:rsidR="00C34584" w:rsidRPr="00900F8E" w:rsidRDefault="00156780" w:rsidP="00640804">
      <w:pPr>
        <w:pStyle w:val="Odstavekseznama"/>
        <w:numPr>
          <w:ilvl w:val="0"/>
          <w:numId w:val="20"/>
        </w:numPr>
        <w:spacing w:after="0" w:line="240" w:lineRule="auto"/>
        <w:jc w:val="both"/>
        <w:rPr>
          <w:rFonts w:ascii="Arial" w:hAnsi="Arial" w:cs="Arial"/>
        </w:rPr>
      </w:pPr>
      <w:r w:rsidRPr="00900F8E">
        <w:rPr>
          <w:rFonts w:ascii="Arial" w:hAnsi="Arial" w:cs="Arial"/>
        </w:rPr>
        <w:t>odlagališčni plin se zajema na vseh odlagališčih, ki so delovala od leta 2006 naprej in na katerih se odlagajo biološko razgradljivi odpadki;</w:t>
      </w:r>
    </w:p>
    <w:p w14:paraId="1B9EA309" w14:textId="6E4CA56B" w:rsidR="00156780" w:rsidRPr="00900F8E" w:rsidRDefault="00920A3B" w:rsidP="00640804">
      <w:pPr>
        <w:pStyle w:val="Odstavekseznama"/>
        <w:numPr>
          <w:ilvl w:val="0"/>
          <w:numId w:val="20"/>
        </w:numPr>
        <w:spacing w:after="0" w:line="240" w:lineRule="auto"/>
        <w:jc w:val="both"/>
        <w:rPr>
          <w:rFonts w:ascii="Arial" w:hAnsi="Arial" w:cs="Arial"/>
        </w:rPr>
      </w:pPr>
      <w:r w:rsidRPr="00900F8E">
        <w:rPr>
          <w:rFonts w:ascii="Arial" w:hAnsi="Arial" w:cs="Arial"/>
        </w:rPr>
        <w:t xml:space="preserve">potekale so </w:t>
      </w:r>
      <w:r w:rsidR="00D139EE">
        <w:rPr>
          <w:rFonts w:ascii="Arial" w:hAnsi="Arial" w:cs="Arial"/>
        </w:rPr>
        <w:t>dejavnosti</w:t>
      </w:r>
      <w:r w:rsidR="00D139EE" w:rsidRPr="00900F8E">
        <w:rPr>
          <w:rFonts w:ascii="Arial" w:hAnsi="Arial" w:cs="Arial"/>
        </w:rPr>
        <w:t xml:space="preserve"> </w:t>
      </w:r>
      <w:r w:rsidRPr="00900F8E">
        <w:rPr>
          <w:rFonts w:ascii="Arial" w:hAnsi="Arial" w:cs="Arial"/>
        </w:rPr>
        <w:t xml:space="preserve">na področju termične obdelave odpadkov. V javni obravnavi je bil osnutek Uredbe o opravljanju obvezne državne gospodarske javne službe sežiganja komunalnih odpadkov, ki določa frakcije odpadkov, ki jih je </w:t>
      </w:r>
      <w:r w:rsidR="00043890">
        <w:rPr>
          <w:rFonts w:ascii="Arial" w:hAnsi="Arial" w:cs="Arial"/>
        </w:rPr>
        <w:t>treba</w:t>
      </w:r>
      <w:r w:rsidR="00043890" w:rsidRPr="00900F8E">
        <w:rPr>
          <w:rFonts w:ascii="Arial" w:hAnsi="Arial" w:cs="Arial"/>
        </w:rPr>
        <w:t xml:space="preserve"> </w:t>
      </w:r>
      <w:r w:rsidRPr="00900F8E">
        <w:rPr>
          <w:rFonts w:ascii="Arial" w:hAnsi="Arial" w:cs="Arial"/>
        </w:rPr>
        <w:t>obvezno sežigati</w:t>
      </w:r>
      <w:r w:rsidR="003721BF">
        <w:rPr>
          <w:rFonts w:ascii="Arial" w:hAnsi="Arial" w:cs="Arial"/>
        </w:rPr>
        <w:t>,</w:t>
      </w:r>
      <w:r w:rsidRPr="00900F8E">
        <w:rPr>
          <w:rFonts w:ascii="Arial" w:hAnsi="Arial" w:cs="Arial"/>
        </w:rPr>
        <w:t xml:space="preserve"> </w:t>
      </w:r>
      <w:r w:rsidR="00DA1579">
        <w:rPr>
          <w:rFonts w:ascii="Arial" w:hAnsi="Arial" w:cs="Arial"/>
        </w:rPr>
        <w:t>in</w:t>
      </w:r>
      <w:r w:rsidR="00DA1579" w:rsidRPr="00900F8E">
        <w:rPr>
          <w:rFonts w:ascii="Arial" w:hAnsi="Arial" w:cs="Arial"/>
        </w:rPr>
        <w:t xml:space="preserve"> </w:t>
      </w:r>
      <w:r w:rsidRPr="00900F8E">
        <w:rPr>
          <w:rFonts w:ascii="Arial" w:hAnsi="Arial" w:cs="Arial"/>
        </w:rPr>
        <w:t xml:space="preserve">da se bodo koncesije podeljevale za 30 let. Izvajale so se </w:t>
      </w:r>
      <w:r w:rsidR="00DA1579">
        <w:rPr>
          <w:rFonts w:ascii="Arial" w:hAnsi="Arial" w:cs="Arial"/>
        </w:rPr>
        <w:t>dejavnosti</w:t>
      </w:r>
      <w:r w:rsidR="00DA1579" w:rsidRPr="00900F8E">
        <w:rPr>
          <w:rFonts w:ascii="Arial" w:hAnsi="Arial" w:cs="Arial"/>
        </w:rPr>
        <w:t xml:space="preserve"> </w:t>
      </w:r>
      <w:r w:rsidRPr="00900F8E">
        <w:rPr>
          <w:rFonts w:ascii="Arial" w:hAnsi="Arial" w:cs="Arial"/>
        </w:rPr>
        <w:t xml:space="preserve">za </w:t>
      </w:r>
      <w:r w:rsidR="00DA1579">
        <w:rPr>
          <w:rFonts w:ascii="Arial" w:hAnsi="Arial" w:cs="Arial"/>
        </w:rPr>
        <w:t>določitev</w:t>
      </w:r>
      <w:r w:rsidR="00DA1579" w:rsidRPr="00900F8E">
        <w:rPr>
          <w:rFonts w:ascii="Arial" w:hAnsi="Arial" w:cs="Arial"/>
        </w:rPr>
        <w:t xml:space="preserve"> </w:t>
      </w:r>
      <w:r w:rsidRPr="00900F8E">
        <w:rPr>
          <w:rFonts w:ascii="Arial" w:hAnsi="Arial" w:cs="Arial"/>
        </w:rPr>
        <w:t xml:space="preserve">lokacij </w:t>
      </w:r>
      <w:r w:rsidR="00DA1579">
        <w:rPr>
          <w:rFonts w:ascii="Arial" w:hAnsi="Arial" w:cs="Arial"/>
        </w:rPr>
        <w:t>–</w:t>
      </w:r>
      <w:r w:rsidRPr="00900F8E">
        <w:rPr>
          <w:rFonts w:ascii="Arial" w:hAnsi="Arial" w:cs="Arial"/>
        </w:rPr>
        <w:t xml:space="preserve"> lokacije je ponudilo pet občin, analiza pa je pokazala, da sta najprimernejši Ljubljana in Maribor.  </w:t>
      </w:r>
    </w:p>
    <w:p w14:paraId="15ABA5E9" w14:textId="7508976F" w:rsidR="007655A5" w:rsidRPr="00900F8E" w:rsidRDefault="007655A5" w:rsidP="007655A5">
      <w:pPr>
        <w:spacing w:after="0" w:line="240" w:lineRule="auto"/>
        <w:jc w:val="both"/>
        <w:rPr>
          <w:rFonts w:ascii="Arial" w:hAnsi="Arial" w:cs="Arial"/>
        </w:rPr>
      </w:pPr>
    </w:p>
    <w:p w14:paraId="0B978C6E" w14:textId="253D3A15" w:rsidR="007740D2" w:rsidRPr="00900F8E" w:rsidRDefault="006E7110" w:rsidP="006E7110">
      <w:pPr>
        <w:pStyle w:val="Naslov2"/>
        <w:spacing w:before="120"/>
        <w:rPr>
          <w:rFonts w:ascii="Arial" w:hAnsi="Arial" w:cs="Arial"/>
          <w:color w:val="auto"/>
        </w:rPr>
      </w:pPr>
      <w:bookmarkStart w:id="37" w:name="_Toc120166943"/>
      <w:r w:rsidRPr="00900F8E">
        <w:rPr>
          <w:rFonts w:ascii="Arial" w:hAnsi="Arial" w:cs="Arial"/>
          <w:color w:val="auto"/>
        </w:rPr>
        <w:t>4</w:t>
      </w:r>
      <w:r w:rsidR="007740D2" w:rsidRPr="00900F8E">
        <w:rPr>
          <w:rFonts w:ascii="Arial" w:hAnsi="Arial" w:cs="Arial"/>
          <w:color w:val="auto"/>
        </w:rPr>
        <w:t>.8 LULUCF – raba zemljišč, sprememba rabe zemljišč in gozdarstvo</w:t>
      </w:r>
      <w:bookmarkEnd w:id="37"/>
    </w:p>
    <w:p w14:paraId="37C61993" w14:textId="77777777" w:rsidR="007740D2" w:rsidRPr="00900F8E" w:rsidRDefault="007740D2" w:rsidP="00C52E4C">
      <w:pPr>
        <w:spacing w:after="0" w:line="240" w:lineRule="auto"/>
        <w:jc w:val="both"/>
        <w:rPr>
          <w:rFonts w:ascii="Arial" w:hAnsi="Arial" w:cs="Arial"/>
          <w:sz w:val="24"/>
          <w:szCs w:val="24"/>
        </w:rPr>
      </w:pPr>
    </w:p>
    <w:p w14:paraId="66E55EB0" w14:textId="0D72F91A" w:rsidR="009A5405" w:rsidRPr="00900F8E" w:rsidRDefault="00F96B3D" w:rsidP="00D25456">
      <w:pPr>
        <w:spacing w:after="0" w:line="240" w:lineRule="auto"/>
        <w:jc w:val="both"/>
        <w:rPr>
          <w:rFonts w:ascii="Arial" w:hAnsi="Arial" w:cs="Arial"/>
        </w:rPr>
      </w:pPr>
      <w:r w:rsidRPr="00900F8E">
        <w:rPr>
          <w:rFonts w:ascii="Arial" w:hAnsi="Arial" w:cs="Arial"/>
        </w:rPr>
        <w:t xml:space="preserve">V letu 2020 so bile izvedene naslednje </w:t>
      </w:r>
      <w:r w:rsidR="00DA1579">
        <w:rPr>
          <w:rFonts w:ascii="Arial" w:hAnsi="Arial" w:cs="Arial"/>
        </w:rPr>
        <w:t>dejavnosti</w:t>
      </w:r>
      <w:r w:rsidRPr="00900F8E">
        <w:rPr>
          <w:rFonts w:ascii="Arial" w:hAnsi="Arial" w:cs="Arial"/>
        </w:rPr>
        <w:t>:</w:t>
      </w:r>
    </w:p>
    <w:p w14:paraId="0C3F943A" w14:textId="24432C10" w:rsidR="00F96B3D" w:rsidRPr="00900F8E" w:rsidRDefault="00F96B3D" w:rsidP="00E02BBA">
      <w:pPr>
        <w:pStyle w:val="Odstavekseznama"/>
        <w:numPr>
          <w:ilvl w:val="0"/>
          <w:numId w:val="9"/>
        </w:numPr>
        <w:spacing w:after="0" w:line="240" w:lineRule="auto"/>
        <w:jc w:val="both"/>
        <w:rPr>
          <w:rFonts w:ascii="Arial" w:hAnsi="Arial" w:cs="Arial"/>
        </w:rPr>
      </w:pPr>
      <w:r w:rsidRPr="00900F8E">
        <w:rPr>
          <w:rFonts w:ascii="Arial" w:hAnsi="Arial" w:cs="Arial"/>
        </w:rPr>
        <w:t>izmerjen je bil prvi panel novega sistema Nacionalne gozdne inventure</w:t>
      </w:r>
      <w:r w:rsidR="006020E5" w:rsidRPr="00900F8E">
        <w:rPr>
          <w:rFonts w:ascii="Arial" w:hAnsi="Arial" w:cs="Arial"/>
        </w:rPr>
        <w:t>;</w:t>
      </w:r>
    </w:p>
    <w:p w14:paraId="566865F4" w14:textId="221DCDD2" w:rsidR="00F96B3D" w:rsidRPr="00900F8E" w:rsidRDefault="00F973B6" w:rsidP="00E02BBA">
      <w:pPr>
        <w:pStyle w:val="Odstavekseznama"/>
        <w:numPr>
          <w:ilvl w:val="0"/>
          <w:numId w:val="9"/>
        </w:numPr>
        <w:spacing w:after="0" w:line="240" w:lineRule="auto"/>
        <w:jc w:val="both"/>
        <w:rPr>
          <w:rFonts w:ascii="Arial" w:hAnsi="Arial" w:cs="Arial"/>
        </w:rPr>
      </w:pPr>
      <w:r w:rsidRPr="00900F8E">
        <w:rPr>
          <w:rFonts w:ascii="Arial" w:hAnsi="Arial" w:cs="Arial"/>
        </w:rPr>
        <w:t xml:space="preserve">v okviru projekta LIFE IP CARE4CLIMATE je bil izveden spletni seminar, na katerem je bil predstavljen </w:t>
      </w:r>
      <w:r w:rsidR="009B1AF1">
        <w:rPr>
          <w:rFonts w:ascii="Arial" w:hAnsi="Arial" w:cs="Arial"/>
        </w:rPr>
        <w:t>sedanji</w:t>
      </w:r>
      <w:r w:rsidR="009B1AF1" w:rsidRPr="00900F8E">
        <w:rPr>
          <w:rFonts w:ascii="Arial" w:hAnsi="Arial" w:cs="Arial"/>
        </w:rPr>
        <w:t xml:space="preserve"> </w:t>
      </w:r>
      <w:r w:rsidRPr="00900F8E">
        <w:rPr>
          <w:rFonts w:ascii="Arial" w:hAnsi="Arial" w:cs="Arial"/>
        </w:rPr>
        <w:t>sistem spremljanja emisij v sektorju LULUCF v Sloveniji, obveznosti, ki čakajo države članice EU v obdobju 2021</w:t>
      </w:r>
      <w:r w:rsidR="009B1AF1">
        <w:rPr>
          <w:rFonts w:ascii="Arial" w:hAnsi="Arial" w:cs="Arial"/>
        </w:rPr>
        <w:t>–</w:t>
      </w:r>
      <w:r w:rsidRPr="00900F8E">
        <w:rPr>
          <w:rFonts w:ascii="Arial" w:hAnsi="Arial" w:cs="Arial"/>
        </w:rPr>
        <w:t>2030</w:t>
      </w:r>
      <w:r w:rsidR="009B1AF1">
        <w:rPr>
          <w:rFonts w:ascii="Arial" w:hAnsi="Arial" w:cs="Arial"/>
        </w:rPr>
        <w:t>,</w:t>
      </w:r>
      <w:r w:rsidRPr="00900F8E">
        <w:rPr>
          <w:rFonts w:ascii="Arial" w:hAnsi="Arial" w:cs="Arial"/>
        </w:rPr>
        <w:t xml:space="preserve"> ter </w:t>
      </w:r>
      <w:r w:rsidR="00281353">
        <w:rPr>
          <w:rFonts w:ascii="Arial" w:hAnsi="Arial" w:cs="Arial"/>
        </w:rPr>
        <w:t>dejavnosti</w:t>
      </w:r>
      <w:r w:rsidR="00281353" w:rsidRPr="00900F8E">
        <w:rPr>
          <w:rFonts w:ascii="Arial" w:hAnsi="Arial" w:cs="Arial"/>
        </w:rPr>
        <w:t xml:space="preserve"> </w:t>
      </w:r>
      <w:r w:rsidRPr="00900F8E">
        <w:rPr>
          <w:rFonts w:ascii="Arial" w:hAnsi="Arial" w:cs="Arial"/>
        </w:rPr>
        <w:t xml:space="preserve">projekta, ki </w:t>
      </w:r>
      <w:r w:rsidR="00281353">
        <w:rPr>
          <w:rFonts w:ascii="Arial" w:hAnsi="Arial" w:cs="Arial"/>
        </w:rPr>
        <w:t>potekajo</w:t>
      </w:r>
      <w:r w:rsidR="00281353" w:rsidRPr="00900F8E">
        <w:rPr>
          <w:rFonts w:ascii="Arial" w:hAnsi="Arial" w:cs="Arial"/>
        </w:rPr>
        <w:t xml:space="preserve"> </w:t>
      </w:r>
      <w:r w:rsidRPr="00900F8E">
        <w:rPr>
          <w:rFonts w:ascii="Arial" w:hAnsi="Arial" w:cs="Arial"/>
        </w:rPr>
        <w:t>v sklopu akcije C8.1;</w:t>
      </w:r>
    </w:p>
    <w:p w14:paraId="5DB3E24A" w14:textId="6C6DB58C" w:rsidR="00F973B6" w:rsidRPr="00900F8E" w:rsidRDefault="001F63DB" w:rsidP="00E02BBA">
      <w:pPr>
        <w:pStyle w:val="Odstavekseznama"/>
        <w:numPr>
          <w:ilvl w:val="0"/>
          <w:numId w:val="9"/>
        </w:numPr>
        <w:spacing w:after="0" w:line="240" w:lineRule="auto"/>
        <w:jc w:val="both"/>
        <w:rPr>
          <w:rFonts w:ascii="Arial" w:hAnsi="Arial" w:cs="Arial"/>
        </w:rPr>
      </w:pPr>
      <w:r w:rsidRPr="00900F8E">
        <w:rPr>
          <w:rFonts w:ascii="Arial" w:hAnsi="Arial" w:cs="Arial"/>
        </w:rPr>
        <w:t>v okviru priprave letnih ocen emisij in ponorov za gozdna zemljišča je Slovenija posodobila biomasne ekspanzijske faktorje, ki upoštevajo višino lesne zaloge ter drevesno vrsto oz</w:t>
      </w:r>
      <w:r w:rsidR="00281353">
        <w:rPr>
          <w:rFonts w:ascii="Arial" w:hAnsi="Arial" w:cs="Arial"/>
        </w:rPr>
        <w:t>iroma</w:t>
      </w:r>
      <w:r w:rsidRPr="00900F8E">
        <w:rPr>
          <w:rFonts w:ascii="Arial" w:hAnsi="Arial" w:cs="Arial"/>
        </w:rPr>
        <w:t xml:space="preserve"> skupine drevesnih vrst</w:t>
      </w:r>
      <w:r w:rsidR="00197206" w:rsidRPr="00900F8E">
        <w:rPr>
          <w:rFonts w:ascii="Arial" w:hAnsi="Arial" w:cs="Arial"/>
        </w:rPr>
        <w:t>;</w:t>
      </w:r>
    </w:p>
    <w:p w14:paraId="6BF5F4FF" w14:textId="3746C46B" w:rsidR="00197206" w:rsidRPr="00900F8E" w:rsidRDefault="000A1897" w:rsidP="00E02BBA">
      <w:pPr>
        <w:pStyle w:val="Odstavekseznama"/>
        <w:numPr>
          <w:ilvl w:val="0"/>
          <w:numId w:val="9"/>
        </w:numPr>
        <w:spacing w:after="0" w:line="240" w:lineRule="auto"/>
        <w:jc w:val="both"/>
        <w:rPr>
          <w:rFonts w:ascii="Arial" w:hAnsi="Arial" w:cs="Arial"/>
        </w:rPr>
      </w:pPr>
      <w:r w:rsidRPr="00900F8E">
        <w:rPr>
          <w:rFonts w:ascii="Arial" w:hAnsi="Arial" w:cs="Arial"/>
        </w:rPr>
        <w:t>potekala je</w:t>
      </w:r>
      <w:r w:rsidR="00197206" w:rsidRPr="00900F8E">
        <w:rPr>
          <w:rFonts w:ascii="Arial" w:hAnsi="Arial" w:cs="Arial"/>
        </w:rPr>
        <w:t xml:space="preserve"> </w:t>
      </w:r>
      <w:r w:rsidRPr="00900F8E">
        <w:rPr>
          <w:rFonts w:ascii="Arial" w:hAnsi="Arial" w:cs="Arial"/>
        </w:rPr>
        <w:t xml:space="preserve">obnova </w:t>
      </w:r>
      <w:r w:rsidR="00197206" w:rsidRPr="00900F8E">
        <w:rPr>
          <w:rFonts w:ascii="Arial" w:hAnsi="Arial" w:cs="Arial"/>
        </w:rPr>
        <w:t>deseti</w:t>
      </w:r>
      <w:r w:rsidRPr="00900F8E">
        <w:rPr>
          <w:rFonts w:ascii="Arial" w:hAnsi="Arial" w:cs="Arial"/>
        </w:rPr>
        <w:t>ne</w:t>
      </w:r>
      <w:r w:rsidR="00197206" w:rsidRPr="00900F8E">
        <w:rPr>
          <w:rFonts w:ascii="Arial" w:hAnsi="Arial" w:cs="Arial"/>
        </w:rPr>
        <w:t xml:space="preserve"> gozdnogospodarskih načrtov </w:t>
      </w:r>
      <w:r w:rsidR="006020E5" w:rsidRPr="00900F8E">
        <w:rPr>
          <w:rFonts w:ascii="Arial" w:hAnsi="Arial" w:cs="Arial"/>
        </w:rPr>
        <w:t xml:space="preserve">gozdnogospodarskih </w:t>
      </w:r>
      <w:r w:rsidR="00197206" w:rsidRPr="00900F8E">
        <w:rPr>
          <w:rFonts w:ascii="Arial" w:hAnsi="Arial" w:cs="Arial"/>
        </w:rPr>
        <w:t>enot</w:t>
      </w:r>
      <w:r w:rsidR="006020E5" w:rsidRPr="00900F8E">
        <w:rPr>
          <w:rFonts w:ascii="Arial" w:hAnsi="Arial" w:cs="Arial"/>
        </w:rPr>
        <w:t xml:space="preserve"> (GGN GGE) – Zavod za gozdove Slovenije (ZGS)</w:t>
      </w:r>
      <w:r w:rsidR="00197206" w:rsidRPr="00900F8E">
        <w:rPr>
          <w:rFonts w:ascii="Arial" w:hAnsi="Arial" w:cs="Arial"/>
        </w:rPr>
        <w:t>;</w:t>
      </w:r>
    </w:p>
    <w:p w14:paraId="0AE6542D" w14:textId="6D450B98" w:rsidR="00197206" w:rsidRPr="00900F8E" w:rsidRDefault="00197206" w:rsidP="00E02BBA">
      <w:pPr>
        <w:pStyle w:val="Odstavekseznama"/>
        <w:numPr>
          <w:ilvl w:val="0"/>
          <w:numId w:val="9"/>
        </w:numPr>
        <w:spacing w:after="0" w:line="240" w:lineRule="auto"/>
        <w:jc w:val="both"/>
        <w:rPr>
          <w:rFonts w:ascii="Arial" w:hAnsi="Arial" w:cs="Arial"/>
        </w:rPr>
      </w:pPr>
      <w:r w:rsidRPr="00900F8E">
        <w:rPr>
          <w:rFonts w:ascii="Arial" w:hAnsi="Arial" w:cs="Arial"/>
        </w:rPr>
        <w:t>pripravljena so bila letna poročila o stanju gozdov v okviru nalog javne gozdarske službe Gozdarskega inštituta Slovenije</w:t>
      </w:r>
      <w:r w:rsidR="000A1897" w:rsidRPr="00900F8E">
        <w:rPr>
          <w:rFonts w:ascii="Arial" w:hAnsi="Arial" w:cs="Arial"/>
        </w:rPr>
        <w:t>;</w:t>
      </w:r>
    </w:p>
    <w:p w14:paraId="5C85499E" w14:textId="2A68466D" w:rsidR="000A1897" w:rsidRPr="00900F8E" w:rsidRDefault="00D937B2" w:rsidP="00E02BBA">
      <w:pPr>
        <w:pStyle w:val="Odstavekseznama"/>
        <w:numPr>
          <w:ilvl w:val="0"/>
          <w:numId w:val="9"/>
        </w:numPr>
        <w:spacing w:after="0" w:line="240" w:lineRule="auto"/>
        <w:jc w:val="both"/>
        <w:rPr>
          <w:rFonts w:ascii="Arial" w:hAnsi="Arial" w:cs="Arial"/>
        </w:rPr>
      </w:pPr>
      <w:r w:rsidRPr="00900F8E">
        <w:rPr>
          <w:rFonts w:ascii="Arial" w:hAnsi="Arial" w:cs="Arial"/>
        </w:rPr>
        <w:t>ZGS</w:t>
      </w:r>
      <w:r w:rsidR="000A1897" w:rsidRPr="00900F8E">
        <w:rPr>
          <w:rFonts w:ascii="Arial" w:hAnsi="Arial" w:cs="Arial"/>
        </w:rPr>
        <w:t xml:space="preserve"> je začel zbira</w:t>
      </w:r>
      <w:r w:rsidR="00281353">
        <w:rPr>
          <w:rFonts w:ascii="Arial" w:hAnsi="Arial" w:cs="Arial"/>
        </w:rPr>
        <w:t>ti</w:t>
      </w:r>
      <w:r w:rsidR="000A1897" w:rsidRPr="00900F8E">
        <w:rPr>
          <w:rFonts w:ascii="Arial" w:hAnsi="Arial" w:cs="Arial"/>
        </w:rPr>
        <w:t xml:space="preserve"> pobud</w:t>
      </w:r>
      <w:r w:rsidR="00281353">
        <w:rPr>
          <w:rFonts w:ascii="Arial" w:hAnsi="Arial" w:cs="Arial"/>
        </w:rPr>
        <w:t>e</w:t>
      </w:r>
      <w:r w:rsidR="000A1897" w:rsidRPr="00900F8E">
        <w:rPr>
          <w:rFonts w:ascii="Arial" w:hAnsi="Arial" w:cs="Arial"/>
        </w:rPr>
        <w:t xml:space="preserve"> lastnikov gozdov in zainteresirane javnosti, poleg tega pa organiziral spletno konferenco, na kateri je predstavil proces obnove območnih načrtov;</w:t>
      </w:r>
    </w:p>
    <w:p w14:paraId="618D008A" w14:textId="7D628096" w:rsidR="000A1897" w:rsidRPr="00900F8E" w:rsidRDefault="000A1897" w:rsidP="00E02BBA">
      <w:pPr>
        <w:pStyle w:val="Odstavekseznama"/>
        <w:numPr>
          <w:ilvl w:val="0"/>
          <w:numId w:val="9"/>
        </w:numPr>
        <w:spacing w:after="0" w:line="240" w:lineRule="auto"/>
        <w:jc w:val="both"/>
        <w:rPr>
          <w:rFonts w:ascii="Arial" w:hAnsi="Arial" w:cs="Arial"/>
        </w:rPr>
      </w:pPr>
      <w:r w:rsidRPr="00900F8E">
        <w:rPr>
          <w:rFonts w:ascii="Arial" w:hAnsi="Arial" w:cs="Arial"/>
        </w:rPr>
        <w:t>pripravljeno je bilo Poročilo o izvajanju nacionalnega gozdnega programa v obdobju 2015</w:t>
      </w:r>
      <w:r w:rsidR="00281353">
        <w:rPr>
          <w:rFonts w:ascii="Arial" w:hAnsi="Arial" w:cs="Arial"/>
        </w:rPr>
        <w:t>–</w:t>
      </w:r>
      <w:r w:rsidRPr="00900F8E">
        <w:rPr>
          <w:rFonts w:ascii="Arial" w:hAnsi="Arial" w:cs="Arial"/>
        </w:rPr>
        <w:t>2019;</w:t>
      </w:r>
    </w:p>
    <w:p w14:paraId="3308EB70" w14:textId="0279B6D1" w:rsidR="000A1897" w:rsidRPr="00900F8E" w:rsidRDefault="000A1897" w:rsidP="00E02BBA">
      <w:pPr>
        <w:pStyle w:val="Odstavekseznama"/>
        <w:numPr>
          <w:ilvl w:val="0"/>
          <w:numId w:val="9"/>
        </w:numPr>
        <w:spacing w:after="0" w:line="240" w:lineRule="auto"/>
        <w:jc w:val="both"/>
        <w:rPr>
          <w:rFonts w:ascii="Arial" w:hAnsi="Arial" w:cs="Arial"/>
        </w:rPr>
      </w:pPr>
      <w:r w:rsidRPr="00900F8E">
        <w:rPr>
          <w:rFonts w:ascii="Arial" w:hAnsi="Arial" w:cs="Arial"/>
        </w:rPr>
        <w:t>izvajala se je nega zasebnih gozdov;</w:t>
      </w:r>
    </w:p>
    <w:p w14:paraId="12671CA9" w14:textId="473CFADD" w:rsidR="000A1897" w:rsidRPr="00900F8E" w:rsidRDefault="000A1897" w:rsidP="00E02BBA">
      <w:pPr>
        <w:pStyle w:val="Odstavekseznama"/>
        <w:numPr>
          <w:ilvl w:val="0"/>
          <w:numId w:val="9"/>
        </w:numPr>
        <w:spacing w:after="0" w:line="240" w:lineRule="auto"/>
        <w:jc w:val="both"/>
        <w:rPr>
          <w:rFonts w:ascii="Arial" w:hAnsi="Arial" w:cs="Arial"/>
        </w:rPr>
      </w:pPr>
      <w:r w:rsidRPr="00900F8E">
        <w:rPr>
          <w:rFonts w:ascii="Arial" w:hAnsi="Arial" w:cs="Arial"/>
        </w:rPr>
        <w:t xml:space="preserve">v okviru javne gozdarske službe je </w:t>
      </w:r>
      <w:r w:rsidR="00D937B2" w:rsidRPr="00900F8E">
        <w:rPr>
          <w:rFonts w:ascii="Arial" w:hAnsi="Arial" w:cs="Arial"/>
        </w:rPr>
        <w:t>ZGS</w:t>
      </w:r>
      <w:r w:rsidRPr="00900F8E">
        <w:rPr>
          <w:rFonts w:ascii="Arial" w:hAnsi="Arial" w:cs="Arial"/>
        </w:rPr>
        <w:t xml:space="preserve"> izvajal svetovanje in usposabljanje lastnikov gozdov s področja gojenja in varstva gozdov ter gozdne tehnike.</w:t>
      </w:r>
    </w:p>
    <w:p w14:paraId="0039C965" w14:textId="28341F1C" w:rsidR="006E7110" w:rsidRPr="00900F8E" w:rsidRDefault="006E7110" w:rsidP="00D25456">
      <w:pPr>
        <w:spacing w:after="0" w:line="240" w:lineRule="auto"/>
        <w:jc w:val="both"/>
        <w:rPr>
          <w:rFonts w:ascii="Arial" w:hAnsi="Arial" w:cs="Arial"/>
        </w:rPr>
      </w:pPr>
    </w:p>
    <w:p w14:paraId="202A2D90" w14:textId="77777777" w:rsidR="00C83956" w:rsidRPr="00900F8E" w:rsidRDefault="00C83956" w:rsidP="00C83956">
      <w:pPr>
        <w:pStyle w:val="Default"/>
        <w:jc w:val="both"/>
        <w:rPr>
          <w:sz w:val="22"/>
          <w:szCs w:val="22"/>
          <w:lang w:val="sl-SI"/>
        </w:rPr>
      </w:pPr>
      <w:r w:rsidRPr="00900F8E">
        <w:rPr>
          <w:sz w:val="22"/>
          <w:szCs w:val="22"/>
          <w:lang w:val="sl-SI"/>
        </w:rPr>
        <w:t>V letu 2021 so se izvajali naslednji ukrepi:</w:t>
      </w:r>
    </w:p>
    <w:p w14:paraId="729A2FD7" w14:textId="5A8F7F8B" w:rsidR="00C83956" w:rsidRPr="00900F8E" w:rsidRDefault="006020E5" w:rsidP="006020E5">
      <w:pPr>
        <w:pStyle w:val="Odstavekseznama"/>
        <w:numPr>
          <w:ilvl w:val="0"/>
          <w:numId w:val="21"/>
        </w:numPr>
        <w:spacing w:after="0" w:line="240" w:lineRule="auto"/>
        <w:jc w:val="both"/>
        <w:rPr>
          <w:rFonts w:ascii="Arial" w:hAnsi="Arial" w:cs="Arial"/>
        </w:rPr>
      </w:pPr>
      <w:r w:rsidRPr="00900F8E">
        <w:rPr>
          <w:rFonts w:ascii="Arial" w:hAnsi="Arial" w:cs="Arial"/>
        </w:rPr>
        <w:t xml:space="preserve">izmerjen je bil drugi panel novega sistema Nacionalne gozdne inventure in izračunani podatki prvega panela. Panelni inventurni sistem je zasnovan tako, da se odpravijo </w:t>
      </w:r>
      <w:r w:rsidRPr="00900F8E">
        <w:rPr>
          <w:rFonts w:ascii="Arial" w:hAnsi="Arial" w:cs="Arial"/>
        </w:rPr>
        <w:lastRenderedPageBreak/>
        <w:t>poznane slabosti inventurnega sistema MGGE, zaradi gostote ploskev in vsakoletnih meritev pa bo omogočal tudi stratifikacijo podatkov, zbiranje podatkov in informacij o gozdovih na nižjih prostorskih ravneh ter kakovostnejše podatke za presojo o trajnostnem gospodarjenju z gozdovi in s tem letno spremljanje stanja in razvoja gozdov;</w:t>
      </w:r>
    </w:p>
    <w:p w14:paraId="4E1CD0CF" w14:textId="007B403E" w:rsidR="006020E5" w:rsidRPr="00900F8E" w:rsidRDefault="006020E5" w:rsidP="006020E5">
      <w:pPr>
        <w:pStyle w:val="Odstavekseznama"/>
        <w:numPr>
          <w:ilvl w:val="0"/>
          <w:numId w:val="21"/>
        </w:numPr>
        <w:spacing w:after="0" w:line="240" w:lineRule="auto"/>
        <w:jc w:val="both"/>
        <w:rPr>
          <w:rFonts w:ascii="Arial" w:hAnsi="Arial" w:cs="Arial"/>
        </w:rPr>
      </w:pPr>
      <w:r w:rsidRPr="00900F8E">
        <w:rPr>
          <w:rFonts w:ascii="Arial" w:hAnsi="Arial" w:cs="Arial"/>
        </w:rPr>
        <w:t>v okviru projekta LIFE IP CARE4CLIMATE je bila oblikovana metodologija za spremljanje stanja in sprememb pokrovnosti/rabe tal ter ocene ogljika po komponentah. Predlagana metodologija obravnava vse rabe zemljišč, za katere se poročajo emisije TGP v sektorju LULUCF skladno z zavezami UNFCCC in EU;</w:t>
      </w:r>
    </w:p>
    <w:p w14:paraId="135C46D8" w14:textId="6ED618C0" w:rsidR="006020E5" w:rsidRPr="00900F8E" w:rsidRDefault="006020E5" w:rsidP="006020E5">
      <w:pPr>
        <w:pStyle w:val="Odstavekseznama"/>
        <w:numPr>
          <w:ilvl w:val="0"/>
          <w:numId w:val="21"/>
        </w:numPr>
        <w:spacing w:after="0" w:line="240" w:lineRule="auto"/>
        <w:jc w:val="both"/>
        <w:rPr>
          <w:rFonts w:ascii="Arial" w:hAnsi="Arial" w:cs="Arial"/>
        </w:rPr>
      </w:pPr>
      <w:r w:rsidRPr="00900F8E">
        <w:rPr>
          <w:rFonts w:ascii="Arial" w:hAnsi="Arial" w:cs="Arial"/>
        </w:rPr>
        <w:t>potekala je obnova desetine GGN GGE</w:t>
      </w:r>
      <w:r w:rsidR="00D937B2" w:rsidRPr="00900F8E">
        <w:rPr>
          <w:rFonts w:ascii="Arial" w:hAnsi="Arial" w:cs="Arial"/>
        </w:rPr>
        <w:t>;</w:t>
      </w:r>
    </w:p>
    <w:p w14:paraId="12580C45" w14:textId="46EBF526" w:rsidR="00D937B2" w:rsidRPr="00900F8E" w:rsidRDefault="00D937B2" w:rsidP="00D937B2">
      <w:pPr>
        <w:pStyle w:val="Odstavekseznama"/>
        <w:numPr>
          <w:ilvl w:val="0"/>
          <w:numId w:val="21"/>
        </w:numPr>
        <w:spacing w:after="0" w:line="240" w:lineRule="auto"/>
        <w:jc w:val="both"/>
        <w:rPr>
          <w:rFonts w:ascii="Arial" w:hAnsi="Arial" w:cs="Arial"/>
        </w:rPr>
      </w:pPr>
      <w:r w:rsidRPr="00900F8E">
        <w:rPr>
          <w:rFonts w:ascii="Arial" w:hAnsi="Arial" w:cs="Arial"/>
        </w:rPr>
        <w:t xml:space="preserve">ZGS je nadaljeval proces sprejema območnih gozdnogospodarskih načrtov 2021–2030. Prejel je </w:t>
      </w:r>
      <w:r w:rsidR="009E1B0F">
        <w:rPr>
          <w:rFonts w:ascii="Arial" w:hAnsi="Arial" w:cs="Arial"/>
        </w:rPr>
        <w:t>več kot</w:t>
      </w:r>
      <w:r w:rsidR="009E1B0F" w:rsidRPr="00900F8E">
        <w:rPr>
          <w:rFonts w:ascii="Arial" w:hAnsi="Arial" w:cs="Arial"/>
        </w:rPr>
        <w:t xml:space="preserve"> </w:t>
      </w:r>
      <w:r w:rsidRPr="00900F8E">
        <w:rPr>
          <w:rFonts w:ascii="Arial" w:hAnsi="Arial" w:cs="Arial"/>
        </w:rPr>
        <w:t>300 različnih pobud k območnim gozdnogospodarskim in lovsko upravljavskim načrtom. Organiziral je delavnice na temo obnove območnih gozdnogospodarskih načrtov po gozdnogospodarskih območjih. Teden gozdov 2021 je potekal pod geslom Načrtno z gozdom!</w:t>
      </w:r>
      <w:r w:rsidR="0030674A" w:rsidRPr="00900F8E">
        <w:rPr>
          <w:rFonts w:ascii="Arial" w:hAnsi="Arial" w:cs="Arial"/>
        </w:rPr>
        <w:t>;</w:t>
      </w:r>
      <w:r w:rsidRPr="00900F8E">
        <w:rPr>
          <w:rFonts w:ascii="Arial" w:hAnsi="Arial" w:cs="Arial"/>
        </w:rPr>
        <w:t xml:space="preserve"> </w:t>
      </w:r>
    </w:p>
    <w:p w14:paraId="268082C0" w14:textId="6E6C1985" w:rsidR="00D937B2" w:rsidRPr="00900F8E" w:rsidRDefault="00D937B2" w:rsidP="00D937B2">
      <w:pPr>
        <w:pStyle w:val="Odstavekseznama"/>
        <w:numPr>
          <w:ilvl w:val="0"/>
          <w:numId w:val="21"/>
        </w:numPr>
        <w:spacing w:after="0" w:line="240" w:lineRule="auto"/>
        <w:jc w:val="both"/>
        <w:rPr>
          <w:rFonts w:ascii="Arial" w:hAnsi="Arial" w:cs="Arial"/>
        </w:rPr>
      </w:pPr>
      <w:r w:rsidRPr="00900F8E">
        <w:rPr>
          <w:rFonts w:ascii="Arial" w:hAnsi="Arial" w:cs="Arial"/>
        </w:rPr>
        <w:t>dokončano in objavljeno je bilo Poročilo o izvajanju nacionalnega gozdnega programa v obdobju 2015–2019</w:t>
      </w:r>
      <w:r w:rsidR="0030674A" w:rsidRPr="00900F8E">
        <w:rPr>
          <w:rFonts w:ascii="Arial" w:hAnsi="Arial" w:cs="Arial"/>
        </w:rPr>
        <w:t>;</w:t>
      </w:r>
    </w:p>
    <w:p w14:paraId="441BFE50" w14:textId="194E8210" w:rsidR="0030674A" w:rsidRPr="00900F8E" w:rsidRDefault="0030674A" w:rsidP="00D937B2">
      <w:pPr>
        <w:pStyle w:val="Odstavekseznama"/>
        <w:numPr>
          <w:ilvl w:val="0"/>
          <w:numId w:val="21"/>
        </w:numPr>
        <w:spacing w:after="0" w:line="240" w:lineRule="auto"/>
        <w:jc w:val="both"/>
        <w:rPr>
          <w:rFonts w:ascii="Arial" w:hAnsi="Arial" w:cs="Arial"/>
        </w:rPr>
      </w:pPr>
      <w:r w:rsidRPr="00900F8E">
        <w:rPr>
          <w:rFonts w:ascii="Arial" w:hAnsi="Arial" w:cs="Arial"/>
        </w:rPr>
        <w:t>izvajala se je nega zasebnih gozdov;</w:t>
      </w:r>
    </w:p>
    <w:p w14:paraId="73E06CB0" w14:textId="3AE89E06" w:rsidR="0030674A" w:rsidRPr="00900F8E" w:rsidRDefault="0030674A" w:rsidP="00D937B2">
      <w:pPr>
        <w:pStyle w:val="Odstavekseznama"/>
        <w:numPr>
          <w:ilvl w:val="0"/>
          <w:numId w:val="21"/>
        </w:numPr>
        <w:spacing w:after="0" w:line="240" w:lineRule="auto"/>
        <w:jc w:val="both"/>
        <w:rPr>
          <w:rFonts w:ascii="Arial" w:hAnsi="Arial" w:cs="Arial"/>
        </w:rPr>
      </w:pPr>
      <w:r w:rsidRPr="00900F8E">
        <w:rPr>
          <w:rFonts w:ascii="Arial" w:hAnsi="Arial" w:cs="Arial"/>
        </w:rPr>
        <w:t>v okviru javne gozdarske službe je ZGS izvajal svetovanje in usposabljanje lastnikov gozdov s področja gojenja in varstva gozdov ter gozdne tehnike.</w:t>
      </w:r>
    </w:p>
    <w:p w14:paraId="464554C6" w14:textId="6CD2118F" w:rsidR="00261369" w:rsidRPr="00900F8E" w:rsidRDefault="00261369" w:rsidP="00D25456">
      <w:pPr>
        <w:spacing w:after="0" w:line="240" w:lineRule="auto"/>
        <w:jc w:val="both"/>
        <w:rPr>
          <w:rFonts w:ascii="Arial" w:hAnsi="Arial" w:cs="Arial"/>
        </w:rPr>
      </w:pPr>
    </w:p>
    <w:p w14:paraId="7506F37B" w14:textId="6B70BB8A" w:rsidR="00CC1DEB" w:rsidRPr="00900F8E" w:rsidRDefault="003825D3" w:rsidP="0065545E">
      <w:pPr>
        <w:pStyle w:val="Naslov2"/>
        <w:rPr>
          <w:rFonts w:ascii="Arial" w:hAnsi="Arial" w:cs="Arial"/>
          <w:color w:val="auto"/>
        </w:rPr>
      </w:pPr>
      <w:bookmarkStart w:id="38" w:name="_Toc120166944"/>
      <w:r w:rsidRPr="00900F8E">
        <w:rPr>
          <w:rFonts w:ascii="Arial" w:hAnsi="Arial" w:cs="Arial"/>
          <w:color w:val="auto"/>
        </w:rPr>
        <w:t>4</w:t>
      </w:r>
      <w:r w:rsidR="007740D2" w:rsidRPr="00900F8E">
        <w:rPr>
          <w:rFonts w:ascii="Arial" w:hAnsi="Arial" w:cs="Arial"/>
          <w:color w:val="auto"/>
        </w:rPr>
        <w:t>.9</w:t>
      </w:r>
      <w:r w:rsidR="00C31735" w:rsidRPr="00900F8E">
        <w:rPr>
          <w:rFonts w:ascii="Arial" w:hAnsi="Arial" w:cs="Arial"/>
          <w:color w:val="auto"/>
        </w:rPr>
        <w:t xml:space="preserve"> Večsektorski ukrepi</w:t>
      </w:r>
      <w:bookmarkEnd w:id="38"/>
    </w:p>
    <w:p w14:paraId="6680AACE" w14:textId="518D4094" w:rsidR="00C31735" w:rsidRPr="00900F8E" w:rsidRDefault="00C31735" w:rsidP="00C52E4C">
      <w:pPr>
        <w:spacing w:after="0" w:line="240" w:lineRule="auto"/>
        <w:jc w:val="both"/>
        <w:rPr>
          <w:rFonts w:ascii="Arial" w:hAnsi="Arial" w:cs="Arial"/>
          <w:sz w:val="16"/>
          <w:szCs w:val="16"/>
        </w:rPr>
      </w:pPr>
    </w:p>
    <w:p w14:paraId="78EEDE3D" w14:textId="70E7A6EA" w:rsidR="00B556C3" w:rsidRPr="00900F8E" w:rsidRDefault="0009194F" w:rsidP="003F265E">
      <w:pPr>
        <w:spacing w:after="0" w:line="240" w:lineRule="auto"/>
        <w:jc w:val="both"/>
        <w:rPr>
          <w:rFonts w:ascii="Arial" w:hAnsi="Arial" w:cs="Arial"/>
        </w:rPr>
      </w:pPr>
      <w:r w:rsidRPr="00900F8E">
        <w:rPr>
          <w:rFonts w:ascii="Arial" w:hAnsi="Arial" w:cs="Arial"/>
        </w:rPr>
        <w:t xml:space="preserve">Za leto 2020 so med drugimi večsektorskimi ukrepi </w:t>
      </w:r>
      <w:r w:rsidR="00E07C48">
        <w:rPr>
          <w:rFonts w:ascii="Arial" w:hAnsi="Arial" w:cs="Arial"/>
        </w:rPr>
        <w:t>poudarjene</w:t>
      </w:r>
      <w:r w:rsidR="00E07C48" w:rsidRPr="00900F8E">
        <w:rPr>
          <w:rFonts w:ascii="Arial" w:hAnsi="Arial" w:cs="Arial"/>
        </w:rPr>
        <w:t xml:space="preserve"> </w:t>
      </w:r>
      <w:r w:rsidRPr="00900F8E">
        <w:rPr>
          <w:rFonts w:ascii="Arial" w:hAnsi="Arial" w:cs="Arial"/>
        </w:rPr>
        <w:t xml:space="preserve">naslednje </w:t>
      </w:r>
      <w:r w:rsidR="007F107C">
        <w:rPr>
          <w:rFonts w:ascii="Arial" w:hAnsi="Arial" w:cs="Arial"/>
        </w:rPr>
        <w:t>dejavnosti</w:t>
      </w:r>
      <w:r w:rsidRPr="00900F8E">
        <w:rPr>
          <w:rFonts w:ascii="Arial" w:hAnsi="Arial" w:cs="Arial"/>
        </w:rPr>
        <w:t xml:space="preserve">: </w:t>
      </w:r>
    </w:p>
    <w:p w14:paraId="3DD0CA35" w14:textId="1F6FDB2F" w:rsidR="008E1792" w:rsidRPr="00900F8E" w:rsidRDefault="008E1792" w:rsidP="00E02BBA">
      <w:pPr>
        <w:pStyle w:val="Odstavekseznama"/>
        <w:numPr>
          <w:ilvl w:val="0"/>
          <w:numId w:val="11"/>
        </w:numPr>
        <w:spacing w:after="0" w:line="240" w:lineRule="auto"/>
        <w:jc w:val="both"/>
        <w:rPr>
          <w:rFonts w:ascii="Arial" w:hAnsi="Arial" w:cs="Arial"/>
        </w:rPr>
      </w:pPr>
      <w:r w:rsidRPr="00900F8E">
        <w:rPr>
          <w:rFonts w:ascii="Arial" w:hAnsi="Arial" w:cs="Arial"/>
        </w:rPr>
        <w:t xml:space="preserve">v okviru sheme obveznega doseganja prihrankov končne energije za zavezance </w:t>
      </w:r>
      <w:r w:rsidR="00D93714" w:rsidRPr="00900F8E">
        <w:rPr>
          <w:rFonts w:ascii="Arial" w:hAnsi="Arial" w:cs="Arial"/>
        </w:rPr>
        <w:t>je bila polovica</w:t>
      </w:r>
      <w:r w:rsidRPr="00900F8E">
        <w:rPr>
          <w:rFonts w:ascii="Arial" w:hAnsi="Arial" w:cs="Arial"/>
        </w:rPr>
        <w:t xml:space="preserve"> vseh prihrankov dosežena v industriji, 1</w:t>
      </w:r>
      <w:r w:rsidR="001E5412" w:rsidRPr="00900F8E">
        <w:rPr>
          <w:rFonts w:ascii="Arial" w:hAnsi="Arial" w:cs="Arial"/>
        </w:rPr>
        <w:t>7</w:t>
      </w:r>
      <w:r w:rsidRPr="00900F8E">
        <w:rPr>
          <w:rFonts w:ascii="Arial" w:hAnsi="Arial" w:cs="Arial"/>
        </w:rPr>
        <w:t xml:space="preserve"> % v gospodinjstvih in 11 % v zasebnem storitvenem sektorju</w:t>
      </w:r>
      <w:r w:rsidR="00D93714" w:rsidRPr="00900F8E">
        <w:rPr>
          <w:rFonts w:ascii="Arial" w:hAnsi="Arial" w:cs="Arial"/>
        </w:rPr>
        <w:t>.</w:t>
      </w:r>
      <w:r w:rsidRPr="00900F8E">
        <w:rPr>
          <w:rFonts w:ascii="Arial" w:hAnsi="Arial" w:cs="Arial"/>
        </w:rPr>
        <w:t xml:space="preserve"> Četrtina prihranka je bilo dosežena z ukrepi, katerih doseženi prihranki se izkazujejo z energetskimi pregledi, sledili so vgradnja sistemov za soproizvodnjo toplote in električne energije (21 %), vgradnja energetsko učinkovit</w:t>
      </w:r>
      <w:r w:rsidR="007F107C">
        <w:rPr>
          <w:rFonts w:ascii="Arial" w:hAnsi="Arial" w:cs="Arial"/>
        </w:rPr>
        <w:t>e</w:t>
      </w:r>
      <w:r w:rsidRPr="00900F8E">
        <w:rPr>
          <w:rFonts w:ascii="Arial" w:hAnsi="Arial" w:cs="Arial"/>
        </w:rPr>
        <w:t xml:space="preserve"> razsvetljave v stavbah (19 %) in dodajanje aditiva pogonskemu gorivu (9 %).</w:t>
      </w:r>
      <w:r w:rsidR="00D93714" w:rsidRPr="00900F8E">
        <w:rPr>
          <w:rFonts w:ascii="Arial" w:hAnsi="Arial" w:cs="Arial"/>
        </w:rPr>
        <w:t xml:space="preserve"> </w:t>
      </w:r>
      <w:r w:rsidRPr="00900F8E">
        <w:rPr>
          <w:rFonts w:ascii="Arial" w:hAnsi="Arial" w:cs="Arial"/>
        </w:rPr>
        <w:t>Svojo obveznost iz AN URE in Uredbe o zagotavljanju prihrankov energije</w:t>
      </w:r>
      <w:r w:rsidR="005E59F4" w:rsidRPr="005E59F4">
        <w:t xml:space="preserve"> </w:t>
      </w:r>
      <w:r w:rsidR="005E59F4" w:rsidRPr="005E59F4">
        <w:rPr>
          <w:rFonts w:ascii="Arial" w:hAnsi="Arial" w:cs="Arial"/>
        </w:rPr>
        <w:t>(Uradni list RS, št. 96/14, 158/20 – ZURE, 84/22, 86/22 in 107/22)</w:t>
      </w:r>
      <w:r w:rsidRPr="00900F8E">
        <w:rPr>
          <w:rFonts w:ascii="Arial" w:hAnsi="Arial" w:cs="Arial"/>
        </w:rPr>
        <w:t xml:space="preserve">, </w:t>
      </w:r>
      <w:r w:rsidR="0009194F" w:rsidRPr="00900F8E">
        <w:rPr>
          <w:rFonts w:ascii="Arial" w:hAnsi="Arial" w:cs="Arial"/>
        </w:rPr>
        <w:t>ki</w:t>
      </w:r>
      <w:r w:rsidRPr="00900F8E">
        <w:rPr>
          <w:rFonts w:ascii="Arial" w:hAnsi="Arial" w:cs="Arial"/>
        </w:rPr>
        <w:t xml:space="preserve"> je za leto 2020 predstavljala 0,75 % prodane energije v letu 2019, so zavezanci presegli za 17 %</w:t>
      </w:r>
      <w:r w:rsidR="0009194F" w:rsidRPr="00900F8E">
        <w:rPr>
          <w:rFonts w:ascii="Arial" w:hAnsi="Arial" w:cs="Arial"/>
        </w:rPr>
        <w:t>;</w:t>
      </w:r>
    </w:p>
    <w:p w14:paraId="061260D2" w14:textId="2CF0D93B" w:rsidR="008E1792" w:rsidRPr="00900F8E" w:rsidRDefault="008E1792" w:rsidP="00E02BBA">
      <w:pPr>
        <w:pStyle w:val="Odstavekseznama"/>
        <w:numPr>
          <w:ilvl w:val="0"/>
          <w:numId w:val="10"/>
        </w:numPr>
        <w:spacing w:after="0" w:line="240" w:lineRule="auto"/>
        <w:jc w:val="both"/>
        <w:rPr>
          <w:rFonts w:ascii="Arial" w:hAnsi="Arial" w:cs="Arial"/>
        </w:rPr>
      </w:pPr>
      <w:r w:rsidRPr="00900F8E">
        <w:rPr>
          <w:rFonts w:ascii="Arial" w:hAnsi="Arial" w:cs="Arial"/>
        </w:rPr>
        <w:t>poročilo o doseženih prihrankih je oddalo 211 zavezancev;</w:t>
      </w:r>
    </w:p>
    <w:p w14:paraId="29E7AF6E" w14:textId="11A1D93D" w:rsidR="00B556C3" w:rsidRPr="00900F8E" w:rsidRDefault="008E1792" w:rsidP="00E02BBA">
      <w:pPr>
        <w:pStyle w:val="Odstavekseznama"/>
        <w:numPr>
          <w:ilvl w:val="0"/>
          <w:numId w:val="10"/>
        </w:numPr>
        <w:spacing w:after="0" w:line="240" w:lineRule="auto"/>
        <w:jc w:val="both"/>
        <w:rPr>
          <w:rFonts w:ascii="Arial" w:hAnsi="Arial" w:cs="Arial"/>
        </w:rPr>
      </w:pPr>
      <w:r w:rsidRPr="00900F8E">
        <w:rPr>
          <w:rFonts w:ascii="Arial" w:hAnsi="Arial" w:cs="Arial"/>
        </w:rPr>
        <w:t>z izvedbo projektov URE in izrabe OVE v okviru sheme obveznega doseganja prihrankov končne energije za zavezance je bilo leta 2020 doseženo zmanjšanje rabe energije za 294 GWh</w:t>
      </w:r>
      <w:r w:rsidR="00944F02" w:rsidRPr="00900F8E">
        <w:rPr>
          <w:rFonts w:ascii="Arial" w:hAnsi="Arial" w:cs="Arial"/>
        </w:rPr>
        <w:t xml:space="preserve"> na </w:t>
      </w:r>
      <w:r w:rsidRPr="00900F8E">
        <w:rPr>
          <w:rFonts w:ascii="Arial" w:hAnsi="Arial" w:cs="Arial"/>
        </w:rPr>
        <w:t>leto, povečanje proizvodnje energija iz OVE za 114 GWh</w:t>
      </w:r>
      <w:r w:rsidR="00944F02" w:rsidRPr="00900F8E">
        <w:rPr>
          <w:rFonts w:ascii="Arial" w:hAnsi="Arial" w:cs="Arial"/>
        </w:rPr>
        <w:t xml:space="preserve"> na </w:t>
      </w:r>
      <w:r w:rsidRPr="00900F8E">
        <w:rPr>
          <w:rFonts w:ascii="Arial" w:hAnsi="Arial" w:cs="Arial"/>
        </w:rPr>
        <w:t xml:space="preserve">leto in zmanjšanje emisije </w:t>
      </w:r>
      <w:r w:rsidR="00944F02" w:rsidRPr="00900F8E">
        <w:rPr>
          <w:rFonts w:ascii="Arial" w:hAnsi="Arial" w:cs="Arial"/>
        </w:rPr>
        <w:t>CO</w:t>
      </w:r>
      <w:r w:rsidR="00944F02" w:rsidRPr="00900F8E">
        <w:rPr>
          <w:rFonts w:ascii="Arial" w:hAnsi="Arial" w:cs="Arial"/>
          <w:vertAlign w:val="subscript"/>
        </w:rPr>
        <w:t>2</w:t>
      </w:r>
      <w:r w:rsidRPr="00900F8E">
        <w:rPr>
          <w:rFonts w:ascii="Arial" w:hAnsi="Arial" w:cs="Arial"/>
        </w:rPr>
        <w:t xml:space="preserve"> za 92 kt</w:t>
      </w:r>
      <w:r w:rsidR="00944F02" w:rsidRPr="00900F8E">
        <w:rPr>
          <w:rFonts w:ascii="Arial" w:hAnsi="Arial" w:cs="Arial"/>
        </w:rPr>
        <w:t xml:space="preserve"> na </w:t>
      </w:r>
      <w:r w:rsidRPr="00900F8E">
        <w:rPr>
          <w:rFonts w:ascii="Arial" w:hAnsi="Arial" w:cs="Arial"/>
        </w:rPr>
        <w:t>leto.</w:t>
      </w:r>
    </w:p>
    <w:p w14:paraId="2F26950B" w14:textId="1AEA00B6" w:rsidR="0009194F" w:rsidRPr="00900F8E" w:rsidRDefault="0009194F" w:rsidP="00640804">
      <w:pPr>
        <w:pStyle w:val="Odstavekseznama"/>
        <w:numPr>
          <w:ilvl w:val="0"/>
          <w:numId w:val="10"/>
        </w:numPr>
        <w:spacing w:after="0" w:line="240" w:lineRule="auto"/>
        <w:jc w:val="both"/>
        <w:rPr>
          <w:rFonts w:ascii="Arial" w:hAnsi="Arial" w:cs="Arial"/>
        </w:rPr>
      </w:pPr>
      <w:r w:rsidRPr="00900F8E">
        <w:rPr>
          <w:rFonts w:ascii="Arial" w:hAnsi="Arial" w:cs="Arial"/>
        </w:rPr>
        <w:t>Eko sklad je odobril za 43,2 milijona evrov ugodnih kreditov</w:t>
      </w:r>
      <w:r w:rsidR="001F1CB0" w:rsidRPr="00900F8E">
        <w:rPr>
          <w:rFonts w:ascii="Arial" w:hAnsi="Arial" w:cs="Arial"/>
        </w:rPr>
        <w:t>, pri čemer je z</w:t>
      </w:r>
      <w:r w:rsidRPr="00900F8E">
        <w:rPr>
          <w:rFonts w:ascii="Arial" w:hAnsi="Arial" w:cs="Arial"/>
        </w:rPr>
        <w:t>nesek podpisanih kreditnih pogodb je znašal 38,4 milijon</w:t>
      </w:r>
      <w:r w:rsidR="001F1CB0" w:rsidRPr="00900F8E">
        <w:rPr>
          <w:rFonts w:ascii="Arial" w:hAnsi="Arial" w:cs="Arial"/>
        </w:rPr>
        <w:t>a</w:t>
      </w:r>
      <w:r w:rsidRPr="00900F8E">
        <w:rPr>
          <w:rFonts w:ascii="Arial" w:hAnsi="Arial" w:cs="Arial"/>
        </w:rPr>
        <w:t xml:space="preserve"> evrov</w:t>
      </w:r>
      <w:r w:rsidR="0076682D" w:rsidRPr="00900F8E">
        <w:rPr>
          <w:rFonts w:ascii="Arial" w:hAnsi="Arial" w:cs="Arial"/>
        </w:rPr>
        <w:t>. S</w:t>
      </w:r>
      <w:r w:rsidRPr="00900F8E">
        <w:rPr>
          <w:rFonts w:ascii="Arial" w:hAnsi="Arial" w:cs="Arial"/>
        </w:rPr>
        <w:t xml:space="preserve">kupno je bilo odobrenih 2.671 kreditov, od tega </w:t>
      </w:r>
      <w:r w:rsidR="001F1CB0" w:rsidRPr="00900F8E">
        <w:rPr>
          <w:rFonts w:ascii="Arial" w:hAnsi="Arial" w:cs="Arial"/>
        </w:rPr>
        <w:t>45</w:t>
      </w:r>
      <w:r w:rsidRPr="00900F8E">
        <w:rPr>
          <w:rFonts w:ascii="Arial" w:hAnsi="Arial" w:cs="Arial"/>
        </w:rPr>
        <w:t xml:space="preserve"> </w:t>
      </w:r>
      <w:r w:rsidR="001F1CB0" w:rsidRPr="00900F8E">
        <w:rPr>
          <w:rFonts w:ascii="Arial" w:hAnsi="Arial" w:cs="Arial"/>
        </w:rPr>
        <w:t xml:space="preserve">kreditov </w:t>
      </w:r>
      <w:r w:rsidRPr="00900F8E">
        <w:rPr>
          <w:rFonts w:ascii="Arial" w:hAnsi="Arial" w:cs="Arial"/>
        </w:rPr>
        <w:t xml:space="preserve">za pravne osebe v skupni vrednosti </w:t>
      </w:r>
      <w:r w:rsidR="001F1CB0" w:rsidRPr="00900F8E">
        <w:rPr>
          <w:rFonts w:ascii="Arial" w:hAnsi="Arial" w:cs="Arial"/>
        </w:rPr>
        <w:t>10,3</w:t>
      </w:r>
      <w:r w:rsidRPr="00900F8E">
        <w:rPr>
          <w:rFonts w:ascii="Arial" w:hAnsi="Arial" w:cs="Arial"/>
        </w:rPr>
        <w:t xml:space="preserve"> milijon</w:t>
      </w:r>
      <w:r w:rsidR="001F1CB0" w:rsidRPr="00900F8E">
        <w:rPr>
          <w:rFonts w:ascii="Arial" w:hAnsi="Arial" w:cs="Arial"/>
        </w:rPr>
        <w:t>a</w:t>
      </w:r>
      <w:r w:rsidRPr="00900F8E">
        <w:rPr>
          <w:rFonts w:ascii="Arial" w:hAnsi="Arial" w:cs="Arial"/>
        </w:rPr>
        <w:t xml:space="preserve"> evrov</w:t>
      </w:r>
      <w:r w:rsidR="0076682D" w:rsidRPr="00900F8E">
        <w:rPr>
          <w:rFonts w:ascii="Arial" w:hAnsi="Arial" w:cs="Arial"/>
        </w:rPr>
        <w:t>. P</w:t>
      </w:r>
      <w:r w:rsidRPr="00900F8E">
        <w:rPr>
          <w:rFonts w:ascii="Arial" w:hAnsi="Arial" w:cs="Arial"/>
        </w:rPr>
        <w:t>odpisanih kreditnih pogodb je bilo 2.127, od tega 39 s pravnimi osebami. 99 % sredstev podpisanih pogodb je bilo namenjenih financiranju naložb na področju varstva zraka in podnebja. Pri pravnih osebah so ukrepi URE predstavljali 81 %, ukrepi izrabe OVE 15 % vrednosti podpisanih pogodb</w:t>
      </w:r>
      <w:r w:rsidR="001F1CB0" w:rsidRPr="00900F8E">
        <w:rPr>
          <w:rFonts w:ascii="Arial" w:hAnsi="Arial" w:cs="Arial"/>
        </w:rPr>
        <w:t xml:space="preserve">. </w:t>
      </w:r>
      <w:r w:rsidRPr="00900F8E">
        <w:rPr>
          <w:rFonts w:ascii="Arial" w:hAnsi="Arial" w:cs="Arial"/>
        </w:rPr>
        <w:t>Pri občanih je bilo ukrepom URE namenjenih 46 % skupne vrednosti podpisanih kreditnih pogodb, ukrepom izrabe OVE 53 %</w:t>
      </w:r>
      <w:r w:rsidR="0076682D" w:rsidRPr="00900F8E">
        <w:rPr>
          <w:rFonts w:ascii="Arial" w:hAnsi="Arial" w:cs="Arial"/>
        </w:rPr>
        <w:t>. S</w:t>
      </w:r>
      <w:r w:rsidRPr="00900F8E">
        <w:rPr>
          <w:rFonts w:ascii="Arial" w:hAnsi="Arial" w:cs="Arial"/>
        </w:rPr>
        <w:t>kupni znesek porabljenih kreditov je znašal 38,9 milijon</w:t>
      </w:r>
      <w:r w:rsidR="001F1CB0" w:rsidRPr="00900F8E">
        <w:rPr>
          <w:rFonts w:ascii="Arial" w:hAnsi="Arial" w:cs="Arial"/>
        </w:rPr>
        <w:t>a</w:t>
      </w:r>
      <w:r w:rsidRPr="00900F8E">
        <w:rPr>
          <w:rFonts w:ascii="Arial" w:hAnsi="Arial" w:cs="Arial"/>
        </w:rPr>
        <w:t xml:space="preserve"> evrov</w:t>
      </w:r>
      <w:r w:rsidR="001F1CB0" w:rsidRPr="00900F8E">
        <w:rPr>
          <w:rFonts w:ascii="Arial" w:hAnsi="Arial" w:cs="Arial"/>
        </w:rPr>
        <w:t>, od česar je</w:t>
      </w:r>
      <w:r w:rsidRPr="00900F8E">
        <w:rPr>
          <w:rFonts w:ascii="Arial" w:hAnsi="Arial" w:cs="Arial"/>
        </w:rPr>
        <w:t xml:space="preserve"> </w:t>
      </w:r>
      <w:r w:rsidR="001F1CB0" w:rsidRPr="00900F8E">
        <w:rPr>
          <w:rFonts w:ascii="Arial" w:hAnsi="Arial" w:cs="Arial"/>
        </w:rPr>
        <w:t xml:space="preserve">bilo </w:t>
      </w:r>
      <w:r w:rsidRPr="00900F8E">
        <w:rPr>
          <w:rFonts w:ascii="Arial" w:hAnsi="Arial" w:cs="Arial"/>
        </w:rPr>
        <w:t xml:space="preserve">13 % teh sredstev namenjenih za izvajanje 42 naložb pravnih oseb, 9 % za izvajanje </w:t>
      </w:r>
      <w:r w:rsidR="00076EDC">
        <w:rPr>
          <w:rFonts w:ascii="Arial" w:hAnsi="Arial" w:cs="Arial"/>
        </w:rPr>
        <w:t>štirih</w:t>
      </w:r>
      <w:r w:rsidRPr="00900F8E">
        <w:rPr>
          <w:rFonts w:ascii="Arial" w:hAnsi="Arial" w:cs="Arial"/>
        </w:rPr>
        <w:t xml:space="preserve"> naložb občin, preostalih 78 % pa za kreditiranje 2.244 okoljskih naložb občanov</w:t>
      </w:r>
      <w:r w:rsidR="0076682D" w:rsidRPr="00900F8E">
        <w:rPr>
          <w:rFonts w:ascii="Arial" w:hAnsi="Arial" w:cs="Arial"/>
        </w:rPr>
        <w:t>. Z</w:t>
      </w:r>
      <w:r w:rsidRPr="00900F8E">
        <w:rPr>
          <w:rFonts w:ascii="Arial" w:hAnsi="Arial" w:cs="Arial"/>
        </w:rPr>
        <w:t>a kreditiranje okoljskih naložb občanov je veljal javni poziv 65OB19</w:t>
      </w:r>
      <w:r w:rsidR="001F1CB0" w:rsidRPr="00900F8E">
        <w:rPr>
          <w:rFonts w:ascii="Arial" w:hAnsi="Arial" w:cs="Arial"/>
        </w:rPr>
        <w:t>, katerega</w:t>
      </w:r>
      <w:r w:rsidRPr="00900F8E">
        <w:rPr>
          <w:rFonts w:ascii="Arial" w:hAnsi="Arial" w:cs="Arial"/>
        </w:rPr>
        <w:t xml:space="preserve"> višina razpisanih kreditnih sredstev </w:t>
      </w:r>
      <w:r w:rsidR="001F1CB0" w:rsidRPr="00900F8E">
        <w:rPr>
          <w:rFonts w:ascii="Arial" w:hAnsi="Arial" w:cs="Arial"/>
        </w:rPr>
        <w:t>je bila</w:t>
      </w:r>
      <w:r w:rsidRPr="00900F8E">
        <w:rPr>
          <w:rFonts w:ascii="Arial" w:hAnsi="Arial" w:cs="Arial"/>
        </w:rPr>
        <w:t xml:space="preserve"> 30 milijonov evrov. Občine so lahko ugodna posojila Eko sklada pridobile v okviru poziva za kreditiranje okoljskih naložb občin 60LS17 s 5 milijoni evrov razpoložljivih sredstev in poziva za kreditiranje naložb občin v gradnjo novih skoraj ničenergijskih stavb splošnega družbenega pomena 61ONS17 z razpisanimi 20 milijoni evrov ugodnih </w:t>
      </w:r>
      <w:r w:rsidRPr="00900F8E">
        <w:rPr>
          <w:rFonts w:ascii="Arial" w:hAnsi="Arial" w:cs="Arial"/>
        </w:rPr>
        <w:lastRenderedPageBreak/>
        <w:t xml:space="preserve">kreditov. </w:t>
      </w:r>
      <w:r w:rsidR="001F1CB0" w:rsidRPr="00900F8E">
        <w:rPr>
          <w:rFonts w:ascii="Arial" w:hAnsi="Arial" w:cs="Arial"/>
        </w:rPr>
        <w:t>Za</w:t>
      </w:r>
      <w:r w:rsidRPr="00900F8E">
        <w:rPr>
          <w:rFonts w:ascii="Arial" w:hAnsi="Arial" w:cs="Arial"/>
        </w:rPr>
        <w:t xml:space="preserve"> kreditiranje okoljskih naložb pravnih oseb </w:t>
      </w:r>
      <w:r w:rsidR="006C2542" w:rsidRPr="00900F8E">
        <w:rPr>
          <w:rFonts w:ascii="Arial" w:hAnsi="Arial" w:cs="Arial"/>
        </w:rPr>
        <w:t>sta bila</w:t>
      </w:r>
      <w:r w:rsidR="001F1CB0" w:rsidRPr="00900F8E">
        <w:rPr>
          <w:rFonts w:ascii="Arial" w:hAnsi="Arial" w:cs="Arial"/>
        </w:rPr>
        <w:t xml:space="preserve"> </w:t>
      </w:r>
      <w:r w:rsidRPr="00900F8E">
        <w:rPr>
          <w:rFonts w:ascii="Arial" w:hAnsi="Arial" w:cs="Arial"/>
        </w:rPr>
        <w:t>objavljen</w:t>
      </w:r>
      <w:r w:rsidR="006C2542" w:rsidRPr="00900F8E">
        <w:rPr>
          <w:rFonts w:ascii="Arial" w:hAnsi="Arial" w:cs="Arial"/>
        </w:rPr>
        <w:t>a</w:t>
      </w:r>
      <w:r w:rsidRPr="00900F8E">
        <w:rPr>
          <w:rFonts w:ascii="Arial" w:hAnsi="Arial" w:cs="Arial"/>
        </w:rPr>
        <w:t xml:space="preserve"> poziv 64PO20 z 10 milijoni evrov razpoložljivih sredstev</w:t>
      </w:r>
      <w:r w:rsidR="006C2542" w:rsidRPr="00900F8E">
        <w:rPr>
          <w:rFonts w:ascii="Arial" w:hAnsi="Arial" w:cs="Arial"/>
        </w:rPr>
        <w:t xml:space="preserve"> in</w:t>
      </w:r>
      <w:r w:rsidRPr="00900F8E">
        <w:rPr>
          <w:rFonts w:ascii="Arial" w:hAnsi="Arial" w:cs="Arial"/>
        </w:rPr>
        <w:t xml:space="preserve"> poziv 66PO21 z 10 milijoni evrov sredstev. </w:t>
      </w:r>
      <w:r w:rsidR="004B450D">
        <w:rPr>
          <w:rFonts w:ascii="Arial" w:hAnsi="Arial" w:cs="Arial"/>
        </w:rPr>
        <w:t>Končan</w:t>
      </w:r>
      <w:r w:rsidR="004B450D" w:rsidRPr="00900F8E">
        <w:rPr>
          <w:rFonts w:ascii="Arial" w:hAnsi="Arial" w:cs="Arial"/>
        </w:rPr>
        <w:t xml:space="preserve"> </w:t>
      </w:r>
      <w:r w:rsidR="006C2542" w:rsidRPr="00900F8E">
        <w:rPr>
          <w:rFonts w:ascii="Arial" w:hAnsi="Arial" w:cs="Arial"/>
        </w:rPr>
        <w:t>je bil p</w:t>
      </w:r>
      <w:r w:rsidRPr="00900F8E">
        <w:rPr>
          <w:rFonts w:ascii="Arial" w:hAnsi="Arial" w:cs="Arial"/>
        </w:rPr>
        <w:t>oziv 76FSPO19</w:t>
      </w:r>
      <w:r w:rsidR="006C2542" w:rsidRPr="00900F8E">
        <w:rPr>
          <w:rFonts w:ascii="Arial" w:hAnsi="Arial" w:cs="Arial"/>
        </w:rPr>
        <w:t>, ki ga je</w:t>
      </w:r>
      <w:r w:rsidRPr="00900F8E">
        <w:rPr>
          <w:rFonts w:ascii="Arial" w:hAnsi="Arial" w:cs="Arial"/>
        </w:rPr>
        <w:t xml:space="preserve"> nadomestil nov poziv za nepovratne finančne spodbude za nove naložbe podjetjem v URE in rabo OVE 82FSPO20, kjer je bilo razpisanih 5 milijonov evrov kreditov in 3 milijone evrov nepovratnih sredstev</w:t>
      </w:r>
      <w:r w:rsidR="006C2542" w:rsidRPr="00900F8E">
        <w:rPr>
          <w:rFonts w:ascii="Arial" w:hAnsi="Arial" w:cs="Arial"/>
        </w:rPr>
        <w:t>;</w:t>
      </w:r>
    </w:p>
    <w:p w14:paraId="2ED745A9" w14:textId="1E29F9AC" w:rsidR="00510775" w:rsidRPr="00900F8E" w:rsidRDefault="00872F99" w:rsidP="00E02BBA">
      <w:pPr>
        <w:pStyle w:val="Odstavekseznama"/>
        <w:numPr>
          <w:ilvl w:val="0"/>
          <w:numId w:val="10"/>
        </w:numPr>
        <w:spacing w:after="0" w:line="240" w:lineRule="auto"/>
        <w:jc w:val="both"/>
        <w:rPr>
          <w:rFonts w:ascii="Arial" w:hAnsi="Arial" w:cs="Arial"/>
        </w:rPr>
      </w:pPr>
      <w:r w:rsidRPr="00900F8E">
        <w:rPr>
          <w:rFonts w:ascii="Arial" w:hAnsi="Arial" w:cs="Arial"/>
        </w:rPr>
        <w:t>v okviru sheme podpor za spodbujanje proizvodnje električne energije iz OVE in v SPTE z visokim izkoristkom je bilo v prvi polovici leta na</w:t>
      </w:r>
      <w:r w:rsidR="0073008B" w:rsidRPr="00900F8E">
        <w:rPr>
          <w:rFonts w:ascii="Arial" w:hAnsi="Arial" w:cs="Arial"/>
        </w:rPr>
        <w:t xml:space="preserve"> javnem pozivu potrjenih 37 projektov s skupno nazivno električno močjo 17,17 MW</w:t>
      </w:r>
      <w:r w:rsidRPr="00900F8E">
        <w:rPr>
          <w:rFonts w:ascii="Arial" w:hAnsi="Arial" w:cs="Arial"/>
        </w:rPr>
        <w:t>, v drugi polovici</w:t>
      </w:r>
      <w:r w:rsidR="0073008B" w:rsidRPr="00900F8E">
        <w:rPr>
          <w:rFonts w:ascii="Arial" w:hAnsi="Arial" w:cs="Arial"/>
        </w:rPr>
        <w:t xml:space="preserve"> pa je bilo potrjenih 83 projektov (od 89 prijavljenih) s skupno nazivno močjo 102,58 MW, vendar promotorji za 11 projektov vetrnih elektrarn skupne električne moči 77 MW niso predložili zavarovanja, zaradi česar je veljavnost sklepov o potrditvi prenehala. </w:t>
      </w:r>
      <w:r w:rsidRPr="00900F8E">
        <w:rPr>
          <w:rFonts w:ascii="Arial" w:hAnsi="Arial" w:cs="Arial"/>
        </w:rPr>
        <w:t>V</w:t>
      </w:r>
      <w:r w:rsidR="0073008B" w:rsidRPr="00900F8E">
        <w:rPr>
          <w:rFonts w:ascii="Arial" w:hAnsi="Arial" w:cs="Arial"/>
        </w:rPr>
        <w:t xml:space="preserve"> podporno shemo </w:t>
      </w:r>
      <w:r w:rsidRPr="00900F8E">
        <w:rPr>
          <w:rFonts w:ascii="Arial" w:hAnsi="Arial" w:cs="Arial"/>
        </w:rPr>
        <w:t xml:space="preserve">je </w:t>
      </w:r>
      <w:r w:rsidR="0073008B" w:rsidRPr="00900F8E">
        <w:rPr>
          <w:rFonts w:ascii="Arial" w:hAnsi="Arial" w:cs="Arial"/>
        </w:rPr>
        <w:t>vstopilo 38 novih naprav s skupno močjo 13,2 MW, med katerimi je</w:t>
      </w:r>
      <w:r w:rsidRPr="00900F8E">
        <w:rPr>
          <w:rFonts w:ascii="Arial" w:hAnsi="Arial" w:cs="Arial"/>
        </w:rPr>
        <w:t xml:space="preserve"> bilo</w:t>
      </w:r>
      <w:r w:rsidR="0073008B" w:rsidRPr="00900F8E">
        <w:rPr>
          <w:rFonts w:ascii="Arial" w:hAnsi="Arial" w:cs="Arial"/>
        </w:rPr>
        <w:t xml:space="preserve"> 8,6 MW SPTE proizvodnih naprav. </w:t>
      </w:r>
      <w:r w:rsidRPr="00900F8E">
        <w:rPr>
          <w:rFonts w:ascii="Arial" w:hAnsi="Arial" w:cs="Arial"/>
        </w:rPr>
        <w:t>Vetrnih elektrarn še ni</w:t>
      </w:r>
      <w:r w:rsidR="00573A7C" w:rsidRPr="00900F8E">
        <w:rPr>
          <w:rFonts w:ascii="Arial" w:hAnsi="Arial" w:cs="Arial"/>
        </w:rPr>
        <w:t xml:space="preserve"> bilo</w:t>
      </w:r>
      <w:r w:rsidRPr="00900F8E">
        <w:rPr>
          <w:rFonts w:ascii="Arial" w:hAnsi="Arial" w:cs="Arial"/>
        </w:rPr>
        <w:t xml:space="preserve"> v shemi;</w:t>
      </w:r>
    </w:p>
    <w:p w14:paraId="532AEEDF" w14:textId="1458C0FF" w:rsidR="00510775" w:rsidRPr="00900F8E" w:rsidRDefault="0073008B" w:rsidP="00E02BBA">
      <w:pPr>
        <w:pStyle w:val="Odstavekseznama"/>
        <w:numPr>
          <w:ilvl w:val="0"/>
          <w:numId w:val="10"/>
        </w:numPr>
        <w:spacing w:after="0" w:line="240" w:lineRule="auto"/>
        <w:jc w:val="both"/>
        <w:rPr>
          <w:rFonts w:ascii="Arial" w:hAnsi="Arial" w:cs="Arial"/>
        </w:rPr>
      </w:pPr>
      <w:r w:rsidRPr="00900F8E">
        <w:rPr>
          <w:rFonts w:ascii="Arial" w:hAnsi="Arial" w:cs="Arial"/>
        </w:rPr>
        <w:t xml:space="preserve">naprave, vključene v shemo, </w:t>
      </w:r>
      <w:r w:rsidR="00872F99" w:rsidRPr="00900F8E">
        <w:rPr>
          <w:rFonts w:ascii="Arial" w:hAnsi="Arial" w:cs="Arial"/>
        </w:rPr>
        <w:t xml:space="preserve">so </w:t>
      </w:r>
      <w:r w:rsidRPr="00900F8E">
        <w:rPr>
          <w:rFonts w:ascii="Arial" w:hAnsi="Arial" w:cs="Arial"/>
        </w:rPr>
        <w:t>proizvedle 962,22 GWh električne energije.</w:t>
      </w:r>
      <w:r w:rsidR="00872F99" w:rsidRPr="00900F8E">
        <w:rPr>
          <w:rFonts w:ascii="Arial" w:hAnsi="Arial" w:cs="Arial"/>
        </w:rPr>
        <w:t xml:space="preserve"> P</w:t>
      </w:r>
      <w:r w:rsidRPr="00900F8E">
        <w:rPr>
          <w:rFonts w:ascii="Arial" w:hAnsi="Arial" w:cs="Arial"/>
        </w:rPr>
        <w:t>ovečal</w:t>
      </w:r>
      <w:r w:rsidR="00872F99" w:rsidRPr="00900F8E">
        <w:rPr>
          <w:rFonts w:ascii="Arial" w:hAnsi="Arial" w:cs="Arial"/>
        </w:rPr>
        <w:t xml:space="preserve"> se je</w:t>
      </w:r>
      <w:r w:rsidRPr="00900F8E">
        <w:rPr>
          <w:rFonts w:ascii="Arial" w:hAnsi="Arial" w:cs="Arial"/>
        </w:rPr>
        <w:t xml:space="preserve"> znesek izplačil v okviru sheme, in sicer</w:t>
      </w:r>
      <w:r w:rsidR="00D90508" w:rsidRPr="00900F8E">
        <w:rPr>
          <w:rFonts w:ascii="Arial" w:hAnsi="Arial" w:cs="Arial"/>
        </w:rPr>
        <w:t xml:space="preserve"> na</w:t>
      </w:r>
      <w:r w:rsidRPr="00900F8E">
        <w:rPr>
          <w:rFonts w:ascii="Arial" w:hAnsi="Arial" w:cs="Arial"/>
        </w:rPr>
        <w:t xml:space="preserve"> 124,8 milijon</w:t>
      </w:r>
      <w:r w:rsidR="00872F99" w:rsidRPr="00900F8E">
        <w:rPr>
          <w:rFonts w:ascii="Arial" w:hAnsi="Arial" w:cs="Arial"/>
        </w:rPr>
        <w:t>a</w:t>
      </w:r>
      <w:r w:rsidRPr="00900F8E">
        <w:rPr>
          <w:rFonts w:ascii="Arial" w:hAnsi="Arial" w:cs="Arial"/>
        </w:rPr>
        <w:t xml:space="preserve"> evrov. Ob koncu leta </w:t>
      </w:r>
      <w:r w:rsidR="00872F99" w:rsidRPr="00900F8E">
        <w:rPr>
          <w:rFonts w:ascii="Arial" w:hAnsi="Arial" w:cs="Arial"/>
        </w:rPr>
        <w:t>j</w:t>
      </w:r>
      <w:r w:rsidRPr="00900F8E">
        <w:rPr>
          <w:rFonts w:ascii="Arial" w:hAnsi="Arial" w:cs="Arial"/>
        </w:rPr>
        <w:t>e bilo v shemo vključenih 3.839 enot s skupno nazivno močjo 408,9 MW. K prihranku primarne energije prispevajo tako enote SPTE, ki povečujejo učinkovitost izrabe energije pri proizvodnji električne energije, kot tudi sončne in vetrne elektrarne ter hidroelektrarne, ki nadomeščajo proizvodnjo električne energije iz fosilnih virov. Prihranek primarne energije za leto 2020 je ocenjen na 1.368 GWh (606,8 GWh iz enot SPTE in 761,4 GWh iz OVE enot, vključenih v shemo)</w:t>
      </w:r>
      <w:r w:rsidR="001927F7" w:rsidRPr="00900F8E">
        <w:rPr>
          <w:rFonts w:ascii="Arial" w:hAnsi="Arial" w:cs="Arial"/>
        </w:rPr>
        <w:t>;</w:t>
      </w:r>
    </w:p>
    <w:p w14:paraId="53DD4E86" w14:textId="13922BC6" w:rsidR="00B556C3" w:rsidRPr="00900F8E" w:rsidRDefault="004B450D" w:rsidP="00E02BBA">
      <w:pPr>
        <w:pStyle w:val="Odstavekseznama"/>
        <w:numPr>
          <w:ilvl w:val="0"/>
          <w:numId w:val="10"/>
        </w:numPr>
        <w:spacing w:after="0" w:line="240" w:lineRule="auto"/>
        <w:jc w:val="both"/>
        <w:rPr>
          <w:rFonts w:ascii="Arial" w:hAnsi="Arial" w:cs="Arial"/>
        </w:rPr>
      </w:pPr>
      <w:r>
        <w:rPr>
          <w:rFonts w:ascii="Arial" w:hAnsi="Arial" w:cs="Arial"/>
        </w:rPr>
        <w:t>končal</w:t>
      </w:r>
      <w:r w:rsidRPr="00900F8E">
        <w:rPr>
          <w:rFonts w:ascii="Arial" w:hAnsi="Arial" w:cs="Arial"/>
        </w:rPr>
        <w:t xml:space="preserve"> </w:t>
      </w:r>
      <w:r w:rsidR="00617D1C" w:rsidRPr="00900F8E">
        <w:rPr>
          <w:rFonts w:ascii="Arial" w:hAnsi="Arial" w:cs="Arial"/>
        </w:rPr>
        <w:t>se je ciljni raziskovalni projekt Razvoj in načrtovanje spremljanja rabe energije prek povezovanja različnih podatkovnih baz, ki je usmerjen v izdelavo metodoloških izhodišč za izbiro potrebnih podatkov, njihovo učinkovito povezovanje in obdelavo ter oblikovanje koncepta izdelave toplotne karte Slovenije. Izsledki tega projekta bodo uporabljeni kot tehnične smernice in priročnik za izdelovalce toplotne karte;</w:t>
      </w:r>
    </w:p>
    <w:p w14:paraId="57149300" w14:textId="7FC4A83D" w:rsidR="00617D1C" w:rsidRPr="00900F8E" w:rsidRDefault="00565C20" w:rsidP="00E02BBA">
      <w:pPr>
        <w:pStyle w:val="Odstavekseznama"/>
        <w:numPr>
          <w:ilvl w:val="0"/>
          <w:numId w:val="10"/>
        </w:numPr>
        <w:spacing w:after="0" w:line="240" w:lineRule="auto"/>
        <w:jc w:val="both"/>
        <w:rPr>
          <w:rFonts w:ascii="Arial" w:hAnsi="Arial" w:cs="Arial"/>
        </w:rPr>
      </w:pPr>
      <w:r w:rsidRPr="00900F8E">
        <w:rPr>
          <w:rFonts w:ascii="Arial" w:hAnsi="Arial" w:cs="Arial"/>
        </w:rPr>
        <w:t>s postavljenim sistemom DENOX SNCR v TE-TOL so bile dosežene nižje koncentracije NOx od mejnih vrednosti emisij snovi v zrak, ki so določene v Direktiv</w:t>
      </w:r>
      <w:r w:rsidR="00C52BD3">
        <w:rPr>
          <w:rFonts w:ascii="Arial" w:hAnsi="Arial" w:cs="Arial"/>
        </w:rPr>
        <w:t>i</w:t>
      </w:r>
      <w:r w:rsidRPr="00900F8E">
        <w:rPr>
          <w:rFonts w:ascii="Arial" w:hAnsi="Arial" w:cs="Arial"/>
        </w:rPr>
        <w:t xml:space="preserve"> o industrijskih emisijah (2010/75/EU) oziroma Uredba o mejnih vrednostih emisije snovi v zrak iz velikih kurilnih naprav (Ur</w:t>
      </w:r>
      <w:r w:rsidR="00C52BD3">
        <w:rPr>
          <w:rFonts w:ascii="Arial" w:hAnsi="Arial" w:cs="Arial"/>
        </w:rPr>
        <w:t>adni</w:t>
      </w:r>
      <w:r w:rsidRPr="00900F8E">
        <w:rPr>
          <w:rFonts w:ascii="Arial" w:hAnsi="Arial" w:cs="Arial"/>
        </w:rPr>
        <w:t xml:space="preserve"> l</w:t>
      </w:r>
      <w:r w:rsidR="00C52BD3">
        <w:rPr>
          <w:rFonts w:ascii="Arial" w:hAnsi="Arial" w:cs="Arial"/>
        </w:rPr>
        <w:t>ist</w:t>
      </w:r>
      <w:r w:rsidRPr="00900F8E">
        <w:rPr>
          <w:rFonts w:ascii="Arial" w:hAnsi="Arial" w:cs="Arial"/>
        </w:rPr>
        <w:t xml:space="preserve"> RS</w:t>
      </w:r>
      <w:r w:rsidR="00C52BD3">
        <w:rPr>
          <w:rFonts w:ascii="Arial" w:hAnsi="Arial" w:cs="Arial"/>
        </w:rPr>
        <w:t>,</w:t>
      </w:r>
      <w:r w:rsidRPr="00900F8E">
        <w:rPr>
          <w:rFonts w:ascii="Arial" w:hAnsi="Arial" w:cs="Arial"/>
        </w:rPr>
        <w:t xml:space="preserve"> št. 103/15) za NOx (200 mg/Nm3) pa tudi mejne vrednosti zaradi najboljših razpoložljivih tehnologij (150 mg/Nm3);</w:t>
      </w:r>
    </w:p>
    <w:p w14:paraId="6EBC5E58" w14:textId="173DE2E5" w:rsidR="00D16872" w:rsidRPr="00900F8E" w:rsidRDefault="00565C20" w:rsidP="00E02BBA">
      <w:pPr>
        <w:pStyle w:val="Odstavekseznama"/>
        <w:numPr>
          <w:ilvl w:val="0"/>
          <w:numId w:val="10"/>
        </w:numPr>
        <w:spacing w:after="0" w:line="240" w:lineRule="auto"/>
        <w:jc w:val="both"/>
        <w:rPr>
          <w:rFonts w:ascii="Arial" w:hAnsi="Arial" w:cs="Arial"/>
        </w:rPr>
      </w:pPr>
      <w:r w:rsidRPr="00900F8E">
        <w:rPr>
          <w:rFonts w:ascii="Arial" w:hAnsi="Arial" w:cs="Arial"/>
        </w:rPr>
        <w:t xml:space="preserve">pripravljen je bil posvet na temo Strategije prostorskega razvoja Slovenije 2050, na temo podnebnih sprememb in prehoda v ogljično nevtralno družbo, kjer je ključnega pomena povezovanje vsebin z novim </w:t>
      </w:r>
      <w:r w:rsidR="004B450D">
        <w:rPr>
          <w:rFonts w:ascii="Arial" w:hAnsi="Arial" w:cs="Arial"/>
        </w:rPr>
        <w:t>z</w:t>
      </w:r>
      <w:r w:rsidRPr="00900F8E">
        <w:rPr>
          <w:rFonts w:ascii="Arial" w:hAnsi="Arial" w:cs="Arial"/>
        </w:rPr>
        <w:t>elenim dogovorom EU</w:t>
      </w:r>
      <w:r w:rsidR="00881825" w:rsidRPr="00900F8E">
        <w:rPr>
          <w:rFonts w:ascii="Arial" w:hAnsi="Arial" w:cs="Arial"/>
        </w:rPr>
        <w:t xml:space="preserve">. </w:t>
      </w:r>
      <w:r w:rsidR="004B450D">
        <w:rPr>
          <w:rFonts w:ascii="Arial" w:hAnsi="Arial" w:cs="Arial"/>
        </w:rPr>
        <w:t>Končana</w:t>
      </w:r>
      <w:r w:rsidR="004B450D" w:rsidRPr="00900F8E">
        <w:rPr>
          <w:rFonts w:ascii="Arial" w:hAnsi="Arial" w:cs="Arial"/>
        </w:rPr>
        <w:t xml:space="preserve"> </w:t>
      </w:r>
      <w:r w:rsidR="00881825" w:rsidRPr="00900F8E">
        <w:rPr>
          <w:rFonts w:ascii="Arial" w:hAnsi="Arial" w:cs="Arial"/>
        </w:rPr>
        <w:t>je bila javna razprava omenjene strategije, v kateri so omenjeni tudi izzivi ustrezne obravnave podnebnih sprememb in prehoda v nizkoogljično družbo.</w:t>
      </w:r>
    </w:p>
    <w:p w14:paraId="49C1B5DA" w14:textId="0D22BADE" w:rsidR="006E67DD" w:rsidRPr="00900F8E" w:rsidRDefault="006E67DD" w:rsidP="006E67DD">
      <w:pPr>
        <w:spacing w:after="0" w:line="240" w:lineRule="auto"/>
        <w:jc w:val="both"/>
        <w:rPr>
          <w:rFonts w:ascii="Arial" w:hAnsi="Arial" w:cs="Arial"/>
        </w:rPr>
      </w:pPr>
    </w:p>
    <w:p w14:paraId="0727DF6E" w14:textId="3C36203E" w:rsidR="00C83956" w:rsidRPr="00900F8E" w:rsidRDefault="00C83956" w:rsidP="00C83956">
      <w:pPr>
        <w:pStyle w:val="Default"/>
        <w:jc w:val="both"/>
        <w:rPr>
          <w:sz w:val="22"/>
          <w:szCs w:val="22"/>
          <w:lang w:val="sl-SI"/>
        </w:rPr>
      </w:pPr>
      <w:r w:rsidRPr="00900F8E">
        <w:rPr>
          <w:sz w:val="22"/>
          <w:szCs w:val="22"/>
          <w:lang w:val="sl-SI"/>
        </w:rPr>
        <w:t>V letu 2021 so se izvajal</w:t>
      </w:r>
      <w:r w:rsidR="00BD24EE">
        <w:rPr>
          <w:sz w:val="22"/>
          <w:szCs w:val="22"/>
          <w:lang w:val="sl-SI"/>
        </w:rPr>
        <w:t>i</w:t>
      </w:r>
      <w:r w:rsidRPr="00900F8E">
        <w:rPr>
          <w:sz w:val="22"/>
          <w:szCs w:val="22"/>
          <w:lang w:val="sl-SI"/>
        </w:rPr>
        <w:t xml:space="preserve"> naslednji </w:t>
      </w:r>
      <w:r w:rsidR="00F50E03" w:rsidRPr="00900F8E">
        <w:rPr>
          <w:sz w:val="22"/>
          <w:szCs w:val="22"/>
          <w:lang w:val="sl-SI"/>
        </w:rPr>
        <w:t xml:space="preserve">drugi večsektorski </w:t>
      </w:r>
      <w:r w:rsidRPr="00900F8E">
        <w:rPr>
          <w:sz w:val="22"/>
          <w:szCs w:val="22"/>
          <w:lang w:val="sl-SI"/>
        </w:rPr>
        <w:t>ukrepi:</w:t>
      </w:r>
    </w:p>
    <w:p w14:paraId="113F3BC1" w14:textId="54062FB9" w:rsidR="00F50E03" w:rsidRPr="00900F8E" w:rsidRDefault="00573A7C" w:rsidP="00640804">
      <w:pPr>
        <w:pStyle w:val="Odstavekseznama"/>
        <w:numPr>
          <w:ilvl w:val="0"/>
          <w:numId w:val="31"/>
        </w:numPr>
        <w:spacing w:after="0" w:line="240" w:lineRule="auto"/>
        <w:jc w:val="both"/>
        <w:rPr>
          <w:rFonts w:ascii="Arial" w:hAnsi="Arial" w:cs="Arial"/>
        </w:rPr>
      </w:pPr>
      <w:r w:rsidRPr="00900F8E">
        <w:rPr>
          <w:rFonts w:ascii="Arial" w:hAnsi="Arial" w:cs="Arial"/>
        </w:rPr>
        <w:t>v okviru sheme podpor za spodbujanje proizvodnje električne energije iz OVE in v SPTE z visokim izkoristkom je bil objavljen razpis v vrednosti 10 milijonov evrov</w:t>
      </w:r>
      <w:r w:rsidR="004D5CA5" w:rsidRPr="00900F8E">
        <w:rPr>
          <w:rFonts w:ascii="Arial" w:hAnsi="Arial" w:cs="Arial"/>
        </w:rPr>
        <w:t>. Na julijskem javnem pozivu je bilo potrjenih 41 projektov (od 48 prijavljenih) s skupno nazivno električno močjo 36,87 MW. Od tega so štir</w:t>
      </w:r>
      <w:r w:rsidR="009636DA">
        <w:rPr>
          <w:rFonts w:ascii="Arial" w:hAnsi="Arial" w:cs="Arial"/>
        </w:rPr>
        <w:t>i</w:t>
      </w:r>
      <w:r w:rsidR="004D5CA5" w:rsidRPr="00900F8E">
        <w:rPr>
          <w:rFonts w:ascii="Arial" w:hAnsi="Arial" w:cs="Arial"/>
        </w:rPr>
        <w:t xml:space="preserve"> projekt</w:t>
      </w:r>
      <w:r w:rsidR="009636DA">
        <w:rPr>
          <w:rFonts w:ascii="Arial" w:hAnsi="Arial" w:cs="Arial"/>
        </w:rPr>
        <w:t>e</w:t>
      </w:r>
      <w:r w:rsidR="004D5CA5" w:rsidRPr="00900F8E">
        <w:rPr>
          <w:rFonts w:ascii="Arial" w:hAnsi="Arial" w:cs="Arial"/>
        </w:rPr>
        <w:t xml:space="preserve"> soproizvodnje z visokim izkoristkom skupne nazivne električne moči 24 MW </w:t>
      </w:r>
      <w:r w:rsidR="009636DA">
        <w:rPr>
          <w:rFonts w:ascii="Arial" w:hAnsi="Arial" w:cs="Arial"/>
        </w:rPr>
        <w:t>pripravili</w:t>
      </w:r>
      <w:r w:rsidR="009636DA" w:rsidRPr="00900F8E">
        <w:rPr>
          <w:rFonts w:ascii="Arial" w:hAnsi="Arial" w:cs="Arial"/>
        </w:rPr>
        <w:t xml:space="preserve"> </w:t>
      </w:r>
      <w:r w:rsidR="004D5CA5" w:rsidRPr="00900F8E">
        <w:rPr>
          <w:rFonts w:ascii="Arial" w:hAnsi="Arial" w:cs="Arial"/>
        </w:rPr>
        <w:t>promotorj</w:t>
      </w:r>
      <w:r w:rsidR="009636DA">
        <w:rPr>
          <w:rFonts w:ascii="Arial" w:hAnsi="Arial" w:cs="Arial"/>
        </w:rPr>
        <w:t>i</w:t>
      </w:r>
      <w:r w:rsidR="004D5CA5" w:rsidRPr="00900F8E">
        <w:rPr>
          <w:rFonts w:ascii="Arial" w:hAnsi="Arial" w:cs="Arial"/>
        </w:rPr>
        <w:t>, ki pa niso v roku predložili zavarovanja za izvedbo projektov. Na decembrskem javnem pozivu je bilo potrjenih 38 projektov (od 46 prijavljenih) s skupno nazivno močjo 13,57 MW. V novo podporno shemo je vstopilo 51 novih naprav s skupno močjo 14,03 MW, med katerimi je 12,23 MW proizvodnih naprav OVE. V shemo ni vstopila še nobena vetrna elektrarna</w:t>
      </w:r>
      <w:r w:rsidR="004B5DD1" w:rsidRPr="00900F8E">
        <w:rPr>
          <w:rFonts w:ascii="Arial" w:hAnsi="Arial" w:cs="Arial"/>
        </w:rPr>
        <w:t xml:space="preserve">. Leta 2021 so naprave, vključene v shemo, proizvedle 973,18 GWh električne energije ali 1,1 % več kot leto prej. Glede na leto prej se je za 2,6 % povečal tudi znesek izplačil v okviru sheme, in sicer na 128 milijonov evrov. Višje vrednosti izplačanih podpor v letih 2020 in 2021 so poleg nekoliko višje proizvodnje predvsem posledica nižje referenčne tržne cene električne energije v letu 2021, ki je posledično zvišala vrednost obratovalne podpore. Ob koncu leta 2021 je bilo v shemo vključenih 3.811 enot s skupno nazivno močjo 415,3 MW; </w:t>
      </w:r>
    </w:p>
    <w:p w14:paraId="6B39018C" w14:textId="2EC7C95B" w:rsidR="004D5CA5" w:rsidRPr="00900F8E" w:rsidRDefault="00C92B2D" w:rsidP="00F50E03">
      <w:pPr>
        <w:pStyle w:val="Odstavekseznama"/>
        <w:numPr>
          <w:ilvl w:val="0"/>
          <w:numId w:val="31"/>
        </w:numPr>
        <w:spacing w:after="0" w:line="240" w:lineRule="auto"/>
        <w:jc w:val="both"/>
        <w:rPr>
          <w:rFonts w:ascii="Arial" w:hAnsi="Arial" w:cs="Arial"/>
        </w:rPr>
      </w:pPr>
      <w:r w:rsidRPr="00900F8E">
        <w:rPr>
          <w:rFonts w:ascii="Arial" w:hAnsi="Arial" w:cs="Arial"/>
        </w:rPr>
        <w:lastRenderedPageBreak/>
        <w:t xml:space="preserve">s 14. členom Direktive </w:t>
      </w:r>
      <w:r w:rsidR="009C45A8" w:rsidRPr="00900F8E">
        <w:rPr>
          <w:rFonts w:ascii="Arial" w:hAnsi="Arial" w:cs="Arial"/>
        </w:rPr>
        <w:t xml:space="preserve">2012/27/EU </w:t>
      </w:r>
      <w:r w:rsidRPr="00900F8E">
        <w:rPr>
          <w:rFonts w:ascii="Arial" w:hAnsi="Arial" w:cs="Arial"/>
        </w:rPr>
        <w:t>o energetski učinkovitosti (</w:t>
      </w:r>
      <w:r w:rsidR="009C45A8" w:rsidRPr="00900F8E">
        <w:rPr>
          <w:rFonts w:ascii="Arial" w:hAnsi="Arial" w:cs="Arial"/>
        </w:rPr>
        <w:t>UL št. 315 z dne 14. 11. 2012, str. 1</w:t>
      </w:r>
      <w:r w:rsidRPr="00900F8E">
        <w:rPr>
          <w:rFonts w:ascii="Arial" w:hAnsi="Arial" w:cs="Arial"/>
        </w:rPr>
        <w:t>) je državam članicam EU naložena obveznost izdelave celovite ocene možnosti za učinkovito ogrevanje in hlajenje.</w:t>
      </w:r>
      <w:r w:rsidR="009C45A8" w:rsidRPr="00900F8E">
        <w:rPr>
          <w:rFonts w:ascii="Arial" w:hAnsi="Arial" w:cs="Arial"/>
        </w:rPr>
        <w:t xml:space="preserve"> Pripravljena je bila Ocena potencialov učinkovitega ogrevanja in hlajenja, ki je jasno evidentirala ogromen potencial za povečanje učinkovitosti ogrevanja in hlajenja v Sloveniji</w:t>
      </w:r>
      <w:r w:rsidR="00E87177" w:rsidRPr="00900F8E">
        <w:rPr>
          <w:rFonts w:ascii="Arial" w:hAnsi="Arial" w:cs="Arial"/>
        </w:rPr>
        <w:t>. Na podlagi ocene je bil v okviru projekta LIFE IP CARE4CLIMATE (akcija C4.3) oblikovan osnutek Strategije ogrevanja in hlajenja do leta 2050, ki je bil tudi predstavljen strokovni javnosti;</w:t>
      </w:r>
    </w:p>
    <w:p w14:paraId="3C46EF63" w14:textId="17B07D1B" w:rsidR="009C45A8" w:rsidRPr="00900F8E" w:rsidRDefault="001E5412" w:rsidP="00F50E03">
      <w:pPr>
        <w:pStyle w:val="Odstavekseznama"/>
        <w:numPr>
          <w:ilvl w:val="0"/>
          <w:numId w:val="31"/>
        </w:numPr>
        <w:spacing w:after="0" w:line="240" w:lineRule="auto"/>
        <w:jc w:val="both"/>
        <w:rPr>
          <w:rFonts w:ascii="Arial" w:hAnsi="Arial" w:cs="Arial"/>
        </w:rPr>
      </w:pPr>
      <w:r w:rsidRPr="00900F8E">
        <w:rPr>
          <w:rFonts w:ascii="Arial" w:hAnsi="Arial" w:cs="Arial"/>
        </w:rPr>
        <w:t>shem</w:t>
      </w:r>
      <w:r w:rsidR="00BC7A2E" w:rsidRPr="00900F8E">
        <w:rPr>
          <w:rFonts w:ascii="Arial" w:hAnsi="Arial" w:cs="Arial"/>
        </w:rPr>
        <w:t>a</w:t>
      </w:r>
      <w:r w:rsidRPr="00900F8E">
        <w:rPr>
          <w:rFonts w:ascii="Arial" w:hAnsi="Arial" w:cs="Arial"/>
        </w:rPr>
        <w:t xml:space="preserve"> obveznega doseganja prihrankov končne energije za zavezance se je začela izvajati v skladu z ZURE</w:t>
      </w:r>
      <w:r w:rsidR="00BC7A2E" w:rsidRPr="00900F8E">
        <w:rPr>
          <w:rFonts w:ascii="Arial" w:hAnsi="Arial" w:cs="Arial"/>
        </w:rPr>
        <w:t xml:space="preserve">. Iz sistema za doseganje prihrankov so </w:t>
      </w:r>
      <w:r w:rsidR="003F6350">
        <w:rPr>
          <w:rFonts w:ascii="Arial" w:hAnsi="Arial" w:cs="Arial"/>
        </w:rPr>
        <w:t>z</w:t>
      </w:r>
      <w:r w:rsidR="00BC7A2E" w:rsidRPr="00900F8E">
        <w:rPr>
          <w:rFonts w:ascii="Arial" w:hAnsi="Arial" w:cs="Arial"/>
        </w:rPr>
        <w:t>daj izvzeti tisti dobavitelji trdnih goriv končnim odjemalcem, ki dobavijo letno manj kot 100 MWh energije, zavezanci pa morajo v tekočem koledarskem letu doseči prihranke v višini 0,8 % prodane energije v preteklem letu. ZURE v 78. členu določa tudi prehodno obdobje 2020</w:t>
      </w:r>
      <w:r w:rsidR="00744DF1">
        <w:rPr>
          <w:rFonts w:ascii="Arial" w:hAnsi="Arial" w:cs="Arial"/>
        </w:rPr>
        <w:t>–</w:t>
      </w:r>
      <w:r w:rsidR="00BC7A2E" w:rsidRPr="00900F8E">
        <w:rPr>
          <w:rFonts w:ascii="Arial" w:hAnsi="Arial" w:cs="Arial"/>
        </w:rPr>
        <w:t>2025 za dobavitelje tekočih goriv za promet. Njihova obveznost se postopoma povečuje od 0,25 % do 0,70 % prodanega motornega bencina in dizelskega goriva v preteklem letu;</w:t>
      </w:r>
    </w:p>
    <w:p w14:paraId="06EC9DD3" w14:textId="0521149D" w:rsidR="00F50E03" w:rsidRPr="00900F8E" w:rsidRDefault="00BC7A2E" w:rsidP="006E67DD">
      <w:pPr>
        <w:pStyle w:val="Odstavekseznama"/>
        <w:numPr>
          <w:ilvl w:val="0"/>
          <w:numId w:val="31"/>
        </w:numPr>
        <w:spacing w:after="0" w:line="240" w:lineRule="auto"/>
        <w:jc w:val="both"/>
        <w:rPr>
          <w:rFonts w:ascii="Arial" w:hAnsi="Arial" w:cs="Arial"/>
        </w:rPr>
      </w:pPr>
      <w:r w:rsidRPr="00900F8E">
        <w:rPr>
          <w:rFonts w:ascii="Arial" w:hAnsi="Arial" w:cs="Arial"/>
        </w:rPr>
        <w:t>sprejet je bil Pravilnik o metodah za določanje prihrankov energije (Uradni list RS, št. 67/15, 14/17, 158/20 – ZURE in 57/21), s katerim svoje prihranke izračunavajo tudi zavezanci v okviru sheme obveznega doseganja prihrankov končne energije;</w:t>
      </w:r>
    </w:p>
    <w:p w14:paraId="48AA1091" w14:textId="1D20FE77" w:rsidR="00580E92" w:rsidRDefault="0076682D" w:rsidP="00640804">
      <w:pPr>
        <w:pStyle w:val="Odstavekseznama"/>
        <w:numPr>
          <w:ilvl w:val="0"/>
          <w:numId w:val="31"/>
        </w:numPr>
        <w:spacing w:after="0" w:line="240" w:lineRule="auto"/>
        <w:jc w:val="both"/>
        <w:rPr>
          <w:rFonts w:ascii="Arial" w:hAnsi="Arial" w:cs="Arial"/>
        </w:rPr>
      </w:pPr>
      <w:r w:rsidRPr="00900F8E">
        <w:rPr>
          <w:rFonts w:ascii="Arial" w:hAnsi="Arial" w:cs="Arial"/>
        </w:rPr>
        <w:t>Eko sklad je odobril za 54,8 milijona evrov ugodnih kreditov, pri čemer je znesek podpisanih kreditnih pogodb znašal 39,3 milijona evrov. Večji je bil obseg kreditiranja okoljskih naložb občanov, saj je veliko občanov za izvedbo naložb v OVE in URE v stanovanjskih stavbah izkoristilo možnost hkratne pridobitve nepovratne finančne spodbude in ugodnega kredita</w:t>
      </w:r>
      <w:r w:rsidR="00700E68" w:rsidRPr="00900F8E">
        <w:rPr>
          <w:rFonts w:ascii="Arial" w:hAnsi="Arial" w:cs="Arial"/>
        </w:rPr>
        <w:t>.</w:t>
      </w:r>
      <w:r w:rsidR="00E943D2" w:rsidRPr="00900F8E">
        <w:rPr>
          <w:rFonts w:ascii="Arial" w:hAnsi="Arial" w:cs="Arial"/>
        </w:rPr>
        <w:t xml:space="preserve"> Skupno je bilo odobrenih 3.310 kreditov, od tega 28 za pravne osebe v skupni vrednosti 9,6 milijona evrov. Podpisanih kreditnih pogodb je bilo 2.475, od tega 18 s pravnimi osebami. Skoraj vsa sredstva podpisanih pogodb so bila namenjena financiranju naložb na področju varstva zraka in podnebja. Pri pravnih osebah so ukrepi URE predstavljali 58,5 %, ukrepi izrabe OVE pa 41,5 % vrednosti podpisanih pogodb. Pri občanih je bilo ukrepom URE namenjenih 35 % skupne vrednosti podpisanih kreditnih pogodb, ukrepom izrabe OVE pa 64 %. </w:t>
      </w:r>
      <w:r w:rsidR="00D30F6B" w:rsidRPr="00900F8E">
        <w:rPr>
          <w:rFonts w:ascii="Arial" w:hAnsi="Arial" w:cs="Arial"/>
        </w:rPr>
        <w:t xml:space="preserve">Skupni znesek porabljenih kreditov je znašal 37,5 milijona evrov, od česar je bilo 8 % sredstev namenjenih za izvajanje 36 naložb pravnih oseb, 4 % za izvajanje </w:t>
      </w:r>
      <w:r w:rsidR="00744DF1">
        <w:rPr>
          <w:rFonts w:ascii="Arial" w:hAnsi="Arial" w:cs="Arial"/>
        </w:rPr>
        <w:t>petih</w:t>
      </w:r>
      <w:r w:rsidR="00D30F6B" w:rsidRPr="00900F8E">
        <w:rPr>
          <w:rFonts w:ascii="Arial" w:hAnsi="Arial" w:cs="Arial"/>
        </w:rPr>
        <w:t xml:space="preserve"> naložb občin, preostalih 88 % pa za kreditiranje 2.683 okoljskih naložb občanov. </w:t>
      </w:r>
      <w:r w:rsidR="00847B2C">
        <w:rPr>
          <w:rFonts w:ascii="Arial" w:hAnsi="Arial" w:cs="Arial"/>
        </w:rPr>
        <w:t>Končal</w:t>
      </w:r>
      <w:r w:rsidR="00847B2C" w:rsidRPr="00900F8E">
        <w:rPr>
          <w:rFonts w:ascii="Arial" w:hAnsi="Arial" w:cs="Arial"/>
        </w:rPr>
        <w:t xml:space="preserve"> </w:t>
      </w:r>
      <w:r w:rsidR="00D30F6B" w:rsidRPr="00900F8E">
        <w:rPr>
          <w:rFonts w:ascii="Arial" w:hAnsi="Arial" w:cs="Arial"/>
        </w:rPr>
        <w:t>se je javni poziv 65OB19, v okviru katerega je bila v letu 2021 višina razpisanih kreditnih sredstev povečana za skupno 33,5 milijona evrov, s čimer je vrednost razpisanih sredstev narasla na 63,5 milijon</w:t>
      </w:r>
      <w:r w:rsidR="00C42CE6">
        <w:rPr>
          <w:rFonts w:ascii="Arial" w:hAnsi="Arial" w:cs="Arial"/>
        </w:rPr>
        <w:t>a</w:t>
      </w:r>
      <w:r w:rsidR="00D30F6B" w:rsidRPr="00900F8E">
        <w:rPr>
          <w:rFonts w:ascii="Arial" w:hAnsi="Arial" w:cs="Arial"/>
        </w:rPr>
        <w:t xml:space="preserve"> evrov. Konec leta 2021 je bil za to ciljno skupino objavljen nov javni poziv 67OB22.</w:t>
      </w:r>
      <w:r w:rsidR="00D66C12" w:rsidRPr="00900F8E">
        <w:rPr>
          <w:rFonts w:ascii="Arial" w:hAnsi="Arial" w:cs="Arial"/>
        </w:rPr>
        <w:t xml:space="preserve"> V letu 2020 je bil objavljen poziv 82FS-PO20 za nepovratne finančne spodbude za nove naložbe pravnim osebam v URE </w:t>
      </w:r>
      <w:r w:rsidR="005A4EC4">
        <w:rPr>
          <w:rFonts w:ascii="Arial" w:hAnsi="Arial" w:cs="Arial"/>
        </w:rPr>
        <w:t>in</w:t>
      </w:r>
      <w:r w:rsidR="005A4EC4" w:rsidRPr="00900F8E">
        <w:rPr>
          <w:rFonts w:ascii="Arial" w:hAnsi="Arial" w:cs="Arial"/>
        </w:rPr>
        <w:t xml:space="preserve"> </w:t>
      </w:r>
      <w:r w:rsidR="00D66C12" w:rsidRPr="00900F8E">
        <w:rPr>
          <w:rFonts w:ascii="Arial" w:hAnsi="Arial" w:cs="Arial"/>
        </w:rPr>
        <w:t>rabo OVE, kjer se je v letu 2021 znesek povišal na 6 milijonov evrov. Poziv 82FS-PO20 je decembra nadomestil poziv 92FS-PO21</w:t>
      </w:r>
      <w:r w:rsidR="00311408">
        <w:rPr>
          <w:rFonts w:ascii="Arial" w:hAnsi="Arial" w:cs="Arial"/>
        </w:rPr>
        <w:t>.</w:t>
      </w:r>
    </w:p>
    <w:p w14:paraId="686BC0D5" w14:textId="4B264D51" w:rsidR="00311408" w:rsidRPr="00311408" w:rsidRDefault="00311408" w:rsidP="00311408">
      <w:pPr>
        <w:pStyle w:val="Odstavekseznama"/>
        <w:spacing w:after="0" w:line="240" w:lineRule="auto"/>
        <w:ind w:left="360"/>
        <w:jc w:val="both"/>
        <w:rPr>
          <w:rFonts w:ascii="Arial" w:hAnsi="Arial" w:cs="Arial"/>
        </w:rPr>
      </w:pPr>
      <w:r>
        <w:rPr>
          <w:rFonts w:ascii="Arial" w:hAnsi="Arial" w:cs="Arial"/>
        </w:rPr>
        <w:t>V</w:t>
      </w:r>
      <w:r w:rsidRPr="00900F8E">
        <w:rPr>
          <w:rFonts w:ascii="Arial" w:hAnsi="Arial" w:cs="Arial"/>
        </w:rPr>
        <w:t xml:space="preserve"> zadnjih dveh letih je bil prečiščen seznam naprav</w:t>
      </w:r>
      <w:r w:rsidR="005A4EC4">
        <w:rPr>
          <w:rFonts w:ascii="Arial" w:hAnsi="Arial" w:cs="Arial"/>
        </w:rPr>
        <w:t>,</w:t>
      </w:r>
      <w:r w:rsidRPr="00900F8E">
        <w:rPr>
          <w:rFonts w:ascii="Arial" w:hAnsi="Arial" w:cs="Arial"/>
        </w:rPr>
        <w:t xml:space="preserve"> upravičenih do spodbud na Eko skladu, kar pomeni tudi vgradnjo boljših naprav;</w:t>
      </w:r>
    </w:p>
    <w:p w14:paraId="54226234" w14:textId="15CEEB09" w:rsidR="00440190" w:rsidRPr="00900F8E" w:rsidRDefault="00440190" w:rsidP="00440190">
      <w:pPr>
        <w:pStyle w:val="Odstavekseznama"/>
        <w:numPr>
          <w:ilvl w:val="0"/>
          <w:numId w:val="31"/>
        </w:numPr>
        <w:spacing w:after="0" w:line="240" w:lineRule="auto"/>
        <w:jc w:val="both"/>
        <w:rPr>
          <w:rFonts w:ascii="Arial" w:hAnsi="Arial" w:cs="Arial"/>
        </w:rPr>
      </w:pPr>
      <w:r w:rsidRPr="00900F8E">
        <w:rPr>
          <w:rFonts w:ascii="Arial" w:hAnsi="Arial" w:cs="Arial"/>
        </w:rPr>
        <w:t xml:space="preserve">objavljen je bil Odlok o spremembah Odloka o določitvi podobmočij zaradi upravljanja s kakovostjo zunanjega zraka, ki s 1. </w:t>
      </w:r>
      <w:r w:rsidR="006D7057">
        <w:rPr>
          <w:rFonts w:ascii="Arial" w:hAnsi="Arial" w:cs="Arial"/>
        </w:rPr>
        <w:t>marcem</w:t>
      </w:r>
      <w:r w:rsidRPr="00900F8E">
        <w:rPr>
          <w:rFonts w:ascii="Arial" w:hAnsi="Arial" w:cs="Arial"/>
        </w:rPr>
        <w:t xml:space="preserve"> 2022 ukinja odloke za Mestno občino Ljubljana, aglomeracijo Maribor, Mestno občino Murska Sobota ter območje Zasavja. Ohranja se odlok za Celje. Za ta območja ni več omejitev glede dodelitve spodbude za vgradnjo ogrevalne toplotne črpalke in kurilne naprave na lesno biomaso, kjer je določen prednostni način ogrevanja ter da se ne podeljujejo več spodbude za vgradnjo plinskih kondenzacijskih kotlov;</w:t>
      </w:r>
    </w:p>
    <w:p w14:paraId="461E43E5" w14:textId="329953E5" w:rsidR="00440190" w:rsidRPr="00900F8E" w:rsidRDefault="00440190" w:rsidP="00440190">
      <w:pPr>
        <w:pStyle w:val="Odstavekseznama"/>
        <w:numPr>
          <w:ilvl w:val="0"/>
          <w:numId w:val="31"/>
        </w:numPr>
        <w:spacing w:after="0" w:line="240" w:lineRule="auto"/>
        <w:jc w:val="both"/>
        <w:rPr>
          <w:rFonts w:ascii="Arial" w:hAnsi="Arial" w:cs="Arial"/>
        </w:rPr>
      </w:pPr>
      <w:r w:rsidRPr="00900F8E">
        <w:rPr>
          <w:rFonts w:ascii="Arial" w:hAnsi="Arial" w:cs="Arial"/>
        </w:rPr>
        <w:t>Vlada</w:t>
      </w:r>
      <w:r w:rsidR="00DD18DF">
        <w:rPr>
          <w:rFonts w:ascii="Arial" w:hAnsi="Arial" w:cs="Arial"/>
        </w:rPr>
        <w:t xml:space="preserve"> RS</w:t>
      </w:r>
      <w:r w:rsidRPr="00900F8E">
        <w:rPr>
          <w:rFonts w:ascii="Arial" w:hAnsi="Arial" w:cs="Arial"/>
        </w:rPr>
        <w:t xml:space="preserve"> je sprejela Operativni program ohranjanja kakovosti zunanjega zraka, ki vsebuje širok nabor ukrepov za izboljšanje kakovosti zraka. Ukrepi so razdeljeni na sklope ogrevanje stavb, promet, naloge na drugih področjih in podporne naloge.</w:t>
      </w:r>
    </w:p>
    <w:p w14:paraId="29C2E9D0" w14:textId="4D031637" w:rsidR="00C4133E" w:rsidRPr="00900F8E" w:rsidRDefault="00C4133E" w:rsidP="00640804">
      <w:pPr>
        <w:pStyle w:val="Odstavekseznama"/>
        <w:numPr>
          <w:ilvl w:val="0"/>
          <w:numId w:val="31"/>
        </w:numPr>
        <w:spacing w:after="0" w:line="240" w:lineRule="auto"/>
        <w:jc w:val="both"/>
        <w:rPr>
          <w:rFonts w:ascii="Arial" w:hAnsi="Arial" w:cs="Arial"/>
        </w:rPr>
      </w:pPr>
      <w:r w:rsidRPr="00900F8E">
        <w:rPr>
          <w:rFonts w:ascii="Arial" w:hAnsi="Arial" w:cs="Arial"/>
        </w:rPr>
        <w:t>pripravljeno je bilo poročilo o prostorskem razvoju 2021, ki prikazuje stanj</w:t>
      </w:r>
      <w:r w:rsidR="002B69AC">
        <w:rPr>
          <w:rFonts w:ascii="Arial" w:hAnsi="Arial" w:cs="Arial"/>
        </w:rPr>
        <w:t>e</w:t>
      </w:r>
      <w:r w:rsidRPr="00900F8E">
        <w:rPr>
          <w:rFonts w:ascii="Arial" w:hAnsi="Arial" w:cs="Arial"/>
        </w:rPr>
        <w:t xml:space="preserve"> prostorskega razvoja za obdobje 2014–2020 ter vključuje tudi predloge in priporočila za nadaljnji razvoj države. Kazalca, ki zgolj posredno </w:t>
      </w:r>
      <w:r w:rsidR="009E1B0F">
        <w:rPr>
          <w:rFonts w:ascii="Arial" w:hAnsi="Arial" w:cs="Arial"/>
        </w:rPr>
        <w:t>obravnavata</w:t>
      </w:r>
      <w:r w:rsidR="009E1B0F" w:rsidRPr="00900F8E">
        <w:rPr>
          <w:rFonts w:ascii="Arial" w:hAnsi="Arial" w:cs="Arial"/>
        </w:rPr>
        <w:t xml:space="preserve"> </w:t>
      </w:r>
      <w:r w:rsidRPr="00900F8E">
        <w:rPr>
          <w:rFonts w:ascii="Arial" w:hAnsi="Arial" w:cs="Arial"/>
        </w:rPr>
        <w:t xml:space="preserve">tudi ti dve področji v poročilu, sta C4 </w:t>
      </w:r>
      <w:r w:rsidR="00DD18DF">
        <w:rPr>
          <w:rFonts w:ascii="Arial" w:hAnsi="Arial" w:cs="Arial"/>
        </w:rPr>
        <w:t>k</w:t>
      </w:r>
      <w:r w:rsidRPr="00900F8E">
        <w:rPr>
          <w:rFonts w:ascii="Arial" w:hAnsi="Arial" w:cs="Arial"/>
        </w:rPr>
        <w:t>repitev prostorske identitete in več funkcionalnosti prostora, katerega glavna tematika je ekološka povezljivost in opredeljuje koridorje zelenega sistema regij v RPP</w:t>
      </w:r>
      <w:r w:rsidR="009E1B0F">
        <w:rPr>
          <w:rFonts w:ascii="Arial" w:hAnsi="Arial" w:cs="Arial"/>
        </w:rPr>
        <w:t>,</w:t>
      </w:r>
      <w:r w:rsidRPr="00900F8E">
        <w:rPr>
          <w:rFonts w:ascii="Arial" w:hAnsi="Arial" w:cs="Arial"/>
        </w:rPr>
        <w:t xml:space="preserve"> ter C3 </w:t>
      </w:r>
      <w:r w:rsidR="00DD18DF">
        <w:rPr>
          <w:rFonts w:ascii="Arial" w:hAnsi="Arial" w:cs="Arial"/>
        </w:rPr>
        <w:lastRenderedPageBreak/>
        <w:t>k</w:t>
      </w:r>
      <w:r w:rsidRPr="00900F8E">
        <w:rPr>
          <w:rFonts w:ascii="Arial" w:hAnsi="Arial" w:cs="Arial"/>
        </w:rPr>
        <w:t>akovostno življenje na urbanih območjih in podeželju, katerega glavna tema je trajnostna mobilnost in zajema delež razvrednotenih območij in delež prebivalstva znotraj radija 1 km do postajališča JPP;</w:t>
      </w:r>
    </w:p>
    <w:p w14:paraId="338564A9" w14:textId="04473E96" w:rsidR="00440190" w:rsidRPr="00900F8E" w:rsidRDefault="00C4133E" w:rsidP="00440190">
      <w:pPr>
        <w:pStyle w:val="Odstavekseznama"/>
        <w:numPr>
          <w:ilvl w:val="0"/>
          <w:numId w:val="31"/>
        </w:numPr>
        <w:spacing w:after="0" w:line="240" w:lineRule="auto"/>
        <w:jc w:val="both"/>
        <w:rPr>
          <w:rFonts w:ascii="Arial" w:hAnsi="Arial" w:cs="Arial"/>
        </w:rPr>
      </w:pPr>
      <w:r w:rsidRPr="00900F8E">
        <w:rPr>
          <w:rFonts w:ascii="Arial" w:hAnsi="Arial" w:cs="Arial"/>
        </w:rPr>
        <w:t>sprejet je bil Zakon o urejanju prostora (Uradni list RS, št. 199/21). Med cilji urejanja prostora sta navedena tudi prilagajanje na podnebne sprememb</w:t>
      </w:r>
      <w:r w:rsidR="009E1B0F">
        <w:rPr>
          <w:rFonts w:ascii="Arial" w:hAnsi="Arial" w:cs="Arial"/>
        </w:rPr>
        <w:t>e</w:t>
      </w:r>
      <w:r w:rsidRPr="00900F8E">
        <w:rPr>
          <w:rFonts w:ascii="Arial" w:hAnsi="Arial" w:cs="Arial"/>
        </w:rPr>
        <w:t xml:space="preserve"> in prehod v nizkoogljično družbo, ki temelji na krožnem gospodarstvu, zmanjšanju emisij TGP, </w:t>
      </w:r>
      <w:r w:rsidR="004007E9" w:rsidRPr="00900F8E">
        <w:rPr>
          <w:rFonts w:ascii="Arial" w:hAnsi="Arial" w:cs="Arial"/>
        </w:rPr>
        <w:t>URE</w:t>
      </w:r>
      <w:r w:rsidRPr="00900F8E">
        <w:rPr>
          <w:rFonts w:ascii="Arial" w:hAnsi="Arial" w:cs="Arial"/>
        </w:rPr>
        <w:t xml:space="preserve"> in izrabi OVE. V okviru načela trajnostnega prostorskega razvoja se pri urejanju prostora upoštevajo pričakovani vplivi podnebnih sprememb in zagotavlja prilagajanje nanje. Prostorske ureditve se načrtujejo tako, da so odporne </w:t>
      </w:r>
      <w:r w:rsidR="009E1B0F">
        <w:rPr>
          <w:rFonts w:ascii="Arial" w:hAnsi="Arial" w:cs="Arial"/>
        </w:rPr>
        <w:t>proti</w:t>
      </w:r>
      <w:r w:rsidR="009E1B0F" w:rsidRPr="00900F8E">
        <w:rPr>
          <w:rFonts w:ascii="Arial" w:hAnsi="Arial" w:cs="Arial"/>
        </w:rPr>
        <w:t xml:space="preserve"> </w:t>
      </w:r>
      <w:r w:rsidRPr="00900F8E">
        <w:rPr>
          <w:rFonts w:ascii="Arial" w:hAnsi="Arial" w:cs="Arial"/>
        </w:rPr>
        <w:t>podnebn</w:t>
      </w:r>
      <w:r w:rsidR="009E1B0F">
        <w:rPr>
          <w:rFonts w:ascii="Arial" w:hAnsi="Arial" w:cs="Arial"/>
        </w:rPr>
        <w:t>im</w:t>
      </w:r>
      <w:r w:rsidRPr="00900F8E">
        <w:rPr>
          <w:rFonts w:ascii="Arial" w:hAnsi="Arial" w:cs="Arial"/>
        </w:rPr>
        <w:t xml:space="preserve"> sprememb</w:t>
      </w:r>
      <w:r w:rsidR="009E1B0F">
        <w:rPr>
          <w:rFonts w:ascii="Arial" w:hAnsi="Arial" w:cs="Arial"/>
        </w:rPr>
        <w:t>am</w:t>
      </w:r>
      <w:r w:rsidRPr="00900F8E">
        <w:rPr>
          <w:rFonts w:ascii="Arial" w:hAnsi="Arial" w:cs="Arial"/>
        </w:rPr>
        <w:t>, omogočajo blaženje podnebnih sprememb in zmanjševanje njihovih vplivov</w:t>
      </w:r>
      <w:r w:rsidR="004007E9" w:rsidRPr="00900F8E">
        <w:rPr>
          <w:rFonts w:ascii="Arial" w:hAnsi="Arial" w:cs="Arial"/>
        </w:rPr>
        <w:t>;</w:t>
      </w:r>
    </w:p>
    <w:p w14:paraId="54D3DE99" w14:textId="68682B3A" w:rsidR="004007E9" w:rsidRPr="00900F8E" w:rsidRDefault="00102593" w:rsidP="00440190">
      <w:pPr>
        <w:pStyle w:val="Odstavekseznama"/>
        <w:numPr>
          <w:ilvl w:val="0"/>
          <w:numId w:val="31"/>
        </w:numPr>
        <w:spacing w:after="0" w:line="240" w:lineRule="auto"/>
        <w:jc w:val="both"/>
        <w:rPr>
          <w:rFonts w:ascii="Arial" w:hAnsi="Arial" w:cs="Arial"/>
        </w:rPr>
      </w:pPr>
      <w:r w:rsidRPr="00900F8E">
        <w:rPr>
          <w:rFonts w:ascii="Arial" w:hAnsi="Arial" w:cs="Arial"/>
        </w:rPr>
        <w:t>sprejeta je bila Delegirana uredba Komisije (EU) 2021/340 o spremembi delegiranih uredb (EU) 2019/2013, (EU) 2019/2014, (EU) 2019/2015, (EU) 2019/2016, (EU) 2019/2017 in (EU) 2019/2018 glede zahtev za označevanje z energijskimi nalepkami za elektronske prikazovalnike, gospodinjske pralne in pralno-sušilne stroje, svetlobne vire, hladilne aparate, gospodinjske pomivalne stroje ter hladilne aparate z neposredno prodajno funkcijo (UL št. 68 z dne 26.</w:t>
      </w:r>
      <w:r w:rsidR="009433FE">
        <w:rPr>
          <w:rFonts w:ascii="Arial" w:hAnsi="Arial" w:cs="Arial"/>
        </w:rPr>
        <w:t> </w:t>
      </w:r>
      <w:r w:rsidRPr="00900F8E">
        <w:rPr>
          <w:rFonts w:ascii="Arial" w:hAnsi="Arial" w:cs="Arial"/>
        </w:rPr>
        <w:t>2.</w:t>
      </w:r>
      <w:r w:rsidR="009433FE">
        <w:rPr>
          <w:rFonts w:ascii="Arial" w:hAnsi="Arial" w:cs="Arial"/>
        </w:rPr>
        <w:t> </w:t>
      </w:r>
      <w:r w:rsidRPr="00900F8E">
        <w:rPr>
          <w:rFonts w:ascii="Arial" w:hAnsi="Arial" w:cs="Arial"/>
        </w:rPr>
        <w:t>2021, str. 62);</w:t>
      </w:r>
    </w:p>
    <w:p w14:paraId="142A1FE7" w14:textId="20825BFA" w:rsidR="00162FA3" w:rsidRPr="00900F8E" w:rsidRDefault="00162FA3" w:rsidP="00440190">
      <w:pPr>
        <w:pStyle w:val="Odstavekseznama"/>
        <w:numPr>
          <w:ilvl w:val="0"/>
          <w:numId w:val="31"/>
        </w:numPr>
        <w:spacing w:after="0" w:line="240" w:lineRule="auto"/>
        <w:jc w:val="both"/>
        <w:rPr>
          <w:rFonts w:ascii="Arial" w:hAnsi="Arial" w:cs="Arial"/>
        </w:rPr>
      </w:pPr>
      <w:r w:rsidRPr="00900F8E">
        <w:rPr>
          <w:rFonts w:ascii="Arial" w:hAnsi="Arial" w:cs="Arial"/>
        </w:rPr>
        <w:t xml:space="preserve">Vlada </w:t>
      </w:r>
      <w:r w:rsidR="00F173DB">
        <w:rPr>
          <w:rFonts w:ascii="Arial" w:hAnsi="Arial" w:cs="Arial"/>
        </w:rPr>
        <w:t xml:space="preserve">RS </w:t>
      </w:r>
      <w:r w:rsidRPr="00900F8E">
        <w:rPr>
          <w:rFonts w:ascii="Arial" w:hAnsi="Arial" w:cs="Arial"/>
        </w:rPr>
        <w:t>je sprejela Uredbo o izvajanju Uredbe (EU) o označevanju pnevmatik glede na izkoristek goriva in druge parametre (Uradni list RS, št. 97/21), s katero so določeni pristojni organ in kazenske določbe za izvajanje omenjene uredbe (EU). Nadzor označevanja pnevmatik je leta 2021 začel izvajati Inšpektorat RS za infrastrukturo;</w:t>
      </w:r>
    </w:p>
    <w:p w14:paraId="5AF2F10D" w14:textId="3D61591C" w:rsidR="00162FA3" w:rsidRPr="00900F8E" w:rsidRDefault="009E1B0F" w:rsidP="00440190">
      <w:pPr>
        <w:pStyle w:val="Odstavekseznama"/>
        <w:numPr>
          <w:ilvl w:val="0"/>
          <w:numId w:val="31"/>
        </w:numPr>
        <w:spacing w:after="0" w:line="240" w:lineRule="auto"/>
        <w:jc w:val="both"/>
        <w:rPr>
          <w:rFonts w:ascii="Arial" w:hAnsi="Arial" w:cs="Arial"/>
        </w:rPr>
      </w:pPr>
      <w:r>
        <w:rPr>
          <w:rFonts w:ascii="Arial" w:hAnsi="Arial" w:cs="Arial"/>
        </w:rPr>
        <w:t>e</w:t>
      </w:r>
      <w:r w:rsidR="00162FA3" w:rsidRPr="00900F8E">
        <w:rPr>
          <w:rFonts w:ascii="Arial" w:hAnsi="Arial" w:cs="Arial"/>
        </w:rPr>
        <w:t xml:space="preserve">vropska podatkovna </w:t>
      </w:r>
      <w:r>
        <w:rPr>
          <w:rFonts w:ascii="Arial" w:hAnsi="Arial" w:cs="Arial"/>
        </w:rPr>
        <w:t>zbirka</w:t>
      </w:r>
      <w:r w:rsidRPr="00900F8E">
        <w:rPr>
          <w:rFonts w:ascii="Arial" w:hAnsi="Arial" w:cs="Arial"/>
        </w:rPr>
        <w:t xml:space="preserve"> </w:t>
      </w:r>
      <w:r w:rsidR="00162FA3" w:rsidRPr="00900F8E">
        <w:rPr>
          <w:rFonts w:ascii="Arial" w:hAnsi="Arial" w:cs="Arial"/>
        </w:rPr>
        <w:t xml:space="preserve">izdelkov za energijsko označevanje EPREL </w:t>
      </w:r>
      <w:r w:rsidR="00162FA3" w:rsidRPr="00E615AF">
        <w:rPr>
          <w:rFonts w:ascii="Arial" w:hAnsi="Arial" w:cs="Arial"/>
          <w:i/>
        </w:rPr>
        <w:t>(</w:t>
      </w:r>
      <w:proofErr w:type="spellStart"/>
      <w:r w:rsidR="00162FA3" w:rsidRPr="00E615AF">
        <w:rPr>
          <w:rFonts w:ascii="Arial" w:hAnsi="Arial" w:cs="Arial"/>
          <w:i/>
        </w:rPr>
        <w:t>European</w:t>
      </w:r>
      <w:proofErr w:type="spellEnd"/>
      <w:r w:rsidR="00162FA3" w:rsidRPr="00E615AF">
        <w:rPr>
          <w:rFonts w:ascii="Arial" w:hAnsi="Arial" w:cs="Arial"/>
          <w:i/>
        </w:rPr>
        <w:t xml:space="preserve"> </w:t>
      </w:r>
      <w:proofErr w:type="spellStart"/>
      <w:r w:rsidR="00162FA3" w:rsidRPr="00E615AF">
        <w:rPr>
          <w:rFonts w:ascii="Arial" w:hAnsi="Arial" w:cs="Arial"/>
          <w:i/>
        </w:rPr>
        <w:t>Product</w:t>
      </w:r>
      <w:proofErr w:type="spellEnd"/>
      <w:r w:rsidR="00162FA3" w:rsidRPr="00E615AF">
        <w:rPr>
          <w:rFonts w:ascii="Arial" w:hAnsi="Arial" w:cs="Arial"/>
          <w:i/>
        </w:rPr>
        <w:t xml:space="preserve"> </w:t>
      </w:r>
      <w:proofErr w:type="spellStart"/>
      <w:r w:rsidR="00162FA3" w:rsidRPr="00E615AF">
        <w:rPr>
          <w:rFonts w:ascii="Arial" w:hAnsi="Arial" w:cs="Arial"/>
          <w:i/>
        </w:rPr>
        <w:t>Database</w:t>
      </w:r>
      <w:proofErr w:type="spellEnd"/>
      <w:r w:rsidR="00162FA3" w:rsidRPr="00E615AF">
        <w:rPr>
          <w:rFonts w:ascii="Arial" w:hAnsi="Arial" w:cs="Arial"/>
          <w:i/>
        </w:rPr>
        <w:t xml:space="preserve"> for </w:t>
      </w:r>
      <w:proofErr w:type="spellStart"/>
      <w:r w:rsidR="00162FA3" w:rsidRPr="00E615AF">
        <w:rPr>
          <w:rFonts w:ascii="Arial" w:hAnsi="Arial" w:cs="Arial"/>
          <w:i/>
        </w:rPr>
        <w:t>Energy</w:t>
      </w:r>
      <w:proofErr w:type="spellEnd"/>
      <w:r w:rsidR="00162FA3" w:rsidRPr="00E615AF">
        <w:rPr>
          <w:rFonts w:ascii="Arial" w:hAnsi="Arial" w:cs="Arial"/>
          <w:i/>
        </w:rPr>
        <w:t xml:space="preserve"> </w:t>
      </w:r>
      <w:proofErr w:type="spellStart"/>
      <w:r w:rsidR="00162FA3" w:rsidRPr="00E615AF">
        <w:rPr>
          <w:rFonts w:ascii="Arial" w:hAnsi="Arial" w:cs="Arial"/>
          <w:i/>
        </w:rPr>
        <w:t>Labelling</w:t>
      </w:r>
      <w:proofErr w:type="spellEnd"/>
      <w:r w:rsidR="00162FA3" w:rsidRPr="00E615AF">
        <w:rPr>
          <w:rFonts w:ascii="Arial" w:hAnsi="Arial" w:cs="Arial"/>
          <w:i/>
        </w:rPr>
        <w:t>)</w:t>
      </w:r>
      <w:r w:rsidR="00162FA3" w:rsidRPr="00900F8E">
        <w:rPr>
          <w:rFonts w:ascii="Arial" w:hAnsi="Arial" w:cs="Arial"/>
        </w:rPr>
        <w:t xml:space="preserve"> omogoča kupcem enostaven dostop do podrobnosti o energijski nalepki in </w:t>
      </w:r>
      <w:r>
        <w:rPr>
          <w:rFonts w:ascii="Arial" w:hAnsi="Arial" w:cs="Arial"/>
        </w:rPr>
        <w:t>drugih</w:t>
      </w:r>
      <w:r w:rsidRPr="00900F8E">
        <w:rPr>
          <w:rFonts w:ascii="Arial" w:hAnsi="Arial" w:cs="Arial"/>
        </w:rPr>
        <w:t xml:space="preserve"> </w:t>
      </w:r>
      <w:r w:rsidR="00162FA3" w:rsidRPr="00900F8E">
        <w:rPr>
          <w:rFonts w:ascii="Arial" w:hAnsi="Arial" w:cs="Arial"/>
        </w:rPr>
        <w:t>podatkov o posameznem izdelku prek QR</w:t>
      </w:r>
      <w:r>
        <w:rPr>
          <w:rFonts w:ascii="Arial" w:hAnsi="Arial" w:cs="Arial"/>
        </w:rPr>
        <w:t>-</w:t>
      </w:r>
      <w:r w:rsidR="00162FA3" w:rsidRPr="00900F8E">
        <w:rPr>
          <w:rFonts w:ascii="Arial" w:hAnsi="Arial" w:cs="Arial"/>
        </w:rPr>
        <w:t xml:space="preserve">kode na energijski nalepki. V </w:t>
      </w:r>
      <w:r>
        <w:rPr>
          <w:rFonts w:ascii="Arial" w:hAnsi="Arial" w:cs="Arial"/>
        </w:rPr>
        <w:t>zbirko</w:t>
      </w:r>
      <w:r w:rsidRPr="00900F8E">
        <w:rPr>
          <w:rFonts w:ascii="Arial" w:hAnsi="Arial" w:cs="Arial"/>
        </w:rPr>
        <w:t xml:space="preserve"> </w:t>
      </w:r>
      <w:r w:rsidR="00162FA3" w:rsidRPr="00900F8E">
        <w:rPr>
          <w:rFonts w:ascii="Arial" w:hAnsi="Arial" w:cs="Arial"/>
        </w:rPr>
        <w:t xml:space="preserve">izdelkov so bili dodani hladilniki in zamrzovalniki, pomivalni stroji, pralni stroji in elektronski zasloni, pnevmatike, žarnice in svetilke. Objavljena je bila tudi prva </w:t>
      </w:r>
      <w:r>
        <w:rPr>
          <w:rFonts w:ascii="Arial" w:hAnsi="Arial" w:cs="Arial"/>
        </w:rPr>
        <w:t>različica</w:t>
      </w:r>
      <w:r w:rsidRPr="00900F8E">
        <w:rPr>
          <w:rFonts w:ascii="Arial" w:hAnsi="Arial" w:cs="Arial"/>
        </w:rPr>
        <w:t xml:space="preserve"> </w:t>
      </w:r>
      <w:r w:rsidR="00162FA3" w:rsidRPr="00900F8E">
        <w:rPr>
          <w:rFonts w:ascii="Arial" w:hAnsi="Arial" w:cs="Arial"/>
        </w:rPr>
        <w:t xml:space="preserve">smernic za uporabo </w:t>
      </w:r>
      <w:r>
        <w:rPr>
          <w:rFonts w:ascii="Arial" w:hAnsi="Arial" w:cs="Arial"/>
        </w:rPr>
        <w:t>podatkovne zbirke</w:t>
      </w:r>
      <w:r w:rsidR="00162FA3" w:rsidRPr="00900F8E">
        <w:rPr>
          <w:rFonts w:ascii="Arial" w:hAnsi="Arial" w:cs="Arial"/>
        </w:rPr>
        <w:t>;</w:t>
      </w:r>
    </w:p>
    <w:p w14:paraId="66550B5B" w14:textId="0607A9A9" w:rsidR="00162FA3" w:rsidRPr="00900F8E" w:rsidRDefault="00162FA3" w:rsidP="00640804">
      <w:pPr>
        <w:pStyle w:val="Odstavekseznama"/>
        <w:numPr>
          <w:ilvl w:val="0"/>
          <w:numId w:val="31"/>
        </w:numPr>
        <w:spacing w:after="0" w:line="240" w:lineRule="auto"/>
        <w:jc w:val="both"/>
        <w:rPr>
          <w:rFonts w:ascii="Arial" w:hAnsi="Arial" w:cs="Arial"/>
        </w:rPr>
      </w:pPr>
      <w:r w:rsidRPr="00900F8E">
        <w:rPr>
          <w:rFonts w:ascii="Arial" w:hAnsi="Arial" w:cs="Arial"/>
        </w:rPr>
        <w:t>Tržni inšpektorat RS</w:t>
      </w:r>
      <w:r w:rsidR="003F1D77" w:rsidRPr="00900F8E">
        <w:rPr>
          <w:rFonts w:ascii="Arial" w:hAnsi="Arial" w:cs="Arial"/>
        </w:rPr>
        <w:t xml:space="preserve"> je opr</w:t>
      </w:r>
      <w:r w:rsidRPr="00900F8E">
        <w:rPr>
          <w:rFonts w:ascii="Arial" w:hAnsi="Arial" w:cs="Arial"/>
        </w:rPr>
        <w:t xml:space="preserve">avil administrativni nadzor energijskega označevanja hladilnikov pri prodaji v fizičnih trgovinah in </w:t>
      </w:r>
      <w:r w:rsidR="009E1B0F">
        <w:rPr>
          <w:rFonts w:ascii="Arial" w:hAnsi="Arial" w:cs="Arial"/>
        </w:rPr>
        <w:t>po</w:t>
      </w:r>
      <w:r w:rsidR="009E1B0F" w:rsidRPr="00900F8E">
        <w:rPr>
          <w:rFonts w:ascii="Arial" w:hAnsi="Arial" w:cs="Arial"/>
        </w:rPr>
        <w:t xml:space="preserve"> </w:t>
      </w:r>
      <w:r w:rsidRPr="00900F8E">
        <w:rPr>
          <w:rFonts w:ascii="Arial" w:hAnsi="Arial" w:cs="Arial"/>
        </w:rPr>
        <w:t>splet</w:t>
      </w:r>
      <w:r w:rsidR="009E1B0F">
        <w:rPr>
          <w:rFonts w:ascii="Arial" w:hAnsi="Arial" w:cs="Arial"/>
        </w:rPr>
        <w:t>u</w:t>
      </w:r>
      <w:r w:rsidRPr="00900F8E">
        <w:rPr>
          <w:rFonts w:ascii="Arial" w:hAnsi="Arial" w:cs="Arial"/>
        </w:rPr>
        <w:t xml:space="preserve">. </w:t>
      </w:r>
      <w:r w:rsidR="009E1B0F">
        <w:rPr>
          <w:rFonts w:ascii="Arial" w:hAnsi="Arial" w:cs="Arial"/>
        </w:rPr>
        <w:t>Opravljenih</w:t>
      </w:r>
      <w:r w:rsidR="009E1B0F" w:rsidRPr="00900F8E">
        <w:rPr>
          <w:rFonts w:ascii="Arial" w:hAnsi="Arial" w:cs="Arial"/>
        </w:rPr>
        <w:t xml:space="preserve"> </w:t>
      </w:r>
      <w:r w:rsidRPr="00900F8E">
        <w:rPr>
          <w:rFonts w:ascii="Arial" w:hAnsi="Arial" w:cs="Arial"/>
        </w:rPr>
        <w:t xml:space="preserve">je bilo 44 inšpekcijskih nadzorov in pregledanih 57 produktov v fizičnih trgovinah ter na daljavo preverjeno stanje na 23 spletnih straneh. </w:t>
      </w:r>
      <w:r w:rsidR="003F1D77" w:rsidRPr="00900F8E">
        <w:rPr>
          <w:rFonts w:ascii="Arial" w:hAnsi="Arial" w:cs="Arial"/>
        </w:rPr>
        <w:t>Pre</w:t>
      </w:r>
      <w:r w:rsidRPr="00900F8E">
        <w:rPr>
          <w:rFonts w:ascii="Arial" w:hAnsi="Arial" w:cs="Arial"/>
        </w:rPr>
        <w:t>verjal</w:t>
      </w:r>
      <w:r w:rsidR="00CB2017">
        <w:rPr>
          <w:rFonts w:ascii="Arial" w:hAnsi="Arial" w:cs="Arial"/>
        </w:rPr>
        <w:t>a</w:t>
      </w:r>
      <w:r w:rsidR="003F1D77" w:rsidRPr="00900F8E">
        <w:rPr>
          <w:rFonts w:ascii="Arial" w:hAnsi="Arial" w:cs="Arial"/>
        </w:rPr>
        <w:t xml:space="preserve"> se je</w:t>
      </w:r>
      <w:r w:rsidRPr="00900F8E">
        <w:rPr>
          <w:rFonts w:ascii="Arial" w:hAnsi="Arial" w:cs="Arial"/>
        </w:rPr>
        <w:t xml:space="preserve"> tudi vsebin</w:t>
      </w:r>
      <w:r w:rsidR="00CB2017">
        <w:rPr>
          <w:rFonts w:ascii="Arial" w:hAnsi="Arial" w:cs="Arial"/>
        </w:rPr>
        <w:t>a</w:t>
      </w:r>
      <w:r w:rsidRPr="00900F8E">
        <w:rPr>
          <w:rFonts w:ascii="Arial" w:hAnsi="Arial" w:cs="Arial"/>
        </w:rPr>
        <w:t xml:space="preserve"> vpisa podatkov za posamezni proizvod v podatkovno zbirko EPREL in pravilnost QR</w:t>
      </w:r>
      <w:r w:rsidR="00CB2017">
        <w:rPr>
          <w:rFonts w:ascii="Arial" w:hAnsi="Arial" w:cs="Arial"/>
        </w:rPr>
        <w:t>-</w:t>
      </w:r>
      <w:r w:rsidRPr="00900F8E">
        <w:rPr>
          <w:rFonts w:ascii="Arial" w:hAnsi="Arial" w:cs="Arial"/>
        </w:rPr>
        <w:t xml:space="preserve">kode na energijski nalepki. Ob pregledu so nadzorniki, med drugim, odkrili tudi </w:t>
      </w:r>
      <w:r w:rsidR="00CB2017">
        <w:rPr>
          <w:rFonts w:ascii="Arial" w:hAnsi="Arial" w:cs="Arial"/>
        </w:rPr>
        <w:t>pet</w:t>
      </w:r>
      <w:r w:rsidRPr="00900F8E">
        <w:rPr>
          <w:rFonts w:ascii="Arial" w:hAnsi="Arial" w:cs="Arial"/>
        </w:rPr>
        <w:t xml:space="preserve"> produktov brez energijske nalepke in eno neustrezno nalepko. Skupno so izrekli kar 52 opozoril. Tržni inšpektorat RS ugotavlja, da je neskladnost pri energijskem označevanju pri prodaji </w:t>
      </w:r>
      <w:r w:rsidR="009E1B0F">
        <w:rPr>
          <w:rFonts w:ascii="Arial" w:hAnsi="Arial" w:cs="Arial"/>
        </w:rPr>
        <w:t>po</w:t>
      </w:r>
      <w:r w:rsidR="009E1B0F" w:rsidRPr="00900F8E">
        <w:rPr>
          <w:rFonts w:ascii="Arial" w:hAnsi="Arial" w:cs="Arial"/>
        </w:rPr>
        <w:t xml:space="preserve"> </w:t>
      </w:r>
      <w:r w:rsidRPr="00900F8E">
        <w:rPr>
          <w:rFonts w:ascii="Arial" w:hAnsi="Arial" w:cs="Arial"/>
        </w:rPr>
        <w:t>splet</w:t>
      </w:r>
      <w:r w:rsidR="009E1B0F">
        <w:rPr>
          <w:rFonts w:ascii="Arial" w:hAnsi="Arial" w:cs="Arial"/>
        </w:rPr>
        <w:t>u</w:t>
      </w:r>
      <w:r w:rsidRPr="00900F8E">
        <w:rPr>
          <w:rFonts w:ascii="Arial" w:hAnsi="Arial" w:cs="Arial"/>
        </w:rPr>
        <w:t xml:space="preserve"> še vedno visoka, saj nepravilnosti niso bile ugotovljene samo pri tretjini spletnih trgovin. Za proizvajalce in uvoznike je bila nova obveznost prikazovanj</w:t>
      </w:r>
      <w:r w:rsidR="003F1D77" w:rsidRPr="00900F8E">
        <w:rPr>
          <w:rFonts w:ascii="Arial" w:hAnsi="Arial" w:cs="Arial"/>
        </w:rPr>
        <w:t>e</w:t>
      </w:r>
      <w:r w:rsidRPr="00900F8E">
        <w:rPr>
          <w:rFonts w:ascii="Arial" w:hAnsi="Arial" w:cs="Arial"/>
        </w:rPr>
        <w:t xml:space="preserve"> prevrednotene energijske nalepke</w:t>
      </w:r>
      <w:r w:rsidR="003F1D77" w:rsidRPr="00900F8E">
        <w:rPr>
          <w:rFonts w:ascii="Arial" w:hAnsi="Arial" w:cs="Arial"/>
        </w:rPr>
        <w:t xml:space="preserve">. </w:t>
      </w:r>
      <w:r w:rsidRPr="00900F8E">
        <w:rPr>
          <w:rFonts w:ascii="Arial" w:hAnsi="Arial" w:cs="Arial"/>
        </w:rPr>
        <w:t xml:space="preserve">Inšpektorat RS za infrastrukturo </w:t>
      </w:r>
      <w:r w:rsidR="003F1D77" w:rsidRPr="00900F8E">
        <w:rPr>
          <w:rFonts w:ascii="Arial" w:hAnsi="Arial" w:cs="Arial"/>
        </w:rPr>
        <w:t xml:space="preserve">pri preverjanju </w:t>
      </w:r>
      <w:r w:rsidRPr="00900F8E">
        <w:rPr>
          <w:rFonts w:ascii="Arial" w:hAnsi="Arial" w:cs="Arial"/>
        </w:rPr>
        <w:t>okoljsko primern</w:t>
      </w:r>
      <w:r w:rsidR="003F1D77" w:rsidRPr="00900F8E">
        <w:rPr>
          <w:rFonts w:ascii="Arial" w:hAnsi="Arial" w:cs="Arial"/>
        </w:rPr>
        <w:t>e</w:t>
      </w:r>
      <w:r w:rsidRPr="00900F8E">
        <w:rPr>
          <w:rFonts w:ascii="Arial" w:hAnsi="Arial" w:cs="Arial"/>
        </w:rPr>
        <w:t xml:space="preserve"> zasnov</w:t>
      </w:r>
      <w:r w:rsidR="003F1D77" w:rsidRPr="00900F8E">
        <w:rPr>
          <w:rFonts w:ascii="Arial" w:hAnsi="Arial" w:cs="Arial"/>
        </w:rPr>
        <w:t>e</w:t>
      </w:r>
      <w:r w:rsidRPr="00900F8E">
        <w:rPr>
          <w:rFonts w:ascii="Arial" w:hAnsi="Arial" w:cs="Arial"/>
        </w:rPr>
        <w:t xml:space="preserve"> hladilnih naprav ni odkri</w:t>
      </w:r>
      <w:r w:rsidR="003F1D77" w:rsidRPr="00900F8E">
        <w:rPr>
          <w:rFonts w:ascii="Arial" w:hAnsi="Arial" w:cs="Arial"/>
        </w:rPr>
        <w:t>l</w:t>
      </w:r>
      <w:r w:rsidRPr="00900F8E">
        <w:rPr>
          <w:rFonts w:ascii="Arial" w:hAnsi="Arial" w:cs="Arial"/>
        </w:rPr>
        <w:t xml:space="preserve"> neskladnosti.</w:t>
      </w:r>
    </w:p>
    <w:p w14:paraId="52EABCEF" w14:textId="64277DD8" w:rsidR="00F50E03" w:rsidRDefault="00F50E03" w:rsidP="006E67DD">
      <w:pPr>
        <w:spacing w:after="0" w:line="240" w:lineRule="auto"/>
        <w:jc w:val="both"/>
        <w:rPr>
          <w:rFonts w:ascii="Arial" w:hAnsi="Arial" w:cs="Arial"/>
        </w:rPr>
      </w:pPr>
    </w:p>
    <w:p w14:paraId="5A13A188" w14:textId="77777777" w:rsidR="00F9504D" w:rsidRPr="00900F8E" w:rsidRDefault="00F9504D" w:rsidP="006E67DD">
      <w:pPr>
        <w:spacing w:after="0" w:line="240" w:lineRule="auto"/>
        <w:jc w:val="both"/>
        <w:rPr>
          <w:rFonts w:ascii="Arial" w:hAnsi="Arial" w:cs="Arial"/>
        </w:rPr>
      </w:pPr>
    </w:p>
    <w:p w14:paraId="7053BC96" w14:textId="19CFF216" w:rsidR="00CC1DEB" w:rsidRPr="00900F8E" w:rsidRDefault="003825D3" w:rsidP="0065545E">
      <w:pPr>
        <w:pStyle w:val="Naslov2"/>
        <w:rPr>
          <w:rFonts w:ascii="Arial" w:hAnsi="Arial" w:cs="Arial"/>
          <w:color w:val="auto"/>
        </w:rPr>
      </w:pPr>
      <w:bookmarkStart w:id="39" w:name="_Toc120166945"/>
      <w:r w:rsidRPr="00900F8E">
        <w:rPr>
          <w:rFonts w:ascii="Arial" w:hAnsi="Arial" w:cs="Arial"/>
          <w:color w:val="auto"/>
        </w:rPr>
        <w:t>4</w:t>
      </w:r>
      <w:r w:rsidR="00CC1DEB" w:rsidRPr="00900F8E">
        <w:rPr>
          <w:rFonts w:ascii="Arial" w:hAnsi="Arial" w:cs="Arial"/>
          <w:color w:val="auto"/>
        </w:rPr>
        <w:t>.</w:t>
      </w:r>
      <w:r w:rsidR="007740D2" w:rsidRPr="00900F8E">
        <w:rPr>
          <w:rFonts w:ascii="Arial" w:hAnsi="Arial" w:cs="Arial"/>
          <w:color w:val="auto"/>
        </w:rPr>
        <w:t>10</w:t>
      </w:r>
      <w:r w:rsidR="00CC1DEB" w:rsidRPr="00900F8E">
        <w:rPr>
          <w:rFonts w:ascii="Arial" w:hAnsi="Arial" w:cs="Arial"/>
          <w:color w:val="auto"/>
        </w:rPr>
        <w:t xml:space="preserve"> Izobraževanje, usposabljanje, informiranje, ozaveščanje</w:t>
      </w:r>
      <w:r w:rsidR="00005428" w:rsidRPr="00900F8E">
        <w:rPr>
          <w:rStyle w:val="Sprotnaopomba-sklic"/>
          <w:rFonts w:ascii="Arial" w:hAnsi="Arial" w:cs="Arial"/>
          <w:color w:val="auto"/>
        </w:rPr>
        <w:footnoteReference w:id="18"/>
      </w:r>
      <w:bookmarkEnd w:id="39"/>
    </w:p>
    <w:p w14:paraId="585D30F1" w14:textId="0A2B69A4" w:rsidR="00C46EC7" w:rsidRPr="00900F8E" w:rsidRDefault="00C46EC7" w:rsidP="00C52E4C">
      <w:pPr>
        <w:spacing w:after="0" w:line="240" w:lineRule="auto"/>
        <w:jc w:val="both"/>
        <w:rPr>
          <w:rFonts w:ascii="Arial" w:hAnsi="Arial" w:cs="Arial"/>
          <w:sz w:val="16"/>
          <w:szCs w:val="16"/>
        </w:rPr>
      </w:pPr>
    </w:p>
    <w:p w14:paraId="2998AA1C" w14:textId="6F046786" w:rsidR="0078516E" w:rsidRPr="00900F8E" w:rsidRDefault="00DA78CA" w:rsidP="00C52E4C">
      <w:pPr>
        <w:spacing w:after="0" w:line="240" w:lineRule="auto"/>
        <w:jc w:val="both"/>
        <w:rPr>
          <w:rFonts w:ascii="Arial" w:hAnsi="Arial" w:cs="Arial"/>
        </w:rPr>
      </w:pPr>
      <w:r w:rsidRPr="00900F8E">
        <w:rPr>
          <w:rFonts w:ascii="Arial" w:hAnsi="Arial" w:cs="Arial"/>
        </w:rPr>
        <w:t>Na področju blaženja podnebnih sprememb s</w:t>
      </w:r>
      <w:r w:rsidR="00FB144A" w:rsidRPr="00900F8E">
        <w:rPr>
          <w:rFonts w:ascii="Arial" w:hAnsi="Arial" w:cs="Arial"/>
        </w:rPr>
        <w:t>o se v let</w:t>
      </w:r>
      <w:r w:rsidR="0039575C" w:rsidRPr="00900F8E">
        <w:rPr>
          <w:rFonts w:ascii="Arial" w:hAnsi="Arial" w:cs="Arial"/>
        </w:rPr>
        <w:t>u</w:t>
      </w:r>
      <w:r w:rsidRPr="00900F8E">
        <w:rPr>
          <w:rFonts w:ascii="Arial" w:hAnsi="Arial" w:cs="Arial"/>
        </w:rPr>
        <w:t xml:space="preserve"> </w:t>
      </w:r>
      <w:r w:rsidR="00433000" w:rsidRPr="00900F8E">
        <w:rPr>
          <w:rFonts w:ascii="Arial" w:hAnsi="Arial" w:cs="Arial"/>
        </w:rPr>
        <w:t>2020</w:t>
      </w:r>
      <w:r w:rsidR="00FF0AAA" w:rsidRPr="00900F8E">
        <w:rPr>
          <w:rFonts w:ascii="Arial" w:hAnsi="Arial" w:cs="Arial"/>
        </w:rPr>
        <w:t xml:space="preserve"> </w:t>
      </w:r>
      <w:r w:rsidRPr="00900F8E">
        <w:rPr>
          <w:rFonts w:ascii="Arial" w:hAnsi="Arial" w:cs="Arial"/>
        </w:rPr>
        <w:t>izvaja</w:t>
      </w:r>
      <w:r w:rsidR="00FB144A" w:rsidRPr="00900F8E">
        <w:rPr>
          <w:rFonts w:ascii="Arial" w:hAnsi="Arial" w:cs="Arial"/>
        </w:rPr>
        <w:t>l</w:t>
      </w:r>
      <w:r w:rsidR="00A81F30" w:rsidRPr="00900F8E">
        <w:rPr>
          <w:rFonts w:ascii="Arial" w:hAnsi="Arial" w:cs="Arial"/>
        </w:rPr>
        <w:t>e</w:t>
      </w:r>
      <w:r w:rsidRPr="00900F8E">
        <w:rPr>
          <w:rFonts w:ascii="Arial" w:hAnsi="Arial" w:cs="Arial"/>
        </w:rPr>
        <w:t xml:space="preserve"> številn</w:t>
      </w:r>
      <w:r w:rsidR="00A81F30" w:rsidRPr="00900F8E">
        <w:rPr>
          <w:rFonts w:ascii="Arial" w:hAnsi="Arial" w:cs="Arial"/>
        </w:rPr>
        <w:t>e</w:t>
      </w:r>
      <w:r w:rsidRPr="00900F8E">
        <w:rPr>
          <w:rFonts w:ascii="Arial" w:hAnsi="Arial" w:cs="Arial"/>
        </w:rPr>
        <w:t xml:space="preserve"> </w:t>
      </w:r>
      <w:r w:rsidR="009E1B0F">
        <w:rPr>
          <w:rFonts w:ascii="Arial" w:hAnsi="Arial" w:cs="Arial"/>
        </w:rPr>
        <w:t>dejavnosti</w:t>
      </w:r>
      <w:r w:rsidR="009E1B0F" w:rsidRPr="00900F8E">
        <w:rPr>
          <w:rFonts w:ascii="Arial" w:hAnsi="Arial" w:cs="Arial"/>
        </w:rPr>
        <w:t xml:space="preserve"> </w:t>
      </w:r>
      <w:r w:rsidRPr="00900F8E">
        <w:rPr>
          <w:rFonts w:ascii="Arial" w:hAnsi="Arial" w:cs="Arial"/>
        </w:rPr>
        <w:t>izobraževanja, usposabljanja, informiranja in ozaveščanja</w:t>
      </w:r>
      <w:r w:rsidR="00CA29C3" w:rsidRPr="00900F8E">
        <w:rPr>
          <w:rFonts w:ascii="Arial" w:hAnsi="Arial" w:cs="Arial"/>
        </w:rPr>
        <w:t>:</w:t>
      </w:r>
    </w:p>
    <w:p w14:paraId="3702BDAF" w14:textId="02A55ED4" w:rsidR="00B21ED5" w:rsidRPr="00900F8E" w:rsidRDefault="0060413B" w:rsidP="00E02BBA">
      <w:pPr>
        <w:pStyle w:val="Odstavekseznama"/>
        <w:numPr>
          <w:ilvl w:val="0"/>
          <w:numId w:val="3"/>
        </w:numPr>
        <w:spacing w:after="0" w:line="240" w:lineRule="auto"/>
        <w:jc w:val="both"/>
        <w:rPr>
          <w:rFonts w:ascii="Arial" w:hAnsi="Arial" w:cs="Arial"/>
        </w:rPr>
      </w:pPr>
      <w:r w:rsidRPr="00900F8E">
        <w:rPr>
          <w:rFonts w:ascii="Arial" w:hAnsi="Arial" w:cs="Arial"/>
        </w:rPr>
        <w:t xml:space="preserve">pod vodstvom MOP se je </w:t>
      </w:r>
      <w:r w:rsidR="00E91F49" w:rsidRPr="00900F8E">
        <w:rPr>
          <w:rFonts w:ascii="Arial" w:hAnsi="Arial" w:cs="Arial"/>
        </w:rPr>
        <w:t xml:space="preserve">nadaljevalo izvajanje projekta LIFE IP CARE4CLIMATE, ki </w:t>
      </w:r>
      <w:r w:rsidR="009433FE">
        <w:rPr>
          <w:rFonts w:ascii="Arial" w:hAnsi="Arial" w:cs="Arial"/>
        </w:rPr>
        <w:t>z</w:t>
      </w:r>
      <w:r w:rsidR="00E91F49" w:rsidRPr="00900F8E">
        <w:rPr>
          <w:rFonts w:ascii="Arial" w:hAnsi="Arial" w:cs="Arial"/>
        </w:rPr>
        <w:t xml:space="preserve"> ozaveščanj</w:t>
      </w:r>
      <w:r w:rsidR="009433FE">
        <w:rPr>
          <w:rFonts w:ascii="Arial" w:hAnsi="Arial" w:cs="Arial"/>
        </w:rPr>
        <w:t>em</w:t>
      </w:r>
      <w:r w:rsidR="00E91F49" w:rsidRPr="00900F8E">
        <w:rPr>
          <w:rFonts w:ascii="Arial" w:hAnsi="Arial" w:cs="Arial"/>
        </w:rPr>
        <w:t>, izobraževanj</w:t>
      </w:r>
      <w:r w:rsidR="009433FE">
        <w:rPr>
          <w:rFonts w:ascii="Arial" w:hAnsi="Arial" w:cs="Arial"/>
        </w:rPr>
        <w:t>em</w:t>
      </w:r>
      <w:r w:rsidR="00E91F49" w:rsidRPr="00900F8E">
        <w:rPr>
          <w:rFonts w:ascii="Arial" w:hAnsi="Arial" w:cs="Arial"/>
        </w:rPr>
        <w:t xml:space="preserve"> in usposabljanj</w:t>
      </w:r>
      <w:r w:rsidR="009433FE">
        <w:rPr>
          <w:rFonts w:ascii="Arial" w:hAnsi="Arial" w:cs="Arial"/>
        </w:rPr>
        <w:t>em</w:t>
      </w:r>
      <w:r w:rsidR="00E91F49" w:rsidRPr="00900F8E">
        <w:rPr>
          <w:rFonts w:ascii="Arial" w:hAnsi="Arial" w:cs="Arial"/>
        </w:rPr>
        <w:t xml:space="preserve"> spodbuja izvajanje ukrepov za zmanjšanje emisij toplogrednih plinov</w:t>
      </w:r>
      <w:r w:rsidR="00C96C1F" w:rsidRPr="00900F8E">
        <w:rPr>
          <w:rFonts w:ascii="Arial" w:hAnsi="Arial" w:cs="Arial"/>
        </w:rPr>
        <w:t xml:space="preserve"> </w:t>
      </w:r>
      <w:r w:rsidR="009E1B0F">
        <w:rPr>
          <w:rFonts w:ascii="Arial" w:hAnsi="Arial" w:cs="Arial"/>
        </w:rPr>
        <w:t>–</w:t>
      </w:r>
      <w:r w:rsidR="00C96C1F" w:rsidRPr="00900F8E">
        <w:rPr>
          <w:rFonts w:ascii="Arial" w:hAnsi="Arial" w:cs="Arial"/>
        </w:rPr>
        <w:t xml:space="preserve"> v letu 2020 je bila narejena komunikacijska strategija, izvedena kampanja na </w:t>
      </w:r>
      <w:r w:rsidR="00E07C48">
        <w:rPr>
          <w:rFonts w:ascii="Arial" w:hAnsi="Arial" w:cs="Arial"/>
        </w:rPr>
        <w:t>družbenih</w:t>
      </w:r>
      <w:r w:rsidR="00E07C48" w:rsidRPr="00900F8E">
        <w:rPr>
          <w:rFonts w:ascii="Arial" w:hAnsi="Arial" w:cs="Arial"/>
        </w:rPr>
        <w:t xml:space="preserve"> </w:t>
      </w:r>
      <w:r w:rsidR="00C96C1F" w:rsidRPr="00900F8E">
        <w:rPr>
          <w:rFonts w:ascii="Arial" w:hAnsi="Arial" w:cs="Arial"/>
        </w:rPr>
        <w:t>omrežjih (</w:t>
      </w:r>
      <w:proofErr w:type="spellStart"/>
      <w:r w:rsidR="00C96C1F" w:rsidRPr="00900F8E">
        <w:rPr>
          <w:rFonts w:ascii="Arial" w:hAnsi="Arial" w:cs="Arial"/>
        </w:rPr>
        <w:t>Instagram</w:t>
      </w:r>
      <w:proofErr w:type="spellEnd"/>
      <w:r w:rsidR="00C96C1F" w:rsidRPr="00900F8E">
        <w:rPr>
          <w:rFonts w:ascii="Arial" w:hAnsi="Arial" w:cs="Arial"/>
        </w:rPr>
        <w:t>, Facebook), dve kampanji na</w:t>
      </w:r>
      <w:r w:rsidR="00E07C48">
        <w:rPr>
          <w:rFonts w:ascii="Arial" w:hAnsi="Arial" w:cs="Arial"/>
        </w:rPr>
        <w:t xml:space="preserve"> temo</w:t>
      </w:r>
      <w:r w:rsidR="00C96C1F" w:rsidRPr="00900F8E">
        <w:rPr>
          <w:rFonts w:ascii="Arial" w:hAnsi="Arial" w:cs="Arial"/>
        </w:rPr>
        <w:t xml:space="preserve"> odpadn</w:t>
      </w:r>
      <w:r w:rsidR="00E07C48">
        <w:rPr>
          <w:rFonts w:ascii="Arial" w:hAnsi="Arial" w:cs="Arial"/>
        </w:rPr>
        <w:t>e</w:t>
      </w:r>
      <w:r w:rsidR="00C96C1F" w:rsidRPr="00900F8E">
        <w:rPr>
          <w:rFonts w:ascii="Arial" w:hAnsi="Arial" w:cs="Arial"/>
        </w:rPr>
        <w:t xml:space="preserve"> hran</w:t>
      </w:r>
      <w:r w:rsidR="00E07C48">
        <w:rPr>
          <w:rFonts w:ascii="Arial" w:hAnsi="Arial" w:cs="Arial"/>
        </w:rPr>
        <w:t>e</w:t>
      </w:r>
      <w:r w:rsidR="00C96C1F" w:rsidRPr="00900F8E">
        <w:rPr>
          <w:rFonts w:ascii="Arial" w:hAnsi="Arial" w:cs="Arial"/>
        </w:rPr>
        <w:t>, radijska kampanja na temo odpadne hrane, trajnostna gradnja, energetska učinkovitost (oglasi so se predvajali 235-krat); vzpostavila se je spletna stran samo1planet, ki je namenjena širši javnosti</w:t>
      </w:r>
      <w:r w:rsidR="00E91F49" w:rsidRPr="00900F8E">
        <w:rPr>
          <w:rFonts w:ascii="Arial" w:hAnsi="Arial" w:cs="Arial"/>
        </w:rPr>
        <w:t>;</w:t>
      </w:r>
      <w:r w:rsidR="00C96C1F" w:rsidRPr="00900F8E">
        <w:rPr>
          <w:rFonts w:ascii="Arial" w:hAnsi="Arial" w:cs="Arial"/>
        </w:rPr>
        <w:t xml:space="preserve"> </w:t>
      </w:r>
    </w:p>
    <w:p w14:paraId="5B065A1C" w14:textId="3D17385A" w:rsidR="00E82BFD" w:rsidRPr="00900F8E" w:rsidRDefault="00B21ED5" w:rsidP="00B21ED5">
      <w:pPr>
        <w:pStyle w:val="Odstavekseznama"/>
        <w:spacing w:after="0" w:line="240" w:lineRule="auto"/>
        <w:ind w:left="360"/>
        <w:jc w:val="both"/>
        <w:rPr>
          <w:rFonts w:ascii="Arial" w:hAnsi="Arial" w:cs="Arial"/>
        </w:rPr>
      </w:pPr>
      <w:r w:rsidRPr="00900F8E">
        <w:rPr>
          <w:rFonts w:ascii="Arial" w:hAnsi="Arial" w:cs="Arial"/>
        </w:rPr>
        <w:lastRenderedPageBreak/>
        <w:t xml:space="preserve">v okviru projekta so bili zbrani podatki in opravljena analiza vseh obstoječih usposabljanj in drugih podobnih </w:t>
      </w:r>
      <w:r w:rsidR="009E1B0F">
        <w:rPr>
          <w:rFonts w:ascii="Arial" w:hAnsi="Arial" w:cs="Arial"/>
        </w:rPr>
        <w:t>dejavnosti</w:t>
      </w:r>
      <w:r w:rsidRPr="00900F8E">
        <w:rPr>
          <w:rFonts w:ascii="Arial" w:hAnsi="Arial" w:cs="Arial"/>
        </w:rPr>
        <w:t xml:space="preserve">, izbranih je bilo 40 predmetov s temami in vsebinami za prihodnje, vzpostavljena </w:t>
      </w:r>
      <w:r w:rsidR="009E1B0F">
        <w:rPr>
          <w:rFonts w:ascii="Arial" w:hAnsi="Arial" w:cs="Arial"/>
        </w:rPr>
        <w:t>je bila dejavna</w:t>
      </w:r>
      <w:r w:rsidRPr="00900F8E">
        <w:rPr>
          <w:rFonts w:ascii="Arial" w:hAnsi="Arial" w:cs="Arial"/>
        </w:rPr>
        <w:t xml:space="preserve"> komunikacija s podobnimi programi na mednarodni ravni, potekala so usposabljanja za lokalne skupnosti;</w:t>
      </w:r>
      <w:r w:rsidR="00E82BFD" w:rsidRPr="00900F8E">
        <w:rPr>
          <w:rFonts w:ascii="Arial" w:hAnsi="Arial" w:cs="Arial"/>
        </w:rPr>
        <w:t xml:space="preserve"> </w:t>
      </w:r>
      <w:r w:rsidR="001D6649">
        <w:rPr>
          <w:rFonts w:ascii="Arial" w:hAnsi="Arial" w:cs="Arial"/>
        </w:rPr>
        <w:t>za</w:t>
      </w:r>
      <w:r w:rsidR="00E82BFD" w:rsidRPr="00900F8E">
        <w:rPr>
          <w:rFonts w:ascii="Arial" w:hAnsi="Arial" w:cs="Arial"/>
        </w:rPr>
        <w:t xml:space="preserve">čelo se je </w:t>
      </w:r>
      <w:r w:rsidR="001D6649">
        <w:rPr>
          <w:rFonts w:ascii="Arial" w:hAnsi="Arial" w:cs="Arial"/>
        </w:rPr>
        <w:t>dejavno</w:t>
      </w:r>
      <w:r w:rsidR="001D6649" w:rsidRPr="00900F8E">
        <w:rPr>
          <w:rFonts w:ascii="Arial" w:hAnsi="Arial" w:cs="Arial"/>
        </w:rPr>
        <w:t xml:space="preserve"> </w:t>
      </w:r>
      <w:r w:rsidR="00E82BFD" w:rsidRPr="00900F8E">
        <w:rPr>
          <w:rFonts w:ascii="Arial" w:hAnsi="Arial" w:cs="Arial"/>
        </w:rPr>
        <w:t xml:space="preserve">sodelovanje s Centrom RS za poklicno izobraževanje za izdelavo devetih modelov umeščanja ključnih kompetenc za trajnostni razvoj v izbrana strokovna področja na 6. ravni zahtevnosti ter izvajanje </w:t>
      </w:r>
      <w:r w:rsidR="009E1B0F">
        <w:rPr>
          <w:rFonts w:ascii="Arial" w:hAnsi="Arial" w:cs="Arial"/>
        </w:rPr>
        <w:t>dejavnosti</w:t>
      </w:r>
      <w:r w:rsidR="009E1B0F" w:rsidRPr="00900F8E">
        <w:rPr>
          <w:rFonts w:ascii="Arial" w:hAnsi="Arial" w:cs="Arial"/>
        </w:rPr>
        <w:t xml:space="preserve"> </w:t>
      </w:r>
      <w:r w:rsidR="00E82BFD" w:rsidRPr="00900F8E">
        <w:rPr>
          <w:rFonts w:ascii="Arial" w:hAnsi="Arial" w:cs="Arial"/>
        </w:rPr>
        <w:t>znotraj Celovitega strateškega projekta razogljičenja Slovenije prek prehoda na krožno gospodarstvo, ki zajema tudi usposabljanje in učenje;</w:t>
      </w:r>
    </w:p>
    <w:p w14:paraId="512658C3" w14:textId="0B86378E" w:rsidR="00E91F49" w:rsidRPr="00900F8E" w:rsidRDefault="0018045D" w:rsidP="00E82BFD">
      <w:pPr>
        <w:pStyle w:val="Odstavekseznama"/>
        <w:numPr>
          <w:ilvl w:val="0"/>
          <w:numId w:val="29"/>
        </w:numPr>
        <w:spacing w:after="0" w:line="240" w:lineRule="auto"/>
        <w:jc w:val="both"/>
        <w:rPr>
          <w:rFonts w:ascii="Arial" w:hAnsi="Arial" w:cs="Arial"/>
        </w:rPr>
      </w:pPr>
      <w:r w:rsidRPr="00900F8E">
        <w:rPr>
          <w:rFonts w:ascii="Arial" w:hAnsi="Arial" w:cs="Arial"/>
        </w:rPr>
        <w:t>Umanotera je v okviru projekta pripravila peto nacionalno konferenco o trajnostnem upravljanju vir</w:t>
      </w:r>
      <w:r w:rsidR="007C150F">
        <w:rPr>
          <w:rFonts w:ascii="Arial" w:hAnsi="Arial" w:cs="Arial"/>
        </w:rPr>
        <w:t>ov</w:t>
      </w:r>
      <w:r w:rsidRPr="00900F8E">
        <w:rPr>
          <w:rFonts w:ascii="Arial" w:hAnsi="Arial" w:cs="Arial"/>
        </w:rPr>
        <w:t xml:space="preserve"> v skupnosti Kako lokalne skupnosti merijo in učinkovito zmanjšujejo svoje izpuste TGP, izvedli so usposabljanje za koordinatorje skupnostnih projektov, ki bodo prispevali k blaženju podnebnih sprememb, postavili razstavo Na vroči strani Alp, objavili in posodobili dokumenta Fizikalno ozadje podnebnih sprememb in njihove posledice za Slovenijo </w:t>
      </w:r>
      <w:r w:rsidR="00295D1D">
        <w:rPr>
          <w:rFonts w:ascii="Arial" w:hAnsi="Arial" w:cs="Arial"/>
        </w:rPr>
        <w:t>ter</w:t>
      </w:r>
      <w:r w:rsidR="00295D1D" w:rsidRPr="00900F8E">
        <w:rPr>
          <w:rFonts w:ascii="Arial" w:hAnsi="Arial" w:cs="Arial"/>
        </w:rPr>
        <w:t xml:space="preserve"> </w:t>
      </w:r>
      <w:r w:rsidRPr="00900F8E">
        <w:rPr>
          <w:rFonts w:ascii="Arial" w:hAnsi="Arial" w:cs="Arial"/>
        </w:rPr>
        <w:t>Politično-zakonodajno ozadje blaženja podnebnih sprememb, promovirali 10 dobrih podnebnih praks, pripravili tri kratke filme promocije dobrih praks, izvedli kampanjo Leto brez leta, ki je ozaveščala o vplivu letenja na podnebje;</w:t>
      </w:r>
      <w:r w:rsidR="00CB4C1A" w:rsidRPr="00900F8E">
        <w:rPr>
          <w:rFonts w:ascii="Arial" w:hAnsi="Arial" w:cs="Arial"/>
        </w:rPr>
        <w:t xml:space="preserve"> </w:t>
      </w:r>
      <w:proofErr w:type="spellStart"/>
      <w:r w:rsidR="00CB4C1A" w:rsidRPr="00900F8E">
        <w:rPr>
          <w:rFonts w:ascii="Arial" w:hAnsi="Arial" w:cs="Arial"/>
        </w:rPr>
        <w:t>Focus</w:t>
      </w:r>
      <w:proofErr w:type="spellEnd"/>
      <w:r w:rsidR="00CB4C1A" w:rsidRPr="00900F8E">
        <w:rPr>
          <w:rFonts w:ascii="Arial" w:hAnsi="Arial" w:cs="Arial"/>
        </w:rPr>
        <w:t xml:space="preserve"> je </w:t>
      </w:r>
      <w:r w:rsidR="009E1B0F">
        <w:rPr>
          <w:rFonts w:ascii="Arial" w:hAnsi="Arial" w:cs="Arial"/>
        </w:rPr>
        <w:t>v</w:t>
      </w:r>
      <w:r w:rsidR="009E1B0F" w:rsidRPr="00900F8E">
        <w:rPr>
          <w:rFonts w:ascii="Arial" w:hAnsi="Arial" w:cs="Arial"/>
        </w:rPr>
        <w:t xml:space="preserve"> </w:t>
      </w:r>
      <w:r w:rsidR="00CB4C1A" w:rsidRPr="00900F8E">
        <w:rPr>
          <w:rFonts w:ascii="Arial" w:hAnsi="Arial" w:cs="Arial"/>
        </w:rPr>
        <w:t>projekt</w:t>
      </w:r>
      <w:r w:rsidR="009E1B0F">
        <w:rPr>
          <w:rFonts w:ascii="Arial" w:hAnsi="Arial" w:cs="Arial"/>
        </w:rPr>
        <w:t>u</w:t>
      </w:r>
      <w:r w:rsidR="00CB4C1A" w:rsidRPr="00900F8E">
        <w:rPr>
          <w:rFonts w:ascii="Arial" w:hAnsi="Arial" w:cs="Arial"/>
        </w:rPr>
        <w:t xml:space="preserve"> deloval na področju ozaveščanja, spodbujanja dobrih praks, podpore lokalnim skupnostim pri prehodu v </w:t>
      </w:r>
      <w:r w:rsidR="008E6BA2" w:rsidRPr="00900F8E">
        <w:rPr>
          <w:rFonts w:ascii="Arial" w:hAnsi="Arial" w:cs="Arial"/>
        </w:rPr>
        <w:t xml:space="preserve">nizkoogljično družbo </w:t>
      </w:r>
      <w:r w:rsidR="008E6BA2">
        <w:rPr>
          <w:rFonts w:ascii="Arial" w:hAnsi="Arial" w:cs="Arial"/>
        </w:rPr>
        <w:t>(</w:t>
      </w:r>
      <w:r w:rsidR="00CB4C1A" w:rsidRPr="00900F8E">
        <w:rPr>
          <w:rFonts w:ascii="Arial" w:hAnsi="Arial" w:cs="Arial"/>
        </w:rPr>
        <w:t>NOD</w:t>
      </w:r>
      <w:r w:rsidR="008E6BA2">
        <w:rPr>
          <w:rFonts w:ascii="Arial" w:hAnsi="Arial" w:cs="Arial"/>
        </w:rPr>
        <w:t>)</w:t>
      </w:r>
      <w:r w:rsidR="00CB4C1A" w:rsidRPr="00900F8E">
        <w:rPr>
          <w:rFonts w:ascii="Arial" w:hAnsi="Arial" w:cs="Arial"/>
        </w:rPr>
        <w:t>, krepitve zmogljivosti javne uprave, nadaljevali so izvajanje projekta LIFE UNIFY, katerega cilj je prispevati k pravočasnemu in učinkovitemu prehodu v nizkoogljično družbo in gospodarstvo;</w:t>
      </w:r>
      <w:r w:rsidR="00B21ED5" w:rsidRPr="00900F8E">
        <w:rPr>
          <w:rFonts w:ascii="Arial" w:hAnsi="Arial" w:cs="Arial"/>
        </w:rPr>
        <w:t xml:space="preserve"> </w:t>
      </w:r>
    </w:p>
    <w:p w14:paraId="75706BA3" w14:textId="2BA5EC82" w:rsidR="00E91F49" w:rsidRPr="00900F8E" w:rsidRDefault="00433EE8" w:rsidP="00E02BBA">
      <w:pPr>
        <w:pStyle w:val="Odstavekseznama"/>
        <w:numPr>
          <w:ilvl w:val="0"/>
          <w:numId w:val="3"/>
        </w:numPr>
        <w:spacing w:after="0" w:line="240" w:lineRule="auto"/>
        <w:jc w:val="both"/>
        <w:rPr>
          <w:rFonts w:ascii="Arial" w:hAnsi="Arial" w:cs="Arial"/>
        </w:rPr>
      </w:pPr>
      <w:r w:rsidRPr="00900F8E">
        <w:rPr>
          <w:rFonts w:ascii="Arial" w:hAnsi="Arial" w:cs="Arial"/>
        </w:rPr>
        <w:t xml:space="preserve">Laboratorij za ogrevalno, sanitarno in solarno tehniko ter klimatizacijo </w:t>
      </w:r>
      <w:r w:rsidR="00B83E8E" w:rsidRPr="00900F8E">
        <w:rPr>
          <w:rFonts w:ascii="Arial" w:hAnsi="Arial" w:cs="Arial"/>
        </w:rPr>
        <w:t>Fakultete za strojništvo U</w:t>
      </w:r>
      <w:r w:rsidR="00D4691C">
        <w:rPr>
          <w:rFonts w:ascii="Arial" w:hAnsi="Arial" w:cs="Arial"/>
        </w:rPr>
        <w:t>niverze v</w:t>
      </w:r>
      <w:r w:rsidR="00B83E8E" w:rsidRPr="00900F8E">
        <w:rPr>
          <w:rFonts w:ascii="Arial" w:hAnsi="Arial" w:cs="Arial"/>
        </w:rPr>
        <w:t xml:space="preserve"> L</w:t>
      </w:r>
      <w:r w:rsidR="00D4691C">
        <w:rPr>
          <w:rFonts w:ascii="Arial" w:hAnsi="Arial" w:cs="Arial"/>
        </w:rPr>
        <w:t>jubljani</w:t>
      </w:r>
      <w:r w:rsidR="00B83E8E" w:rsidRPr="00900F8E">
        <w:rPr>
          <w:rFonts w:ascii="Arial" w:hAnsi="Arial" w:cs="Arial"/>
        </w:rPr>
        <w:t xml:space="preserve"> </w:t>
      </w:r>
      <w:r w:rsidRPr="00900F8E">
        <w:rPr>
          <w:rFonts w:ascii="Arial" w:hAnsi="Arial" w:cs="Arial"/>
        </w:rPr>
        <w:t>je na področju stavb izved</w:t>
      </w:r>
      <w:r w:rsidR="00295D1D">
        <w:rPr>
          <w:rFonts w:ascii="Arial" w:hAnsi="Arial" w:cs="Arial"/>
        </w:rPr>
        <w:t>e</w:t>
      </w:r>
      <w:r w:rsidR="00B83E8E" w:rsidRPr="00900F8E">
        <w:rPr>
          <w:rFonts w:ascii="Arial" w:hAnsi="Arial" w:cs="Arial"/>
        </w:rPr>
        <w:t>l</w:t>
      </w:r>
      <w:r w:rsidRPr="00900F8E">
        <w:rPr>
          <w:rFonts w:ascii="Arial" w:hAnsi="Arial" w:cs="Arial"/>
        </w:rPr>
        <w:t xml:space="preserve"> tri usposabljanja za redne preglede klimatskih sistemov</w:t>
      </w:r>
      <w:r w:rsidR="00B83E8E" w:rsidRPr="00900F8E">
        <w:rPr>
          <w:rFonts w:ascii="Arial" w:hAnsi="Arial" w:cs="Arial"/>
        </w:rPr>
        <w:t>;</w:t>
      </w:r>
    </w:p>
    <w:p w14:paraId="6AB2AA06" w14:textId="176EEEE7" w:rsidR="00B21FDB" w:rsidRPr="00900F8E" w:rsidRDefault="00727F60" w:rsidP="00B21FDB">
      <w:pPr>
        <w:pStyle w:val="Odstavekseznama"/>
        <w:numPr>
          <w:ilvl w:val="0"/>
          <w:numId w:val="3"/>
        </w:numPr>
        <w:spacing w:after="0" w:line="240" w:lineRule="auto"/>
        <w:jc w:val="both"/>
        <w:rPr>
          <w:rFonts w:ascii="Arial" w:hAnsi="Arial" w:cs="Arial"/>
        </w:rPr>
      </w:pPr>
      <w:r w:rsidRPr="00900F8E">
        <w:rPr>
          <w:rFonts w:ascii="Arial" w:hAnsi="Arial" w:cs="Arial"/>
        </w:rPr>
        <w:t xml:space="preserve">GI ZRMK in Zbornica za arhitekturo in prostor Slovenije večkrat letno izvaja usposabljanja za izdelovalce energetskih izkaznic (izdanih je bilo </w:t>
      </w:r>
      <w:r w:rsidR="009E1B0F">
        <w:rPr>
          <w:rFonts w:ascii="Arial" w:hAnsi="Arial" w:cs="Arial"/>
        </w:rPr>
        <w:t>več kot</w:t>
      </w:r>
      <w:r w:rsidR="009E1B0F" w:rsidRPr="00900F8E">
        <w:rPr>
          <w:rFonts w:ascii="Arial" w:hAnsi="Arial" w:cs="Arial"/>
        </w:rPr>
        <w:t xml:space="preserve"> </w:t>
      </w:r>
      <w:r w:rsidRPr="00900F8E">
        <w:rPr>
          <w:rFonts w:ascii="Arial" w:hAnsi="Arial" w:cs="Arial"/>
        </w:rPr>
        <w:t>399 licenc neodvisnim strokovnjakom, izdelovalcem energetskih izkaznic);</w:t>
      </w:r>
    </w:p>
    <w:p w14:paraId="01D3A1DF" w14:textId="141E1069" w:rsidR="00727F60" w:rsidRPr="00900F8E" w:rsidRDefault="00727F60" w:rsidP="00B21FDB">
      <w:pPr>
        <w:pStyle w:val="Odstavekseznama"/>
        <w:numPr>
          <w:ilvl w:val="0"/>
          <w:numId w:val="3"/>
        </w:numPr>
        <w:spacing w:after="0" w:line="240" w:lineRule="auto"/>
        <w:jc w:val="both"/>
        <w:rPr>
          <w:rFonts w:ascii="Arial" w:hAnsi="Arial" w:cs="Arial"/>
        </w:rPr>
      </w:pPr>
      <w:r w:rsidRPr="00900F8E">
        <w:rPr>
          <w:rFonts w:ascii="Arial" w:hAnsi="Arial" w:cs="Arial"/>
        </w:rPr>
        <w:t>E</w:t>
      </w:r>
      <w:r w:rsidR="00517640" w:rsidRPr="00900F8E">
        <w:rPr>
          <w:rFonts w:ascii="Arial" w:hAnsi="Arial" w:cs="Arial"/>
        </w:rPr>
        <w:t>ko</w:t>
      </w:r>
      <w:r w:rsidRPr="00900F8E">
        <w:rPr>
          <w:rFonts w:ascii="Arial" w:hAnsi="Arial" w:cs="Arial"/>
        </w:rPr>
        <w:t xml:space="preserve"> sklad je organiziral usposabljanja v okviru mreže ENSVET</w:t>
      </w:r>
      <w:r w:rsidR="00DE2263" w:rsidRPr="00900F8E">
        <w:rPr>
          <w:rFonts w:ascii="Arial" w:hAnsi="Arial" w:cs="Arial"/>
        </w:rPr>
        <w:t xml:space="preserve"> – v letu 2020 je bilo izvedenih 9.283 </w:t>
      </w:r>
      <w:r w:rsidR="009E1B0F">
        <w:rPr>
          <w:rFonts w:ascii="Arial" w:hAnsi="Arial" w:cs="Arial"/>
        </w:rPr>
        <w:t>dejavnosti</w:t>
      </w:r>
      <w:r w:rsidR="009E1B0F" w:rsidRPr="00900F8E">
        <w:rPr>
          <w:rFonts w:ascii="Arial" w:hAnsi="Arial" w:cs="Arial"/>
        </w:rPr>
        <w:t xml:space="preserve"> </w:t>
      </w:r>
      <w:r w:rsidR="00DE2263" w:rsidRPr="00900F8E">
        <w:rPr>
          <w:rFonts w:ascii="Arial" w:hAnsi="Arial" w:cs="Arial"/>
        </w:rPr>
        <w:t>(nasveti, članki, predavanja)</w:t>
      </w:r>
      <w:r w:rsidR="00A07683" w:rsidRPr="00900F8E">
        <w:rPr>
          <w:rFonts w:ascii="Arial" w:hAnsi="Arial" w:cs="Arial"/>
        </w:rPr>
        <w:t>;</w:t>
      </w:r>
      <w:r w:rsidR="00DE2263" w:rsidRPr="00900F8E">
        <w:rPr>
          <w:rFonts w:ascii="Arial" w:hAnsi="Arial" w:cs="Arial"/>
        </w:rPr>
        <w:t xml:space="preserve"> </w:t>
      </w:r>
      <w:r w:rsidR="00A07683" w:rsidRPr="00900F8E">
        <w:rPr>
          <w:rFonts w:ascii="Arial" w:hAnsi="Arial" w:cs="Arial"/>
        </w:rPr>
        <w:t>k</w:t>
      </w:r>
      <w:r w:rsidR="00DE2263" w:rsidRPr="00900F8E">
        <w:rPr>
          <w:rFonts w:ascii="Arial" w:hAnsi="Arial" w:cs="Arial"/>
        </w:rPr>
        <w:t xml:space="preserve">onec leta 2019 je </w:t>
      </w:r>
      <w:r w:rsidR="00A07683" w:rsidRPr="00900F8E">
        <w:rPr>
          <w:rFonts w:ascii="Arial" w:hAnsi="Arial" w:cs="Arial"/>
        </w:rPr>
        <w:t>bilo r</w:t>
      </w:r>
      <w:r w:rsidR="00DE2263" w:rsidRPr="00900F8E">
        <w:rPr>
          <w:rFonts w:ascii="Arial" w:hAnsi="Arial" w:cs="Arial"/>
        </w:rPr>
        <w:t xml:space="preserve">azpisanih 800.000 evrov sredstev iz Sklada za podnebne spremembe, ki so predvidena za štiriletno delovanje </w:t>
      </w:r>
      <w:r w:rsidR="00E0748B" w:rsidRPr="00900F8E">
        <w:rPr>
          <w:rFonts w:ascii="Arial" w:hAnsi="Arial" w:cs="Arial"/>
        </w:rPr>
        <w:t xml:space="preserve">dveh vsebinskih mrež </w:t>
      </w:r>
      <w:r w:rsidR="009E1B0F">
        <w:rPr>
          <w:rFonts w:ascii="Arial" w:hAnsi="Arial" w:cs="Arial"/>
        </w:rPr>
        <w:t>–</w:t>
      </w:r>
      <w:r w:rsidR="00E0748B" w:rsidRPr="00900F8E">
        <w:rPr>
          <w:rFonts w:ascii="Arial" w:hAnsi="Arial" w:cs="Arial"/>
        </w:rPr>
        <w:t xml:space="preserve"> izbrana sta bila </w:t>
      </w:r>
      <w:r w:rsidR="00DE2263" w:rsidRPr="00900F8E">
        <w:rPr>
          <w:rFonts w:ascii="Arial" w:hAnsi="Arial" w:cs="Arial"/>
        </w:rPr>
        <w:t>Plan B za Slovenijo – mrež</w:t>
      </w:r>
      <w:r w:rsidR="00E0748B" w:rsidRPr="00900F8E">
        <w:rPr>
          <w:rFonts w:ascii="Arial" w:hAnsi="Arial" w:cs="Arial"/>
        </w:rPr>
        <w:t>a</w:t>
      </w:r>
      <w:r w:rsidR="00DE2263" w:rsidRPr="00900F8E">
        <w:rPr>
          <w:rFonts w:ascii="Arial" w:hAnsi="Arial" w:cs="Arial"/>
        </w:rPr>
        <w:t xml:space="preserve"> nevladnih organizacij za trajnostni razvoj za področje varstva okolja prijaviteljice Ustanove Umanotera – slovenska fundacija za trajnostni razvoj in Mreže za prostor za področje urejanje prostora prijavitelja Inštituta za politike prostora</w:t>
      </w:r>
      <w:r w:rsidRPr="00900F8E">
        <w:rPr>
          <w:rFonts w:ascii="Arial" w:hAnsi="Arial" w:cs="Arial"/>
        </w:rPr>
        <w:t>;</w:t>
      </w:r>
      <w:r w:rsidR="00A07683" w:rsidRPr="00900F8E">
        <w:rPr>
          <w:rFonts w:ascii="Arial" w:hAnsi="Arial" w:cs="Arial"/>
        </w:rPr>
        <w:t xml:space="preserve"> za promocijo Eko sklada so bile sklenjene pogodbe za projekte 21. </w:t>
      </w:r>
      <w:r w:rsidR="009E1B0F">
        <w:rPr>
          <w:rFonts w:ascii="Arial" w:hAnsi="Arial" w:cs="Arial"/>
        </w:rPr>
        <w:t>d</w:t>
      </w:r>
      <w:r w:rsidR="00A07683" w:rsidRPr="00900F8E">
        <w:rPr>
          <w:rFonts w:ascii="Arial" w:hAnsi="Arial" w:cs="Arial"/>
        </w:rPr>
        <w:t xml:space="preserve">nevi energetikov, </w:t>
      </w:r>
      <w:r w:rsidR="009E1B0F">
        <w:rPr>
          <w:rFonts w:ascii="Arial" w:hAnsi="Arial" w:cs="Arial"/>
        </w:rPr>
        <w:t>o</w:t>
      </w:r>
      <w:r w:rsidR="00A07683" w:rsidRPr="00900F8E">
        <w:rPr>
          <w:rFonts w:ascii="Arial" w:hAnsi="Arial" w:cs="Arial"/>
        </w:rPr>
        <w:t>koljsko srečanje 2020, raziskava REUS JSS 2020 in vodni dnevi 2020;</w:t>
      </w:r>
    </w:p>
    <w:p w14:paraId="6423B0EA" w14:textId="60683C79" w:rsidR="00727F60" w:rsidRPr="00900F8E" w:rsidRDefault="0093072C" w:rsidP="00E02BBA">
      <w:pPr>
        <w:pStyle w:val="Odstavekseznama"/>
        <w:numPr>
          <w:ilvl w:val="0"/>
          <w:numId w:val="3"/>
        </w:numPr>
        <w:spacing w:after="0" w:line="240" w:lineRule="auto"/>
        <w:jc w:val="both"/>
        <w:rPr>
          <w:rFonts w:ascii="Arial" w:hAnsi="Arial" w:cs="Arial"/>
        </w:rPr>
      </w:pPr>
      <w:r w:rsidRPr="00900F8E">
        <w:rPr>
          <w:rFonts w:ascii="Arial" w:hAnsi="Arial" w:cs="Arial"/>
        </w:rPr>
        <w:t>Zveza društev energetikov Slovenije je izvajala usposabljanja za upravlja</w:t>
      </w:r>
      <w:r w:rsidR="008851A2">
        <w:rPr>
          <w:rFonts w:ascii="Arial" w:hAnsi="Arial" w:cs="Arial"/>
        </w:rPr>
        <w:t>v</w:t>
      </w:r>
      <w:r w:rsidRPr="00900F8E">
        <w:rPr>
          <w:rFonts w:ascii="Arial" w:hAnsi="Arial" w:cs="Arial"/>
        </w:rPr>
        <w:t xml:space="preserve">ce energetskih naprav in </w:t>
      </w:r>
      <w:r w:rsidR="00613339">
        <w:rPr>
          <w:rFonts w:ascii="Arial" w:hAnsi="Arial" w:cs="Arial"/>
        </w:rPr>
        <w:t>URE</w:t>
      </w:r>
      <w:r w:rsidRPr="00900F8E">
        <w:rPr>
          <w:rFonts w:ascii="Arial" w:hAnsi="Arial" w:cs="Arial"/>
        </w:rPr>
        <w:t>;</w:t>
      </w:r>
    </w:p>
    <w:p w14:paraId="1B7A144D" w14:textId="79BA844D" w:rsidR="0093072C" w:rsidRPr="00900F8E" w:rsidRDefault="00F422F6" w:rsidP="00E02BBA">
      <w:pPr>
        <w:pStyle w:val="Odstavekseznama"/>
        <w:numPr>
          <w:ilvl w:val="0"/>
          <w:numId w:val="3"/>
        </w:numPr>
        <w:spacing w:after="0" w:line="240" w:lineRule="auto"/>
        <w:jc w:val="both"/>
        <w:rPr>
          <w:rFonts w:ascii="Arial" w:hAnsi="Arial" w:cs="Arial"/>
        </w:rPr>
      </w:pPr>
      <w:r w:rsidRPr="00900F8E">
        <w:rPr>
          <w:rFonts w:ascii="Arial" w:hAnsi="Arial" w:cs="Arial"/>
        </w:rPr>
        <w:t>IJS</w:t>
      </w:r>
      <w:r w:rsidR="00CD0B50" w:rsidRPr="00900F8E">
        <w:rPr>
          <w:rFonts w:ascii="Arial" w:hAnsi="Arial" w:cs="Arial"/>
        </w:rPr>
        <w:t>-CEU</w:t>
      </w:r>
      <w:r w:rsidRPr="00900F8E">
        <w:rPr>
          <w:rFonts w:ascii="Arial" w:hAnsi="Arial" w:cs="Arial"/>
        </w:rPr>
        <w:t xml:space="preserve"> je izved</w:t>
      </w:r>
      <w:r w:rsidR="009E1B0F">
        <w:rPr>
          <w:rFonts w:ascii="Arial" w:hAnsi="Arial" w:cs="Arial"/>
        </w:rPr>
        <w:t>e</w:t>
      </w:r>
      <w:r w:rsidRPr="00900F8E">
        <w:rPr>
          <w:rFonts w:ascii="Arial" w:hAnsi="Arial" w:cs="Arial"/>
        </w:rPr>
        <w:t xml:space="preserve">l izobraževanje </w:t>
      </w:r>
      <w:r w:rsidR="006B20C4">
        <w:rPr>
          <w:rFonts w:ascii="Arial" w:hAnsi="Arial" w:cs="Arial"/>
        </w:rPr>
        <w:t>za naziv e</w:t>
      </w:r>
      <w:r w:rsidRPr="00900F8E">
        <w:rPr>
          <w:rFonts w:ascii="Arial" w:hAnsi="Arial" w:cs="Arial"/>
        </w:rPr>
        <w:t>vropski energetski menedžer – EUREM;</w:t>
      </w:r>
    </w:p>
    <w:p w14:paraId="40FCA83A" w14:textId="03728932" w:rsidR="00F422F6" w:rsidRPr="00900F8E" w:rsidRDefault="00ED767A" w:rsidP="00E02BBA">
      <w:pPr>
        <w:pStyle w:val="Odstavekseznama"/>
        <w:numPr>
          <w:ilvl w:val="0"/>
          <w:numId w:val="3"/>
        </w:numPr>
        <w:spacing w:after="0" w:line="240" w:lineRule="auto"/>
        <w:jc w:val="both"/>
        <w:rPr>
          <w:rFonts w:ascii="Arial" w:hAnsi="Arial" w:cs="Arial"/>
        </w:rPr>
      </w:pPr>
      <w:r w:rsidRPr="00900F8E">
        <w:rPr>
          <w:rFonts w:ascii="Arial" w:hAnsi="Arial" w:cs="Arial"/>
        </w:rPr>
        <w:t xml:space="preserve">izvedena so bila usposabljanja inženirjev in arhitektov za področje trajnostne gradnje, energetske učinkovitosti, zelenega javnega naročanja </w:t>
      </w:r>
      <w:r w:rsidR="009E1B0F">
        <w:rPr>
          <w:rFonts w:ascii="Arial" w:hAnsi="Arial" w:cs="Arial"/>
        </w:rPr>
        <w:t>–</w:t>
      </w:r>
      <w:r w:rsidRPr="00900F8E">
        <w:rPr>
          <w:rFonts w:ascii="Arial" w:hAnsi="Arial" w:cs="Arial"/>
        </w:rPr>
        <w:t xml:space="preserve"> </w:t>
      </w:r>
      <w:r w:rsidR="0075228A" w:rsidRPr="00900F8E">
        <w:rPr>
          <w:rFonts w:ascii="Arial" w:hAnsi="Arial" w:cs="Arial"/>
        </w:rPr>
        <w:t>Inženirsk</w:t>
      </w:r>
      <w:r w:rsidR="008F016C" w:rsidRPr="00900F8E">
        <w:rPr>
          <w:rFonts w:ascii="Arial" w:hAnsi="Arial" w:cs="Arial"/>
        </w:rPr>
        <w:t>a</w:t>
      </w:r>
      <w:r w:rsidR="0075228A" w:rsidRPr="00900F8E">
        <w:rPr>
          <w:rFonts w:ascii="Arial" w:hAnsi="Arial" w:cs="Arial"/>
        </w:rPr>
        <w:t xml:space="preserve"> zbornic</w:t>
      </w:r>
      <w:r w:rsidR="008F016C" w:rsidRPr="00900F8E">
        <w:rPr>
          <w:rFonts w:ascii="Arial" w:hAnsi="Arial" w:cs="Arial"/>
        </w:rPr>
        <w:t>a</w:t>
      </w:r>
      <w:r w:rsidR="0075228A" w:rsidRPr="00900F8E">
        <w:rPr>
          <w:rFonts w:ascii="Arial" w:hAnsi="Arial" w:cs="Arial"/>
        </w:rPr>
        <w:t xml:space="preserve"> Slovenije, Zbornic</w:t>
      </w:r>
      <w:r w:rsidRPr="00900F8E">
        <w:rPr>
          <w:rFonts w:ascii="Arial" w:hAnsi="Arial" w:cs="Arial"/>
        </w:rPr>
        <w:t>a</w:t>
      </w:r>
      <w:r w:rsidR="0075228A" w:rsidRPr="00900F8E">
        <w:rPr>
          <w:rFonts w:ascii="Arial" w:hAnsi="Arial" w:cs="Arial"/>
        </w:rPr>
        <w:t xml:space="preserve"> za arhitekturo in prostor ter Slovensk</w:t>
      </w:r>
      <w:r w:rsidRPr="00900F8E">
        <w:rPr>
          <w:rFonts w:ascii="Arial" w:hAnsi="Arial" w:cs="Arial"/>
        </w:rPr>
        <w:t>o</w:t>
      </w:r>
      <w:r w:rsidR="0075228A" w:rsidRPr="00900F8E">
        <w:rPr>
          <w:rFonts w:ascii="Arial" w:hAnsi="Arial" w:cs="Arial"/>
        </w:rPr>
        <w:t xml:space="preserve"> združenj</w:t>
      </w:r>
      <w:r w:rsidRPr="00900F8E">
        <w:rPr>
          <w:rFonts w:ascii="Arial" w:hAnsi="Arial" w:cs="Arial"/>
        </w:rPr>
        <w:t>e</w:t>
      </w:r>
      <w:r w:rsidR="0075228A" w:rsidRPr="00900F8E">
        <w:rPr>
          <w:rFonts w:ascii="Arial" w:hAnsi="Arial" w:cs="Arial"/>
        </w:rPr>
        <w:t xml:space="preserve"> za trajnostno gradnjo</w:t>
      </w:r>
      <w:r w:rsidR="008F016C" w:rsidRPr="00900F8E">
        <w:rPr>
          <w:rFonts w:ascii="Arial" w:hAnsi="Arial" w:cs="Arial"/>
        </w:rPr>
        <w:t>;</w:t>
      </w:r>
    </w:p>
    <w:p w14:paraId="7D04490F" w14:textId="5C05E328" w:rsidR="008F016C" w:rsidRPr="00900F8E" w:rsidRDefault="00EE2813" w:rsidP="00E02BBA">
      <w:pPr>
        <w:pStyle w:val="Odstavekseznama"/>
        <w:numPr>
          <w:ilvl w:val="0"/>
          <w:numId w:val="3"/>
        </w:numPr>
        <w:spacing w:after="0" w:line="240" w:lineRule="auto"/>
        <w:jc w:val="both"/>
        <w:rPr>
          <w:rFonts w:ascii="Arial" w:hAnsi="Arial" w:cs="Arial"/>
        </w:rPr>
      </w:pPr>
      <w:r w:rsidRPr="00900F8E">
        <w:rPr>
          <w:rFonts w:ascii="Arial" w:hAnsi="Arial" w:cs="Arial"/>
        </w:rPr>
        <w:t xml:space="preserve">Slovensko združenje za trajnostno gradnjo – </w:t>
      </w:r>
      <w:proofErr w:type="spellStart"/>
      <w:r w:rsidRPr="00900F8E">
        <w:rPr>
          <w:rFonts w:ascii="Arial" w:hAnsi="Arial" w:cs="Arial"/>
        </w:rPr>
        <w:t>Green</w:t>
      </w:r>
      <w:proofErr w:type="spellEnd"/>
      <w:r w:rsidRPr="00900F8E">
        <w:rPr>
          <w:rFonts w:ascii="Arial" w:hAnsi="Arial" w:cs="Arial"/>
        </w:rPr>
        <w:t xml:space="preserve"> </w:t>
      </w:r>
      <w:proofErr w:type="spellStart"/>
      <w:r w:rsidRPr="00900F8E">
        <w:rPr>
          <w:rFonts w:ascii="Arial" w:hAnsi="Arial" w:cs="Arial"/>
        </w:rPr>
        <w:t>Building</w:t>
      </w:r>
      <w:proofErr w:type="spellEnd"/>
      <w:r w:rsidRPr="00900F8E">
        <w:rPr>
          <w:rFonts w:ascii="Arial" w:hAnsi="Arial" w:cs="Arial"/>
        </w:rPr>
        <w:t xml:space="preserve"> </w:t>
      </w:r>
      <w:proofErr w:type="spellStart"/>
      <w:r w:rsidRPr="00900F8E">
        <w:rPr>
          <w:rFonts w:ascii="Arial" w:hAnsi="Arial" w:cs="Arial"/>
        </w:rPr>
        <w:t>Council</w:t>
      </w:r>
      <w:proofErr w:type="spellEnd"/>
      <w:r w:rsidRPr="00900F8E">
        <w:rPr>
          <w:rFonts w:ascii="Arial" w:hAnsi="Arial" w:cs="Arial"/>
        </w:rPr>
        <w:t xml:space="preserve"> </w:t>
      </w:r>
      <w:proofErr w:type="spellStart"/>
      <w:r w:rsidRPr="00900F8E">
        <w:rPr>
          <w:rFonts w:ascii="Arial" w:hAnsi="Arial" w:cs="Arial"/>
        </w:rPr>
        <w:t>Slovenia</w:t>
      </w:r>
      <w:proofErr w:type="spellEnd"/>
      <w:r w:rsidRPr="00900F8E">
        <w:rPr>
          <w:rFonts w:ascii="Arial" w:hAnsi="Arial" w:cs="Arial"/>
        </w:rPr>
        <w:t xml:space="preserve"> je dobilo izplačilo za </w:t>
      </w:r>
      <w:r w:rsidR="009E1B0F">
        <w:rPr>
          <w:rFonts w:ascii="Arial" w:hAnsi="Arial" w:cs="Arial"/>
        </w:rPr>
        <w:t>i</w:t>
      </w:r>
      <w:r w:rsidRPr="00900F8E">
        <w:rPr>
          <w:rFonts w:ascii="Arial" w:hAnsi="Arial" w:cs="Arial"/>
        </w:rPr>
        <w:t>zobraževanje izvajalcev za kakovostnejšo izvedbo energijskih ovojev stavb, zmanjšanje reklamacij in izboljšanje učinka prihranka energije za ogrevanje, zmanjšanje onesnaževanja ter učinkovitejša poraba subvencij;</w:t>
      </w:r>
    </w:p>
    <w:p w14:paraId="43AC3C2F" w14:textId="3672BC11" w:rsidR="008E37DE" w:rsidRPr="00445F2B" w:rsidRDefault="008E37DE" w:rsidP="00445F2B">
      <w:pPr>
        <w:pStyle w:val="Odstavekseznama"/>
        <w:numPr>
          <w:ilvl w:val="0"/>
          <w:numId w:val="3"/>
        </w:numPr>
        <w:spacing w:after="0" w:line="240" w:lineRule="auto"/>
        <w:jc w:val="both"/>
        <w:rPr>
          <w:rFonts w:ascii="Arial" w:hAnsi="Arial" w:cs="Arial"/>
        </w:rPr>
      </w:pPr>
      <w:r w:rsidRPr="00900F8E">
        <w:rPr>
          <w:rFonts w:ascii="Arial" w:hAnsi="Arial" w:cs="Arial"/>
        </w:rPr>
        <w:t>Borzen je prek portala Trajnostna energija dajal informacije s področja URE in OVE;</w:t>
      </w:r>
    </w:p>
    <w:p w14:paraId="1EF84056" w14:textId="05DB9589" w:rsidR="008E37DE" w:rsidRPr="00900F8E" w:rsidRDefault="00CB4C1A" w:rsidP="00E02BBA">
      <w:pPr>
        <w:pStyle w:val="Odstavekseznama"/>
        <w:numPr>
          <w:ilvl w:val="0"/>
          <w:numId w:val="3"/>
        </w:numPr>
        <w:spacing w:after="0" w:line="240" w:lineRule="auto"/>
        <w:jc w:val="both"/>
        <w:rPr>
          <w:rFonts w:ascii="Arial" w:hAnsi="Arial" w:cs="Arial"/>
        </w:rPr>
      </w:pPr>
      <w:r w:rsidRPr="00900F8E">
        <w:rPr>
          <w:rFonts w:ascii="Arial" w:hAnsi="Arial" w:cs="Arial"/>
        </w:rPr>
        <w:t>nadaljeval se je projekt LIFE Podnebna pot 2050;</w:t>
      </w:r>
    </w:p>
    <w:p w14:paraId="38DC671B" w14:textId="2B3B4CA7" w:rsidR="00CB4C1A" w:rsidRPr="00445F2B" w:rsidRDefault="00CB4C1A" w:rsidP="00445F2B">
      <w:pPr>
        <w:pStyle w:val="Odstavekseznama"/>
        <w:numPr>
          <w:ilvl w:val="0"/>
          <w:numId w:val="3"/>
        </w:numPr>
        <w:spacing w:after="0" w:line="240" w:lineRule="auto"/>
        <w:jc w:val="both"/>
        <w:rPr>
          <w:rFonts w:ascii="Arial" w:hAnsi="Arial" w:cs="Arial"/>
        </w:rPr>
      </w:pPr>
      <w:r w:rsidRPr="00900F8E">
        <w:rPr>
          <w:rFonts w:ascii="Arial" w:hAnsi="Arial" w:cs="Arial"/>
        </w:rPr>
        <w:t xml:space="preserve">k ozaveščanju in informiranju so pomembno prispevali </w:t>
      </w:r>
      <w:r w:rsidR="008848B8" w:rsidRPr="00900F8E">
        <w:rPr>
          <w:rFonts w:ascii="Arial" w:hAnsi="Arial" w:cs="Arial"/>
        </w:rPr>
        <w:t xml:space="preserve">Stalni posvetovalni odbor za podnebno politiko pri predsedniku Republike Slovenije, </w:t>
      </w:r>
      <w:r w:rsidRPr="00900F8E">
        <w:rPr>
          <w:rFonts w:ascii="Arial" w:hAnsi="Arial" w:cs="Arial"/>
        </w:rPr>
        <w:t>Mladi za podnebno pravičnost</w:t>
      </w:r>
      <w:r w:rsidR="008848B8" w:rsidRPr="00900F8E">
        <w:rPr>
          <w:rFonts w:ascii="Arial" w:hAnsi="Arial" w:cs="Arial"/>
        </w:rPr>
        <w:t xml:space="preserve">, Cipra, Greenpeace, </w:t>
      </w:r>
      <w:r w:rsidR="00E82BFD" w:rsidRPr="00900F8E">
        <w:rPr>
          <w:rFonts w:ascii="Arial" w:hAnsi="Arial" w:cs="Arial"/>
        </w:rPr>
        <w:t>Pravno-informacijski center, Inštitut za politike prostora</w:t>
      </w:r>
      <w:r w:rsidR="008848B8" w:rsidRPr="00900F8E">
        <w:rPr>
          <w:rFonts w:ascii="Arial" w:hAnsi="Arial" w:cs="Arial"/>
        </w:rPr>
        <w:t>, Sloga</w:t>
      </w:r>
      <w:r w:rsidR="002B69AC">
        <w:rPr>
          <w:rFonts w:ascii="Arial" w:hAnsi="Arial" w:cs="Arial"/>
        </w:rPr>
        <w:t xml:space="preserve"> in drugi</w:t>
      </w:r>
      <w:r w:rsidR="008848B8" w:rsidRPr="00900F8E">
        <w:rPr>
          <w:rFonts w:ascii="Arial" w:hAnsi="Arial" w:cs="Arial"/>
        </w:rPr>
        <w:t>;</w:t>
      </w:r>
    </w:p>
    <w:p w14:paraId="3BD21AE2" w14:textId="3119740F" w:rsidR="00F145B4" w:rsidRPr="00900F8E" w:rsidRDefault="008848B8" w:rsidP="00E02BBA">
      <w:pPr>
        <w:pStyle w:val="Odstavekseznama"/>
        <w:numPr>
          <w:ilvl w:val="0"/>
          <w:numId w:val="3"/>
        </w:numPr>
        <w:spacing w:after="0" w:line="240" w:lineRule="auto"/>
        <w:jc w:val="both"/>
        <w:rPr>
          <w:rFonts w:ascii="Arial" w:hAnsi="Arial" w:cs="Arial"/>
        </w:rPr>
      </w:pPr>
      <w:r w:rsidRPr="00900F8E">
        <w:rPr>
          <w:rFonts w:ascii="Arial" w:hAnsi="Arial" w:cs="Arial"/>
        </w:rPr>
        <w:t xml:space="preserve">nadaljeval se je projekt </w:t>
      </w:r>
      <w:proofErr w:type="spellStart"/>
      <w:r w:rsidRPr="00900F8E">
        <w:rPr>
          <w:rFonts w:ascii="Arial" w:hAnsi="Arial" w:cs="Arial"/>
        </w:rPr>
        <w:t>Clear</w:t>
      </w:r>
      <w:proofErr w:type="spellEnd"/>
      <w:r w:rsidRPr="00900F8E">
        <w:rPr>
          <w:rFonts w:ascii="Arial" w:hAnsi="Arial" w:cs="Arial"/>
        </w:rPr>
        <w:t xml:space="preserve"> 2.0 Zveze potrošnikov Slovenije s partnerji, ki </w:t>
      </w:r>
      <w:r w:rsidR="00997798" w:rsidRPr="00900F8E">
        <w:rPr>
          <w:rFonts w:ascii="Arial" w:hAnsi="Arial" w:cs="Arial"/>
        </w:rPr>
        <w:t>s</w:t>
      </w:r>
      <w:r w:rsidRPr="00900F8E">
        <w:rPr>
          <w:rFonts w:ascii="Arial" w:hAnsi="Arial" w:cs="Arial"/>
        </w:rPr>
        <w:t>podbuja prehod v NOD, ozavešča potrošnik</w:t>
      </w:r>
      <w:r w:rsidR="00997798" w:rsidRPr="00900F8E">
        <w:rPr>
          <w:rFonts w:ascii="Arial" w:hAnsi="Arial" w:cs="Arial"/>
        </w:rPr>
        <w:t>e</w:t>
      </w:r>
      <w:r w:rsidRPr="00900F8E">
        <w:rPr>
          <w:rFonts w:ascii="Arial" w:hAnsi="Arial" w:cs="Arial"/>
        </w:rPr>
        <w:t xml:space="preserve"> o pomenu rabe lokalnih obnovljivih virov v </w:t>
      </w:r>
      <w:r w:rsidRPr="00900F8E">
        <w:rPr>
          <w:rFonts w:ascii="Arial" w:hAnsi="Arial" w:cs="Arial"/>
        </w:rPr>
        <w:lastRenderedPageBreak/>
        <w:t>gospodinjstvih in prednostih nizkoogljičnih tehnologij ter usmerja pri nakupu in uporabi naprav za ogrevanje in hlajenje v gospodinjstvih;</w:t>
      </w:r>
    </w:p>
    <w:p w14:paraId="38862A8F" w14:textId="7293EAA6" w:rsidR="0084504F" w:rsidRPr="00900F8E" w:rsidRDefault="0084504F" w:rsidP="00E02BBA">
      <w:pPr>
        <w:pStyle w:val="Odstavekseznama"/>
        <w:numPr>
          <w:ilvl w:val="0"/>
          <w:numId w:val="3"/>
        </w:numPr>
        <w:spacing w:after="0" w:line="240" w:lineRule="auto"/>
        <w:jc w:val="both"/>
        <w:rPr>
          <w:rFonts w:ascii="Arial" w:hAnsi="Arial" w:cs="Arial"/>
        </w:rPr>
      </w:pPr>
      <w:r w:rsidRPr="00900F8E">
        <w:rPr>
          <w:rFonts w:ascii="Arial" w:hAnsi="Arial" w:cs="Arial"/>
        </w:rPr>
        <w:t xml:space="preserve">društvo za energetsko pismenost EN-LITE je nadaljevalo </w:t>
      </w:r>
      <w:r w:rsidR="001D6649">
        <w:rPr>
          <w:rFonts w:ascii="Arial" w:hAnsi="Arial" w:cs="Arial"/>
        </w:rPr>
        <w:t>dejavnosti</w:t>
      </w:r>
      <w:r w:rsidR="001D6649" w:rsidRPr="00900F8E">
        <w:rPr>
          <w:rFonts w:ascii="Arial" w:hAnsi="Arial" w:cs="Arial"/>
        </w:rPr>
        <w:t xml:space="preserve"> </w:t>
      </w:r>
      <w:r w:rsidRPr="00900F8E">
        <w:rPr>
          <w:rFonts w:ascii="Arial" w:hAnsi="Arial" w:cs="Arial"/>
        </w:rPr>
        <w:t xml:space="preserve">na področju </w:t>
      </w:r>
      <w:proofErr w:type="spellStart"/>
      <w:r w:rsidRPr="00900F8E">
        <w:rPr>
          <w:rFonts w:ascii="Arial" w:hAnsi="Arial" w:cs="Arial"/>
        </w:rPr>
        <w:t>iENERGIJE</w:t>
      </w:r>
      <w:proofErr w:type="spellEnd"/>
      <w:r w:rsidRPr="00900F8E">
        <w:rPr>
          <w:rFonts w:ascii="Arial" w:hAnsi="Arial" w:cs="Arial"/>
        </w:rPr>
        <w:t>;</w:t>
      </w:r>
    </w:p>
    <w:p w14:paraId="304E511F" w14:textId="19A0FAC5" w:rsidR="0084504F" w:rsidRPr="00900F8E" w:rsidRDefault="007B500B" w:rsidP="00E02BBA">
      <w:pPr>
        <w:pStyle w:val="Odstavekseznama"/>
        <w:numPr>
          <w:ilvl w:val="0"/>
          <w:numId w:val="3"/>
        </w:numPr>
        <w:spacing w:after="0" w:line="240" w:lineRule="auto"/>
        <w:jc w:val="both"/>
        <w:rPr>
          <w:rFonts w:ascii="Arial" w:hAnsi="Arial" w:cs="Arial"/>
        </w:rPr>
      </w:pPr>
      <w:r w:rsidRPr="00900F8E">
        <w:rPr>
          <w:rFonts w:ascii="Arial" w:hAnsi="Arial" w:cs="Arial"/>
        </w:rPr>
        <w:t>sprejeta je bila Resolucija o Nacionalnem programu varstva okolja za obdobje 2020–2030, ki vsebuje tudi smernice in ukrepe na področju izobraževanja;</w:t>
      </w:r>
    </w:p>
    <w:p w14:paraId="47D8D010" w14:textId="7ADBCBD6" w:rsidR="004729CD" w:rsidRPr="00900F8E" w:rsidRDefault="007B500B" w:rsidP="00E02BBA">
      <w:pPr>
        <w:pStyle w:val="Odstavekseznama"/>
        <w:numPr>
          <w:ilvl w:val="0"/>
          <w:numId w:val="3"/>
        </w:numPr>
        <w:spacing w:after="0" w:line="240" w:lineRule="auto"/>
        <w:jc w:val="both"/>
        <w:rPr>
          <w:rFonts w:ascii="Arial" w:hAnsi="Arial" w:cs="Arial"/>
        </w:rPr>
      </w:pPr>
      <w:r w:rsidRPr="00900F8E">
        <w:rPr>
          <w:rFonts w:ascii="Arial" w:hAnsi="Arial" w:cs="Arial"/>
        </w:rPr>
        <w:t>v programu Ekošola se je nadaljeval tematski sklop Podnebne spremembe</w:t>
      </w:r>
      <w:r w:rsidR="004729CD" w:rsidRPr="00900F8E">
        <w:rPr>
          <w:rFonts w:ascii="Arial" w:hAnsi="Arial" w:cs="Arial"/>
        </w:rPr>
        <w:t>;</w:t>
      </w:r>
    </w:p>
    <w:p w14:paraId="5D27D3F1" w14:textId="795DC491" w:rsidR="004729CD" w:rsidRPr="00900F8E" w:rsidRDefault="004729CD" w:rsidP="00E02BBA">
      <w:pPr>
        <w:pStyle w:val="Odstavekseznama"/>
        <w:numPr>
          <w:ilvl w:val="0"/>
          <w:numId w:val="3"/>
        </w:numPr>
        <w:spacing w:after="0" w:line="240" w:lineRule="auto"/>
        <w:jc w:val="both"/>
        <w:rPr>
          <w:rFonts w:ascii="Arial" w:hAnsi="Arial" w:cs="Arial"/>
        </w:rPr>
      </w:pPr>
      <w:r w:rsidRPr="00900F8E">
        <w:rPr>
          <w:rFonts w:ascii="Arial" w:hAnsi="Arial" w:cs="Arial"/>
        </w:rPr>
        <w:t>Združenje izobraževalnih in svetovalnih središč Slovenije je za starejše izvedlo teden izobraževanja za trajnostni razvoj, podnebne spremembe.</w:t>
      </w:r>
    </w:p>
    <w:p w14:paraId="4DCD026C" w14:textId="1FB3361C" w:rsidR="00B556C3" w:rsidRPr="00900F8E" w:rsidRDefault="00B556C3" w:rsidP="00174413">
      <w:pPr>
        <w:spacing w:after="0" w:line="240" w:lineRule="auto"/>
        <w:jc w:val="both"/>
        <w:rPr>
          <w:rFonts w:ascii="Arial" w:hAnsi="Arial" w:cs="Arial"/>
        </w:rPr>
      </w:pPr>
    </w:p>
    <w:p w14:paraId="392F9E06" w14:textId="52EE3640" w:rsidR="00C83956" w:rsidRPr="00900F8E" w:rsidRDefault="00E07C48" w:rsidP="00174413">
      <w:pPr>
        <w:spacing w:after="0" w:line="240" w:lineRule="auto"/>
        <w:jc w:val="both"/>
        <w:rPr>
          <w:rFonts w:ascii="Arial" w:hAnsi="Arial" w:cs="Arial"/>
        </w:rPr>
      </w:pPr>
      <w:r>
        <w:rPr>
          <w:rFonts w:ascii="Arial" w:hAnsi="Arial" w:cs="Arial"/>
        </w:rPr>
        <w:t>Dejavnosti</w:t>
      </w:r>
      <w:r w:rsidR="0039575C" w:rsidRPr="00900F8E">
        <w:rPr>
          <w:rFonts w:ascii="Arial" w:hAnsi="Arial" w:cs="Arial"/>
        </w:rPr>
        <w:t xml:space="preserve"> na področju izobraževanja, usposabljanja, informiranja in ozaveščanja v letu 2021 so bile:</w:t>
      </w:r>
    </w:p>
    <w:p w14:paraId="120E7D0F" w14:textId="6E519DE5" w:rsidR="0039575C" w:rsidRPr="00900F8E" w:rsidRDefault="006C4A8B" w:rsidP="00205D3C">
      <w:pPr>
        <w:pStyle w:val="Odstavekseznama"/>
        <w:numPr>
          <w:ilvl w:val="0"/>
          <w:numId w:val="24"/>
        </w:numPr>
        <w:spacing w:after="0" w:line="240" w:lineRule="auto"/>
        <w:jc w:val="both"/>
        <w:rPr>
          <w:rFonts w:ascii="Arial" w:hAnsi="Arial" w:cs="Arial"/>
        </w:rPr>
      </w:pPr>
      <w:r w:rsidRPr="00900F8E">
        <w:rPr>
          <w:rFonts w:ascii="Arial" w:hAnsi="Arial" w:cs="Arial"/>
        </w:rPr>
        <w:t xml:space="preserve">v sklopu projekta LIFE IP CARE4CLIMATE so se izvajale </w:t>
      </w:r>
      <w:r w:rsidR="00E07C48">
        <w:rPr>
          <w:rFonts w:ascii="Arial" w:hAnsi="Arial" w:cs="Arial"/>
        </w:rPr>
        <w:t>dejavnosti</w:t>
      </w:r>
      <w:r w:rsidRPr="00900F8E">
        <w:rPr>
          <w:rFonts w:ascii="Arial" w:hAnsi="Arial" w:cs="Arial"/>
        </w:rPr>
        <w:t xml:space="preserve"> </w:t>
      </w:r>
      <w:r w:rsidR="00E07C48">
        <w:rPr>
          <w:rFonts w:ascii="Arial" w:hAnsi="Arial" w:cs="Arial"/>
        </w:rPr>
        <w:t xml:space="preserve">o </w:t>
      </w:r>
      <w:r w:rsidRPr="00900F8E">
        <w:rPr>
          <w:rFonts w:ascii="Arial" w:hAnsi="Arial" w:cs="Arial"/>
        </w:rPr>
        <w:t xml:space="preserve">promociji in informiranju </w:t>
      </w:r>
      <w:r w:rsidR="00BF0ACA" w:rsidRPr="00900F8E">
        <w:rPr>
          <w:rFonts w:ascii="Arial" w:hAnsi="Arial" w:cs="Arial"/>
        </w:rPr>
        <w:t xml:space="preserve">prek </w:t>
      </w:r>
      <w:r w:rsidRPr="00900F8E">
        <w:rPr>
          <w:rFonts w:ascii="Arial" w:hAnsi="Arial" w:cs="Arial"/>
        </w:rPr>
        <w:t>radijski</w:t>
      </w:r>
      <w:r w:rsidR="00BF0ACA" w:rsidRPr="00900F8E">
        <w:rPr>
          <w:rFonts w:ascii="Arial" w:hAnsi="Arial" w:cs="Arial"/>
        </w:rPr>
        <w:t>h</w:t>
      </w:r>
      <w:r w:rsidRPr="00900F8E">
        <w:rPr>
          <w:rFonts w:ascii="Arial" w:hAnsi="Arial" w:cs="Arial"/>
        </w:rPr>
        <w:t xml:space="preserve"> in televizijski</w:t>
      </w:r>
      <w:r w:rsidR="00BF0ACA" w:rsidRPr="00900F8E">
        <w:rPr>
          <w:rFonts w:ascii="Arial" w:hAnsi="Arial" w:cs="Arial"/>
        </w:rPr>
        <w:t>h</w:t>
      </w:r>
      <w:r w:rsidRPr="00900F8E">
        <w:rPr>
          <w:rFonts w:ascii="Arial" w:hAnsi="Arial" w:cs="Arial"/>
        </w:rPr>
        <w:t xml:space="preserve"> oglas</w:t>
      </w:r>
      <w:r w:rsidR="00BF0ACA" w:rsidRPr="00900F8E">
        <w:rPr>
          <w:rFonts w:ascii="Arial" w:hAnsi="Arial" w:cs="Arial"/>
        </w:rPr>
        <w:t xml:space="preserve">ov, </w:t>
      </w:r>
      <w:r w:rsidR="00975C8B">
        <w:rPr>
          <w:rFonts w:ascii="Arial" w:hAnsi="Arial" w:cs="Arial"/>
        </w:rPr>
        <w:t>tiskanja</w:t>
      </w:r>
      <w:r w:rsidR="00BF0ACA" w:rsidRPr="00900F8E">
        <w:rPr>
          <w:rFonts w:ascii="Arial" w:hAnsi="Arial" w:cs="Arial"/>
        </w:rPr>
        <w:t xml:space="preserve"> in digitalnega oglaševanja, gostovanja v oddajah, prek socialnih omrežij, in sicer Nehajmo se igrati s planetom, </w:t>
      </w:r>
      <w:r w:rsidR="009E1B0F">
        <w:rPr>
          <w:rFonts w:ascii="Arial" w:hAnsi="Arial" w:cs="Arial"/>
        </w:rPr>
        <w:t>D</w:t>
      </w:r>
      <w:r w:rsidR="00BF0ACA" w:rsidRPr="00900F8E">
        <w:rPr>
          <w:rFonts w:ascii="Arial" w:hAnsi="Arial" w:cs="Arial"/>
        </w:rPr>
        <w:t>an Zemlje, Dan podnebnih sprememb, Misija 0, Moja dejanja</w:t>
      </w:r>
      <w:r w:rsidR="00950983" w:rsidRPr="00900F8E">
        <w:rPr>
          <w:rFonts w:ascii="Arial" w:hAnsi="Arial" w:cs="Arial"/>
        </w:rPr>
        <w:t xml:space="preserve">. Projekt je sistematično spremljal izobraževanja in usposabljanja za prehod v nizkoogljično družbo. V ciljni skupini člani interesnih skupin se je usposabljanj in izobraževanj med drugim udeležilo 31 študentov in 1.902 strokovnjakov </w:t>
      </w:r>
      <w:r w:rsidR="00E07C48">
        <w:rPr>
          <w:rFonts w:ascii="Arial" w:hAnsi="Arial" w:cs="Arial"/>
        </w:rPr>
        <w:t>–</w:t>
      </w:r>
      <w:r w:rsidR="00950983" w:rsidRPr="00900F8E">
        <w:rPr>
          <w:rFonts w:ascii="Arial" w:hAnsi="Arial" w:cs="Arial"/>
        </w:rPr>
        <w:t xml:space="preserve"> 763 posameznikov za krepitev zmogljivosti javnih naročnikov za zeleno javno naročanje, 82 udeležencev je bilo na usposabljanju na temo kazalcev trajnostne gradnje</w:t>
      </w:r>
      <w:r w:rsidR="00B21FDB" w:rsidRPr="00900F8E">
        <w:rPr>
          <w:rFonts w:ascii="Arial" w:hAnsi="Arial" w:cs="Arial"/>
        </w:rPr>
        <w:t>;</w:t>
      </w:r>
    </w:p>
    <w:p w14:paraId="02A51695" w14:textId="7F6193B3" w:rsidR="00983E65" w:rsidRPr="00900F8E" w:rsidRDefault="00983E65" w:rsidP="00640804">
      <w:pPr>
        <w:pStyle w:val="Odstavekseznama"/>
        <w:numPr>
          <w:ilvl w:val="0"/>
          <w:numId w:val="24"/>
        </w:numPr>
        <w:spacing w:after="0" w:line="240" w:lineRule="auto"/>
        <w:jc w:val="both"/>
        <w:rPr>
          <w:rFonts w:ascii="Arial" w:hAnsi="Arial" w:cs="Arial"/>
        </w:rPr>
      </w:pPr>
      <w:r w:rsidRPr="00900F8E">
        <w:rPr>
          <w:rFonts w:ascii="Arial" w:hAnsi="Arial" w:cs="Arial"/>
        </w:rPr>
        <w:t xml:space="preserve">naprej je deloval portal Trajnostna energija, </w:t>
      </w:r>
      <w:r w:rsidR="00FD272D">
        <w:rPr>
          <w:rFonts w:ascii="Arial" w:hAnsi="Arial" w:cs="Arial"/>
        </w:rPr>
        <w:t>MzI</w:t>
      </w:r>
      <w:r w:rsidRPr="00900F8E">
        <w:rPr>
          <w:rFonts w:ascii="Arial" w:hAnsi="Arial" w:cs="Arial"/>
        </w:rPr>
        <w:t xml:space="preserve"> je vzpostavil Portal energetika</w:t>
      </w:r>
      <w:r w:rsidR="00554C05" w:rsidRPr="00900F8E">
        <w:rPr>
          <w:rFonts w:ascii="Arial" w:hAnsi="Arial" w:cs="Arial"/>
        </w:rPr>
        <w:t xml:space="preserve"> ter </w:t>
      </w:r>
      <w:r w:rsidRPr="00900F8E">
        <w:rPr>
          <w:rFonts w:ascii="Arial" w:hAnsi="Arial" w:cs="Arial"/>
        </w:rPr>
        <w:t>nadaljeval projekt Teden mobilnosti, pri katerem je sodelovalo 84 občin</w:t>
      </w:r>
      <w:r w:rsidR="00554C05" w:rsidRPr="00900F8E">
        <w:rPr>
          <w:rFonts w:ascii="Arial" w:hAnsi="Arial" w:cs="Arial"/>
        </w:rPr>
        <w:t xml:space="preserve">. </w:t>
      </w:r>
      <w:r w:rsidR="00712182">
        <w:rPr>
          <w:rFonts w:ascii="Arial" w:hAnsi="Arial" w:cs="Arial"/>
        </w:rPr>
        <w:t>Dejavna</w:t>
      </w:r>
      <w:r w:rsidR="00712182" w:rsidRPr="00900F8E">
        <w:rPr>
          <w:rFonts w:ascii="Arial" w:hAnsi="Arial" w:cs="Arial"/>
        </w:rPr>
        <w:t xml:space="preserve"> </w:t>
      </w:r>
      <w:r w:rsidR="00554C05" w:rsidRPr="00900F8E">
        <w:rPr>
          <w:rFonts w:ascii="Arial" w:hAnsi="Arial" w:cs="Arial"/>
        </w:rPr>
        <w:t>je bila tudi spletna platforma za trajnostno mobilnost;</w:t>
      </w:r>
    </w:p>
    <w:p w14:paraId="23921184" w14:textId="5D6C3150" w:rsidR="00361490" w:rsidRPr="00900F8E" w:rsidRDefault="00847B2C" w:rsidP="00205D3C">
      <w:pPr>
        <w:pStyle w:val="Odstavekseznama"/>
        <w:numPr>
          <w:ilvl w:val="0"/>
          <w:numId w:val="24"/>
        </w:numPr>
        <w:spacing w:after="0" w:line="240" w:lineRule="auto"/>
        <w:jc w:val="both"/>
        <w:rPr>
          <w:rFonts w:ascii="Arial" w:hAnsi="Arial" w:cs="Arial"/>
        </w:rPr>
      </w:pPr>
      <w:r>
        <w:rPr>
          <w:rFonts w:ascii="Arial" w:hAnsi="Arial" w:cs="Arial"/>
        </w:rPr>
        <w:t>končal</w:t>
      </w:r>
      <w:r w:rsidRPr="00900F8E">
        <w:rPr>
          <w:rFonts w:ascii="Arial" w:hAnsi="Arial" w:cs="Arial"/>
        </w:rPr>
        <w:t xml:space="preserve"> </w:t>
      </w:r>
      <w:r w:rsidR="00BF0ACA" w:rsidRPr="00900F8E">
        <w:rPr>
          <w:rFonts w:ascii="Arial" w:hAnsi="Arial" w:cs="Arial"/>
        </w:rPr>
        <w:t>se je projekt LIFE Podnebna pot 2050, ki je pripomogel k informiranju in ozaveščanju o podnebnih spremembah;</w:t>
      </w:r>
    </w:p>
    <w:p w14:paraId="4B1982EB" w14:textId="2F88ED45" w:rsidR="00BF0ACA" w:rsidRPr="00900F8E" w:rsidRDefault="00EB245F" w:rsidP="00205D3C">
      <w:pPr>
        <w:pStyle w:val="Odstavekseznama"/>
        <w:numPr>
          <w:ilvl w:val="0"/>
          <w:numId w:val="24"/>
        </w:numPr>
        <w:spacing w:after="0" w:line="240" w:lineRule="auto"/>
        <w:jc w:val="both"/>
        <w:rPr>
          <w:rFonts w:ascii="Arial" w:hAnsi="Arial" w:cs="Arial"/>
        </w:rPr>
      </w:pPr>
      <w:r w:rsidRPr="00900F8E">
        <w:rPr>
          <w:rFonts w:ascii="Arial" w:hAnsi="Arial" w:cs="Arial"/>
        </w:rPr>
        <w:t>naprej je deloval Stalni posvetovalni odbor za podnebno politiko pri predsedniku Republike Slovenije, ki tudi informira in ozavešča o problematiki podnebnih sprememb;</w:t>
      </w:r>
    </w:p>
    <w:p w14:paraId="6FA72F69" w14:textId="49397908" w:rsidR="00EB5BAC" w:rsidRPr="00900F8E" w:rsidRDefault="00ED2A3C" w:rsidP="00640804">
      <w:pPr>
        <w:pStyle w:val="Odstavekseznama"/>
        <w:numPr>
          <w:ilvl w:val="0"/>
          <w:numId w:val="24"/>
        </w:numPr>
        <w:spacing w:after="0" w:line="240" w:lineRule="auto"/>
        <w:jc w:val="both"/>
        <w:rPr>
          <w:rFonts w:ascii="Arial" w:hAnsi="Arial" w:cs="Arial"/>
        </w:rPr>
      </w:pPr>
      <w:r w:rsidRPr="00900F8E">
        <w:rPr>
          <w:rFonts w:ascii="Arial" w:hAnsi="Arial" w:cs="Arial"/>
        </w:rPr>
        <w:t xml:space="preserve">Umanotera je </w:t>
      </w:r>
      <w:r w:rsidR="00847B2C">
        <w:rPr>
          <w:rFonts w:ascii="Arial" w:hAnsi="Arial" w:cs="Arial"/>
        </w:rPr>
        <w:t>končala</w:t>
      </w:r>
      <w:r w:rsidRPr="00900F8E">
        <w:rPr>
          <w:rFonts w:ascii="Arial" w:hAnsi="Arial" w:cs="Arial"/>
        </w:rPr>
        <w:t xml:space="preserve"> usposabljanje za koordinatorje skupnostnih projektov</w:t>
      </w:r>
      <w:r w:rsidR="001562DD" w:rsidRPr="00900F8E">
        <w:rPr>
          <w:rFonts w:ascii="Arial" w:hAnsi="Arial" w:cs="Arial"/>
        </w:rPr>
        <w:t>. Izvajati so začeli projekt Podnebni meni</w:t>
      </w:r>
      <w:r w:rsidR="00595B63" w:rsidRPr="00900F8E">
        <w:rPr>
          <w:rFonts w:ascii="Arial" w:hAnsi="Arial" w:cs="Arial"/>
        </w:rPr>
        <w:t xml:space="preserve"> </w:t>
      </w:r>
      <w:r w:rsidR="00847B2C">
        <w:rPr>
          <w:rFonts w:ascii="Arial" w:hAnsi="Arial" w:cs="Arial"/>
        </w:rPr>
        <w:t>–</w:t>
      </w:r>
      <w:r w:rsidR="00595B63" w:rsidRPr="00900F8E">
        <w:rPr>
          <w:rFonts w:ascii="Arial" w:hAnsi="Arial" w:cs="Arial"/>
        </w:rPr>
        <w:t xml:space="preserve"> </w:t>
      </w:r>
      <w:r w:rsidR="001562DD" w:rsidRPr="00900F8E">
        <w:rPr>
          <w:rFonts w:ascii="Arial" w:hAnsi="Arial" w:cs="Arial"/>
        </w:rPr>
        <w:t>spodbujanje nizkoogljične pridelave in potrošnje hrane;</w:t>
      </w:r>
    </w:p>
    <w:p w14:paraId="30A4A01E" w14:textId="0792817E" w:rsidR="00A81DB6" w:rsidRPr="00900F8E" w:rsidRDefault="00EB5BAC" w:rsidP="00640804">
      <w:pPr>
        <w:pStyle w:val="Odstavekseznama"/>
        <w:numPr>
          <w:ilvl w:val="0"/>
          <w:numId w:val="24"/>
        </w:numPr>
        <w:spacing w:after="0" w:line="240" w:lineRule="auto"/>
        <w:jc w:val="both"/>
        <w:rPr>
          <w:rFonts w:ascii="Arial" w:hAnsi="Arial" w:cs="Arial"/>
        </w:rPr>
      </w:pPr>
      <w:proofErr w:type="spellStart"/>
      <w:r w:rsidRPr="00900F8E">
        <w:rPr>
          <w:rFonts w:ascii="Arial" w:hAnsi="Arial" w:cs="Arial"/>
        </w:rPr>
        <w:t>Focus</w:t>
      </w:r>
      <w:proofErr w:type="spellEnd"/>
      <w:r w:rsidRPr="00900F8E">
        <w:rPr>
          <w:rFonts w:ascii="Arial" w:hAnsi="Arial" w:cs="Arial"/>
        </w:rPr>
        <w:t xml:space="preserve"> je </w:t>
      </w:r>
      <w:r w:rsidR="00A81DB6" w:rsidRPr="00900F8E">
        <w:rPr>
          <w:rFonts w:ascii="Arial" w:hAnsi="Arial" w:cs="Arial"/>
        </w:rPr>
        <w:t>n</w:t>
      </w:r>
      <w:r w:rsidRPr="00900F8E">
        <w:rPr>
          <w:rFonts w:ascii="Arial" w:hAnsi="Arial" w:cs="Arial"/>
        </w:rPr>
        <w:t>adaljeval izvajanje projekta LIFE UNIFY. Izvaja</w:t>
      </w:r>
      <w:r w:rsidR="00A81DB6" w:rsidRPr="00900F8E">
        <w:rPr>
          <w:rFonts w:ascii="Arial" w:hAnsi="Arial" w:cs="Arial"/>
        </w:rPr>
        <w:t>li so</w:t>
      </w:r>
      <w:r w:rsidRPr="00900F8E">
        <w:rPr>
          <w:rFonts w:ascii="Arial" w:hAnsi="Arial" w:cs="Arial"/>
        </w:rPr>
        <w:t xml:space="preserve"> projekt </w:t>
      </w:r>
      <w:proofErr w:type="spellStart"/>
      <w:r w:rsidRPr="00900F8E">
        <w:rPr>
          <w:rFonts w:ascii="Arial" w:hAnsi="Arial" w:cs="Arial"/>
        </w:rPr>
        <w:t>ClimACT</w:t>
      </w:r>
      <w:proofErr w:type="spellEnd"/>
      <w:r w:rsidRPr="00900F8E">
        <w:rPr>
          <w:rFonts w:ascii="Arial" w:hAnsi="Arial" w:cs="Arial"/>
        </w:rPr>
        <w:t xml:space="preserve">, ki je prednostno namenjen mobilizaciji in </w:t>
      </w:r>
      <w:r w:rsidR="005F32C4">
        <w:rPr>
          <w:rFonts w:ascii="Arial" w:hAnsi="Arial" w:cs="Arial"/>
        </w:rPr>
        <w:t>aktiviranju</w:t>
      </w:r>
      <w:r w:rsidR="005F32C4" w:rsidRPr="00900F8E">
        <w:rPr>
          <w:rFonts w:ascii="Arial" w:hAnsi="Arial" w:cs="Arial"/>
        </w:rPr>
        <w:t xml:space="preserve"> </w:t>
      </w:r>
      <w:r w:rsidRPr="00900F8E">
        <w:rPr>
          <w:rFonts w:ascii="Arial" w:hAnsi="Arial" w:cs="Arial"/>
        </w:rPr>
        <w:t>mladih za ukrepanje na področju podnebnih sprememb in družbene pravičnosti ter izobraževanju, ozaveščanju o povezavi med podnebnimi spremembami in razvojem. Partnerja projekta sta še Umanotera in PIC</w:t>
      </w:r>
      <w:r w:rsidR="00A81DB6" w:rsidRPr="00900F8E">
        <w:rPr>
          <w:rFonts w:ascii="Arial" w:hAnsi="Arial" w:cs="Arial"/>
        </w:rPr>
        <w:t>;</w:t>
      </w:r>
      <w:r w:rsidRPr="00900F8E">
        <w:rPr>
          <w:rFonts w:ascii="Arial" w:hAnsi="Arial" w:cs="Arial"/>
        </w:rPr>
        <w:t xml:space="preserve"> </w:t>
      </w:r>
    </w:p>
    <w:p w14:paraId="75DE4420" w14:textId="6D0BD6ED" w:rsidR="00021B00" w:rsidRPr="00900F8E" w:rsidRDefault="001562DD" w:rsidP="001562DD">
      <w:pPr>
        <w:pStyle w:val="Odstavekseznama"/>
        <w:numPr>
          <w:ilvl w:val="0"/>
          <w:numId w:val="24"/>
        </w:numPr>
        <w:spacing w:after="0" w:line="240" w:lineRule="auto"/>
        <w:jc w:val="both"/>
        <w:rPr>
          <w:rFonts w:ascii="Arial" w:hAnsi="Arial" w:cs="Arial"/>
        </w:rPr>
      </w:pPr>
      <w:r w:rsidRPr="00900F8E">
        <w:rPr>
          <w:rFonts w:ascii="Arial" w:hAnsi="Arial" w:cs="Arial"/>
        </w:rPr>
        <w:t>Eko sklad</w:t>
      </w:r>
      <w:r w:rsidR="00EB4C9E" w:rsidRPr="00900F8E">
        <w:rPr>
          <w:rFonts w:ascii="Arial" w:hAnsi="Arial" w:cs="Arial"/>
        </w:rPr>
        <w:t xml:space="preserve"> je i</w:t>
      </w:r>
      <w:r w:rsidRPr="00900F8E">
        <w:rPr>
          <w:rFonts w:ascii="Arial" w:hAnsi="Arial" w:cs="Arial"/>
        </w:rPr>
        <w:t>nformira</w:t>
      </w:r>
      <w:r w:rsidR="00EB4C9E" w:rsidRPr="00900F8E">
        <w:rPr>
          <w:rFonts w:ascii="Arial" w:hAnsi="Arial" w:cs="Arial"/>
        </w:rPr>
        <w:t>l</w:t>
      </w:r>
      <w:r w:rsidRPr="00900F8E">
        <w:rPr>
          <w:rFonts w:ascii="Arial" w:hAnsi="Arial" w:cs="Arial"/>
        </w:rPr>
        <w:t xml:space="preserve"> in ozavešča</w:t>
      </w:r>
      <w:r w:rsidR="00EB4C9E" w:rsidRPr="00900F8E">
        <w:rPr>
          <w:rFonts w:ascii="Arial" w:hAnsi="Arial" w:cs="Arial"/>
        </w:rPr>
        <w:t>l</w:t>
      </w:r>
      <w:r w:rsidRPr="00900F8E">
        <w:rPr>
          <w:rFonts w:ascii="Arial" w:hAnsi="Arial" w:cs="Arial"/>
        </w:rPr>
        <w:t xml:space="preserve"> občan</w:t>
      </w:r>
      <w:r w:rsidR="00EB4C9E" w:rsidRPr="00900F8E">
        <w:rPr>
          <w:rFonts w:ascii="Arial" w:hAnsi="Arial" w:cs="Arial"/>
        </w:rPr>
        <w:t>e</w:t>
      </w:r>
      <w:r w:rsidRPr="00900F8E">
        <w:rPr>
          <w:rFonts w:ascii="Arial" w:hAnsi="Arial" w:cs="Arial"/>
        </w:rPr>
        <w:t xml:space="preserve"> prek mreže energetskih svetovalcev ENSVET, </w:t>
      </w:r>
      <w:r w:rsidR="00EB4C9E" w:rsidRPr="00900F8E">
        <w:rPr>
          <w:rFonts w:ascii="Arial" w:hAnsi="Arial" w:cs="Arial"/>
        </w:rPr>
        <w:t xml:space="preserve">ki so </w:t>
      </w:r>
      <w:r w:rsidRPr="00900F8E">
        <w:rPr>
          <w:rFonts w:ascii="Arial" w:hAnsi="Arial" w:cs="Arial"/>
        </w:rPr>
        <w:t>zabelež</w:t>
      </w:r>
      <w:r w:rsidR="00EB4C9E" w:rsidRPr="00900F8E">
        <w:rPr>
          <w:rFonts w:ascii="Arial" w:hAnsi="Arial" w:cs="Arial"/>
        </w:rPr>
        <w:t>ili</w:t>
      </w:r>
      <w:r w:rsidRPr="00900F8E">
        <w:rPr>
          <w:rFonts w:ascii="Arial" w:hAnsi="Arial" w:cs="Arial"/>
        </w:rPr>
        <w:t xml:space="preserve"> 8</w:t>
      </w:r>
      <w:r w:rsidR="00EB4C9E" w:rsidRPr="00900F8E">
        <w:rPr>
          <w:rFonts w:ascii="Arial" w:hAnsi="Arial" w:cs="Arial"/>
        </w:rPr>
        <w:t>.</w:t>
      </w:r>
      <w:r w:rsidRPr="00900F8E">
        <w:rPr>
          <w:rFonts w:ascii="Arial" w:hAnsi="Arial" w:cs="Arial"/>
        </w:rPr>
        <w:t xml:space="preserve">064 </w:t>
      </w:r>
      <w:r w:rsidR="00E07C48">
        <w:rPr>
          <w:rFonts w:ascii="Arial" w:hAnsi="Arial" w:cs="Arial"/>
        </w:rPr>
        <w:t>dejavnosti</w:t>
      </w:r>
      <w:r w:rsidRPr="00900F8E">
        <w:rPr>
          <w:rFonts w:ascii="Arial" w:hAnsi="Arial" w:cs="Arial"/>
        </w:rPr>
        <w:t xml:space="preserve"> (nasveti s pisnim poročilom, članki, e-nasveti, predavanja</w:t>
      </w:r>
      <w:r w:rsidR="00137F4E">
        <w:rPr>
          <w:rFonts w:ascii="Arial" w:hAnsi="Arial" w:cs="Arial"/>
        </w:rPr>
        <w:t> </w:t>
      </w:r>
      <w:r w:rsidRPr="00900F8E">
        <w:rPr>
          <w:rFonts w:ascii="Arial" w:hAnsi="Arial" w:cs="Arial"/>
        </w:rPr>
        <w:t>…)</w:t>
      </w:r>
      <w:r w:rsidR="00021B00" w:rsidRPr="00900F8E">
        <w:rPr>
          <w:rFonts w:ascii="Arial" w:hAnsi="Arial" w:cs="Arial"/>
        </w:rPr>
        <w:t>. Prek programa</w:t>
      </w:r>
      <w:r w:rsidRPr="00900F8E">
        <w:rPr>
          <w:rFonts w:ascii="Arial" w:hAnsi="Arial" w:cs="Arial"/>
        </w:rPr>
        <w:t xml:space="preserve"> </w:t>
      </w:r>
      <w:r w:rsidR="00021B00" w:rsidRPr="00900F8E">
        <w:rPr>
          <w:rFonts w:ascii="Arial" w:hAnsi="Arial" w:cs="Arial"/>
        </w:rPr>
        <w:t>E</w:t>
      </w:r>
      <w:r w:rsidRPr="00900F8E">
        <w:rPr>
          <w:rFonts w:ascii="Arial" w:hAnsi="Arial" w:cs="Arial"/>
        </w:rPr>
        <w:t>košola</w:t>
      </w:r>
      <w:r w:rsidR="00021B00" w:rsidRPr="00900F8E">
        <w:rPr>
          <w:rFonts w:ascii="Arial" w:hAnsi="Arial" w:cs="Arial"/>
        </w:rPr>
        <w:t xml:space="preserve"> so</w:t>
      </w:r>
      <w:r w:rsidRPr="00900F8E">
        <w:rPr>
          <w:rFonts w:ascii="Arial" w:hAnsi="Arial" w:cs="Arial"/>
        </w:rPr>
        <w:t xml:space="preserve"> energetski svetovalci v šolah in vrtcih predavali o </w:t>
      </w:r>
      <w:r w:rsidR="00021B00" w:rsidRPr="00900F8E">
        <w:rPr>
          <w:rFonts w:ascii="Arial" w:hAnsi="Arial" w:cs="Arial"/>
        </w:rPr>
        <w:t>URE</w:t>
      </w:r>
      <w:r w:rsidRPr="00900F8E">
        <w:rPr>
          <w:rFonts w:ascii="Arial" w:hAnsi="Arial" w:cs="Arial"/>
        </w:rPr>
        <w:t xml:space="preserve"> in </w:t>
      </w:r>
      <w:r w:rsidR="00021B00" w:rsidRPr="00900F8E">
        <w:rPr>
          <w:rFonts w:ascii="Arial" w:hAnsi="Arial" w:cs="Arial"/>
        </w:rPr>
        <w:t xml:space="preserve">OVE. </w:t>
      </w:r>
      <w:r w:rsidRPr="00900F8E">
        <w:rPr>
          <w:rFonts w:ascii="Arial" w:hAnsi="Arial" w:cs="Arial"/>
        </w:rPr>
        <w:t>Svetovalci so se udeležili tudi raznih izobraževan</w:t>
      </w:r>
      <w:r w:rsidR="00021B00" w:rsidRPr="00900F8E">
        <w:rPr>
          <w:rFonts w:ascii="Arial" w:hAnsi="Arial" w:cs="Arial"/>
        </w:rPr>
        <w:t>j ter</w:t>
      </w:r>
      <w:r w:rsidRPr="00900F8E">
        <w:rPr>
          <w:rFonts w:ascii="Arial" w:hAnsi="Arial" w:cs="Arial"/>
        </w:rPr>
        <w:t xml:space="preserve"> opravili preizkus znanja iz vsebine Celovita energijska prenova večstanovanjskih stavb, ki ga je izvedel </w:t>
      </w:r>
      <w:r w:rsidR="00021B00" w:rsidRPr="00900F8E">
        <w:rPr>
          <w:rFonts w:ascii="Arial" w:hAnsi="Arial" w:cs="Arial"/>
        </w:rPr>
        <w:t xml:space="preserve">Gradbeni inštitut </w:t>
      </w:r>
      <w:r w:rsidRPr="00900F8E">
        <w:rPr>
          <w:rFonts w:ascii="Arial" w:hAnsi="Arial" w:cs="Arial"/>
        </w:rPr>
        <w:t>ZRMK</w:t>
      </w:r>
      <w:r w:rsidR="00021B00" w:rsidRPr="00900F8E">
        <w:rPr>
          <w:rFonts w:ascii="Arial" w:hAnsi="Arial" w:cs="Arial"/>
        </w:rPr>
        <w:t xml:space="preserve">. </w:t>
      </w:r>
      <w:r w:rsidRPr="00900F8E">
        <w:rPr>
          <w:rFonts w:ascii="Arial" w:hAnsi="Arial" w:cs="Arial"/>
        </w:rPr>
        <w:t>Nadaljevali so promocijo na lokaln</w:t>
      </w:r>
      <w:r w:rsidR="009E1B0F">
        <w:rPr>
          <w:rFonts w:ascii="Arial" w:hAnsi="Arial" w:cs="Arial"/>
        </w:rPr>
        <w:t>i</w:t>
      </w:r>
      <w:r w:rsidRPr="00900F8E">
        <w:rPr>
          <w:rFonts w:ascii="Arial" w:hAnsi="Arial" w:cs="Arial"/>
        </w:rPr>
        <w:t xml:space="preserve"> in nacionaln</w:t>
      </w:r>
      <w:r w:rsidR="009E1B0F">
        <w:rPr>
          <w:rFonts w:ascii="Arial" w:hAnsi="Arial" w:cs="Arial"/>
        </w:rPr>
        <w:t>i</w:t>
      </w:r>
      <w:r w:rsidRPr="00900F8E">
        <w:rPr>
          <w:rFonts w:ascii="Arial" w:hAnsi="Arial" w:cs="Arial"/>
        </w:rPr>
        <w:t xml:space="preserve"> </w:t>
      </w:r>
      <w:r w:rsidR="009E1B0F">
        <w:rPr>
          <w:rFonts w:ascii="Arial" w:hAnsi="Arial" w:cs="Arial"/>
        </w:rPr>
        <w:t>ravni</w:t>
      </w:r>
      <w:r w:rsidRPr="00900F8E">
        <w:rPr>
          <w:rFonts w:ascii="Arial" w:hAnsi="Arial" w:cs="Arial"/>
        </w:rPr>
        <w:t xml:space="preserve"> prek člankov, oddaj, predavanj (časnik Finance, Eko dežela, Štajerski tednik), spletne strani Moja </w:t>
      </w:r>
      <w:r w:rsidR="009E1B0F">
        <w:rPr>
          <w:rFonts w:ascii="Arial" w:hAnsi="Arial" w:cs="Arial"/>
        </w:rPr>
        <w:t>o</w:t>
      </w:r>
      <w:r w:rsidRPr="00900F8E">
        <w:rPr>
          <w:rFonts w:ascii="Arial" w:hAnsi="Arial" w:cs="Arial"/>
        </w:rPr>
        <w:t>bčina Ministrstva za delo, družino, socialne zadeve in enake možnosti</w:t>
      </w:r>
      <w:r w:rsidR="00753D1A">
        <w:rPr>
          <w:rFonts w:ascii="Arial" w:hAnsi="Arial" w:cs="Arial"/>
        </w:rPr>
        <w:t xml:space="preserve"> RS</w:t>
      </w:r>
      <w:r w:rsidR="00021B00" w:rsidRPr="00900F8E">
        <w:rPr>
          <w:rFonts w:ascii="Arial" w:hAnsi="Arial" w:cs="Arial"/>
        </w:rPr>
        <w:t>;</w:t>
      </w:r>
    </w:p>
    <w:p w14:paraId="60EBCC3D" w14:textId="7A41437F" w:rsidR="002068CE" w:rsidRPr="00900F8E" w:rsidRDefault="00847B2C" w:rsidP="001562DD">
      <w:pPr>
        <w:pStyle w:val="Odstavekseznama"/>
        <w:numPr>
          <w:ilvl w:val="0"/>
          <w:numId w:val="24"/>
        </w:numPr>
        <w:spacing w:after="0" w:line="240" w:lineRule="auto"/>
        <w:jc w:val="both"/>
        <w:rPr>
          <w:rFonts w:ascii="Arial" w:hAnsi="Arial" w:cs="Arial"/>
        </w:rPr>
      </w:pPr>
      <w:r>
        <w:rPr>
          <w:rFonts w:ascii="Arial" w:hAnsi="Arial" w:cs="Arial"/>
        </w:rPr>
        <w:t>končalo</w:t>
      </w:r>
      <w:r w:rsidRPr="00900F8E">
        <w:rPr>
          <w:rFonts w:ascii="Arial" w:hAnsi="Arial" w:cs="Arial"/>
        </w:rPr>
        <w:t xml:space="preserve"> </w:t>
      </w:r>
      <w:r w:rsidR="00021B00" w:rsidRPr="00900F8E">
        <w:rPr>
          <w:rFonts w:ascii="Arial" w:hAnsi="Arial" w:cs="Arial"/>
        </w:rPr>
        <w:t>se je</w:t>
      </w:r>
      <w:r w:rsidR="001562DD" w:rsidRPr="00900F8E">
        <w:rPr>
          <w:rFonts w:ascii="Arial" w:hAnsi="Arial" w:cs="Arial"/>
        </w:rPr>
        <w:t xml:space="preserve"> </w:t>
      </w:r>
      <w:r w:rsidR="00021B00" w:rsidRPr="00900F8E">
        <w:rPr>
          <w:rFonts w:ascii="Arial" w:hAnsi="Arial" w:cs="Arial"/>
        </w:rPr>
        <w:t>šest</w:t>
      </w:r>
      <w:r w:rsidR="001562DD" w:rsidRPr="00900F8E">
        <w:rPr>
          <w:rFonts w:ascii="Arial" w:hAnsi="Arial" w:cs="Arial"/>
        </w:rPr>
        <w:t xml:space="preserve"> projektov</w:t>
      </w:r>
      <w:r>
        <w:rPr>
          <w:rFonts w:ascii="Arial" w:hAnsi="Arial" w:cs="Arial"/>
        </w:rPr>
        <w:t>,</w:t>
      </w:r>
      <w:r w:rsidR="001562DD" w:rsidRPr="00900F8E">
        <w:rPr>
          <w:rFonts w:ascii="Arial" w:hAnsi="Arial" w:cs="Arial"/>
        </w:rPr>
        <w:t xml:space="preserve"> izbranih v okviru javnega razpisa NVO-SJI18 za sofinanciranje nevladnih organizacij</w:t>
      </w:r>
      <w:r w:rsidR="002068CE" w:rsidRPr="00900F8E">
        <w:rPr>
          <w:rFonts w:ascii="Arial" w:hAnsi="Arial" w:cs="Arial"/>
        </w:rPr>
        <w:t>:</w:t>
      </w:r>
    </w:p>
    <w:p w14:paraId="317D24EE" w14:textId="5DE0F287" w:rsidR="002068CE" w:rsidRPr="00900F8E" w:rsidRDefault="001562DD" w:rsidP="002068CE">
      <w:pPr>
        <w:pStyle w:val="Odstavekseznama"/>
        <w:numPr>
          <w:ilvl w:val="0"/>
          <w:numId w:val="25"/>
        </w:numPr>
        <w:spacing w:after="0" w:line="240" w:lineRule="auto"/>
        <w:jc w:val="both"/>
        <w:rPr>
          <w:rFonts w:ascii="Arial" w:hAnsi="Arial" w:cs="Arial"/>
        </w:rPr>
      </w:pPr>
      <w:r w:rsidRPr="00900F8E">
        <w:rPr>
          <w:rFonts w:ascii="Arial" w:hAnsi="Arial" w:cs="Arial"/>
        </w:rPr>
        <w:t>Društvo DOVES</w:t>
      </w:r>
      <w:r w:rsidR="002068CE" w:rsidRPr="00900F8E">
        <w:rPr>
          <w:rFonts w:ascii="Arial" w:hAnsi="Arial" w:cs="Arial"/>
        </w:rPr>
        <w:t xml:space="preserve"> </w:t>
      </w:r>
      <w:r w:rsidR="00847B2C">
        <w:rPr>
          <w:rFonts w:ascii="Arial" w:hAnsi="Arial" w:cs="Arial"/>
        </w:rPr>
        <w:t>–</w:t>
      </w:r>
      <w:r w:rsidR="002068CE" w:rsidRPr="00900F8E">
        <w:rPr>
          <w:rFonts w:ascii="Arial" w:hAnsi="Arial" w:cs="Arial"/>
        </w:rPr>
        <w:t xml:space="preserve"> </w:t>
      </w:r>
      <w:r w:rsidRPr="00900F8E">
        <w:rPr>
          <w:rFonts w:ascii="Arial" w:hAnsi="Arial" w:cs="Arial"/>
        </w:rPr>
        <w:t xml:space="preserve">FEE </w:t>
      </w:r>
      <w:proofErr w:type="spellStart"/>
      <w:r w:rsidRPr="00900F8E">
        <w:rPr>
          <w:rFonts w:ascii="Arial" w:hAnsi="Arial" w:cs="Arial"/>
        </w:rPr>
        <w:t>Slovenia</w:t>
      </w:r>
      <w:proofErr w:type="spellEnd"/>
      <w:r w:rsidRPr="00900F8E">
        <w:rPr>
          <w:rFonts w:ascii="Arial" w:hAnsi="Arial" w:cs="Arial"/>
        </w:rPr>
        <w:t>, Društvo za okoljsko vzgojo Evrope v Sloveniji</w:t>
      </w:r>
      <w:r w:rsidR="009B50F9" w:rsidRPr="00900F8E">
        <w:rPr>
          <w:rFonts w:ascii="Arial" w:hAnsi="Arial" w:cs="Arial"/>
        </w:rPr>
        <w:t>:</w:t>
      </w:r>
      <w:r w:rsidRPr="00900F8E">
        <w:rPr>
          <w:rFonts w:ascii="Arial" w:hAnsi="Arial" w:cs="Arial"/>
        </w:rPr>
        <w:t xml:space="preserve"> Ozaveščanje, izobraževanje in uvajanje merjenja odtisa CO</w:t>
      </w:r>
      <w:r w:rsidRPr="00900F8E">
        <w:rPr>
          <w:rFonts w:ascii="Arial" w:hAnsi="Arial" w:cs="Arial"/>
          <w:vertAlign w:val="subscript"/>
        </w:rPr>
        <w:t>2</w:t>
      </w:r>
      <w:r w:rsidRPr="00900F8E">
        <w:rPr>
          <w:rFonts w:ascii="Arial" w:hAnsi="Arial" w:cs="Arial"/>
        </w:rPr>
        <w:t xml:space="preserve"> v </w:t>
      </w:r>
      <w:proofErr w:type="spellStart"/>
      <w:r w:rsidR="00847B2C">
        <w:rPr>
          <w:rFonts w:ascii="Arial" w:hAnsi="Arial" w:cs="Arial"/>
        </w:rPr>
        <w:t>e</w:t>
      </w:r>
      <w:r w:rsidRPr="00900F8E">
        <w:rPr>
          <w:rFonts w:ascii="Arial" w:hAnsi="Arial" w:cs="Arial"/>
        </w:rPr>
        <w:t>košole</w:t>
      </w:r>
      <w:proofErr w:type="spellEnd"/>
      <w:r w:rsidRPr="00900F8E">
        <w:rPr>
          <w:rFonts w:ascii="Arial" w:hAnsi="Arial" w:cs="Arial"/>
        </w:rPr>
        <w:t xml:space="preserve"> kot prispevek k blaženju in prilagajanju podnebnim spremembam, </w:t>
      </w:r>
    </w:p>
    <w:p w14:paraId="1B9B3058" w14:textId="35089A8F" w:rsidR="009B50F9" w:rsidRPr="00900F8E" w:rsidRDefault="009B50F9" w:rsidP="009B50F9">
      <w:pPr>
        <w:pStyle w:val="Odstavekseznama"/>
        <w:numPr>
          <w:ilvl w:val="0"/>
          <w:numId w:val="25"/>
        </w:numPr>
        <w:spacing w:after="0" w:line="240" w:lineRule="auto"/>
        <w:jc w:val="both"/>
        <w:rPr>
          <w:rFonts w:ascii="Arial" w:hAnsi="Arial" w:cs="Arial"/>
        </w:rPr>
      </w:pPr>
      <w:r w:rsidRPr="00900F8E">
        <w:rPr>
          <w:rFonts w:ascii="Arial" w:hAnsi="Arial" w:cs="Arial"/>
        </w:rPr>
        <w:t xml:space="preserve">Alpe Adria </w:t>
      </w:r>
      <w:proofErr w:type="spellStart"/>
      <w:r w:rsidRPr="00900F8E">
        <w:rPr>
          <w:rFonts w:ascii="Arial" w:hAnsi="Arial" w:cs="Arial"/>
        </w:rPr>
        <w:t>Green</w:t>
      </w:r>
      <w:proofErr w:type="spellEnd"/>
      <w:r w:rsidRPr="00900F8E">
        <w:rPr>
          <w:rFonts w:ascii="Arial" w:hAnsi="Arial" w:cs="Arial"/>
        </w:rPr>
        <w:t xml:space="preserve">, </w:t>
      </w:r>
      <w:r w:rsidR="00847B2C">
        <w:rPr>
          <w:rFonts w:ascii="Arial" w:hAnsi="Arial" w:cs="Arial"/>
        </w:rPr>
        <w:t>m</w:t>
      </w:r>
      <w:r w:rsidRPr="00900F8E">
        <w:rPr>
          <w:rFonts w:ascii="Arial" w:hAnsi="Arial" w:cs="Arial"/>
        </w:rPr>
        <w:t>ednarodno društvo za varstvo okolja in narave:</w:t>
      </w:r>
      <w:r w:rsidR="00FD06E1">
        <w:rPr>
          <w:rFonts w:ascii="Arial" w:hAnsi="Arial" w:cs="Arial"/>
        </w:rPr>
        <w:t xml:space="preserve"> </w:t>
      </w:r>
      <w:r w:rsidRPr="00900F8E">
        <w:rPr>
          <w:rFonts w:ascii="Arial" w:hAnsi="Arial" w:cs="Arial"/>
        </w:rPr>
        <w:t xml:space="preserve">Dimenzioniranje e-pogonov za poklicne šole </w:t>
      </w:r>
      <w:r w:rsidR="00847B2C">
        <w:rPr>
          <w:rFonts w:ascii="Arial" w:hAnsi="Arial" w:cs="Arial"/>
        </w:rPr>
        <w:t>–</w:t>
      </w:r>
      <w:r w:rsidRPr="00900F8E">
        <w:rPr>
          <w:rFonts w:ascii="Arial" w:hAnsi="Arial" w:cs="Arial"/>
        </w:rPr>
        <w:t xml:space="preserve"> invalidski vozički,</w:t>
      </w:r>
    </w:p>
    <w:p w14:paraId="5919A7A6" w14:textId="6544C5E0" w:rsidR="002068CE" w:rsidRPr="00900F8E" w:rsidRDefault="001562DD" w:rsidP="002068CE">
      <w:pPr>
        <w:pStyle w:val="Odstavekseznama"/>
        <w:numPr>
          <w:ilvl w:val="0"/>
          <w:numId w:val="25"/>
        </w:numPr>
        <w:spacing w:after="0" w:line="240" w:lineRule="auto"/>
        <w:jc w:val="both"/>
        <w:rPr>
          <w:rFonts w:ascii="Arial" w:hAnsi="Arial" w:cs="Arial"/>
        </w:rPr>
      </w:pPr>
      <w:r w:rsidRPr="00900F8E">
        <w:rPr>
          <w:rFonts w:ascii="Arial" w:hAnsi="Arial" w:cs="Arial"/>
        </w:rPr>
        <w:t xml:space="preserve">Kulturno društvo </w:t>
      </w:r>
      <w:proofErr w:type="spellStart"/>
      <w:r w:rsidRPr="00900F8E">
        <w:rPr>
          <w:rFonts w:ascii="Arial" w:hAnsi="Arial" w:cs="Arial"/>
        </w:rPr>
        <w:t>Prostorož</w:t>
      </w:r>
      <w:proofErr w:type="spellEnd"/>
      <w:r w:rsidR="009B50F9" w:rsidRPr="00900F8E">
        <w:rPr>
          <w:rFonts w:ascii="Arial" w:hAnsi="Arial" w:cs="Arial"/>
        </w:rPr>
        <w:t>:</w:t>
      </w:r>
      <w:r w:rsidRPr="00900F8E">
        <w:rPr>
          <w:rFonts w:ascii="Arial" w:hAnsi="Arial" w:cs="Arial"/>
        </w:rPr>
        <w:t xml:space="preserve"> Zelena streha kot orodje za izboljšanje kakovosti bivanja v urbanih središčih, </w:t>
      </w:r>
    </w:p>
    <w:p w14:paraId="68532689" w14:textId="77777777" w:rsidR="009B50F9" w:rsidRPr="00900F8E" w:rsidRDefault="009B50F9" w:rsidP="009B50F9">
      <w:pPr>
        <w:pStyle w:val="Odstavekseznama"/>
        <w:numPr>
          <w:ilvl w:val="0"/>
          <w:numId w:val="25"/>
        </w:numPr>
        <w:spacing w:after="0" w:line="240" w:lineRule="auto"/>
        <w:jc w:val="both"/>
        <w:rPr>
          <w:rFonts w:ascii="Arial" w:hAnsi="Arial" w:cs="Arial"/>
        </w:rPr>
      </w:pPr>
      <w:r w:rsidRPr="00900F8E">
        <w:rPr>
          <w:rFonts w:ascii="Arial" w:hAnsi="Arial" w:cs="Arial"/>
        </w:rPr>
        <w:t>Pravno-informacijski center nevladnih organizacij: Zagovorniki okolja – za podnebje,</w:t>
      </w:r>
    </w:p>
    <w:p w14:paraId="02818EBA" w14:textId="57040DEC" w:rsidR="002068CE" w:rsidRPr="00900F8E" w:rsidRDefault="001562DD" w:rsidP="002068CE">
      <w:pPr>
        <w:pStyle w:val="Odstavekseznama"/>
        <w:numPr>
          <w:ilvl w:val="0"/>
          <w:numId w:val="25"/>
        </w:numPr>
        <w:spacing w:after="0" w:line="240" w:lineRule="auto"/>
        <w:jc w:val="both"/>
        <w:rPr>
          <w:rFonts w:ascii="Arial" w:hAnsi="Arial" w:cs="Arial"/>
        </w:rPr>
      </w:pPr>
      <w:r w:rsidRPr="00900F8E">
        <w:rPr>
          <w:rFonts w:ascii="Arial" w:hAnsi="Arial" w:cs="Arial"/>
        </w:rPr>
        <w:t>Mariborska kolesarska mreža</w:t>
      </w:r>
      <w:r w:rsidR="009B50F9" w:rsidRPr="00900F8E">
        <w:rPr>
          <w:rFonts w:ascii="Arial" w:hAnsi="Arial" w:cs="Arial"/>
        </w:rPr>
        <w:t>:</w:t>
      </w:r>
      <w:r w:rsidRPr="00900F8E">
        <w:rPr>
          <w:rFonts w:ascii="Arial" w:hAnsi="Arial" w:cs="Arial"/>
        </w:rPr>
        <w:t xml:space="preserve"> Spremembe potovalnih navad kot del rešitve v boju proti podnebnim spremembam in onesnaženju zraka, </w:t>
      </w:r>
    </w:p>
    <w:p w14:paraId="25FA1EA6" w14:textId="13C0D5A3" w:rsidR="001562DD" w:rsidRPr="00900F8E" w:rsidRDefault="001562DD" w:rsidP="002068CE">
      <w:pPr>
        <w:pStyle w:val="Odstavekseznama"/>
        <w:numPr>
          <w:ilvl w:val="0"/>
          <w:numId w:val="25"/>
        </w:numPr>
        <w:spacing w:after="0" w:line="240" w:lineRule="auto"/>
        <w:jc w:val="both"/>
        <w:rPr>
          <w:rFonts w:ascii="Arial" w:hAnsi="Arial" w:cs="Arial"/>
        </w:rPr>
      </w:pPr>
      <w:r w:rsidRPr="00900F8E">
        <w:rPr>
          <w:rFonts w:ascii="Arial" w:hAnsi="Arial" w:cs="Arial"/>
        </w:rPr>
        <w:lastRenderedPageBreak/>
        <w:t xml:space="preserve">Slovensko združenje za trajnostno gradnjo ‒ </w:t>
      </w:r>
      <w:proofErr w:type="spellStart"/>
      <w:r w:rsidRPr="00900F8E">
        <w:rPr>
          <w:rFonts w:ascii="Arial" w:hAnsi="Arial" w:cs="Arial"/>
        </w:rPr>
        <w:t>Green</w:t>
      </w:r>
      <w:proofErr w:type="spellEnd"/>
      <w:r w:rsidRPr="00900F8E">
        <w:rPr>
          <w:rFonts w:ascii="Arial" w:hAnsi="Arial" w:cs="Arial"/>
        </w:rPr>
        <w:t xml:space="preserve"> </w:t>
      </w:r>
      <w:proofErr w:type="spellStart"/>
      <w:r w:rsidRPr="00900F8E">
        <w:rPr>
          <w:rFonts w:ascii="Arial" w:hAnsi="Arial" w:cs="Arial"/>
        </w:rPr>
        <w:t>Building</w:t>
      </w:r>
      <w:proofErr w:type="spellEnd"/>
      <w:r w:rsidRPr="00900F8E">
        <w:rPr>
          <w:rFonts w:ascii="Arial" w:hAnsi="Arial" w:cs="Arial"/>
        </w:rPr>
        <w:t xml:space="preserve"> </w:t>
      </w:r>
      <w:proofErr w:type="spellStart"/>
      <w:r w:rsidRPr="00900F8E">
        <w:rPr>
          <w:rFonts w:ascii="Arial" w:hAnsi="Arial" w:cs="Arial"/>
        </w:rPr>
        <w:t>Council</w:t>
      </w:r>
      <w:proofErr w:type="spellEnd"/>
      <w:r w:rsidRPr="00900F8E">
        <w:rPr>
          <w:rFonts w:ascii="Arial" w:hAnsi="Arial" w:cs="Arial"/>
        </w:rPr>
        <w:t xml:space="preserve"> </w:t>
      </w:r>
      <w:proofErr w:type="spellStart"/>
      <w:r w:rsidRPr="00900F8E">
        <w:rPr>
          <w:rFonts w:ascii="Arial" w:hAnsi="Arial" w:cs="Arial"/>
        </w:rPr>
        <w:t>Slovenia</w:t>
      </w:r>
      <w:proofErr w:type="spellEnd"/>
      <w:r w:rsidR="009B50F9" w:rsidRPr="00900F8E">
        <w:rPr>
          <w:rFonts w:ascii="Arial" w:hAnsi="Arial" w:cs="Arial"/>
        </w:rPr>
        <w:t>: I</w:t>
      </w:r>
      <w:r w:rsidRPr="00900F8E">
        <w:rPr>
          <w:rFonts w:ascii="Arial" w:hAnsi="Arial" w:cs="Arial"/>
        </w:rPr>
        <w:t>zobraževanje izvajalcev za kakovostnejšo izvedbo energijskih ovojev stavb, zmanjšanje reklamacij in izboljšanje učinka prihranka energije za ogrevanje, zmanjšanja onesnaževanja ter učinkovitejšo porabo subvencij</w:t>
      </w:r>
      <w:r w:rsidR="00021B00" w:rsidRPr="00900F8E">
        <w:rPr>
          <w:rFonts w:ascii="Arial" w:hAnsi="Arial" w:cs="Arial"/>
        </w:rPr>
        <w:t>;</w:t>
      </w:r>
    </w:p>
    <w:p w14:paraId="3AEC76F2" w14:textId="680C8971" w:rsidR="00B21FDB" w:rsidRPr="00900F8E" w:rsidRDefault="00B21FDB" w:rsidP="00D278E5">
      <w:pPr>
        <w:pStyle w:val="Odstavekseznama"/>
        <w:numPr>
          <w:ilvl w:val="0"/>
          <w:numId w:val="28"/>
        </w:numPr>
        <w:spacing w:after="0" w:line="240" w:lineRule="auto"/>
        <w:jc w:val="both"/>
        <w:rPr>
          <w:rFonts w:ascii="Arial" w:hAnsi="Arial" w:cs="Arial"/>
        </w:rPr>
      </w:pPr>
      <w:r w:rsidRPr="00900F8E">
        <w:rPr>
          <w:rFonts w:ascii="Arial" w:hAnsi="Arial" w:cs="Arial"/>
        </w:rPr>
        <w:t xml:space="preserve">v letu 2020 in 2021 so bila izvedena </w:t>
      </w:r>
      <w:r w:rsidR="00217DC2">
        <w:rPr>
          <w:rFonts w:ascii="Arial" w:hAnsi="Arial" w:cs="Arial"/>
        </w:rPr>
        <w:t>tri</w:t>
      </w:r>
      <w:r w:rsidRPr="00900F8E">
        <w:rPr>
          <w:rFonts w:ascii="Arial" w:hAnsi="Arial" w:cs="Arial"/>
        </w:rPr>
        <w:t xml:space="preserve"> usposabljanj</w:t>
      </w:r>
      <w:r w:rsidR="00D278E5" w:rsidRPr="00900F8E">
        <w:rPr>
          <w:rFonts w:ascii="Arial" w:hAnsi="Arial" w:cs="Arial"/>
        </w:rPr>
        <w:t>a</w:t>
      </w:r>
      <w:r w:rsidRPr="00900F8E">
        <w:rPr>
          <w:rFonts w:ascii="Arial" w:hAnsi="Arial" w:cs="Arial"/>
        </w:rPr>
        <w:t xml:space="preserve"> za redne preglede klimatskih sistemov</w:t>
      </w:r>
      <w:r w:rsidR="00D278E5" w:rsidRPr="00900F8E">
        <w:rPr>
          <w:rFonts w:ascii="Arial" w:hAnsi="Arial" w:cs="Arial"/>
        </w:rPr>
        <w:t>, ki jih je izved</w:t>
      </w:r>
      <w:r w:rsidR="00CF29D6">
        <w:rPr>
          <w:rFonts w:ascii="Arial" w:hAnsi="Arial" w:cs="Arial"/>
        </w:rPr>
        <w:t>e</w:t>
      </w:r>
      <w:r w:rsidR="00D278E5" w:rsidRPr="00900F8E">
        <w:rPr>
          <w:rFonts w:ascii="Arial" w:hAnsi="Arial" w:cs="Arial"/>
        </w:rPr>
        <w:t>l</w:t>
      </w:r>
      <w:r w:rsidRPr="00900F8E">
        <w:rPr>
          <w:rFonts w:ascii="Arial" w:hAnsi="Arial" w:cs="Arial"/>
        </w:rPr>
        <w:t xml:space="preserve"> </w:t>
      </w:r>
      <w:r w:rsidR="00CF29D6" w:rsidRPr="00900F8E">
        <w:rPr>
          <w:rFonts w:ascii="Arial" w:hAnsi="Arial" w:cs="Arial"/>
        </w:rPr>
        <w:t>Laboratorij za ogrevalno, sanitarno in solarno tehniko ter klimatizacijo</w:t>
      </w:r>
      <w:r w:rsidR="00CF29D6" w:rsidRPr="00CF29D6">
        <w:rPr>
          <w:rFonts w:ascii="Arial" w:hAnsi="Arial" w:cs="Arial"/>
        </w:rPr>
        <w:t xml:space="preserve"> </w:t>
      </w:r>
      <w:r w:rsidR="00CF29D6" w:rsidRPr="00900F8E">
        <w:rPr>
          <w:rFonts w:ascii="Arial" w:hAnsi="Arial" w:cs="Arial"/>
        </w:rPr>
        <w:t>Fakultet</w:t>
      </w:r>
      <w:r w:rsidR="00CF29D6">
        <w:rPr>
          <w:rFonts w:ascii="Arial" w:hAnsi="Arial" w:cs="Arial"/>
        </w:rPr>
        <w:t>e</w:t>
      </w:r>
      <w:r w:rsidR="00CF29D6" w:rsidRPr="00900F8E">
        <w:rPr>
          <w:rFonts w:ascii="Arial" w:hAnsi="Arial" w:cs="Arial"/>
        </w:rPr>
        <w:t xml:space="preserve"> za strojništvo</w:t>
      </w:r>
      <w:r w:rsidR="00CF29D6">
        <w:rPr>
          <w:rFonts w:ascii="Arial" w:hAnsi="Arial" w:cs="Arial"/>
        </w:rPr>
        <w:t xml:space="preserve"> </w:t>
      </w:r>
      <w:r w:rsidRPr="00900F8E">
        <w:rPr>
          <w:rFonts w:ascii="Arial" w:hAnsi="Arial" w:cs="Arial"/>
        </w:rPr>
        <w:t>Univerz</w:t>
      </w:r>
      <w:r w:rsidR="00CF29D6">
        <w:rPr>
          <w:rFonts w:ascii="Arial" w:hAnsi="Arial" w:cs="Arial"/>
        </w:rPr>
        <w:t>e</w:t>
      </w:r>
      <w:r w:rsidRPr="00900F8E">
        <w:rPr>
          <w:rFonts w:ascii="Arial" w:hAnsi="Arial" w:cs="Arial"/>
        </w:rPr>
        <w:t xml:space="preserve"> v Ljubljani</w:t>
      </w:r>
      <w:r w:rsidR="00CF29D6">
        <w:rPr>
          <w:rFonts w:ascii="Arial" w:hAnsi="Arial" w:cs="Arial"/>
        </w:rPr>
        <w:t>;</w:t>
      </w:r>
      <w:r w:rsidRPr="00900F8E">
        <w:rPr>
          <w:rFonts w:ascii="Arial" w:hAnsi="Arial" w:cs="Arial"/>
        </w:rPr>
        <w:t xml:space="preserve"> </w:t>
      </w:r>
    </w:p>
    <w:p w14:paraId="28801C7E" w14:textId="0BAA2A1F" w:rsidR="00B21FDB" w:rsidRPr="00900F8E" w:rsidRDefault="00D278E5" w:rsidP="00D278E5">
      <w:pPr>
        <w:pStyle w:val="Odstavekseznama"/>
        <w:numPr>
          <w:ilvl w:val="0"/>
          <w:numId w:val="28"/>
        </w:numPr>
        <w:spacing w:after="0" w:line="240" w:lineRule="auto"/>
        <w:jc w:val="both"/>
        <w:rPr>
          <w:rFonts w:ascii="Arial" w:hAnsi="Arial" w:cs="Arial"/>
        </w:rPr>
      </w:pPr>
      <w:r w:rsidRPr="00900F8E">
        <w:rPr>
          <w:rFonts w:ascii="Arial" w:hAnsi="Arial" w:cs="Arial"/>
        </w:rPr>
        <w:t>izdan</w:t>
      </w:r>
      <w:r w:rsidR="00690363">
        <w:rPr>
          <w:rFonts w:ascii="Arial" w:hAnsi="Arial" w:cs="Arial"/>
        </w:rPr>
        <w:t>a</w:t>
      </w:r>
      <w:r w:rsidRPr="00900F8E">
        <w:rPr>
          <w:rFonts w:ascii="Arial" w:hAnsi="Arial" w:cs="Arial"/>
        </w:rPr>
        <w:t xml:space="preserve"> je bil</w:t>
      </w:r>
      <w:r w:rsidR="00690363">
        <w:rPr>
          <w:rFonts w:ascii="Arial" w:hAnsi="Arial" w:cs="Arial"/>
        </w:rPr>
        <w:t>a</w:t>
      </w:r>
      <w:r w:rsidRPr="00900F8E">
        <w:rPr>
          <w:rFonts w:ascii="Arial" w:hAnsi="Arial" w:cs="Arial"/>
        </w:rPr>
        <w:t xml:space="preserve"> </w:t>
      </w:r>
      <w:r w:rsidR="00B21FDB" w:rsidRPr="00900F8E">
        <w:rPr>
          <w:rFonts w:ascii="Arial" w:hAnsi="Arial" w:cs="Arial"/>
        </w:rPr>
        <w:t>401 licenc</w:t>
      </w:r>
      <w:r w:rsidR="00690363">
        <w:rPr>
          <w:rFonts w:ascii="Arial" w:hAnsi="Arial" w:cs="Arial"/>
        </w:rPr>
        <w:t>a</w:t>
      </w:r>
      <w:r w:rsidR="00B21FDB" w:rsidRPr="00900F8E">
        <w:rPr>
          <w:rFonts w:ascii="Arial" w:hAnsi="Arial" w:cs="Arial"/>
        </w:rPr>
        <w:t xml:space="preserve"> neodvisnim strokovnjakom, izdelovalcem energetskih izkaznic, za izvajalca usposabljanja </w:t>
      </w:r>
      <w:r w:rsidRPr="00900F8E">
        <w:rPr>
          <w:rFonts w:ascii="Arial" w:hAnsi="Arial" w:cs="Arial"/>
        </w:rPr>
        <w:t xml:space="preserve">za izdelovalce energetskih izkaznic </w:t>
      </w:r>
      <w:r w:rsidR="00B21FDB" w:rsidRPr="00900F8E">
        <w:rPr>
          <w:rFonts w:ascii="Arial" w:hAnsi="Arial" w:cs="Arial"/>
        </w:rPr>
        <w:t>sta bila izbrana G</w:t>
      </w:r>
      <w:r w:rsidRPr="00900F8E">
        <w:rPr>
          <w:rFonts w:ascii="Arial" w:hAnsi="Arial" w:cs="Arial"/>
        </w:rPr>
        <w:t>radbeni inštitut</w:t>
      </w:r>
      <w:r w:rsidR="00B21FDB" w:rsidRPr="00900F8E">
        <w:rPr>
          <w:rFonts w:ascii="Arial" w:hAnsi="Arial" w:cs="Arial"/>
        </w:rPr>
        <w:t xml:space="preserve"> ZRMK in Zbornica za arhitekturo in prostor Slovenije</w:t>
      </w:r>
      <w:r w:rsidRPr="00900F8E">
        <w:rPr>
          <w:rFonts w:ascii="Arial" w:hAnsi="Arial" w:cs="Arial"/>
        </w:rPr>
        <w:t>;</w:t>
      </w:r>
      <w:r w:rsidR="00B21FDB" w:rsidRPr="00900F8E">
        <w:rPr>
          <w:rFonts w:ascii="Arial" w:hAnsi="Arial" w:cs="Arial"/>
        </w:rPr>
        <w:t xml:space="preserve"> </w:t>
      </w:r>
    </w:p>
    <w:p w14:paraId="55D1D2A2" w14:textId="1B79EA50" w:rsidR="00B21FDB" w:rsidRPr="00900F8E" w:rsidRDefault="00B21FDB" w:rsidP="00D278E5">
      <w:pPr>
        <w:pStyle w:val="Odstavekseznama"/>
        <w:numPr>
          <w:ilvl w:val="0"/>
          <w:numId w:val="28"/>
        </w:numPr>
        <w:spacing w:after="0" w:line="240" w:lineRule="auto"/>
        <w:jc w:val="both"/>
        <w:rPr>
          <w:rFonts w:ascii="Arial" w:hAnsi="Arial" w:cs="Arial"/>
        </w:rPr>
      </w:pPr>
      <w:r w:rsidRPr="00900F8E">
        <w:rPr>
          <w:rFonts w:ascii="Arial" w:hAnsi="Arial" w:cs="Arial"/>
        </w:rPr>
        <w:t>po Pravilniku o strokovnem usposabljanju in preizkusu znanja za upravlja</w:t>
      </w:r>
      <w:r w:rsidR="00296CC1">
        <w:rPr>
          <w:rFonts w:ascii="Arial" w:hAnsi="Arial" w:cs="Arial"/>
        </w:rPr>
        <w:t>v</w:t>
      </w:r>
      <w:r w:rsidRPr="00900F8E">
        <w:rPr>
          <w:rFonts w:ascii="Arial" w:hAnsi="Arial" w:cs="Arial"/>
        </w:rPr>
        <w:t>ce energetskih naprav (Ur</w:t>
      </w:r>
      <w:r w:rsidR="00296CC1">
        <w:rPr>
          <w:rFonts w:ascii="Arial" w:hAnsi="Arial" w:cs="Arial"/>
        </w:rPr>
        <w:t>adni</w:t>
      </w:r>
      <w:r w:rsidRPr="00900F8E">
        <w:rPr>
          <w:rFonts w:ascii="Arial" w:hAnsi="Arial" w:cs="Arial"/>
        </w:rPr>
        <w:t xml:space="preserve"> l</w:t>
      </w:r>
      <w:r w:rsidR="00296CC1">
        <w:rPr>
          <w:rFonts w:ascii="Arial" w:hAnsi="Arial" w:cs="Arial"/>
        </w:rPr>
        <w:t>ist</w:t>
      </w:r>
      <w:r w:rsidRPr="00900F8E">
        <w:rPr>
          <w:rFonts w:ascii="Arial" w:hAnsi="Arial" w:cs="Arial"/>
        </w:rPr>
        <w:t xml:space="preserve"> RS, št. 92/15) usposabljanja </w:t>
      </w:r>
      <w:r w:rsidR="00D278E5" w:rsidRPr="00900F8E">
        <w:rPr>
          <w:rFonts w:ascii="Arial" w:hAnsi="Arial" w:cs="Arial"/>
        </w:rPr>
        <w:t xml:space="preserve">na področju stavb </w:t>
      </w:r>
      <w:r w:rsidRPr="00900F8E">
        <w:rPr>
          <w:rFonts w:ascii="Arial" w:hAnsi="Arial" w:cs="Arial"/>
        </w:rPr>
        <w:t>izvaja Zvez</w:t>
      </w:r>
      <w:r w:rsidR="00D278E5" w:rsidRPr="00900F8E">
        <w:rPr>
          <w:rFonts w:ascii="Arial" w:hAnsi="Arial" w:cs="Arial"/>
        </w:rPr>
        <w:t>a</w:t>
      </w:r>
      <w:r w:rsidRPr="00900F8E">
        <w:rPr>
          <w:rFonts w:ascii="Arial" w:hAnsi="Arial" w:cs="Arial"/>
        </w:rPr>
        <w:t xml:space="preserve"> društev energetikov Slovenije; </w:t>
      </w:r>
    </w:p>
    <w:p w14:paraId="6D8A67EA" w14:textId="2F1EC0DA" w:rsidR="00B21FDB" w:rsidRPr="00900F8E" w:rsidRDefault="00B21FDB" w:rsidP="00D278E5">
      <w:pPr>
        <w:pStyle w:val="Odstavekseznama"/>
        <w:numPr>
          <w:ilvl w:val="0"/>
          <w:numId w:val="28"/>
        </w:numPr>
        <w:spacing w:after="0" w:line="240" w:lineRule="auto"/>
        <w:jc w:val="both"/>
        <w:rPr>
          <w:rFonts w:ascii="Arial" w:hAnsi="Arial" w:cs="Arial"/>
        </w:rPr>
      </w:pPr>
      <w:r w:rsidRPr="00900F8E">
        <w:rPr>
          <w:rFonts w:ascii="Arial" w:hAnsi="Arial" w:cs="Arial"/>
        </w:rPr>
        <w:t>izobraževanj</w:t>
      </w:r>
      <w:r w:rsidR="00D278E5" w:rsidRPr="00900F8E">
        <w:rPr>
          <w:rFonts w:ascii="Arial" w:hAnsi="Arial" w:cs="Arial"/>
        </w:rPr>
        <w:t>a</w:t>
      </w:r>
      <w:r w:rsidRPr="00900F8E">
        <w:rPr>
          <w:rFonts w:ascii="Arial" w:hAnsi="Arial" w:cs="Arial"/>
        </w:rPr>
        <w:t xml:space="preserve"> </w:t>
      </w:r>
      <w:r w:rsidR="00C42CE6">
        <w:rPr>
          <w:rFonts w:ascii="Arial" w:hAnsi="Arial" w:cs="Arial"/>
        </w:rPr>
        <w:t xml:space="preserve">za pridobitev naziva </w:t>
      </w:r>
      <w:r w:rsidR="00C42CE6" w:rsidRPr="00C42CE6">
        <w:rPr>
          <w:rFonts w:ascii="Arial" w:hAnsi="Arial" w:cs="Arial"/>
        </w:rPr>
        <w:t>e</w:t>
      </w:r>
      <w:r w:rsidRPr="00C42CE6">
        <w:rPr>
          <w:rFonts w:ascii="Arial" w:hAnsi="Arial" w:cs="Arial"/>
        </w:rPr>
        <w:t>vrops</w:t>
      </w:r>
      <w:r w:rsidRPr="00390B4C">
        <w:rPr>
          <w:rFonts w:ascii="Arial" w:hAnsi="Arial" w:cs="Arial"/>
        </w:rPr>
        <w:t>ki</w:t>
      </w:r>
      <w:r w:rsidRPr="00900F8E">
        <w:rPr>
          <w:rFonts w:ascii="Arial" w:hAnsi="Arial" w:cs="Arial"/>
        </w:rPr>
        <w:t xml:space="preserve"> energetski menedžer – EUREM, ki ga izvaja IJS</w:t>
      </w:r>
      <w:r w:rsidR="00D278E5" w:rsidRPr="00900F8E">
        <w:rPr>
          <w:rFonts w:ascii="Arial" w:hAnsi="Arial" w:cs="Arial"/>
        </w:rPr>
        <w:t>-CEU</w:t>
      </w:r>
      <w:r w:rsidR="005219F4" w:rsidRPr="00900F8E">
        <w:rPr>
          <w:rFonts w:ascii="Arial" w:hAnsi="Arial" w:cs="Arial"/>
        </w:rPr>
        <w:t>,</w:t>
      </w:r>
      <w:r w:rsidR="00D278E5" w:rsidRPr="00900F8E">
        <w:rPr>
          <w:rFonts w:ascii="Arial" w:hAnsi="Arial" w:cs="Arial"/>
        </w:rPr>
        <w:t xml:space="preserve"> se je</w:t>
      </w:r>
      <w:r w:rsidRPr="00900F8E">
        <w:rPr>
          <w:rFonts w:ascii="Arial" w:hAnsi="Arial" w:cs="Arial"/>
        </w:rPr>
        <w:t xml:space="preserve"> udeležilo 18 slušateljev;</w:t>
      </w:r>
    </w:p>
    <w:p w14:paraId="735917AA" w14:textId="5CE581A2" w:rsidR="00820535" w:rsidRPr="00900F8E" w:rsidRDefault="00EA0A46" w:rsidP="00B21FDB">
      <w:pPr>
        <w:pStyle w:val="Odstavekseznama"/>
        <w:numPr>
          <w:ilvl w:val="0"/>
          <w:numId w:val="28"/>
        </w:numPr>
        <w:spacing w:after="0" w:line="240" w:lineRule="auto"/>
        <w:jc w:val="both"/>
        <w:rPr>
          <w:rFonts w:ascii="Arial" w:hAnsi="Arial" w:cs="Arial"/>
        </w:rPr>
      </w:pPr>
      <w:r w:rsidRPr="00900F8E">
        <w:rPr>
          <w:rFonts w:ascii="Arial" w:hAnsi="Arial" w:cs="Arial"/>
        </w:rPr>
        <w:t xml:space="preserve">nadaljevala so se </w:t>
      </w:r>
      <w:r w:rsidR="00B21FDB" w:rsidRPr="00900F8E">
        <w:rPr>
          <w:rFonts w:ascii="Arial" w:hAnsi="Arial" w:cs="Arial"/>
        </w:rPr>
        <w:t>usposabljanja inženirjev in arhitektov za področje trajnostne gradnje, energetske učinkovitosti, zelenega javnega naročanja</w:t>
      </w:r>
      <w:r w:rsidRPr="00900F8E">
        <w:rPr>
          <w:rFonts w:ascii="Arial" w:hAnsi="Arial" w:cs="Arial"/>
        </w:rPr>
        <w:t xml:space="preserve"> v okviru</w:t>
      </w:r>
      <w:r w:rsidR="00B21FDB" w:rsidRPr="00900F8E">
        <w:rPr>
          <w:rFonts w:ascii="Arial" w:hAnsi="Arial" w:cs="Arial"/>
        </w:rPr>
        <w:t xml:space="preserve"> Inženirske zbornice Slovenije, Zbornice za arhitekturo in prostor ter Slovenskega združenja za trajnostno gradnjo</w:t>
      </w:r>
      <w:r w:rsidR="00820535" w:rsidRPr="00900F8E">
        <w:rPr>
          <w:rFonts w:ascii="Arial" w:hAnsi="Arial" w:cs="Arial"/>
        </w:rPr>
        <w:t>;</w:t>
      </w:r>
    </w:p>
    <w:p w14:paraId="2728B0F8" w14:textId="605846A2" w:rsidR="00B21FDB" w:rsidRPr="00900F8E" w:rsidRDefault="00B21FDB" w:rsidP="00B21FDB">
      <w:pPr>
        <w:pStyle w:val="Odstavekseznama"/>
        <w:numPr>
          <w:ilvl w:val="0"/>
          <w:numId w:val="28"/>
        </w:numPr>
        <w:spacing w:after="0" w:line="240" w:lineRule="auto"/>
        <w:jc w:val="both"/>
        <w:rPr>
          <w:rFonts w:ascii="Arial" w:hAnsi="Arial" w:cs="Arial"/>
        </w:rPr>
      </w:pPr>
      <w:r w:rsidRPr="00900F8E">
        <w:rPr>
          <w:rFonts w:ascii="Arial" w:hAnsi="Arial" w:cs="Arial"/>
        </w:rPr>
        <w:t xml:space="preserve">sprejet </w:t>
      </w:r>
      <w:r w:rsidR="00820535" w:rsidRPr="00900F8E">
        <w:rPr>
          <w:rFonts w:ascii="Arial" w:hAnsi="Arial" w:cs="Arial"/>
        </w:rPr>
        <w:t xml:space="preserve">je bil </w:t>
      </w:r>
      <w:r w:rsidRPr="00900F8E">
        <w:rPr>
          <w:rFonts w:ascii="Arial" w:hAnsi="Arial" w:cs="Arial"/>
        </w:rPr>
        <w:t xml:space="preserve">nov Pravilnik o strokovnem usposabljanju za inštalaterje naprav na </w:t>
      </w:r>
      <w:r w:rsidR="00820535" w:rsidRPr="00900F8E">
        <w:rPr>
          <w:rFonts w:ascii="Arial" w:hAnsi="Arial" w:cs="Arial"/>
        </w:rPr>
        <w:t>OVE</w:t>
      </w:r>
      <w:r w:rsidRPr="00900F8E">
        <w:rPr>
          <w:rFonts w:ascii="Arial" w:hAnsi="Arial" w:cs="Arial"/>
        </w:rPr>
        <w:t>, ki določa način in vsebino strokovnega usposabljanja. Pravilnik zajema kotle na lesno biomaso, toplotne črpalke, prenosnike plitvih geotermalnih sistemov, sončnih kolektorjev, proizvodnih naprav na sončno energijo</w:t>
      </w:r>
      <w:r w:rsidR="00820535" w:rsidRPr="00900F8E">
        <w:rPr>
          <w:rFonts w:ascii="Arial" w:hAnsi="Arial" w:cs="Arial"/>
        </w:rPr>
        <w:t>;</w:t>
      </w:r>
      <w:r w:rsidRPr="00900F8E">
        <w:rPr>
          <w:rFonts w:ascii="Arial" w:hAnsi="Arial" w:cs="Arial"/>
        </w:rPr>
        <w:t xml:space="preserve"> </w:t>
      </w:r>
    </w:p>
    <w:p w14:paraId="45FEE090" w14:textId="49D9311A" w:rsidR="007B2ABF" w:rsidRPr="00900F8E" w:rsidRDefault="00925B75" w:rsidP="00640804">
      <w:pPr>
        <w:pStyle w:val="Odstavekseznama"/>
        <w:numPr>
          <w:ilvl w:val="0"/>
          <w:numId w:val="28"/>
        </w:numPr>
        <w:spacing w:after="0" w:line="240" w:lineRule="auto"/>
        <w:jc w:val="both"/>
        <w:rPr>
          <w:rFonts w:ascii="Arial" w:hAnsi="Arial" w:cs="Arial"/>
        </w:rPr>
      </w:pPr>
      <w:r w:rsidRPr="00900F8E">
        <w:rPr>
          <w:rFonts w:ascii="Arial" w:hAnsi="Arial" w:cs="Arial"/>
        </w:rPr>
        <w:t>ponovno je bil izveden teden izobraževanja za trajnostni razvoj pod okriljem Združenja izobraževalnih in svetovalnih središč Slovenije;</w:t>
      </w:r>
    </w:p>
    <w:p w14:paraId="63506AC6" w14:textId="6A7A46D6" w:rsidR="00925B75" w:rsidRDefault="00925B75" w:rsidP="00CE4459">
      <w:pPr>
        <w:pStyle w:val="Odstavekseznama"/>
        <w:numPr>
          <w:ilvl w:val="0"/>
          <w:numId w:val="28"/>
        </w:numPr>
        <w:spacing w:after="0" w:line="240" w:lineRule="auto"/>
        <w:jc w:val="both"/>
        <w:rPr>
          <w:rFonts w:ascii="Arial" w:hAnsi="Arial" w:cs="Arial"/>
        </w:rPr>
      </w:pPr>
      <w:r w:rsidRPr="00900F8E">
        <w:rPr>
          <w:rFonts w:ascii="Arial" w:hAnsi="Arial" w:cs="Arial"/>
        </w:rPr>
        <w:t xml:space="preserve">potekalo je sodelovanje v mreži Climate KIC </w:t>
      </w:r>
      <w:r w:rsidR="00E15DA4">
        <w:rPr>
          <w:rFonts w:ascii="Arial" w:hAnsi="Arial" w:cs="Arial"/>
        </w:rPr>
        <w:t>–</w:t>
      </w:r>
      <w:r w:rsidRPr="00900F8E">
        <w:rPr>
          <w:rFonts w:ascii="Arial" w:hAnsi="Arial" w:cs="Arial"/>
        </w:rPr>
        <w:t xml:space="preserve"> </w:t>
      </w:r>
      <w:proofErr w:type="spellStart"/>
      <w:r w:rsidRPr="00E615AF">
        <w:rPr>
          <w:rFonts w:ascii="Arial" w:hAnsi="Arial" w:cs="Arial"/>
          <w:i/>
          <w:u w:val="single"/>
        </w:rPr>
        <w:t>Innovation</w:t>
      </w:r>
      <w:proofErr w:type="spellEnd"/>
      <w:r w:rsidRPr="00E615AF">
        <w:rPr>
          <w:rFonts w:ascii="Arial" w:hAnsi="Arial" w:cs="Arial"/>
          <w:i/>
          <w:u w:val="single"/>
        </w:rPr>
        <w:t xml:space="preserve"> for </w:t>
      </w:r>
      <w:proofErr w:type="spellStart"/>
      <w:r w:rsidRPr="00E615AF">
        <w:rPr>
          <w:rFonts w:ascii="Arial" w:hAnsi="Arial" w:cs="Arial"/>
          <w:i/>
          <w:u w:val="single"/>
        </w:rPr>
        <w:t>climate</w:t>
      </w:r>
      <w:proofErr w:type="spellEnd"/>
      <w:r w:rsidRPr="00E615AF">
        <w:rPr>
          <w:rFonts w:ascii="Arial" w:hAnsi="Arial" w:cs="Arial"/>
          <w:i/>
          <w:u w:val="single"/>
        </w:rPr>
        <w:t xml:space="preserve"> </w:t>
      </w:r>
      <w:proofErr w:type="spellStart"/>
      <w:r w:rsidRPr="00E615AF">
        <w:rPr>
          <w:rFonts w:ascii="Arial" w:hAnsi="Arial" w:cs="Arial"/>
          <w:i/>
          <w:u w:val="single"/>
        </w:rPr>
        <w:t>action</w:t>
      </w:r>
      <w:proofErr w:type="spellEnd"/>
      <w:r w:rsidRPr="00900F8E">
        <w:rPr>
          <w:rFonts w:ascii="Arial" w:hAnsi="Arial" w:cs="Arial"/>
        </w:rPr>
        <w:t>, ki vključuje tudi izobraževanje. Koordinator huba je postal E-Zavod</w:t>
      </w:r>
      <w:r w:rsidR="00C42CE6">
        <w:rPr>
          <w:rFonts w:ascii="Arial" w:hAnsi="Arial" w:cs="Arial"/>
        </w:rPr>
        <w:t>;</w:t>
      </w:r>
    </w:p>
    <w:p w14:paraId="09530EA4" w14:textId="1B82614D" w:rsidR="00352BAE" w:rsidRDefault="006E4F73" w:rsidP="00CE4459">
      <w:pPr>
        <w:pStyle w:val="Odstavekseznama"/>
        <w:numPr>
          <w:ilvl w:val="0"/>
          <w:numId w:val="28"/>
        </w:numPr>
        <w:spacing w:after="0" w:line="240" w:lineRule="auto"/>
        <w:jc w:val="both"/>
        <w:rPr>
          <w:rFonts w:ascii="Arial" w:hAnsi="Arial" w:cs="Arial"/>
        </w:rPr>
      </w:pPr>
      <w:r>
        <w:rPr>
          <w:rFonts w:ascii="Arial" w:hAnsi="Arial" w:cs="Arial"/>
        </w:rPr>
        <w:t>Evropska komisija je izvajala pobudo evropski podnebni pakt.</w:t>
      </w:r>
    </w:p>
    <w:p w14:paraId="552CAB68" w14:textId="79811E01" w:rsidR="007B2ABF" w:rsidRPr="00900F8E" w:rsidRDefault="007B2ABF" w:rsidP="009B50F9">
      <w:pPr>
        <w:spacing w:after="0" w:line="240" w:lineRule="auto"/>
        <w:jc w:val="both"/>
        <w:rPr>
          <w:rFonts w:ascii="Arial" w:hAnsi="Arial" w:cs="Arial"/>
        </w:rPr>
      </w:pPr>
    </w:p>
    <w:p w14:paraId="3D06B644" w14:textId="451CD9C9" w:rsidR="00F92F8A" w:rsidRDefault="00F92F8A" w:rsidP="009B50F9">
      <w:pPr>
        <w:spacing w:after="0" w:line="240" w:lineRule="auto"/>
        <w:jc w:val="both"/>
        <w:rPr>
          <w:rFonts w:ascii="Arial" w:hAnsi="Arial" w:cs="Arial"/>
        </w:rPr>
      </w:pPr>
    </w:p>
    <w:p w14:paraId="7EDBD978" w14:textId="04D79033" w:rsidR="00131B2E" w:rsidRDefault="00131B2E" w:rsidP="009B50F9">
      <w:pPr>
        <w:spacing w:after="0" w:line="240" w:lineRule="auto"/>
        <w:jc w:val="both"/>
        <w:rPr>
          <w:rFonts w:ascii="Arial" w:hAnsi="Arial" w:cs="Arial"/>
        </w:rPr>
      </w:pPr>
    </w:p>
    <w:p w14:paraId="5CC3B364" w14:textId="7B62EA70" w:rsidR="00131B2E" w:rsidRDefault="00131B2E" w:rsidP="009B50F9">
      <w:pPr>
        <w:spacing w:after="0" w:line="240" w:lineRule="auto"/>
        <w:jc w:val="both"/>
        <w:rPr>
          <w:rFonts w:ascii="Arial" w:hAnsi="Arial" w:cs="Arial"/>
        </w:rPr>
      </w:pPr>
    </w:p>
    <w:p w14:paraId="1CC8BE9B" w14:textId="7FEA5AB0" w:rsidR="00131B2E" w:rsidRDefault="00131B2E" w:rsidP="009B50F9">
      <w:pPr>
        <w:spacing w:after="0" w:line="240" w:lineRule="auto"/>
        <w:jc w:val="both"/>
        <w:rPr>
          <w:rFonts w:ascii="Arial" w:hAnsi="Arial" w:cs="Arial"/>
        </w:rPr>
      </w:pPr>
    </w:p>
    <w:p w14:paraId="5CA60686" w14:textId="080F26E1" w:rsidR="00131B2E" w:rsidRDefault="00131B2E" w:rsidP="009B50F9">
      <w:pPr>
        <w:spacing w:after="0" w:line="240" w:lineRule="auto"/>
        <w:jc w:val="both"/>
        <w:rPr>
          <w:rFonts w:ascii="Arial" w:hAnsi="Arial" w:cs="Arial"/>
        </w:rPr>
      </w:pPr>
    </w:p>
    <w:p w14:paraId="485333E5" w14:textId="16AB1348" w:rsidR="00131B2E" w:rsidRDefault="00131B2E" w:rsidP="009B50F9">
      <w:pPr>
        <w:spacing w:after="0" w:line="240" w:lineRule="auto"/>
        <w:jc w:val="both"/>
        <w:rPr>
          <w:rFonts w:ascii="Arial" w:hAnsi="Arial" w:cs="Arial"/>
        </w:rPr>
      </w:pPr>
    </w:p>
    <w:p w14:paraId="3C0F6A67" w14:textId="1092E261" w:rsidR="00131B2E" w:rsidRDefault="00131B2E" w:rsidP="009B50F9">
      <w:pPr>
        <w:spacing w:after="0" w:line="240" w:lineRule="auto"/>
        <w:jc w:val="both"/>
        <w:rPr>
          <w:rFonts w:ascii="Arial" w:hAnsi="Arial" w:cs="Arial"/>
        </w:rPr>
      </w:pPr>
    </w:p>
    <w:p w14:paraId="6E036C5E" w14:textId="30CB18CD" w:rsidR="00131B2E" w:rsidRDefault="00131B2E" w:rsidP="009B50F9">
      <w:pPr>
        <w:spacing w:after="0" w:line="240" w:lineRule="auto"/>
        <w:jc w:val="both"/>
        <w:rPr>
          <w:rFonts w:ascii="Arial" w:hAnsi="Arial" w:cs="Arial"/>
        </w:rPr>
      </w:pPr>
    </w:p>
    <w:p w14:paraId="7A8330AF" w14:textId="64C909D1" w:rsidR="007C7F4B" w:rsidRDefault="007C7F4B" w:rsidP="009B50F9">
      <w:pPr>
        <w:spacing w:after="0" w:line="240" w:lineRule="auto"/>
        <w:jc w:val="both"/>
        <w:rPr>
          <w:rFonts w:ascii="Arial" w:hAnsi="Arial" w:cs="Arial"/>
        </w:rPr>
      </w:pPr>
    </w:p>
    <w:p w14:paraId="0F8A71D1" w14:textId="4D3D1F10" w:rsidR="007C7F4B" w:rsidRDefault="007C7F4B" w:rsidP="009B50F9">
      <w:pPr>
        <w:spacing w:after="0" w:line="240" w:lineRule="auto"/>
        <w:jc w:val="both"/>
        <w:rPr>
          <w:rFonts w:ascii="Arial" w:hAnsi="Arial" w:cs="Arial"/>
        </w:rPr>
      </w:pPr>
    </w:p>
    <w:p w14:paraId="3CDD953C" w14:textId="1BB2F245" w:rsidR="007C7F4B" w:rsidRDefault="007C7F4B" w:rsidP="009B50F9">
      <w:pPr>
        <w:spacing w:after="0" w:line="240" w:lineRule="auto"/>
        <w:jc w:val="both"/>
        <w:rPr>
          <w:rFonts w:ascii="Arial" w:hAnsi="Arial" w:cs="Arial"/>
        </w:rPr>
      </w:pPr>
    </w:p>
    <w:p w14:paraId="3B0501E1" w14:textId="4A25F326" w:rsidR="007C7F4B" w:rsidRDefault="007C7F4B" w:rsidP="009B50F9">
      <w:pPr>
        <w:spacing w:after="0" w:line="240" w:lineRule="auto"/>
        <w:jc w:val="both"/>
        <w:rPr>
          <w:rFonts w:ascii="Arial" w:hAnsi="Arial" w:cs="Arial"/>
        </w:rPr>
      </w:pPr>
    </w:p>
    <w:p w14:paraId="2CEDCD8D" w14:textId="39F35E68" w:rsidR="007C7F4B" w:rsidRDefault="007C7F4B" w:rsidP="009B50F9">
      <w:pPr>
        <w:spacing w:after="0" w:line="240" w:lineRule="auto"/>
        <w:jc w:val="both"/>
        <w:rPr>
          <w:rFonts w:ascii="Arial" w:hAnsi="Arial" w:cs="Arial"/>
        </w:rPr>
      </w:pPr>
    </w:p>
    <w:p w14:paraId="4879A0DC" w14:textId="7D1CF308" w:rsidR="007C7F4B" w:rsidRDefault="007C7F4B" w:rsidP="009B50F9">
      <w:pPr>
        <w:spacing w:after="0" w:line="240" w:lineRule="auto"/>
        <w:jc w:val="both"/>
        <w:rPr>
          <w:rFonts w:ascii="Arial" w:hAnsi="Arial" w:cs="Arial"/>
        </w:rPr>
      </w:pPr>
    </w:p>
    <w:p w14:paraId="5AA47550" w14:textId="72355E31" w:rsidR="007C7F4B" w:rsidRDefault="007C7F4B" w:rsidP="009B50F9">
      <w:pPr>
        <w:spacing w:after="0" w:line="240" w:lineRule="auto"/>
        <w:jc w:val="both"/>
        <w:rPr>
          <w:rFonts w:ascii="Arial" w:hAnsi="Arial" w:cs="Arial"/>
        </w:rPr>
      </w:pPr>
    </w:p>
    <w:p w14:paraId="046B7FBB" w14:textId="2B0FDB36" w:rsidR="007C7F4B" w:rsidRDefault="007C7F4B" w:rsidP="009B50F9">
      <w:pPr>
        <w:spacing w:after="0" w:line="240" w:lineRule="auto"/>
        <w:jc w:val="both"/>
        <w:rPr>
          <w:rFonts w:ascii="Arial" w:hAnsi="Arial" w:cs="Arial"/>
        </w:rPr>
      </w:pPr>
    </w:p>
    <w:p w14:paraId="1A597BE3" w14:textId="75F28210" w:rsidR="007C7F4B" w:rsidRDefault="007C7F4B" w:rsidP="009B50F9">
      <w:pPr>
        <w:spacing w:after="0" w:line="240" w:lineRule="auto"/>
        <w:jc w:val="both"/>
        <w:rPr>
          <w:rFonts w:ascii="Arial" w:hAnsi="Arial" w:cs="Arial"/>
        </w:rPr>
      </w:pPr>
    </w:p>
    <w:p w14:paraId="73748E67" w14:textId="59880984" w:rsidR="007C7F4B" w:rsidRDefault="007C7F4B" w:rsidP="009B50F9">
      <w:pPr>
        <w:spacing w:after="0" w:line="240" w:lineRule="auto"/>
        <w:jc w:val="both"/>
        <w:rPr>
          <w:rFonts w:ascii="Arial" w:hAnsi="Arial" w:cs="Arial"/>
        </w:rPr>
      </w:pPr>
    </w:p>
    <w:p w14:paraId="52E1EFC8" w14:textId="40B8BBE6" w:rsidR="007C7F4B" w:rsidRDefault="007C7F4B" w:rsidP="009B50F9">
      <w:pPr>
        <w:spacing w:after="0" w:line="240" w:lineRule="auto"/>
        <w:jc w:val="both"/>
        <w:rPr>
          <w:rFonts w:ascii="Arial" w:hAnsi="Arial" w:cs="Arial"/>
        </w:rPr>
      </w:pPr>
    </w:p>
    <w:p w14:paraId="0A0D4425" w14:textId="77777777" w:rsidR="007C7F4B" w:rsidRDefault="007C7F4B" w:rsidP="009B50F9">
      <w:pPr>
        <w:spacing w:after="0" w:line="240" w:lineRule="auto"/>
        <w:jc w:val="both"/>
        <w:rPr>
          <w:rFonts w:ascii="Arial" w:hAnsi="Arial" w:cs="Arial"/>
        </w:rPr>
      </w:pPr>
    </w:p>
    <w:p w14:paraId="0D2B46C9" w14:textId="1E29DD82" w:rsidR="00131B2E" w:rsidRDefault="00131B2E" w:rsidP="009B50F9">
      <w:pPr>
        <w:spacing w:after="0" w:line="240" w:lineRule="auto"/>
        <w:jc w:val="both"/>
        <w:rPr>
          <w:rFonts w:ascii="Arial" w:hAnsi="Arial" w:cs="Arial"/>
        </w:rPr>
      </w:pPr>
    </w:p>
    <w:p w14:paraId="47238FFB" w14:textId="3554B3D0" w:rsidR="00131B2E" w:rsidRDefault="00131B2E" w:rsidP="009B50F9">
      <w:pPr>
        <w:spacing w:after="0" w:line="240" w:lineRule="auto"/>
        <w:jc w:val="both"/>
        <w:rPr>
          <w:rFonts w:ascii="Arial" w:hAnsi="Arial" w:cs="Arial"/>
        </w:rPr>
      </w:pPr>
    </w:p>
    <w:p w14:paraId="0840364D" w14:textId="12749D95" w:rsidR="008757C7" w:rsidRPr="00900F8E" w:rsidRDefault="00F15498" w:rsidP="0065545E">
      <w:pPr>
        <w:pStyle w:val="Naslov1"/>
        <w:rPr>
          <w:rFonts w:ascii="Arial" w:hAnsi="Arial" w:cs="Arial"/>
          <w:color w:val="auto"/>
        </w:rPr>
      </w:pPr>
      <w:bookmarkStart w:id="40" w:name="_Toc120166946"/>
      <w:r w:rsidRPr="00900F8E">
        <w:rPr>
          <w:rFonts w:ascii="Arial" w:hAnsi="Arial" w:cs="Arial"/>
          <w:color w:val="auto"/>
        </w:rPr>
        <w:lastRenderedPageBreak/>
        <w:t>5</w:t>
      </w:r>
      <w:r w:rsidR="008757C7" w:rsidRPr="00900F8E">
        <w:rPr>
          <w:rFonts w:ascii="Arial" w:hAnsi="Arial" w:cs="Arial"/>
          <w:color w:val="auto"/>
        </w:rPr>
        <w:t xml:space="preserve"> </w:t>
      </w:r>
      <w:r w:rsidR="005A29AA" w:rsidRPr="00900F8E">
        <w:rPr>
          <w:rFonts w:ascii="Arial" w:hAnsi="Arial" w:cs="Arial"/>
          <w:color w:val="auto"/>
        </w:rPr>
        <w:t>F</w:t>
      </w:r>
      <w:r w:rsidR="008757C7" w:rsidRPr="00900F8E">
        <w:rPr>
          <w:rFonts w:ascii="Arial" w:hAnsi="Arial" w:cs="Arial"/>
          <w:color w:val="auto"/>
        </w:rPr>
        <w:t>inanciranje izvajanja ukrepov</w:t>
      </w:r>
      <w:bookmarkEnd w:id="40"/>
    </w:p>
    <w:p w14:paraId="4B57F433" w14:textId="7B16B9F2" w:rsidR="008757C7" w:rsidRPr="00900F8E" w:rsidRDefault="008757C7" w:rsidP="00C52E4C">
      <w:pPr>
        <w:spacing w:after="0" w:line="240" w:lineRule="auto"/>
        <w:jc w:val="both"/>
        <w:rPr>
          <w:rFonts w:ascii="Arial" w:hAnsi="Arial" w:cs="Arial"/>
          <w:sz w:val="16"/>
          <w:szCs w:val="16"/>
        </w:rPr>
      </w:pPr>
    </w:p>
    <w:p w14:paraId="02CF8196" w14:textId="103F6D0B" w:rsidR="0077379C" w:rsidRPr="00900F8E" w:rsidRDefault="0077379C" w:rsidP="0077379C">
      <w:pPr>
        <w:spacing w:after="0" w:line="240" w:lineRule="auto"/>
        <w:jc w:val="both"/>
        <w:rPr>
          <w:rFonts w:ascii="Arial" w:hAnsi="Arial" w:cs="Arial"/>
          <w:sz w:val="16"/>
          <w:szCs w:val="16"/>
        </w:rPr>
      </w:pPr>
      <w:r w:rsidRPr="00900F8E">
        <w:rPr>
          <w:rFonts w:ascii="Arial" w:hAnsi="Arial" w:cs="Arial"/>
        </w:rPr>
        <w:t>V let</w:t>
      </w:r>
      <w:r w:rsidR="00415E35" w:rsidRPr="00900F8E">
        <w:rPr>
          <w:rFonts w:ascii="Arial" w:hAnsi="Arial" w:cs="Arial"/>
        </w:rPr>
        <w:t>ih</w:t>
      </w:r>
      <w:r w:rsidRPr="00900F8E">
        <w:rPr>
          <w:rFonts w:ascii="Arial" w:hAnsi="Arial" w:cs="Arial"/>
        </w:rPr>
        <w:t xml:space="preserve"> 2020</w:t>
      </w:r>
      <w:r w:rsidR="00415E35" w:rsidRPr="00900F8E">
        <w:rPr>
          <w:rFonts w:ascii="Arial" w:hAnsi="Arial" w:cs="Arial"/>
        </w:rPr>
        <w:t xml:space="preserve"> in 2021</w:t>
      </w:r>
      <w:r w:rsidRPr="00900F8E">
        <w:rPr>
          <w:rFonts w:ascii="Arial" w:hAnsi="Arial" w:cs="Arial"/>
        </w:rPr>
        <w:t xml:space="preserve"> je bilo za ukrepe</w:t>
      </w:r>
      <w:r w:rsidRPr="00900F8E">
        <w:rPr>
          <w:rFonts w:ascii="Arial" w:hAnsi="Arial" w:cs="Arial"/>
          <w:sz w:val="14"/>
          <w:szCs w:val="14"/>
        </w:rPr>
        <w:t xml:space="preserve"> </w:t>
      </w:r>
      <w:r w:rsidRPr="00900F8E">
        <w:rPr>
          <w:rFonts w:ascii="Arial" w:hAnsi="Arial" w:cs="Arial"/>
        </w:rPr>
        <w:t xml:space="preserve">URE in OVE </w:t>
      </w:r>
      <w:r w:rsidR="00415E35" w:rsidRPr="00900F8E">
        <w:rPr>
          <w:rFonts w:ascii="Arial" w:hAnsi="Arial" w:cs="Arial"/>
        </w:rPr>
        <w:t>za vsako leto posebej</w:t>
      </w:r>
      <w:r w:rsidRPr="00900F8E">
        <w:rPr>
          <w:rFonts w:ascii="Arial" w:hAnsi="Arial" w:cs="Arial"/>
        </w:rPr>
        <w:t xml:space="preserve"> izplačanih </w:t>
      </w:r>
      <w:r w:rsidR="00415E35" w:rsidRPr="00900F8E">
        <w:rPr>
          <w:rFonts w:ascii="Arial" w:hAnsi="Arial" w:cs="Arial"/>
        </w:rPr>
        <w:t>približno</w:t>
      </w:r>
      <w:r w:rsidRPr="00900F8E">
        <w:rPr>
          <w:rFonts w:ascii="Arial" w:hAnsi="Arial" w:cs="Arial"/>
        </w:rPr>
        <w:t xml:space="preserve"> 80 milijonov evrov spodbud </w:t>
      </w:r>
      <w:r w:rsidR="00415E35" w:rsidRPr="00900F8E">
        <w:rPr>
          <w:rFonts w:ascii="Arial" w:hAnsi="Arial" w:cs="Arial"/>
        </w:rPr>
        <w:t>za</w:t>
      </w:r>
      <w:r w:rsidRPr="00900F8E">
        <w:rPr>
          <w:rFonts w:ascii="Arial" w:hAnsi="Arial" w:cs="Arial"/>
        </w:rPr>
        <w:t xml:space="preserve"> sektorj</w:t>
      </w:r>
      <w:r w:rsidR="00415E35" w:rsidRPr="00900F8E">
        <w:rPr>
          <w:rFonts w:ascii="Arial" w:hAnsi="Arial" w:cs="Arial"/>
        </w:rPr>
        <w:t>e</w:t>
      </w:r>
      <w:r w:rsidRPr="00900F8E">
        <w:rPr>
          <w:rFonts w:ascii="Arial" w:hAnsi="Arial" w:cs="Arial"/>
        </w:rPr>
        <w:t xml:space="preserve"> gospodinjstvo, javni sektor, gospodarstvo, industrija in promet. Zajeti so ukrepi v stavbah, kot </w:t>
      </w:r>
      <w:r w:rsidR="00C42CE6">
        <w:rPr>
          <w:rFonts w:ascii="Arial" w:hAnsi="Arial" w:cs="Arial"/>
        </w:rPr>
        <w:t>so</w:t>
      </w:r>
      <w:r w:rsidR="00C42CE6" w:rsidRPr="00900F8E">
        <w:rPr>
          <w:rFonts w:ascii="Arial" w:hAnsi="Arial" w:cs="Arial"/>
        </w:rPr>
        <w:t xml:space="preserve"> </w:t>
      </w:r>
      <w:r w:rsidRPr="00900F8E">
        <w:rPr>
          <w:rFonts w:ascii="Arial" w:hAnsi="Arial" w:cs="Arial"/>
        </w:rPr>
        <w:t>gradnja nizkoenergijskih stavb, energetske prenove stavb, zamenjava kurilnih naprav, vgradnja sprejemnikov sončne energije i</w:t>
      </w:r>
      <w:r w:rsidR="00C42CE6">
        <w:rPr>
          <w:rFonts w:ascii="Arial" w:hAnsi="Arial" w:cs="Arial"/>
        </w:rPr>
        <w:t>p</w:t>
      </w:r>
      <w:r w:rsidRPr="00900F8E">
        <w:rPr>
          <w:rFonts w:ascii="Arial" w:hAnsi="Arial" w:cs="Arial"/>
        </w:rPr>
        <w:t>d.</w:t>
      </w:r>
      <w:r w:rsidR="00C42CE6">
        <w:rPr>
          <w:rFonts w:ascii="Arial" w:hAnsi="Arial" w:cs="Arial"/>
        </w:rPr>
        <w:t>,</w:t>
      </w:r>
      <w:r w:rsidRPr="00900F8E">
        <w:rPr>
          <w:rFonts w:ascii="Arial" w:hAnsi="Arial" w:cs="Arial"/>
        </w:rPr>
        <w:t xml:space="preserve"> </w:t>
      </w:r>
      <w:r w:rsidR="00C42CE6">
        <w:rPr>
          <w:rFonts w:ascii="Arial" w:hAnsi="Arial" w:cs="Arial"/>
        </w:rPr>
        <w:t>in</w:t>
      </w:r>
      <w:r w:rsidR="00C42CE6" w:rsidRPr="00900F8E">
        <w:rPr>
          <w:rFonts w:ascii="Arial" w:hAnsi="Arial" w:cs="Arial"/>
        </w:rPr>
        <w:t xml:space="preserve"> </w:t>
      </w:r>
      <w:r w:rsidRPr="00900F8E">
        <w:rPr>
          <w:rFonts w:ascii="Arial" w:hAnsi="Arial" w:cs="Arial"/>
        </w:rPr>
        <w:t xml:space="preserve">ukrepi v prometu, kar </w:t>
      </w:r>
      <w:r w:rsidR="00415E35" w:rsidRPr="00900F8E">
        <w:rPr>
          <w:rFonts w:ascii="Arial" w:hAnsi="Arial" w:cs="Arial"/>
        </w:rPr>
        <w:t xml:space="preserve">med drugim </w:t>
      </w:r>
      <w:r w:rsidRPr="00900F8E">
        <w:rPr>
          <w:rFonts w:ascii="Arial" w:hAnsi="Arial" w:cs="Arial"/>
        </w:rPr>
        <w:t>vključuje nakup novih električnih vozil</w:t>
      </w:r>
      <w:r w:rsidR="00415E35" w:rsidRPr="00900F8E">
        <w:rPr>
          <w:rFonts w:ascii="Arial" w:hAnsi="Arial" w:cs="Arial"/>
        </w:rPr>
        <w:t xml:space="preserve"> in</w:t>
      </w:r>
      <w:r w:rsidRPr="00900F8E">
        <w:rPr>
          <w:rFonts w:ascii="Arial" w:hAnsi="Arial" w:cs="Arial"/>
        </w:rPr>
        <w:t xml:space="preserve"> postavitev polnilnih postaj. </w:t>
      </w:r>
    </w:p>
    <w:p w14:paraId="03F2C286" w14:textId="3B68B21E" w:rsidR="0077379C" w:rsidRPr="00900F8E" w:rsidRDefault="0077379C" w:rsidP="00C52E4C">
      <w:pPr>
        <w:spacing w:after="0" w:line="240" w:lineRule="auto"/>
        <w:jc w:val="both"/>
        <w:rPr>
          <w:rFonts w:ascii="Arial" w:hAnsi="Arial" w:cs="Arial"/>
        </w:rPr>
      </w:pPr>
    </w:p>
    <w:p w14:paraId="0D164FEB" w14:textId="3AF2EBB0" w:rsidR="00871C3B" w:rsidRPr="00900F8E" w:rsidRDefault="00415E35" w:rsidP="00C52E4C">
      <w:pPr>
        <w:spacing w:after="0" w:line="240" w:lineRule="auto"/>
        <w:jc w:val="both"/>
        <w:rPr>
          <w:rFonts w:ascii="Arial" w:hAnsi="Arial" w:cs="Arial"/>
        </w:rPr>
      </w:pPr>
      <w:r w:rsidRPr="00900F8E">
        <w:rPr>
          <w:rFonts w:ascii="Arial" w:hAnsi="Arial" w:cs="Arial"/>
        </w:rPr>
        <w:t>V letu 2020 je bilo za tono manj emisije CO</w:t>
      </w:r>
      <w:r w:rsidRPr="00900F8E">
        <w:rPr>
          <w:rFonts w:ascii="Arial" w:hAnsi="Arial" w:cs="Arial"/>
          <w:vertAlign w:val="subscript"/>
        </w:rPr>
        <w:t>2</w:t>
      </w:r>
      <w:r w:rsidRPr="00900F8E">
        <w:rPr>
          <w:rFonts w:ascii="Arial" w:hAnsi="Arial" w:cs="Arial"/>
        </w:rPr>
        <w:t xml:space="preserve"> </w:t>
      </w:r>
      <w:r w:rsidR="00C42CE6">
        <w:rPr>
          <w:rFonts w:ascii="Arial" w:hAnsi="Arial" w:cs="Arial"/>
        </w:rPr>
        <w:t>treba</w:t>
      </w:r>
      <w:r w:rsidR="00C42CE6" w:rsidRPr="00900F8E">
        <w:rPr>
          <w:rFonts w:ascii="Arial" w:hAnsi="Arial" w:cs="Arial"/>
        </w:rPr>
        <w:t xml:space="preserve"> </w:t>
      </w:r>
      <w:r w:rsidRPr="00900F8E">
        <w:rPr>
          <w:rFonts w:ascii="Arial" w:hAnsi="Arial" w:cs="Arial"/>
        </w:rPr>
        <w:t xml:space="preserve">izplačati približno 1.000 </w:t>
      </w:r>
      <w:r w:rsidR="00C42CE6">
        <w:rPr>
          <w:rFonts w:ascii="Arial" w:hAnsi="Arial" w:cs="Arial"/>
        </w:rPr>
        <w:t>evrov</w:t>
      </w:r>
      <w:r w:rsidRPr="00900F8E">
        <w:rPr>
          <w:rFonts w:ascii="Arial" w:hAnsi="Arial" w:cs="Arial"/>
        </w:rPr>
        <w:t xml:space="preserve"> nepovratne spodbude, v letu 2021 pa približno 1.150 </w:t>
      </w:r>
      <w:r w:rsidR="00C42CE6">
        <w:rPr>
          <w:rFonts w:ascii="Arial" w:hAnsi="Arial" w:cs="Arial"/>
        </w:rPr>
        <w:t>evrov</w:t>
      </w:r>
      <w:r w:rsidRPr="00900F8E">
        <w:rPr>
          <w:rFonts w:ascii="Arial" w:hAnsi="Arial" w:cs="Arial"/>
        </w:rPr>
        <w:t xml:space="preserve"> nepovratne spodbude.</w:t>
      </w:r>
      <w:r w:rsidR="00FF00E2" w:rsidRPr="00900F8E">
        <w:rPr>
          <w:rFonts w:ascii="Arial" w:hAnsi="Arial" w:cs="Arial"/>
        </w:rPr>
        <w:t xml:space="preserve"> </w:t>
      </w:r>
    </w:p>
    <w:p w14:paraId="3A85F853" w14:textId="47CE0523" w:rsidR="00415E35" w:rsidRPr="00900F8E" w:rsidRDefault="00FF00E2" w:rsidP="00C52E4C">
      <w:pPr>
        <w:spacing w:after="0" w:line="240" w:lineRule="auto"/>
        <w:jc w:val="both"/>
        <w:rPr>
          <w:rFonts w:ascii="Arial" w:hAnsi="Arial" w:cs="Arial"/>
        </w:rPr>
      </w:pPr>
      <w:r w:rsidRPr="00900F8E">
        <w:rPr>
          <w:rFonts w:ascii="Arial" w:hAnsi="Arial" w:cs="Arial"/>
        </w:rPr>
        <w:t xml:space="preserve">V </w:t>
      </w:r>
      <w:r w:rsidR="00E8102C" w:rsidRPr="00900F8E">
        <w:rPr>
          <w:rFonts w:ascii="Arial" w:hAnsi="Arial" w:cs="Arial"/>
        </w:rPr>
        <w:t>letu 2020</w:t>
      </w:r>
      <w:r w:rsidRPr="00900F8E">
        <w:rPr>
          <w:rFonts w:ascii="Arial" w:hAnsi="Arial" w:cs="Arial"/>
        </w:rPr>
        <w:t xml:space="preserve"> </w:t>
      </w:r>
      <w:r w:rsidR="00E8102C" w:rsidRPr="00900F8E">
        <w:rPr>
          <w:rFonts w:ascii="Arial" w:hAnsi="Arial" w:cs="Arial"/>
        </w:rPr>
        <w:t>so</w:t>
      </w:r>
      <w:r w:rsidRPr="00900F8E">
        <w:rPr>
          <w:rFonts w:ascii="Arial" w:hAnsi="Arial" w:cs="Arial"/>
        </w:rPr>
        <w:t xml:space="preserve"> izplačan</w:t>
      </w:r>
      <w:r w:rsidR="00E8102C" w:rsidRPr="00900F8E">
        <w:rPr>
          <w:rFonts w:ascii="Arial" w:hAnsi="Arial" w:cs="Arial"/>
        </w:rPr>
        <w:t>a</w:t>
      </w:r>
      <w:r w:rsidRPr="00900F8E">
        <w:rPr>
          <w:rFonts w:ascii="Arial" w:hAnsi="Arial" w:cs="Arial"/>
        </w:rPr>
        <w:t xml:space="preserve"> </w:t>
      </w:r>
      <w:r w:rsidR="00B6634C" w:rsidRPr="00900F8E">
        <w:rPr>
          <w:rFonts w:ascii="Arial" w:hAnsi="Arial" w:cs="Arial"/>
        </w:rPr>
        <w:t>finančn</w:t>
      </w:r>
      <w:r w:rsidR="00E8102C" w:rsidRPr="00900F8E">
        <w:rPr>
          <w:rFonts w:ascii="Arial" w:hAnsi="Arial" w:cs="Arial"/>
        </w:rPr>
        <w:t>a</w:t>
      </w:r>
      <w:r w:rsidR="00B6634C" w:rsidRPr="00900F8E">
        <w:rPr>
          <w:rFonts w:ascii="Arial" w:hAnsi="Arial" w:cs="Arial"/>
        </w:rPr>
        <w:t xml:space="preserve"> sredst</w:t>
      </w:r>
      <w:r w:rsidR="00E8102C" w:rsidRPr="00900F8E">
        <w:rPr>
          <w:rFonts w:ascii="Arial" w:hAnsi="Arial" w:cs="Arial"/>
        </w:rPr>
        <w:t>va</w:t>
      </w:r>
      <w:r w:rsidRPr="00900F8E">
        <w:rPr>
          <w:rFonts w:ascii="Arial" w:hAnsi="Arial" w:cs="Arial"/>
        </w:rPr>
        <w:t xml:space="preserve"> spodbudil</w:t>
      </w:r>
      <w:r w:rsidR="00E8102C" w:rsidRPr="00900F8E">
        <w:rPr>
          <w:rFonts w:ascii="Arial" w:hAnsi="Arial" w:cs="Arial"/>
        </w:rPr>
        <w:t>a</w:t>
      </w:r>
      <w:r w:rsidRPr="00900F8E">
        <w:rPr>
          <w:rFonts w:ascii="Arial" w:hAnsi="Arial" w:cs="Arial"/>
        </w:rPr>
        <w:t xml:space="preserve"> </w:t>
      </w:r>
      <w:r w:rsidR="00902D45" w:rsidRPr="00900F8E">
        <w:rPr>
          <w:rFonts w:ascii="Arial" w:hAnsi="Arial" w:cs="Arial"/>
        </w:rPr>
        <w:t xml:space="preserve">za </w:t>
      </w:r>
      <w:r w:rsidR="00EF1E28" w:rsidRPr="00900F8E">
        <w:rPr>
          <w:rFonts w:ascii="Arial" w:hAnsi="Arial" w:cs="Arial"/>
        </w:rPr>
        <w:t>348</w:t>
      </w:r>
      <w:r w:rsidRPr="00900F8E">
        <w:rPr>
          <w:rFonts w:ascii="Arial" w:hAnsi="Arial" w:cs="Arial"/>
        </w:rPr>
        <w:t xml:space="preserve"> milijonov evrov investicij</w:t>
      </w:r>
      <w:r w:rsidR="00EF1E28" w:rsidRPr="00900F8E">
        <w:rPr>
          <w:rFonts w:ascii="Arial" w:hAnsi="Arial" w:cs="Arial"/>
        </w:rPr>
        <w:t xml:space="preserve">, kar je </w:t>
      </w:r>
      <w:r w:rsidRPr="00900F8E">
        <w:rPr>
          <w:rFonts w:ascii="Arial" w:hAnsi="Arial" w:cs="Arial"/>
        </w:rPr>
        <w:t>prispeval</w:t>
      </w:r>
      <w:r w:rsidR="00902D45" w:rsidRPr="00900F8E">
        <w:rPr>
          <w:rFonts w:ascii="Arial" w:hAnsi="Arial" w:cs="Arial"/>
        </w:rPr>
        <w:t>o</w:t>
      </w:r>
      <w:r w:rsidRPr="00900F8E">
        <w:rPr>
          <w:rFonts w:ascii="Arial" w:hAnsi="Arial" w:cs="Arial"/>
        </w:rPr>
        <w:t xml:space="preserve"> k zmanjšanju emisije CO</w:t>
      </w:r>
      <w:r w:rsidR="00902D45" w:rsidRPr="00900F8E">
        <w:rPr>
          <w:rFonts w:ascii="Arial" w:hAnsi="Arial" w:cs="Arial"/>
          <w:vertAlign w:val="subscript"/>
        </w:rPr>
        <w:t>2</w:t>
      </w:r>
      <w:r w:rsidRPr="00900F8E">
        <w:rPr>
          <w:rFonts w:ascii="Arial" w:hAnsi="Arial" w:cs="Arial"/>
        </w:rPr>
        <w:t xml:space="preserve"> za </w:t>
      </w:r>
      <w:r w:rsidR="00EF1E28" w:rsidRPr="00900F8E">
        <w:rPr>
          <w:rFonts w:ascii="Arial" w:hAnsi="Arial" w:cs="Arial"/>
        </w:rPr>
        <w:t>67</w:t>
      </w:r>
      <w:r w:rsidRPr="00900F8E">
        <w:rPr>
          <w:rFonts w:ascii="Arial" w:hAnsi="Arial" w:cs="Arial"/>
        </w:rPr>
        <w:t xml:space="preserve"> kt na leto.</w:t>
      </w:r>
      <w:r w:rsidR="00EF1E28" w:rsidRPr="00900F8E">
        <w:rPr>
          <w:rFonts w:ascii="Arial" w:hAnsi="Arial" w:cs="Arial"/>
        </w:rPr>
        <w:t xml:space="preserve"> V letu 2021 so izplačana finančna sredstva spodbudila za 369 milijonov evrov investicij, kar je prispevalo k zmanjšanju emisije CO</w:t>
      </w:r>
      <w:r w:rsidR="00EF1E28" w:rsidRPr="00900F8E">
        <w:rPr>
          <w:rFonts w:ascii="Arial" w:hAnsi="Arial" w:cs="Arial"/>
          <w:vertAlign w:val="subscript"/>
        </w:rPr>
        <w:t>2</w:t>
      </w:r>
      <w:r w:rsidR="00EF1E28" w:rsidRPr="00900F8E">
        <w:rPr>
          <w:rFonts w:ascii="Arial" w:hAnsi="Arial" w:cs="Arial"/>
        </w:rPr>
        <w:t xml:space="preserve"> za 62 kt na leto</w:t>
      </w:r>
      <w:r w:rsidR="00695554" w:rsidRPr="00900F8E">
        <w:rPr>
          <w:rFonts w:ascii="Arial" w:hAnsi="Arial" w:cs="Arial"/>
        </w:rPr>
        <w:t>.</w:t>
      </w:r>
    </w:p>
    <w:p w14:paraId="33B3ED90" w14:textId="5A4368C9" w:rsidR="009F10C2" w:rsidRDefault="009F10C2" w:rsidP="00C52E4C">
      <w:pPr>
        <w:spacing w:after="0" w:line="240" w:lineRule="auto"/>
        <w:jc w:val="both"/>
        <w:rPr>
          <w:rFonts w:ascii="Arial" w:hAnsi="Arial" w:cs="Arial"/>
          <w:b/>
          <w:bCs/>
        </w:rPr>
      </w:pPr>
    </w:p>
    <w:p w14:paraId="6717BF82" w14:textId="77777777" w:rsidR="00103137" w:rsidRPr="00900F8E" w:rsidRDefault="00103137" w:rsidP="00C52E4C">
      <w:pPr>
        <w:spacing w:after="0" w:line="240" w:lineRule="auto"/>
        <w:jc w:val="both"/>
        <w:rPr>
          <w:rFonts w:ascii="Arial" w:hAnsi="Arial" w:cs="Arial"/>
          <w:b/>
          <w:bCs/>
        </w:rPr>
      </w:pPr>
    </w:p>
    <w:p w14:paraId="22D2154A" w14:textId="14488AD8" w:rsidR="000D0CC3" w:rsidRPr="000D0CC3" w:rsidRDefault="00684BF8" w:rsidP="000D0CC3">
      <w:pPr>
        <w:pStyle w:val="Napis"/>
        <w:keepNext/>
        <w:rPr>
          <w:rFonts w:ascii="Arial" w:hAnsi="Arial" w:cs="Arial"/>
          <w:b/>
          <w:bCs/>
          <w:i w:val="0"/>
          <w:iCs w:val="0"/>
          <w:color w:val="auto"/>
          <w:sz w:val="22"/>
          <w:szCs w:val="22"/>
        </w:rPr>
      </w:pPr>
      <w:bookmarkStart w:id="41" w:name="_Toc112842032"/>
      <w:r>
        <w:rPr>
          <w:rFonts w:ascii="Arial" w:hAnsi="Arial" w:cs="Arial"/>
          <w:b/>
          <w:bCs/>
          <w:i w:val="0"/>
          <w:iCs w:val="0"/>
          <w:color w:val="auto"/>
          <w:sz w:val="22"/>
          <w:szCs w:val="22"/>
        </w:rPr>
        <w:t>Preglednica</w:t>
      </w:r>
      <w:r w:rsidR="000D0CC3" w:rsidRPr="000D0CC3">
        <w:rPr>
          <w:rFonts w:ascii="Arial" w:hAnsi="Arial" w:cs="Arial"/>
          <w:b/>
          <w:bCs/>
          <w:i w:val="0"/>
          <w:iCs w:val="0"/>
          <w:color w:val="auto"/>
          <w:sz w:val="22"/>
          <w:szCs w:val="22"/>
        </w:rPr>
        <w:t xml:space="preserve"> </w:t>
      </w:r>
      <w:r w:rsidR="000D0CC3" w:rsidRPr="000D0CC3">
        <w:rPr>
          <w:rFonts w:ascii="Arial" w:hAnsi="Arial" w:cs="Arial"/>
          <w:b/>
          <w:bCs/>
          <w:i w:val="0"/>
          <w:iCs w:val="0"/>
          <w:color w:val="auto"/>
          <w:sz w:val="22"/>
          <w:szCs w:val="22"/>
        </w:rPr>
        <w:fldChar w:fldCharType="begin"/>
      </w:r>
      <w:r w:rsidR="000D0CC3" w:rsidRPr="000D0CC3">
        <w:rPr>
          <w:rFonts w:ascii="Arial" w:hAnsi="Arial" w:cs="Arial"/>
          <w:b/>
          <w:bCs/>
          <w:i w:val="0"/>
          <w:iCs w:val="0"/>
          <w:color w:val="auto"/>
          <w:sz w:val="22"/>
          <w:szCs w:val="22"/>
        </w:rPr>
        <w:instrText xml:space="preserve"> SEQ Tabela \* ARABIC </w:instrText>
      </w:r>
      <w:r w:rsidR="000D0CC3" w:rsidRPr="000D0CC3">
        <w:rPr>
          <w:rFonts w:ascii="Arial" w:hAnsi="Arial" w:cs="Arial"/>
          <w:b/>
          <w:bCs/>
          <w:i w:val="0"/>
          <w:iCs w:val="0"/>
          <w:color w:val="auto"/>
          <w:sz w:val="22"/>
          <w:szCs w:val="22"/>
        </w:rPr>
        <w:fldChar w:fldCharType="separate"/>
      </w:r>
      <w:r w:rsidR="009B48AB">
        <w:rPr>
          <w:rFonts w:ascii="Arial" w:hAnsi="Arial" w:cs="Arial"/>
          <w:b/>
          <w:bCs/>
          <w:i w:val="0"/>
          <w:iCs w:val="0"/>
          <w:noProof/>
          <w:color w:val="auto"/>
          <w:sz w:val="22"/>
          <w:szCs w:val="22"/>
        </w:rPr>
        <w:t>4</w:t>
      </w:r>
      <w:r w:rsidR="000D0CC3" w:rsidRPr="000D0CC3">
        <w:rPr>
          <w:rFonts w:ascii="Arial" w:hAnsi="Arial" w:cs="Arial"/>
          <w:b/>
          <w:bCs/>
          <w:i w:val="0"/>
          <w:iCs w:val="0"/>
          <w:color w:val="auto"/>
          <w:sz w:val="22"/>
          <w:szCs w:val="22"/>
        </w:rPr>
        <w:fldChar w:fldCharType="end"/>
      </w:r>
      <w:r w:rsidR="000D0CC3" w:rsidRPr="000D0CC3">
        <w:rPr>
          <w:rFonts w:ascii="Arial" w:hAnsi="Arial" w:cs="Arial"/>
          <w:b/>
          <w:bCs/>
          <w:i w:val="0"/>
          <w:iCs w:val="0"/>
          <w:color w:val="auto"/>
          <w:sz w:val="22"/>
          <w:szCs w:val="22"/>
        </w:rPr>
        <w:t>: Viri sredstev in njihovi učinki</w:t>
      </w:r>
      <w:bookmarkEnd w:id="41"/>
    </w:p>
    <w:tbl>
      <w:tblPr>
        <w:tblStyle w:val="Tabelamrea"/>
        <w:tblW w:w="0" w:type="auto"/>
        <w:tblLook w:val="04A0" w:firstRow="1" w:lastRow="0" w:firstColumn="1" w:lastColumn="0" w:noHBand="0" w:noVBand="1"/>
      </w:tblPr>
      <w:tblGrid>
        <w:gridCol w:w="2547"/>
        <w:gridCol w:w="2410"/>
        <w:gridCol w:w="2126"/>
        <w:gridCol w:w="1933"/>
      </w:tblGrid>
      <w:tr w:rsidR="0021344F" w:rsidRPr="00900F8E" w14:paraId="2B40EDE9" w14:textId="77777777" w:rsidTr="00490185">
        <w:tc>
          <w:tcPr>
            <w:tcW w:w="2547" w:type="dxa"/>
            <w:tcBorders>
              <w:top w:val="nil"/>
              <w:left w:val="nil"/>
              <w:bottom w:val="single" w:sz="4" w:space="0" w:color="auto"/>
              <w:right w:val="single" w:sz="4" w:space="0" w:color="auto"/>
            </w:tcBorders>
          </w:tcPr>
          <w:p w14:paraId="69ADCDC8" w14:textId="77777777" w:rsidR="0021344F" w:rsidRPr="00900F8E" w:rsidRDefault="0021344F" w:rsidP="00103137">
            <w:pPr>
              <w:spacing w:before="40" w:after="40"/>
              <w:jc w:val="center"/>
              <w:rPr>
                <w:rFonts w:ascii="Arial" w:hAnsi="Arial" w:cs="Arial"/>
              </w:rPr>
            </w:pPr>
          </w:p>
        </w:tc>
        <w:tc>
          <w:tcPr>
            <w:tcW w:w="2410" w:type="dxa"/>
            <w:tcBorders>
              <w:left w:val="single" w:sz="4" w:space="0" w:color="auto"/>
            </w:tcBorders>
            <w:shd w:val="clear" w:color="auto" w:fill="E2EFD9" w:themeFill="accent6" w:themeFillTint="33"/>
          </w:tcPr>
          <w:p w14:paraId="4BBC51B7" w14:textId="40B3B4C3" w:rsidR="0021344F" w:rsidRPr="00900F8E" w:rsidRDefault="0021344F" w:rsidP="00103137">
            <w:pPr>
              <w:spacing w:before="40" w:after="40"/>
              <w:jc w:val="center"/>
              <w:rPr>
                <w:rFonts w:ascii="Arial" w:hAnsi="Arial" w:cs="Arial"/>
                <w:b/>
                <w:bCs/>
              </w:rPr>
            </w:pPr>
            <w:r w:rsidRPr="00900F8E">
              <w:rPr>
                <w:rFonts w:ascii="Arial" w:hAnsi="Arial" w:cs="Arial"/>
                <w:b/>
                <w:bCs/>
              </w:rPr>
              <w:t>Prispevek za energetsko učinkovitost</w:t>
            </w:r>
          </w:p>
        </w:tc>
        <w:tc>
          <w:tcPr>
            <w:tcW w:w="2126" w:type="dxa"/>
            <w:shd w:val="clear" w:color="auto" w:fill="E2EFD9" w:themeFill="accent6" w:themeFillTint="33"/>
          </w:tcPr>
          <w:p w14:paraId="1297AE14" w14:textId="293ACAD6" w:rsidR="0021344F" w:rsidRPr="00900F8E" w:rsidRDefault="0021344F" w:rsidP="00103137">
            <w:pPr>
              <w:spacing w:before="40" w:after="40"/>
              <w:jc w:val="center"/>
              <w:rPr>
                <w:rFonts w:ascii="Arial" w:hAnsi="Arial" w:cs="Arial"/>
                <w:b/>
                <w:bCs/>
              </w:rPr>
            </w:pPr>
            <w:r w:rsidRPr="00900F8E">
              <w:rPr>
                <w:rFonts w:ascii="Arial" w:hAnsi="Arial" w:cs="Arial"/>
                <w:b/>
                <w:bCs/>
              </w:rPr>
              <w:t>Sklad za podnebne spremembe</w:t>
            </w:r>
          </w:p>
        </w:tc>
        <w:tc>
          <w:tcPr>
            <w:tcW w:w="1933" w:type="dxa"/>
            <w:shd w:val="clear" w:color="auto" w:fill="E2EFD9" w:themeFill="accent6" w:themeFillTint="33"/>
          </w:tcPr>
          <w:p w14:paraId="5FFDEB83" w14:textId="2B4B2D0F" w:rsidR="0021344F" w:rsidRPr="00900F8E" w:rsidRDefault="0021344F" w:rsidP="00103137">
            <w:pPr>
              <w:spacing w:before="40" w:after="40"/>
              <w:jc w:val="center"/>
              <w:rPr>
                <w:rFonts w:ascii="Arial" w:hAnsi="Arial" w:cs="Arial"/>
                <w:b/>
                <w:bCs/>
              </w:rPr>
            </w:pPr>
            <w:r w:rsidRPr="00900F8E">
              <w:rPr>
                <w:rFonts w:ascii="Arial" w:hAnsi="Arial" w:cs="Arial"/>
                <w:b/>
                <w:bCs/>
              </w:rPr>
              <w:t>Kohezijski sklad</w:t>
            </w:r>
          </w:p>
        </w:tc>
      </w:tr>
      <w:tr w:rsidR="0021344F" w:rsidRPr="00900F8E" w14:paraId="59D4C9C7" w14:textId="77777777" w:rsidTr="00490185">
        <w:tc>
          <w:tcPr>
            <w:tcW w:w="2547" w:type="dxa"/>
            <w:tcBorders>
              <w:top w:val="single" w:sz="4" w:space="0" w:color="auto"/>
            </w:tcBorders>
            <w:shd w:val="clear" w:color="auto" w:fill="E7E6E6" w:themeFill="background2"/>
          </w:tcPr>
          <w:p w14:paraId="3744A869" w14:textId="5F7E8226" w:rsidR="0021344F" w:rsidRPr="00900F8E" w:rsidRDefault="0021344F" w:rsidP="00103137">
            <w:pPr>
              <w:spacing w:before="40" w:after="40"/>
              <w:jc w:val="both"/>
              <w:rPr>
                <w:rFonts w:ascii="Arial" w:hAnsi="Arial" w:cs="Arial"/>
                <w:b/>
                <w:bCs/>
              </w:rPr>
            </w:pPr>
            <w:r w:rsidRPr="00900F8E">
              <w:rPr>
                <w:rFonts w:ascii="Arial" w:hAnsi="Arial" w:cs="Arial"/>
                <w:b/>
                <w:bCs/>
              </w:rPr>
              <w:t>2020</w:t>
            </w:r>
          </w:p>
        </w:tc>
        <w:tc>
          <w:tcPr>
            <w:tcW w:w="2410" w:type="dxa"/>
            <w:shd w:val="clear" w:color="auto" w:fill="E7E6E6" w:themeFill="background2"/>
          </w:tcPr>
          <w:p w14:paraId="5FFD8F4C" w14:textId="77777777" w:rsidR="0021344F" w:rsidRPr="00900F8E" w:rsidRDefault="0021344F" w:rsidP="00103137">
            <w:pPr>
              <w:spacing w:before="40" w:after="40"/>
              <w:jc w:val="both"/>
              <w:rPr>
                <w:rFonts w:ascii="Arial" w:hAnsi="Arial" w:cs="Arial"/>
              </w:rPr>
            </w:pPr>
          </w:p>
        </w:tc>
        <w:tc>
          <w:tcPr>
            <w:tcW w:w="2126" w:type="dxa"/>
            <w:shd w:val="clear" w:color="auto" w:fill="E7E6E6" w:themeFill="background2"/>
          </w:tcPr>
          <w:p w14:paraId="1D6F3792" w14:textId="77777777" w:rsidR="0021344F" w:rsidRPr="00900F8E" w:rsidRDefault="0021344F" w:rsidP="00103137">
            <w:pPr>
              <w:spacing w:before="40" w:after="40"/>
              <w:jc w:val="both"/>
              <w:rPr>
                <w:rFonts w:ascii="Arial" w:hAnsi="Arial" w:cs="Arial"/>
              </w:rPr>
            </w:pPr>
          </w:p>
        </w:tc>
        <w:tc>
          <w:tcPr>
            <w:tcW w:w="1933" w:type="dxa"/>
            <w:shd w:val="clear" w:color="auto" w:fill="E7E6E6" w:themeFill="background2"/>
          </w:tcPr>
          <w:p w14:paraId="4EB3912A" w14:textId="77777777" w:rsidR="0021344F" w:rsidRPr="00900F8E" w:rsidRDefault="0021344F" w:rsidP="00103137">
            <w:pPr>
              <w:spacing w:before="40" w:after="40"/>
              <w:jc w:val="both"/>
              <w:rPr>
                <w:rFonts w:ascii="Arial" w:hAnsi="Arial" w:cs="Arial"/>
              </w:rPr>
            </w:pPr>
          </w:p>
        </w:tc>
      </w:tr>
      <w:tr w:rsidR="0021344F" w:rsidRPr="00900F8E" w14:paraId="63B55267" w14:textId="77777777" w:rsidTr="0021344F">
        <w:tc>
          <w:tcPr>
            <w:tcW w:w="2547" w:type="dxa"/>
          </w:tcPr>
          <w:p w14:paraId="74F3DE01" w14:textId="601F4A23" w:rsidR="0021344F" w:rsidRPr="00900F8E" w:rsidRDefault="0021344F" w:rsidP="00103137">
            <w:pPr>
              <w:spacing w:before="40" w:after="40"/>
              <w:jc w:val="both"/>
              <w:rPr>
                <w:rFonts w:ascii="Arial" w:hAnsi="Arial" w:cs="Arial"/>
                <w:b/>
                <w:bCs/>
              </w:rPr>
            </w:pPr>
            <w:r w:rsidRPr="00900F8E">
              <w:rPr>
                <w:rFonts w:ascii="Arial" w:hAnsi="Arial" w:cs="Arial"/>
                <w:b/>
                <w:bCs/>
              </w:rPr>
              <w:t>Izplačane spodbude</w:t>
            </w:r>
          </w:p>
        </w:tc>
        <w:tc>
          <w:tcPr>
            <w:tcW w:w="2410" w:type="dxa"/>
          </w:tcPr>
          <w:p w14:paraId="4A98CED0" w14:textId="0815C8FF" w:rsidR="0021344F" w:rsidRPr="00900F8E" w:rsidRDefault="00C71BF9" w:rsidP="00103137">
            <w:pPr>
              <w:spacing w:before="40" w:after="40"/>
              <w:jc w:val="center"/>
              <w:rPr>
                <w:rFonts w:ascii="Arial" w:hAnsi="Arial" w:cs="Arial"/>
              </w:rPr>
            </w:pPr>
            <w:r w:rsidRPr="00900F8E">
              <w:rPr>
                <w:rFonts w:ascii="Arial" w:hAnsi="Arial" w:cs="Arial"/>
              </w:rPr>
              <w:t xml:space="preserve">44 mio </w:t>
            </w:r>
            <w:r w:rsidR="00C42CE6">
              <w:rPr>
                <w:rFonts w:ascii="Arial" w:hAnsi="Arial" w:cs="Arial"/>
              </w:rPr>
              <w:t>EUR</w:t>
            </w:r>
          </w:p>
        </w:tc>
        <w:tc>
          <w:tcPr>
            <w:tcW w:w="2126" w:type="dxa"/>
          </w:tcPr>
          <w:p w14:paraId="6342E48A" w14:textId="46CCA24C" w:rsidR="0021344F" w:rsidRPr="00900F8E" w:rsidRDefault="00C71BF9" w:rsidP="00103137">
            <w:pPr>
              <w:spacing w:before="40" w:after="40"/>
              <w:jc w:val="center"/>
              <w:rPr>
                <w:rFonts w:ascii="Arial" w:hAnsi="Arial" w:cs="Arial"/>
              </w:rPr>
            </w:pPr>
            <w:r w:rsidRPr="00900F8E">
              <w:rPr>
                <w:rFonts w:ascii="Arial" w:hAnsi="Arial" w:cs="Arial"/>
              </w:rPr>
              <w:t xml:space="preserve">18 mio </w:t>
            </w:r>
            <w:r w:rsidR="00C42CE6">
              <w:rPr>
                <w:rFonts w:ascii="Arial" w:hAnsi="Arial" w:cs="Arial"/>
              </w:rPr>
              <w:t>EUR</w:t>
            </w:r>
          </w:p>
        </w:tc>
        <w:tc>
          <w:tcPr>
            <w:tcW w:w="1933" w:type="dxa"/>
          </w:tcPr>
          <w:p w14:paraId="18468051" w14:textId="337B1846" w:rsidR="0021344F" w:rsidRPr="00900F8E" w:rsidRDefault="00C71BF9" w:rsidP="00103137">
            <w:pPr>
              <w:spacing w:before="40" w:after="40"/>
              <w:jc w:val="center"/>
              <w:rPr>
                <w:rFonts w:ascii="Arial" w:hAnsi="Arial" w:cs="Arial"/>
              </w:rPr>
            </w:pPr>
            <w:r w:rsidRPr="00900F8E">
              <w:rPr>
                <w:rFonts w:ascii="Arial" w:hAnsi="Arial" w:cs="Arial"/>
              </w:rPr>
              <w:t xml:space="preserve">18 mio </w:t>
            </w:r>
            <w:r w:rsidR="00C42CE6">
              <w:rPr>
                <w:rFonts w:ascii="Arial" w:hAnsi="Arial" w:cs="Arial"/>
              </w:rPr>
              <w:t>EUR</w:t>
            </w:r>
          </w:p>
        </w:tc>
      </w:tr>
      <w:tr w:rsidR="0021344F" w:rsidRPr="00900F8E" w14:paraId="181969FA" w14:textId="77777777" w:rsidTr="0021344F">
        <w:tc>
          <w:tcPr>
            <w:tcW w:w="2547" w:type="dxa"/>
          </w:tcPr>
          <w:p w14:paraId="3E27355A" w14:textId="62FF72A7" w:rsidR="0021344F" w:rsidRPr="00900F8E" w:rsidRDefault="0021344F" w:rsidP="00103137">
            <w:pPr>
              <w:spacing w:before="40" w:after="40"/>
              <w:jc w:val="both"/>
              <w:rPr>
                <w:rFonts w:ascii="Arial" w:hAnsi="Arial" w:cs="Arial"/>
                <w:b/>
                <w:bCs/>
              </w:rPr>
            </w:pPr>
            <w:r w:rsidRPr="00900F8E">
              <w:rPr>
                <w:rFonts w:ascii="Arial" w:hAnsi="Arial" w:cs="Arial"/>
                <w:b/>
                <w:bCs/>
              </w:rPr>
              <w:t>Spodbujene investicije</w:t>
            </w:r>
          </w:p>
        </w:tc>
        <w:tc>
          <w:tcPr>
            <w:tcW w:w="2410" w:type="dxa"/>
          </w:tcPr>
          <w:p w14:paraId="013681CF" w14:textId="145F0708" w:rsidR="0021344F" w:rsidRPr="00900F8E" w:rsidRDefault="00E154E8" w:rsidP="00103137">
            <w:pPr>
              <w:spacing w:before="40" w:after="40"/>
              <w:jc w:val="center"/>
              <w:rPr>
                <w:rFonts w:ascii="Arial" w:hAnsi="Arial" w:cs="Arial"/>
              </w:rPr>
            </w:pPr>
            <w:r w:rsidRPr="00900F8E">
              <w:rPr>
                <w:rFonts w:ascii="Arial" w:hAnsi="Arial" w:cs="Arial"/>
              </w:rPr>
              <w:t xml:space="preserve">242 </w:t>
            </w:r>
            <w:r w:rsidR="00C71BF9" w:rsidRPr="00900F8E">
              <w:rPr>
                <w:rFonts w:ascii="Arial" w:hAnsi="Arial" w:cs="Arial"/>
              </w:rPr>
              <w:t xml:space="preserve">mio </w:t>
            </w:r>
            <w:r w:rsidR="00C42CE6">
              <w:rPr>
                <w:rFonts w:ascii="Arial" w:hAnsi="Arial" w:cs="Arial"/>
              </w:rPr>
              <w:t>EUR</w:t>
            </w:r>
          </w:p>
        </w:tc>
        <w:tc>
          <w:tcPr>
            <w:tcW w:w="2126" w:type="dxa"/>
          </w:tcPr>
          <w:p w14:paraId="231E99F3" w14:textId="1C9D69F7" w:rsidR="0021344F" w:rsidRPr="00900F8E" w:rsidRDefault="00E154E8" w:rsidP="00103137">
            <w:pPr>
              <w:spacing w:before="40" w:after="40"/>
              <w:jc w:val="center"/>
              <w:rPr>
                <w:rFonts w:ascii="Arial" w:hAnsi="Arial" w:cs="Arial"/>
              </w:rPr>
            </w:pPr>
            <w:r w:rsidRPr="00900F8E">
              <w:rPr>
                <w:rFonts w:ascii="Arial" w:hAnsi="Arial" w:cs="Arial"/>
              </w:rPr>
              <w:t xml:space="preserve">52 </w:t>
            </w:r>
            <w:r w:rsidR="00C71BF9" w:rsidRPr="00900F8E">
              <w:rPr>
                <w:rFonts w:ascii="Arial" w:hAnsi="Arial" w:cs="Arial"/>
              </w:rPr>
              <w:t xml:space="preserve">mio </w:t>
            </w:r>
            <w:r w:rsidR="00C42CE6">
              <w:rPr>
                <w:rFonts w:ascii="Arial" w:hAnsi="Arial" w:cs="Arial"/>
              </w:rPr>
              <w:t>EUR</w:t>
            </w:r>
          </w:p>
        </w:tc>
        <w:tc>
          <w:tcPr>
            <w:tcW w:w="1933" w:type="dxa"/>
          </w:tcPr>
          <w:p w14:paraId="6804B826" w14:textId="5DF6FB13" w:rsidR="0021344F" w:rsidRPr="00900F8E" w:rsidRDefault="00E154E8" w:rsidP="00103137">
            <w:pPr>
              <w:spacing w:before="40" w:after="40"/>
              <w:jc w:val="center"/>
              <w:rPr>
                <w:rFonts w:ascii="Arial" w:hAnsi="Arial" w:cs="Arial"/>
              </w:rPr>
            </w:pPr>
            <w:r w:rsidRPr="00900F8E">
              <w:rPr>
                <w:rFonts w:ascii="Arial" w:hAnsi="Arial" w:cs="Arial"/>
              </w:rPr>
              <w:t xml:space="preserve">54 </w:t>
            </w:r>
            <w:r w:rsidR="00C71BF9" w:rsidRPr="00900F8E">
              <w:rPr>
                <w:rFonts w:ascii="Arial" w:hAnsi="Arial" w:cs="Arial"/>
              </w:rPr>
              <w:t xml:space="preserve">mio </w:t>
            </w:r>
            <w:r w:rsidR="00C42CE6">
              <w:rPr>
                <w:rFonts w:ascii="Arial" w:hAnsi="Arial" w:cs="Arial"/>
              </w:rPr>
              <w:t>EUR</w:t>
            </w:r>
          </w:p>
        </w:tc>
      </w:tr>
      <w:tr w:rsidR="0021344F" w:rsidRPr="00900F8E" w14:paraId="53A6CA69" w14:textId="77777777" w:rsidTr="0021344F">
        <w:tc>
          <w:tcPr>
            <w:tcW w:w="2547" w:type="dxa"/>
          </w:tcPr>
          <w:p w14:paraId="220367A6" w14:textId="704EAB82" w:rsidR="0021344F" w:rsidRPr="00900F8E" w:rsidRDefault="0021344F" w:rsidP="00103137">
            <w:pPr>
              <w:spacing w:before="40" w:after="40"/>
              <w:jc w:val="both"/>
              <w:rPr>
                <w:rFonts w:ascii="Arial" w:hAnsi="Arial" w:cs="Arial"/>
                <w:b/>
                <w:bCs/>
              </w:rPr>
            </w:pPr>
            <w:r w:rsidRPr="00900F8E">
              <w:rPr>
                <w:rFonts w:ascii="Arial" w:hAnsi="Arial" w:cs="Arial"/>
                <w:b/>
                <w:bCs/>
              </w:rPr>
              <w:t>Zmanjšanje emisije CO</w:t>
            </w:r>
            <w:r w:rsidRPr="00900F8E">
              <w:rPr>
                <w:rFonts w:ascii="Arial" w:hAnsi="Arial" w:cs="Arial"/>
                <w:b/>
                <w:bCs/>
                <w:vertAlign w:val="subscript"/>
              </w:rPr>
              <w:t>2</w:t>
            </w:r>
          </w:p>
        </w:tc>
        <w:tc>
          <w:tcPr>
            <w:tcW w:w="2410" w:type="dxa"/>
          </w:tcPr>
          <w:p w14:paraId="77AC1E3F" w14:textId="7CBACC35" w:rsidR="0021344F" w:rsidRPr="00900F8E" w:rsidRDefault="00E154E8" w:rsidP="006B0FED">
            <w:pPr>
              <w:spacing w:before="120" w:after="40"/>
              <w:jc w:val="center"/>
              <w:rPr>
                <w:rFonts w:ascii="Arial" w:hAnsi="Arial" w:cs="Arial"/>
              </w:rPr>
            </w:pPr>
            <w:r w:rsidRPr="00900F8E">
              <w:rPr>
                <w:rFonts w:ascii="Arial" w:hAnsi="Arial" w:cs="Arial"/>
              </w:rPr>
              <w:t xml:space="preserve">34 </w:t>
            </w:r>
            <w:r w:rsidR="00C71BF9" w:rsidRPr="00900F8E">
              <w:rPr>
                <w:rFonts w:ascii="Arial" w:hAnsi="Arial" w:cs="Arial"/>
              </w:rPr>
              <w:t>kt CO</w:t>
            </w:r>
            <w:r w:rsidR="00C71BF9" w:rsidRPr="00900F8E">
              <w:rPr>
                <w:rFonts w:ascii="Arial" w:hAnsi="Arial" w:cs="Arial"/>
                <w:vertAlign w:val="subscript"/>
              </w:rPr>
              <w:t>2</w:t>
            </w:r>
            <w:r w:rsidR="00C71BF9" w:rsidRPr="00900F8E">
              <w:rPr>
                <w:rFonts w:ascii="Arial" w:hAnsi="Arial" w:cs="Arial"/>
              </w:rPr>
              <w:t>/leto</w:t>
            </w:r>
          </w:p>
        </w:tc>
        <w:tc>
          <w:tcPr>
            <w:tcW w:w="2126" w:type="dxa"/>
          </w:tcPr>
          <w:p w14:paraId="21115A03" w14:textId="286B3669" w:rsidR="0021344F" w:rsidRPr="00900F8E" w:rsidRDefault="00E154E8" w:rsidP="006B0FED">
            <w:pPr>
              <w:spacing w:before="120" w:after="40"/>
              <w:jc w:val="center"/>
              <w:rPr>
                <w:rFonts w:ascii="Arial" w:hAnsi="Arial" w:cs="Arial"/>
              </w:rPr>
            </w:pPr>
            <w:r w:rsidRPr="00900F8E">
              <w:rPr>
                <w:rFonts w:ascii="Arial" w:hAnsi="Arial" w:cs="Arial"/>
              </w:rPr>
              <w:t xml:space="preserve">28 </w:t>
            </w:r>
            <w:r w:rsidR="00C71BF9" w:rsidRPr="00900F8E">
              <w:rPr>
                <w:rFonts w:ascii="Arial" w:hAnsi="Arial" w:cs="Arial"/>
              </w:rPr>
              <w:t>kt CO</w:t>
            </w:r>
            <w:r w:rsidR="00C71BF9" w:rsidRPr="00900F8E">
              <w:rPr>
                <w:rFonts w:ascii="Arial" w:hAnsi="Arial" w:cs="Arial"/>
                <w:vertAlign w:val="subscript"/>
              </w:rPr>
              <w:t>2</w:t>
            </w:r>
            <w:r w:rsidR="00C71BF9" w:rsidRPr="00900F8E">
              <w:rPr>
                <w:rFonts w:ascii="Arial" w:hAnsi="Arial" w:cs="Arial"/>
              </w:rPr>
              <w:t>/leto</w:t>
            </w:r>
          </w:p>
        </w:tc>
        <w:tc>
          <w:tcPr>
            <w:tcW w:w="1933" w:type="dxa"/>
          </w:tcPr>
          <w:p w14:paraId="31B6FA22" w14:textId="6A7091E6" w:rsidR="0021344F" w:rsidRPr="00900F8E" w:rsidRDefault="00E154E8" w:rsidP="006B0FED">
            <w:pPr>
              <w:spacing w:before="120" w:after="40"/>
              <w:jc w:val="center"/>
              <w:rPr>
                <w:rFonts w:ascii="Arial" w:hAnsi="Arial" w:cs="Arial"/>
              </w:rPr>
            </w:pPr>
            <w:r w:rsidRPr="00900F8E">
              <w:rPr>
                <w:rFonts w:ascii="Arial" w:hAnsi="Arial" w:cs="Arial"/>
              </w:rPr>
              <w:t xml:space="preserve">5 </w:t>
            </w:r>
            <w:r w:rsidR="00C71BF9" w:rsidRPr="00900F8E">
              <w:rPr>
                <w:rFonts w:ascii="Arial" w:hAnsi="Arial" w:cs="Arial"/>
              </w:rPr>
              <w:t>kt CO</w:t>
            </w:r>
            <w:r w:rsidR="00C71BF9" w:rsidRPr="00900F8E">
              <w:rPr>
                <w:rFonts w:ascii="Arial" w:hAnsi="Arial" w:cs="Arial"/>
                <w:vertAlign w:val="subscript"/>
              </w:rPr>
              <w:t>2</w:t>
            </w:r>
            <w:r w:rsidR="00C71BF9" w:rsidRPr="00900F8E">
              <w:rPr>
                <w:rFonts w:ascii="Arial" w:hAnsi="Arial" w:cs="Arial"/>
              </w:rPr>
              <w:t>/leto</w:t>
            </w:r>
          </w:p>
        </w:tc>
      </w:tr>
      <w:tr w:rsidR="0021344F" w:rsidRPr="00900F8E" w14:paraId="483D9B3E" w14:textId="77777777" w:rsidTr="00C71BF9">
        <w:tc>
          <w:tcPr>
            <w:tcW w:w="2547" w:type="dxa"/>
            <w:shd w:val="clear" w:color="auto" w:fill="E7E6E6" w:themeFill="background2"/>
          </w:tcPr>
          <w:p w14:paraId="4F138297" w14:textId="7F915A96" w:rsidR="0021344F" w:rsidRPr="00900F8E" w:rsidRDefault="0021344F" w:rsidP="00103137">
            <w:pPr>
              <w:spacing w:before="40" w:after="40"/>
              <w:jc w:val="both"/>
              <w:rPr>
                <w:rFonts w:ascii="Arial" w:hAnsi="Arial" w:cs="Arial"/>
                <w:b/>
                <w:bCs/>
              </w:rPr>
            </w:pPr>
            <w:r w:rsidRPr="00900F8E">
              <w:rPr>
                <w:rFonts w:ascii="Arial" w:hAnsi="Arial" w:cs="Arial"/>
                <w:b/>
                <w:bCs/>
              </w:rPr>
              <w:t>2021</w:t>
            </w:r>
          </w:p>
        </w:tc>
        <w:tc>
          <w:tcPr>
            <w:tcW w:w="2410" w:type="dxa"/>
            <w:shd w:val="clear" w:color="auto" w:fill="E7E6E6" w:themeFill="background2"/>
          </w:tcPr>
          <w:p w14:paraId="3A85C973" w14:textId="77777777" w:rsidR="0021344F" w:rsidRPr="00900F8E" w:rsidRDefault="0021344F" w:rsidP="00103137">
            <w:pPr>
              <w:spacing w:before="40" w:after="40"/>
              <w:jc w:val="center"/>
              <w:rPr>
                <w:rFonts w:ascii="Arial" w:hAnsi="Arial" w:cs="Arial"/>
              </w:rPr>
            </w:pPr>
          </w:p>
        </w:tc>
        <w:tc>
          <w:tcPr>
            <w:tcW w:w="2126" w:type="dxa"/>
            <w:shd w:val="clear" w:color="auto" w:fill="E7E6E6" w:themeFill="background2"/>
          </w:tcPr>
          <w:p w14:paraId="398E1E83" w14:textId="77777777" w:rsidR="0021344F" w:rsidRPr="00900F8E" w:rsidRDefault="0021344F" w:rsidP="00103137">
            <w:pPr>
              <w:spacing w:before="40" w:after="40"/>
              <w:jc w:val="center"/>
              <w:rPr>
                <w:rFonts w:ascii="Arial" w:hAnsi="Arial" w:cs="Arial"/>
              </w:rPr>
            </w:pPr>
          </w:p>
        </w:tc>
        <w:tc>
          <w:tcPr>
            <w:tcW w:w="1933" w:type="dxa"/>
            <w:shd w:val="clear" w:color="auto" w:fill="E7E6E6" w:themeFill="background2"/>
          </w:tcPr>
          <w:p w14:paraId="1C356A59" w14:textId="77777777" w:rsidR="0021344F" w:rsidRPr="00900F8E" w:rsidRDefault="0021344F" w:rsidP="00103137">
            <w:pPr>
              <w:spacing w:before="40" w:after="40"/>
              <w:jc w:val="center"/>
              <w:rPr>
                <w:rFonts w:ascii="Arial" w:hAnsi="Arial" w:cs="Arial"/>
              </w:rPr>
            </w:pPr>
          </w:p>
        </w:tc>
      </w:tr>
      <w:tr w:rsidR="0021344F" w:rsidRPr="00900F8E" w14:paraId="0A49439B" w14:textId="77777777" w:rsidTr="0021344F">
        <w:tc>
          <w:tcPr>
            <w:tcW w:w="2547" w:type="dxa"/>
          </w:tcPr>
          <w:p w14:paraId="40AFF2BD" w14:textId="550E3873" w:rsidR="0021344F" w:rsidRPr="00900F8E" w:rsidRDefault="0021344F" w:rsidP="00103137">
            <w:pPr>
              <w:spacing w:before="40" w:after="40"/>
              <w:jc w:val="both"/>
              <w:rPr>
                <w:rFonts w:ascii="Arial" w:hAnsi="Arial" w:cs="Arial"/>
                <w:b/>
                <w:bCs/>
              </w:rPr>
            </w:pPr>
            <w:r w:rsidRPr="00900F8E">
              <w:rPr>
                <w:rFonts w:ascii="Arial" w:hAnsi="Arial" w:cs="Arial"/>
                <w:b/>
                <w:bCs/>
              </w:rPr>
              <w:t>Izplačane spodbude</w:t>
            </w:r>
          </w:p>
        </w:tc>
        <w:tc>
          <w:tcPr>
            <w:tcW w:w="2410" w:type="dxa"/>
          </w:tcPr>
          <w:p w14:paraId="39001946" w14:textId="670AF9A4" w:rsidR="0021344F" w:rsidRPr="00900F8E" w:rsidRDefault="00C71BF9" w:rsidP="00103137">
            <w:pPr>
              <w:spacing w:before="40" w:after="40"/>
              <w:jc w:val="center"/>
              <w:rPr>
                <w:rFonts w:ascii="Arial" w:hAnsi="Arial" w:cs="Arial"/>
              </w:rPr>
            </w:pPr>
            <w:r w:rsidRPr="00900F8E">
              <w:rPr>
                <w:rFonts w:ascii="Arial" w:hAnsi="Arial" w:cs="Arial"/>
              </w:rPr>
              <w:t xml:space="preserve">44 mio </w:t>
            </w:r>
            <w:r w:rsidR="00C42CE6">
              <w:rPr>
                <w:rFonts w:ascii="Arial" w:hAnsi="Arial" w:cs="Arial"/>
              </w:rPr>
              <w:t>EUR</w:t>
            </w:r>
          </w:p>
        </w:tc>
        <w:tc>
          <w:tcPr>
            <w:tcW w:w="2126" w:type="dxa"/>
          </w:tcPr>
          <w:p w14:paraId="53D65963" w14:textId="2B17FE71" w:rsidR="0021344F" w:rsidRPr="00900F8E" w:rsidRDefault="00C71BF9" w:rsidP="00103137">
            <w:pPr>
              <w:spacing w:before="40" w:after="40"/>
              <w:jc w:val="center"/>
              <w:rPr>
                <w:rFonts w:ascii="Arial" w:hAnsi="Arial" w:cs="Arial"/>
              </w:rPr>
            </w:pPr>
            <w:r w:rsidRPr="00900F8E">
              <w:rPr>
                <w:rFonts w:ascii="Arial" w:hAnsi="Arial" w:cs="Arial"/>
              </w:rPr>
              <w:t xml:space="preserve">19 mio </w:t>
            </w:r>
            <w:r w:rsidR="00C42CE6">
              <w:rPr>
                <w:rFonts w:ascii="Arial" w:hAnsi="Arial" w:cs="Arial"/>
              </w:rPr>
              <w:t>EUR</w:t>
            </w:r>
          </w:p>
        </w:tc>
        <w:tc>
          <w:tcPr>
            <w:tcW w:w="1933" w:type="dxa"/>
          </w:tcPr>
          <w:p w14:paraId="61300554" w14:textId="5289042D" w:rsidR="0021344F" w:rsidRPr="00900F8E" w:rsidRDefault="00C71BF9" w:rsidP="00103137">
            <w:pPr>
              <w:spacing w:before="40" w:after="40"/>
              <w:jc w:val="center"/>
              <w:rPr>
                <w:rFonts w:ascii="Arial" w:hAnsi="Arial" w:cs="Arial"/>
              </w:rPr>
            </w:pPr>
            <w:r w:rsidRPr="00900F8E">
              <w:rPr>
                <w:rFonts w:ascii="Arial" w:hAnsi="Arial" w:cs="Arial"/>
              </w:rPr>
              <w:t xml:space="preserve">16 mio </w:t>
            </w:r>
            <w:r w:rsidR="00C42CE6">
              <w:rPr>
                <w:rFonts w:ascii="Arial" w:hAnsi="Arial" w:cs="Arial"/>
              </w:rPr>
              <w:t>EUR</w:t>
            </w:r>
          </w:p>
        </w:tc>
      </w:tr>
      <w:tr w:rsidR="0021344F" w:rsidRPr="00900F8E" w14:paraId="3207E130" w14:textId="77777777" w:rsidTr="0021344F">
        <w:tc>
          <w:tcPr>
            <w:tcW w:w="2547" w:type="dxa"/>
          </w:tcPr>
          <w:p w14:paraId="37B34DDA" w14:textId="5DEDCA47" w:rsidR="0021344F" w:rsidRPr="00900F8E" w:rsidRDefault="0021344F" w:rsidP="00103137">
            <w:pPr>
              <w:spacing w:before="40" w:after="40"/>
              <w:jc w:val="both"/>
              <w:rPr>
                <w:rFonts w:ascii="Arial" w:hAnsi="Arial" w:cs="Arial"/>
                <w:b/>
                <w:bCs/>
              </w:rPr>
            </w:pPr>
            <w:r w:rsidRPr="00900F8E">
              <w:rPr>
                <w:rFonts w:ascii="Arial" w:hAnsi="Arial" w:cs="Arial"/>
                <w:b/>
                <w:bCs/>
              </w:rPr>
              <w:t>Spodbujene investicije</w:t>
            </w:r>
          </w:p>
        </w:tc>
        <w:tc>
          <w:tcPr>
            <w:tcW w:w="2410" w:type="dxa"/>
          </w:tcPr>
          <w:p w14:paraId="74BE750A" w14:textId="6D7204FE" w:rsidR="0021344F" w:rsidRPr="00900F8E" w:rsidRDefault="00C71BF9" w:rsidP="00103137">
            <w:pPr>
              <w:spacing w:before="40" w:after="40"/>
              <w:jc w:val="center"/>
              <w:rPr>
                <w:rFonts w:ascii="Arial" w:hAnsi="Arial" w:cs="Arial"/>
              </w:rPr>
            </w:pPr>
            <w:r w:rsidRPr="00900F8E">
              <w:rPr>
                <w:rFonts w:ascii="Arial" w:hAnsi="Arial" w:cs="Arial"/>
              </w:rPr>
              <w:t xml:space="preserve">271 mio </w:t>
            </w:r>
            <w:r w:rsidR="00C42CE6">
              <w:rPr>
                <w:rFonts w:ascii="Arial" w:hAnsi="Arial" w:cs="Arial"/>
              </w:rPr>
              <w:t>EUR</w:t>
            </w:r>
          </w:p>
        </w:tc>
        <w:tc>
          <w:tcPr>
            <w:tcW w:w="2126" w:type="dxa"/>
          </w:tcPr>
          <w:p w14:paraId="499D0076" w14:textId="4A366B86" w:rsidR="0021344F" w:rsidRPr="00900F8E" w:rsidRDefault="00C71BF9" w:rsidP="00103137">
            <w:pPr>
              <w:spacing w:before="40" w:after="40"/>
              <w:jc w:val="center"/>
              <w:rPr>
                <w:rFonts w:ascii="Arial" w:hAnsi="Arial" w:cs="Arial"/>
              </w:rPr>
            </w:pPr>
            <w:r w:rsidRPr="00900F8E">
              <w:rPr>
                <w:rFonts w:ascii="Arial" w:hAnsi="Arial" w:cs="Arial"/>
              </w:rPr>
              <w:t xml:space="preserve">54 mio </w:t>
            </w:r>
            <w:r w:rsidR="00C42CE6">
              <w:rPr>
                <w:rFonts w:ascii="Arial" w:hAnsi="Arial" w:cs="Arial"/>
              </w:rPr>
              <w:t>EUR</w:t>
            </w:r>
          </w:p>
        </w:tc>
        <w:tc>
          <w:tcPr>
            <w:tcW w:w="1933" w:type="dxa"/>
          </w:tcPr>
          <w:p w14:paraId="27278436" w14:textId="24C7D936" w:rsidR="0021344F" w:rsidRPr="00900F8E" w:rsidRDefault="00C71BF9" w:rsidP="00103137">
            <w:pPr>
              <w:spacing w:before="40" w:after="40"/>
              <w:jc w:val="center"/>
              <w:rPr>
                <w:rFonts w:ascii="Arial" w:hAnsi="Arial" w:cs="Arial"/>
              </w:rPr>
            </w:pPr>
            <w:r w:rsidRPr="00900F8E">
              <w:rPr>
                <w:rFonts w:ascii="Arial" w:hAnsi="Arial" w:cs="Arial"/>
              </w:rPr>
              <w:t xml:space="preserve">44 mio </w:t>
            </w:r>
            <w:r w:rsidR="00C42CE6">
              <w:rPr>
                <w:rFonts w:ascii="Arial" w:hAnsi="Arial" w:cs="Arial"/>
              </w:rPr>
              <w:t>EUR</w:t>
            </w:r>
          </w:p>
        </w:tc>
      </w:tr>
      <w:tr w:rsidR="0021344F" w:rsidRPr="00900F8E" w14:paraId="06EE68A8" w14:textId="77777777" w:rsidTr="0021344F">
        <w:tc>
          <w:tcPr>
            <w:tcW w:w="2547" w:type="dxa"/>
          </w:tcPr>
          <w:p w14:paraId="7356B28B" w14:textId="0675FC7C" w:rsidR="0021344F" w:rsidRPr="00900F8E" w:rsidRDefault="0021344F" w:rsidP="00103137">
            <w:pPr>
              <w:spacing w:before="40" w:after="40"/>
              <w:jc w:val="both"/>
              <w:rPr>
                <w:rFonts w:ascii="Arial" w:hAnsi="Arial" w:cs="Arial"/>
                <w:b/>
                <w:bCs/>
              </w:rPr>
            </w:pPr>
            <w:r w:rsidRPr="00900F8E">
              <w:rPr>
                <w:rFonts w:ascii="Arial" w:hAnsi="Arial" w:cs="Arial"/>
                <w:b/>
                <w:bCs/>
              </w:rPr>
              <w:t>Zmanjšanje emisije CO</w:t>
            </w:r>
            <w:r w:rsidRPr="00900F8E">
              <w:rPr>
                <w:rFonts w:ascii="Arial" w:hAnsi="Arial" w:cs="Arial"/>
                <w:b/>
                <w:bCs/>
                <w:vertAlign w:val="subscript"/>
              </w:rPr>
              <w:t>2</w:t>
            </w:r>
          </w:p>
        </w:tc>
        <w:tc>
          <w:tcPr>
            <w:tcW w:w="2410" w:type="dxa"/>
          </w:tcPr>
          <w:p w14:paraId="600C82F8" w14:textId="073E40D6" w:rsidR="0021344F" w:rsidRPr="00900F8E" w:rsidRDefault="00C71BF9" w:rsidP="006B0FED">
            <w:pPr>
              <w:spacing w:before="120" w:after="40"/>
              <w:jc w:val="center"/>
              <w:rPr>
                <w:rFonts w:ascii="Arial" w:hAnsi="Arial" w:cs="Arial"/>
              </w:rPr>
            </w:pPr>
            <w:r w:rsidRPr="00900F8E">
              <w:rPr>
                <w:rFonts w:ascii="Arial" w:hAnsi="Arial" w:cs="Arial"/>
              </w:rPr>
              <w:t>32 kt CO</w:t>
            </w:r>
            <w:r w:rsidRPr="00900F8E">
              <w:rPr>
                <w:rFonts w:ascii="Arial" w:hAnsi="Arial" w:cs="Arial"/>
                <w:vertAlign w:val="subscript"/>
              </w:rPr>
              <w:t>2</w:t>
            </w:r>
            <w:r w:rsidRPr="00900F8E">
              <w:rPr>
                <w:rFonts w:ascii="Arial" w:hAnsi="Arial" w:cs="Arial"/>
              </w:rPr>
              <w:t>/leto</w:t>
            </w:r>
          </w:p>
        </w:tc>
        <w:tc>
          <w:tcPr>
            <w:tcW w:w="2126" w:type="dxa"/>
          </w:tcPr>
          <w:p w14:paraId="5B094354" w14:textId="43530B49" w:rsidR="0021344F" w:rsidRPr="00900F8E" w:rsidRDefault="00C71BF9" w:rsidP="006B0FED">
            <w:pPr>
              <w:spacing w:before="120" w:after="40"/>
              <w:jc w:val="center"/>
              <w:rPr>
                <w:rFonts w:ascii="Arial" w:hAnsi="Arial" w:cs="Arial"/>
              </w:rPr>
            </w:pPr>
            <w:r w:rsidRPr="00900F8E">
              <w:rPr>
                <w:rFonts w:ascii="Arial" w:hAnsi="Arial" w:cs="Arial"/>
              </w:rPr>
              <w:t>27 kt CO</w:t>
            </w:r>
            <w:r w:rsidRPr="00900F8E">
              <w:rPr>
                <w:rFonts w:ascii="Arial" w:hAnsi="Arial" w:cs="Arial"/>
                <w:vertAlign w:val="subscript"/>
              </w:rPr>
              <w:t>2</w:t>
            </w:r>
            <w:r w:rsidRPr="00900F8E">
              <w:rPr>
                <w:rFonts w:ascii="Arial" w:hAnsi="Arial" w:cs="Arial"/>
              </w:rPr>
              <w:t>/leto</w:t>
            </w:r>
          </w:p>
        </w:tc>
        <w:tc>
          <w:tcPr>
            <w:tcW w:w="1933" w:type="dxa"/>
          </w:tcPr>
          <w:p w14:paraId="0D68C230" w14:textId="6098070B" w:rsidR="0021344F" w:rsidRPr="00900F8E" w:rsidRDefault="00C71BF9" w:rsidP="006B0FED">
            <w:pPr>
              <w:spacing w:before="120" w:after="40"/>
              <w:jc w:val="center"/>
              <w:rPr>
                <w:rFonts w:ascii="Arial" w:hAnsi="Arial" w:cs="Arial"/>
              </w:rPr>
            </w:pPr>
            <w:r w:rsidRPr="00900F8E">
              <w:rPr>
                <w:rFonts w:ascii="Arial" w:hAnsi="Arial" w:cs="Arial"/>
              </w:rPr>
              <w:t>3 kt CO</w:t>
            </w:r>
            <w:r w:rsidRPr="00900F8E">
              <w:rPr>
                <w:rFonts w:ascii="Arial" w:hAnsi="Arial" w:cs="Arial"/>
                <w:vertAlign w:val="subscript"/>
              </w:rPr>
              <w:t>2</w:t>
            </w:r>
            <w:r w:rsidRPr="00900F8E">
              <w:rPr>
                <w:rFonts w:ascii="Arial" w:hAnsi="Arial" w:cs="Arial"/>
              </w:rPr>
              <w:t>/leto</w:t>
            </w:r>
          </w:p>
        </w:tc>
      </w:tr>
    </w:tbl>
    <w:p w14:paraId="0B8668F5" w14:textId="3E7528D0" w:rsidR="0021344F" w:rsidRPr="00900F8E" w:rsidRDefault="0021344F" w:rsidP="00C52E4C">
      <w:pPr>
        <w:spacing w:after="0" w:line="240" w:lineRule="auto"/>
        <w:jc w:val="both"/>
        <w:rPr>
          <w:rFonts w:ascii="Arial" w:hAnsi="Arial" w:cs="Arial"/>
        </w:rPr>
      </w:pPr>
    </w:p>
    <w:p w14:paraId="2FAB9B0A" w14:textId="6567A28D" w:rsidR="0021344F" w:rsidRPr="00900F8E" w:rsidRDefault="0021344F" w:rsidP="00C52E4C">
      <w:pPr>
        <w:spacing w:after="0" w:line="240" w:lineRule="auto"/>
        <w:jc w:val="both"/>
        <w:rPr>
          <w:rFonts w:ascii="Arial" w:hAnsi="Arial" w:cs="Arial"/>
        </w:rPr>
      </w:pPr>
    </w:p>
    <w:p w14:paraId="45458848" w14:textId="77777777" w:rsidR="00E52FAB" w:rsidRPr="00900F8E" w:rsidRDefault="00E52FAB" w:rsidP="00AD69F5">
      <w:pPr>
        <w:spacing w:after="0" w:line="240" w:lineRule="auto"/>
        <w:jc w:val="both"/>
        <w:rPr>
          <w:rFonts w:ascii="Arial" w:hAnsi="Arial" w:cs="Arial"/>
          <w:sz w:val="16"/>
          <w:szCs w:val="16"/>
        </w:rPr>
      </w:pPr>
    </w:p>
    <w:p w14:paraId="69F56A33" w14:textId="1DB9BA1F" w:rsidR="004C4D01" w:rsidRDefault="00B44666" w:rsidP="004C4D01">
      <w:pPr>
        <w:keepNext/>
        <w:spacing w:after="0" w:line="240" w:lineRule="auto"/>
        <w:jc w:val="center"/>
      </w:pPr>
      <w:r>
        <w:rPr>
          <w:rFonts w:ascii="Arial" w:hAnsi="Arial" w:cs="Arial"/>
          <w:noProof/>
          <w:lang w:eastAsia="sl-SI"/>
        </w:rPr>
        <w:lastRenderedPageBreak/>
        <w:drawing>
          <wp:inline distT="0" distB="0" distL="0" distR="0" wp14:anchorId="62C6E32E" wp14:editId="6896BDF0">
            <wp:extent cx="4714875" cy="3375073"/>
            <wp:effectExtent l="0" t="0" r="0" b="0"/>
            <wp:docPr id="20" name="Slika 20" descr="Slika 14: Izplačane nepovratne spodbude za ukrepe zmanjševanja emisij TGP po sektorjih (Vir: IJS-CE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Slika 14: Izplačane nepovratne spodbude za ukrepe zmanjševanja emisij TGP po sektorjih (Vir: IJS-CEU)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0869" cy="3379364"/>
                    </a:xfrm>
                    <a:prstGeom prst="rect">
                      <a:avLst/>
                    </a:prstGeom>
                    <a:noFill/>
                    <a:ln>
                      <a:noFill/>
                    </a:ln>
                  </pic:spPr>
                </pic:pic>
              </a:graphicData>
            </a:graphic>
          </wp:inline>
        </w:drawing>
      </w:r>
    </w:p>
    <w:p w14:paraId="792602CA" w14:textId="77777777" w:rsidR="004C4D01" w:rsidRDefault="004C4D01" w:rsidP="004C4D01">
      <w:pPr>
        <w:keepNext/>
        <w:spacing w:after="0" w:line="240" w:lineRule="auto"/>
        <w:jc w:val="center"/>
      </w:pPr>
    </w:p>
    <w:p w14:paraId="0D760C33" w14:textId="24436EEA" w:rsidR="000C68AC" w:rsidRPr="004C4D01" w:rsidRDefault="004C4D01" w:rsidP="004C4D01">
      <w:pPr>
        <w:pStyle w:val="Napis"/>
        <w:jc w:val="center"/>
        <w:rPr>
          <w:rFonts w:ascii="Arial" w:hAnsi="Arial" w:cs="Arial"/>
          <w:b/>
          <w:bCs/>
          <w:i w:val="0"/>
          <w:iCs w:val="0"/>
          <w:color w:val="auto"/>
          <w:sz w:val="20"/>
          <w:szCs w:val="20"/>
        </w:rPr>
      </w:pPr>
      <w:bookmarkStart w:id="42" w:name="_Toc112840963"/>
      <w:r w:rsidRPr="004C4D01">
        <w:rPr>
          <w:rFonts w:ascii="Arial" w:hAnsi="Arial" w:cs="Arial"/>
          <w:b/>
          <w:bCs/>
          <w:i w:val="0"/>
          <w:iCs w:val="0"/>
          <w:color w:val="auto"/>
          <w:sz w:val="20"/>
          <w:szCs w:val="20"/>
        </w:rPr>
        <w:t xml:space="preserve">Slika </w:t>
      </w:r>
      <w:r w:rsidRPr="004C4D01">
        <w:rPr>
          <w:rFonts w:ascii="Arial" w:hAnsi="Arial" w:cs="Arial"/>
          <w:b/>
          <w:bCs/>
          <w:i w:val="0"/>
          <w:iCs w:val="0"/>
          <w:color w:val="auto"/>
          <w:sz w:val="20"/>
          <w:szCs w:val="20"/>
        </w:rPr>
        <w:fldChar w:fldCharType="begin"/>
      </w:r>
      <w:r w:rsidRPr="004C4D01">
        <w:rPr>
          <w:rFonts w:ascii="Arial" w:hAnsi="Arial" w:cs="Arial"/>
          <w:b/>
          <w:bCs/>
          <w:i w:val="0"/>
          <w:iCs w:val="0"/>
          <w:color w:val="auto"/>
          <w:sz w:val="20"/>
          <w:szCs w:val="20"/>
        </w:rPr>
        <w:instrText xml:space="preserve"> SEQ Slika \* ARABIC </w:instrText>
      </w:r>
      <w:r w:rsidRPr="004C4D01">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14</w:t>
      </w:r>
      <w:r w:rsidRPr="004C4D01">
        <w:rPr>
          <w:rFonts w:ascii="Arial" w:hAnsi="Arial" w:cs="Arial"/>
          <w:b/>
          <w:bCs/>
          <w:i w:val="0"/>
          <w:iCs w:val="0"/>
          <w:color w:val="auto"/>
          <w:sz w:val="20"/>
          <w:szCs w:val="20"/>
        </w:rPr>
        <w:fldChar w:fldCharType="end"/>
      </w:r>
      <w:r w:rsidRPr="004C4D01">
        <w:rPr>
          <w:rFonts w:ascii="Arial" w:hAnsi="Arial" w:cs="Arial"/>
          <w:b/>
          <w:bCs/>
          <w:i w:val="0"/>
          <w:iCs w:val="0"/>
          <w:color w:val="auto"/>
          <w:sz w:val="20"/>
          <w:szCs w:val="20"/>
        </w:rPr>
        <w:t>: Izplačane nepovratne spodbude za ukrepe zmanjševanja emisij TGP po sektorjih (Vir: IJS-CEU)</w:t>
      </w:r>
      <w:bookmarkEnd w:id="42"/>
    </w:p>
    <w:p w14:paraId="1ABC52B4" w14:textId="45BD8A46" w:rsidR="00B44666" w:rsidRDefault="00B44666" w:rsidP="001A4A8C">
      <w:pPr>
        <w:spacing w:after="0" w:line="240" w:lineRule="auto"/>
        <w:jc w:val="center"/>
        <w:rPr>
          <w:rFonts w:ascii="Arial" w:hAnsi="Arial" w:cs="Arial"/>
        </w:rPr>
      </w:pPr>
    </w:p>
    <w:p w14:paraId="6EED2273" w14:textId="1A4F9083" w:rsidR="00B44666" w:rsidRDefault="00B44666" w:rsidP="001A4A8C">
      <w:pPr>
        <w:spacing w:after="0" w:line="240" w:lineRule="auto"/>
        <w:jc w:val="center"/>
        <w:rPr>
          <w:rFonts w:ascii="Arial" w:hAnsi="Arial" w:cs="Arial"/>
        </w:rPr>
      </w:pPr>
    </w:p>
    <w:p w14:paraId="549236A1" w14:textId="77777777" w:rsidR="00B44666" w:rsidRPr="00900F8E" w:rsidRDefault="00B44666" w:rsidP="001A4A8C">
      <w:pPr>
        <w:spacing w:after="0" w:line="240" w:lineRule="auto"/>
        <w:jc w:val="center"/>
        <w:rPr>
          <w:rFonts w:ascii="Arial" w:hAnsi="Arial" w:cs="Arial"/>
        </w:rPr>
      </w:pPr>
    </w:p>
    <w:p w14:paraId="7DC3FBF0" w14:textId="4501BFED" w:rsidR="004C4D01" w:rsidRDefault="00B44666" w:rsidP="004C4D01">
      <w:pPr>
        <w:keepNext/>
        <w:spacing w:after="0" w:line="240" w:lineRule="auto"/>
        <w:jc w:val="center"/>
      </w:pPr>
      <w:r>
        <w:rPr>
          <w:rFonts w:ascii="Arial" w:hAnsi="Arial" w:cs="Arial"/>
          <w:noProof/>
          <w:lang w:eastAsia="sl-SI"/>
        </w:rPr>
        <w:drawing>
          <wp:inline distT="0" distB="0" distL="0" distR="0" wp14:anchorId="428D2A65" wp14:editId="4222D995">
            <wp:extent cx="5505450" cy="3171297"/>
            <wp:effectExtent l="0" t="0" r="0" b="0"/>
            <wp:docPr id="22" name="Slika 22" descr="Slika 15: Finančna sredstva za ukrepe zmanjševanja emisij TGP v obdobju 2014-2021 po virih sredstev (Vir: IJS-C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15: Finančna sredstva za ukrepe zmanjševanja emisij TGP v obdobju 2014-2021 po virih sredstev (Vir: IJS-CEU)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6908" cy="3172137"/>
                    </a:xfrm>
                    <a:prstGeom prst="rect">
                      <a:avLst/>
                    </a:prstGeom>
                    <a:noFill/>
                    <a:ln>
                      <a:noFill/>
                    </a:ln>
                  </pic:spPr>
                </pic:pic>
              </a:graphicData>
            </a:graphic>
          </wp:inline>
        </w:drawing>
      </w:r>
    </w:p>
    <w:p w14:paraId="6F2CB000" w14:textId="77777777" w:rsidR="004C4D01" w:rsidRDefault="004C4D01" w:rsidP="004C4D01">
      <w:pPr>
        <w:keepNext/>
        <w:spacing w:after="0" w:line="240" w:lineRule="auto"/>
        <w:jc w:val="center"/>
      </w:pPr>
    </w:p>
    <w:p w14:paraId="3191510E" w14:textId="21E4A4D1" w:rsidR="00EE6705" w:rsidRPr="004C4D01" w:rsidRDefault="004C4D01" w:rsidP="004C4D01">
      <w:pPr>
        <w:pStyle w:val="Napis"/>
        <w:jc w:val="center"/>
        <w:rPr>
          <w:rFonts w:ascii="Arial" w:hAnsi="Arial" w:cs="Arial"/>
          <w:b/>
          <w:bCs/>
          <w:i w:val="0"/>
          <w:iCs w:val="0"/>
          <w:color w:val="auto"/>
          <w:sz w:val="20"/>
          <w:szCs w:val="20"/>
        </w:rPr>
      </w:pPr>
      <w:bookmarkStart w:id="43" w:name="_Toc112840964"/>
      <w:r w:rsidRPr="004C4D01">
        <w:rPr>
          <w:rFonts w:ascii="Arial" w:hAnsi="Arial" w:cs="Arial"/>
          <w:b/>
          <w:bCs/>
          <w:i w:val="0"/>
          <w:iCs w:val="0"/>
          <w:color w:val="auto"/>
          <w:sz w:val="20"/>
          <w:szCs w:val="20"/>
        </w:rPr>
        <w:t xml:space="preserve">Slika </w:t>
      </w:r>
      <w:r w:rsidRPr="004C4D01">
        <w:rPr>
          <w:rFonts w:ascii="Arial" w:hAnsi="Arial" w:cs="Arial"/>
          <w:b/>
          <w:bCs/>
          <w:i w:val="0"/>
          <w:iCs w:val="0"/>
          <w:color w:val="auto"/>
          <w:sz w:val="20"/>
          <w:szCs w:val="20"/>
        </w:rPr>
        <w:fldChar w:fldCharType="begin"/>
      </w:r>
      <w:r w:rsidRPr="004C4D01">
        <w:rPr>
          <w:rFonts w:ascii="Arial" w:hAnsi="Arial" w:cs="Arial"/>
          <w:b/>
          <w:bCs/>
          <w:i w:val="0"/>
          <w:iCs w:val="0"/>
          <w:color w:val="auto"/>
          <w:sz w:val="20"/>
          <w:szCs w:val="20"/>
        </w:rPr>
        <w:instrText xml:space="preserve"> SEQ Slika \* ARABIC </w:instrText>
      </w:r>
      <w:r w:rsidRPr="004C4D01">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15</w:t>
      </w:r>
      <w:r w:rsidRPr="004C4D01">
        <w:rPr>
          <w:rFonts w:ascii="Arial" w:hAnsi="Arial" w:cs="Arial"/>
          <w:b/>
          <w:bCs/>
          <w:i w:val="0"/>
          <w:iCs w:val="0"/>
          <w:color w:val="auto"/>
          <w:sz w:val="20"/>
          <w:szCs w:val="20"/>
        </w:rPr>
        <w:fldChar w:fldCharType="end"/>
      </w:r>
      <w:r w:rsidRPr="004C4D01">
        <w:rPr>
          <w:rFonts w:ascii="Arial" w:hAnsi="Arial" w:cs="Arial"/>
          <w:b/>
          <w:bCs/>
          <w:i w:val="0"/>
          <w:iCs w:val="0"/>
          <w:color w:val="auto"/>
          <w:sz w:val="20"/>
          <w:szCs w:val="20"/>
        </w:rPr>
        <w:t>: Finančna sredstva za ukrepe zmanjševanja emisij TGP v obdobju 2014</w:t>
      </w:r>
      <w:r w:rsidR="00C42CE6">
        <w:rPr>
          <w:rFonts w:ascii="Arial" w:hAnsi="Arial" w:cs="Arial"/>
          <w:b/>
          <w:bCs/>
          <w:i w:val="0"/>
          <w:iCs w:val="0"/>
          <w:color w:val="auto"/>
          <w:sz w:val="20"/>
          <w:szCs w:val="20"/>
        </w:rPr>
        <w:t>–</w:t>
      </w:r>
      <w:r w:rsidRPr="004C4D01">
        <w:rPr>
          <w:rFonts w:ascii="Arial" w:hAnsi="Arial" w:cs="Arial"/>
          <w:b/>
          <w:bCs/>
          <w:i w:val="0"/>
          <w:iCs w:val="0"/>
          <w:color w:val="auto"/>
          <w:sz w:val="20"/>
          <w:szCs w:val="20"/>
        </w:rPr>
        <w:t>2021 po virih sredstev (Vir: IJS-CEU)</w:t>
      </w:r>
      <w:r w:rsidR="007A6591" w:rsidRPr="00900F8E">
        <w:rPr>
          <w:rStyle w:val="Sprotnaopomba-sklic"/>
          <w:rFonts w:ascii="Arial" w:hAnsi="Arial" w:cs="Arial"/>
          <w:b/>
          <w:bCs/>
        </w:rPr>
        <w:footnoteReference w:id="19"/>
      </w:r>
      <w:bookmarkEnd w:id="43"/>
      <w:r w:rsidR="00450098" w:rsidRPr="00900F8E">
        <w:rPr>
          <w:rFonts w:ascii="Arial" w:hAnsi="Arial" w:cs="Arial"/>
        </w:rPr>
        <w:t xml:space="preserve"> </w:t>
      </w:r>
    </w:p>
    <w:p w14:paraId="72E5B2D6" w14:textId="6D7695F0" w:rsidR="00871C3B" w:rsidRPr="00900F8E" w:rsidRDefault="00871C3B" w:rsidP="00C52E4C">
      <w:pPr>
        <w:spacing w:after="0" w:line="240" w:lineRule="auto"/>
        <w:jc w:val="both"/>
        <w:rPr>
          <w:rFonts w:ascii="Arial" w:hAnsi="Arial" w:cs="Arial"/>
        </w:rPr>
      </w:pPr>
    </w:p>
    <w:p w14:paraId="79630967" w14:textId="77777777" w:rsidR="00EB65B9" w:rsidRPr="00900F8E" w:rsidRDefault="00EB65B9" w:rsidP="00C52E4C">
      <w:pPr>
        <w:spacing w:after="0" w:line="240" w:lineRule="auto"/>
        <w:jc w:val="both"/>
        <w:rPr>
          <w:rFonts w:ascii="Arial" w:hAnsi="Arial" w:cs="Arial"/>
        </w:rPr>
      </w:pPr>
    </w:p>
    <w:p w14:paraId="05B46A3F" w14:textId="070C1EDA" w:rsidR="004C4D01" w:rsidRDefault="00B44666" w:rsidP="004C4D01">
      <w:pPr>
        <w:keepNext/>
        <w:spacing w:after="0" w:line="240" w:lineRule="auto"/>
        <w:jc w:val="center"/>
      </w:pPr>
      <w:r>
        <w:rPr>
          <w:rFonts w:ascii="Arial" w:hAnsi="Arial" w:cs="Arial"/>
          <w:noProof/>
          <w:lang w:eastAsia="sl-SI"/>
        </w:rPr>
        <w:drawing>
          <wp:inline distT="0" distB="0" distL="0" distR="0" wp14:anchorId="52248FD9" wp14:editId="4DB6B73D">
            <wp:extent cx="5486400" cy="3266949"/>
            <wp:effectExtent l="0" t="0" r="0" b="0"/>
            <wp:docPr id="23" name="Slika 23" descr="Slika 16: Investicije in nepovratne finančne spodbude za ukrepe zmanjševanja emisij TGP ter učinki na zmanjšanje emisij TGP v gospodinjstvih, javnem sektorju, gospodarstvu in prometu (Vir: IJS-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Slika 16: Investicije in nepovratne finančne spodbude za ukrepe zmanjševanja emisij TGP ter učinki na zmanjšanje emisij TGP v gospodinjstvih, javnem sektorju, gospodarstvu in prometu (Vir: IJS-CE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90765" cy="3269548"/>
                    </a:xfrm>
                    <a:prstGeom prst="rect">
                      <a:avLst/>
                    </a:prstGeom>
                    <a:noFill/>
                    <a:ln>
                      <a:noFill/>
                    </a:ln>
                  </pic:spPr>
                </pic:pic>
              </a:graphicData>
            </a:graphic>
          </wp:inline>
        </w:drawing>
      </w:r>
    </w:p>
    <w:p w14:paraId="770834A2" w14:textId="77777777" w:rsidR="004C4D01" w:rsidRDefault="004C4D01" w:rsidP="004C4D01">
      <w:pPr>
        <w:keepNext/>
        <w:spacing w:after="0" w:line="240" w:lineRule="auto"/>
        <w:jc w:val="center"/>
      </w:pPr>
    </w:p>
    <w:p w14:paraId="46E381A3" w14:textId="684BC13D" w:rsidR="00EE6705" w:rsidRPr="004C4D01" w:rsidRDefault="004C4D01" w:rsidP="004C4D01">
      <w:pPr>
        <w:pStyle w:val="Napis"/>
        <w:jc w:val="center"/>
        <w:rPr>
          <w:rFonts w:ascii="Arial" w:hAnsi="Arial" w:cs="Arial"/>
          <w:b/>
          <w:bCs/>
          <w:i w:val="0"/>
          <w:iCs w:val="0"/>
          <w:color w:val="auto"/>
          <w:sz w:val="20"/>
          <w:szCs w:val="20"/>
        </w:rPr>
      </w:pPr>
      <w:bookmarkStart w:id="44" w:name="_Toc112840965"/>
      <w:r w:rsidRPr="004C4D01">
        <w:rPr>
          <w:rFonts w:ascii="Arial" w:hAnsi="Arial" w:cs="Arial"/>
          <w:b/>
          <w:bCs/>
          <w:i w:val="0"/>
          <w:iCs w:val="0"/>
          <w:color w:val="auto"/>
          <w:sz w:val="20"/>
          <w:szCs w:val="20"/>
        </w:rPr>
        <w:t xml:space="preserve">Slika </w:t>
      </w:r>
      <w:r w:rsidRPr="004C4D01">
        <w:rPr>
          <w:rFonts w:ascii="Arial" w:hAnsi="Arial" w:cs="Arial"/>
          <w:b/>
          <w:bCs/>
          <w:i w:val="0"/>
          <w:iCs w:val="0"/>
          <w:color w:val="auto"/>
          <w:sz w:val="20"/>
          <w:szCs w:val="20"/>
        </w:rPr>
        <w:fldChar w:fldCharType="begin"/>
      </w:r>
      <w:r w:rsidRPr="004C4D01">
        <w:rPr>
          <w:rFonts w:ascii="Arial" w:hAnsi="Arial" w:cs="Arial"/>
          <w:b/>
          <w:bCs/>
          <w:i w:val="0"/>
          <w:iCs w:val="0"/>
          <w:color w:val="auto"/>
          <w:sz w:val="20"/>
          <w:szCs w:val="20"/>
        </w:rPr>
        <w:instrText xml:space="preserve"> SEQ Slika \* ARABIC </w:instrText>
      </w:r>
      <w:r w:rsidRPr="004C4D01">
        <w:rPr>
          <w:rFonts w:ascii="Arial" w:hAnsi="Arial" w:cs="Arial"/>
          <w:b/>
          <w:bCs/>
          <w:i w:val="0"/>
          <w:iCs w:val="0"/>
          <w:color w:val="auto"/>
          <w:sz w:val="20"/>
          <w:szCs w:val="20"/>
        </w:rPr>
        <w:fldChar w:fldCharType="separate"/>
      </w:r>
      <w:r w:rsidR="009B48AB">
        <w:rPr>
          <w:rFonts w:ascii="Arial" w:hAnsi="Arial" w:cs="Arial"/>
          <w:b/>
          <w:bCs/>
          <w:i w:val="0"/>
          <w:iCs w:val="0"/>
          <w:noProof/>
          <w:color w:val="auto"/>
          <w:sz w:val="20"/>
          <w:szCs w:val="20"/>
        </w:rPr>
        <w:t>16</w:t>
      </w:r>
      <w:r w:rsidRPr="004C4D01">
        <w:rPr>
          <w:rFonts w:ascii="Arial" w:hAnsi="Arial" w:cs="Arial"/>
          <w:b/>
          <w:bCs/>
          <w:i w:val="0"/>
          <w:iCs w:val="0"/>
          <w:color w:val="auto"/>
          <w:sz w:val="20"/>
          <w:szCs w:val="20"/>
        </w:rPr>
        <w:fldChar w:fldCharType="end"/>
      </w:r>
      <w:r w:rsidRPr="004C4D01">
        <w:rPr>
          <w:rFonts w:ascii="Arial" w:hAnsi="Arial" w:cs="Arial"/>
          <w:b/>
          <w:bCs/>
          <w:i w:val="0"/>
          <w:iCs w:val="0"/>
          <w:color w:val="auto"/>
          <w:sz w:val="20"/>
          <w:szCs w:val="20"/>
        </w:rPr>
        <w:t>: Investicije in nepovratne finančne spodbude za ukrepe zmanjševanja emisij TGP ter učinki na zmanjšanje emisij TGP v gospodinjstvih, javnem sektorju, gospodarstvu in prometu (Vir: IJS-CEU)</w:t>
      </w:r>
      <w:bookmarkEnd w:id="44"/>
    </w:p>
    <w:p w14:paraId="5D9F4327" w14:textId="77777777" w:rsidR="00EE6705" w:rsidRPr="00900F8E" w:rsidRDefault="00EE6705" w:rsidP="00C52E4C">
      <w:pPr>
        <w:spacing w:after="0" w:line="240" w:lineRule="auto"/>
        <w:jc w:val="both"/>
        <w:rPr>
          <w:rFonts w:ascii="Arial" w:hAnsi="Arial" w:cs="Arial"/>
        </w:rPr>
      </w:pPr>
    </w:p>
    <w:p w14:paraId="4E7538FB" w14:textId="77777777" w:rsidR="00EE6705" w:rsidRPr="00900F8E" w:rsidRDefault="00EE6705" w:rsidP="00C52E4C">
      <w:pPr>
        <w:spacing w:after="0" w:line="240" w:lineRule="auto"/>
        <w:jc w:val="both"/>
        <w:rPr>
          <w:rFonts w:ascii="Arial" w:hAnsi="Arial" w:cs="Arial"/>
        </w:rPr>
      </w:pPr>
    </w:p>
    <w:p w14:paraId="44C3942C" w14:textId="77777777" w:rsidR="00EE6705" w:rsidRPr="00900F8E" w:rsidRDefault="00EE6705" w:rsidP="00C52E4C">
      <w:pPr>
        <w:spacing w:after="0" w:line="240" w:lineRule="auto"/>
        <w:jc w:val="both"/>
        <w:rPr>
          <w:rFonts w:ascii="Arial" w:hAnsi="Arial" w:cs="Arial"/>
        </w:rPr>
      </w:pPr>
    </w:p>
    <w:p w14:paraId="32699E3D" w14:textId="77A2EBEB" w:rsidR="00AA200F" w:rsidRDefault="00AA200F" w:rsidP="00EA1105">
      <w:pPr>
        <w:spacing w:after="0" w:line="240" w:lineRule="auto"/>
        <w:jc w:val="both"/>
        <w:rPr>
          <w:rFonts w:ascii="Arial" w:hAnsi="Arial" w:cs="Arial"/>
          <w:b/>
          <w:bCs/>
          <w:sz w:val="26"/>
          <w:szCs w:val="26"/>
        </w:rPr>
      </w:pPr>
    </w:p>
    <w:p w14:paraId="40417EAC" w14:textId="2BA56055" w:rsidR="009B0448" w:rsidRDefault="009B0448" w:rsidP="00EA1105">
      <w:pPr>
        <w:spacing w:after="0" w:line="240" w:lineRule="auto"/>
        <w:jc w:val="both"/>
        <w:rPr>
          <w:rFonts w:ascii="Arial" w:hAnsi="Arial" w:cs="Arial"/>
          <w:b/>
          <w:bCs/>
          <w:sz w:val="26"/>
          <w:szCs w:val="26"/>
        </w:rPr>
      </w:pPr>
    </w:p>
    <w:p w14:paraId="026D5A2D" w14:textId="382913CA" w:rsidR="009B0448" w:rsidRDefault="009B0448" w:rsidP="00EA1105">
      <w:pPr>
        <w:spacing w:after="0" w:line="240" w:lineRule="auto"/>
        <w:jc w:val="both"/>
        <w:rPr>
          <w:rFonts w:ascii="Arial" w:hAnsi="Arial" w:cs="Arial"/>
          <w:b/>
          <w:bCs/>
          <w:sz w:val="26"/>
          <w:szCs w:val="26"/>
        </w:rPr>
      </w:pPr>
    </w:p>
    <w:p w14:paraId="1AE90301" w14:textId="782506F1" w:rsidR="009B0448" w:rsidRDefault="009B0448" w:rsidP="00EA1105">
      <w:pPr>
        <w:spacing w:after="0" w:line="240" w:lineRule="auto"/>
        <w:jc w:val="both"/>
        <w:rPr>
          <w:rFonts w:ascii="Arial" w:hAnsi="Arial" w:cs="Arial"/>
          <w:b/>
          <w:bCs/>
          <w:sz w:val="26"/>
          <w:szCs w:val="26"/>
        </w:rPr>
      </w:pPr>
    </w:p>
    <w:p w14:paraId="3F8833A0" w14:textId="67316680" w:rsidR="009B0448" w:rsidRDefault="009B0448" w:rsidP="00EA1105">
      <w:pPr>
        <w:spacing w:after="0" w:line="240" w:lineRule="auto"/>
        <w:jc w:val="both"/>
        <w:rPr>
          <w:rFonts w:ascii="Arial" w:hAnsi="Arial" w:cs="Arial"/>
          <w:b/>
          <w:bCs/>
          <w:sz w:val="26"/>
          <w:szCs w:val="26"/>
        </w:rPr>
      </w:pPr>
    </w:p>
    <w:p w14:paraId="6D36337C" w14:textId="536206F8" w:rsidR="009B0448" w:rsidRDefault="009B0448" w:rsidP="00EA1105">
      <w:pPr>
        <w:spacing w:after="0" w:line="240" w:lineRule="auto"/>
        <w:jc w:val="both"/>
        <w:rPr>
          <w:rFonts w:ascii="Arial" w:hAnsi="Arial" w:cs="Arial"/>
          <w:b/>
          <w:bCs/>
          <w:sz w:val="26"/>
          <w:szCs w:val="26"/>
        </w:rPr>
      </w:pPr>
    </w:p>
    <w:p w14:paraId="72B239B9" w14:textId="3A5D620C" w:rsidR="009B0448" w:rsidRDefault="009B0448" w:rsidP="00EA1105">
      <w:pPr>
        <w:spacing w:after="0" w:line="240" w:lineRule="auto"/>
        <w:jc w:val="both"/>
        <w:rPr>
          <w:rFonts w:ascii="Arial" w:hAnsi="Arial" w:cs="Arial"/>
          <w:b/>
          <w:bCs/>
          <w:sz w:val="26"/>
          <w:szCs w:val="26"/>
        </w:rPr>
      </w:pPr>
    </w:p>
    <w:p w14:paraId="2B87394E" w14:textId="7DAE4218" w:rsidR="009B0448" w:rsidRDefault="009B0448" w:rsidP="00EA1105">
      <w:pPr>
        <w:spacing w:after="0" w:line="240" w:lineRule="auto"/>
        <w:jc w:val="both"/>
        <w:rPr>
          <w:rFonts w:ascii="Arial" w:hAnsi="Arial" w:cs="Arial"/>
          <w:b/>
          <w:bCs/>
          <w:sz w:val="26"/>
          <w:szCs w:val="26"/>
        </w:rPr>
      </w:pPr>
    </w:p>
    <w:p w14:paraId="212A8DFA" w14:textId="78958203" w:rsidR="009B0448" w:rsidRDefault="009B0448" w:rsidP="00EA1105">
      <w:pPr>
        <w:spacing w:after="0" w:line="240" w:lineRule="auto"/>
        <w:jc w:val="both"/>
        <w:rPr>
          <w:rFonts w:ascii="Arial" w:hAnsi="Arial" w:cs="Arial"/>
          <w:b/>
          <w:bCs/>
          <w:sz w:val="26"/>
          <w:szCs w:val="26"/>
        </w:rPr>
      </w:pPr>
    </w:p>
    <w:p w14:paraId="1AA9B743" w14:textId="7BE836B7" w:rsidR="009B0448" w:rsidRDefault="009B0448" w:rsidP="00EA1105">
      <w:pPr>
        <w:spacing w:after="0" w:line="240" w:lineRule="auto"/>
        <w:jc w:val="both"/>
        <w:rPr>
          <w:rFonts w:ascii="Arial" w:hAnsi="Arial" w:cs="Arial"/>
          <w:b/>
          <w:bCs/>
          <w:sz w:val="26"/>
          <w:szCs w:val="26"/>
        </w:rPr>
      </w:pPr>
    </w:p>
    <w:p w14:paraId="1687FF39" w14:textId="7A56E12E" w:rsidR="009B0448" w:rsidRDefault="009B0448" w:rsidP="00EA1105">
      <w:pPr>
        <w:spacing w:after="0" w:line="240" w:lineRule="auto"/>
        <w:jc w:val="both"/>
        <w:rPr>
          <w:rFonts w:ascii="Arial" w:hAnsi="Arial" w:cs="Arial"/>
          <w:b/>
          <w:bCs/>
          <w:sz w:val="26"/>
          <w:szCs w:val="26"/>
        </w:rPr>
      </w:pPr>
    </w:p>
    <w:p w14:paraId="720999BE" w14:textId="755C0DEC" w:rsidR="009B0448" w:rsidRDefault="009B0448" w:rsidP="00EA1105">
      <w:pPr>
        <w:spacing w:after="0" w:line="240" w:lineRule="auto"/>
        <w:jc w:val="both"/>
        <w:rPr>
          <w:rFonts w:ascii="Arial" w:hAnsi="Arial" w:cs="Arial"/>
          <w:b/>
          <w:bCs/>
          <w:sz w:val="26"/>
          <w:szCs w:val="26"/>
        </w:rPr>
      </w:pPr>
    </w:p>
    <w:p w14:paraId="678F1955" w14:textId="77CBC2CB" w:rsidR="009B0448" w:rsidRDefault="009B0448" w:rsidP="00EA1105">
      <w:pPr>
        <w:spacing w:after="0" w:line="240" w:lineRule="auto"/>
        <w:jc w:val="both"/>
        <w:rPr>
          <w:rFonts w:ascii="Arial" w:hAnsi="Arial" w:cs="Arial"/>
          <w:b/>
          <w:bCs/>
          <w:sz w:val="26"/>
          <w:szCs w:val="26"/>
        </w:rPr>
      </w:pPr>
    </w:p>
    <w:p w14:paraId="5EFCDBAF" w14:textId="25849ED2" w:rsidR="009B0448" w:rsidRDefault="009B0448" w:rsidP="00EA1105">
      <w:pPr>
        <w:spacing w:after="0" w:line="240" w:lineRule="auto"/>
        <w:jc w:val="both"/>
        <w:rPr>
          <w:rFonts w:ascii="Arial" w:hAnsi="Arial" w:cs="Arial"/>
          <w:b/>
          <w:bCs/>
          <w:sz w:val="26"/>
          <w:szCs w:val="26"/>
        </w:rPr>
      </w:pPr>
    </w:p>
    <w:p w14:paraId="6BCD9463" w14:textId="48C27959" w:rsidR="009B0448" w:rsidRDefault="009B0448" w:rsidP="00EA1105">
      <w:pPr>
        <w:spacing w:after="0" w:line="240" w:lineRule="auto"/>
        <w:jc w:val="both"/>
        <w:rPr>
          <w:rFonts w:ascii="Arial" w:hAnsi="Arial" w:cs="Arial"/>
          <w:b/>
          <w:bCs/>
          <w:sz w:val="26"/>
          <w:szCs w:val="26"/>
        </w:rPr>
      </w:pPr>
    </w:p>
    <w:p w14:paraId="67B62E03" w14:textId="53100B65" w:rsidR="009B0448" w:rsidRDefault="009B0448" w:rsidP="00EA1105">
      <w:pPr>
        <w:spacing w:after="0" w:line="240" w:lineRule="auto"/>
        <w:jc w:val="both"/>
        <w:rPr>
          <w:rFonts w:ascii="Arial" w:hAnsi="Arial" w:cs="Arial"/>
          <w:b/>
          <w:bCs/>
          <w:sz w:val="26"/>
          <w:szCs w:val="26"/>
        </w:rPr>
      </w:pPr>
    </w:p>
    <w:p w14:paraId="29920785" w14:textId="62374D62" w:rsidR="009B0448" w:rsidRDefault="009B0448" w:rsidP="00EA1105">
      <w:pPr>
        <w:spacing w:after="0" w:line="240" w:lineRule="auto"/>
        <w:jc w:val="both"/>
        <w:rPr>
          <w:rFonts w:ascii="Arial" w:hAnsi="Arial" w:cs="Arial"/>
          <w:b/>
          <w:bCs/>
          <w:sz w:val="26"/>
          <w:szCs w:val="26"/>
        </w:rPr>
      </w:pPr>
    </w:p>
    <w:p w14:paraId="7EA0A128" w14:textId="735385B2" w:rsidR="009B0448" w:rsidRDefault="009B0448" w:rsidP="00EA1105">
      <w:pPr>
        <w:spacing w:after="0" w:line="240" w:lineRule="auto"/>
        <w:jc w:val="both"/>
        <w:rPr>
          <w:rFonts w:ascii="Arial" w:hAnsi="Arial" w:cs="Arial"/>
          <w:b/>
          <w:bCs/>
          <w:sz w:val="26"/>
          <w:szCs w:val="26"/>
        </w:rPr>
      </w:pPr>
    </w:p>
    <w:p w14:paraId="663CFBC4" w14:textId="4C938304" w:rsidR="009B0448" w:rsidRDefault="009B0448" w:rsidP="00EA1105">
      <w:pPr>
        <w:spacing w:after="0" w:line="240" w:lineRule="auto"/>
        <w:jc w:val="both"/>
        <w:rPr>
          <w:rFonts w:ascii="Arial" w:hAnsi="Arial" w:cs="Arial"/>
          <w:b/>
          <w:bCs/>
          <w:sz w:val="26"/>
          <w:szCs w:val="26"/>
        </w:rPr>
      </w:pPr>
    </w:p>
    <w:p w14:paraId="5216111C" w14:textId="339B4526" w:rsidR="009B0448" w:rsidRDefault="009B0448" w:rsidP="00EA1105">
      <w:pPr>
        <w:spacing w:after="0" w:line="240" w:lineRule="auto"/>
        <w:jc w:val="both"/>
        <w:rPr>
          <w:rFonts w:ascii="Arial" w:hAnsi="Arial" w:cs="Arial"/>
          <w:b/>
          <w:bCs/>
          <w:sz w:val="26"/>
          <w:szCs w:val="26"/>
        </w:rPr>
      </w:pPr>
    </w:p>
    <w:p w14:paraId="66B8A4CF" w14:textId="54978984" w:rsidR="009B0448" w:rsidRDefault="009B0448" w:rsidP="00EA1105">
      <w:pPr>
        <w:spacing w:after="0" w:line="240" w:lineRule="auto"/>
        <w:jc w:val="both"/>
        <w:rPr>
          <w:rFonts w:ascii="Arial" w:hAnsi="Arial" w:cs="Arial"/>
          <w:b/>
          <w:bCs/>
          <w:sz w:val="26"/>
          <w:szCs w:val="26"/>
        </w:rPr>
      </w:pPr>
    </w:p>
    <w:p w14:paraId="54837182" w14:textId="51A658EC" w:rsidR="009B0448" w:rsidRDefault="009B0448" w:rsidP="00EA1105">
      <w:pPr>
        <w:spacing w:after="0" w:line="240" w:lineRule="auto"/>
        <w:jc w:val="both"/>
        <w:rPr>
          <w:rFonts w:ascii="Arial" w:hAnsi="Arial" w:cs="Arial"/>
          <w:b/>
          <w:bCs/>
          <w:sz w:val="26"/>
          <w:szCs w:val="26"/>
        </w:rPr>
      </w:pPr>
    </w:p>
    <w:p w14:paraId="3BF3FB8F" w14:textId="48664A6A" w:rsidR="005805B6" w:rsidRDefault="005805B6" w:rsidP="00F4359A">
      <w:pPr>
        <w:pStyle w:val="Naslov1"/>
        <w:spacing w:before="0"/>
        <w:rPr>
          <w:rFonts w:ascii="Arial" w:hAnsi="Arial" w:cs="Arial"/>
          <w:color w:val="auto"/>
        </w:rPr>
      </w:pPr>
      <w:bookmarkStart w:id="45" w:name="_Toc120166947"/>
      <w:r w:rsidRPr="00900F8E">
        <w:rPr>
          <w:rFonts w:ascii="Arial" w:hAnsi="Arial" w:cs="Arial"/>
          <w:color w:val="auto"/>
        </w:rPr>
        <w:lastRenderedPageBreak/>
        <w:t>6 Priporočila</w:t>
      </w:r>
      <w:r w:rsidR="003E0A14" w:rsidRPr="00900F8E">
        <w:rPr>
          <w:rFonts w:ascii="Arial" w:hAnsi="Arial" w:cs="Arial"/>
          <w:color w:val="auto"/>
        </w:rPr>
        <w:t xml:space="preserve"> po sektorjih</w:t>
      </w:r>
      <w:bookmarkEnd w:id="45"/>
    </w:p>
    <w:p w14:paraId="18CA9F8E" w14:textId="77777777" w:rsidR="00F4359A" w:rsidRDefault="00F4359A" w:rsidP="00F4359A">
      <w:pPr>
        <w:spacing w:after="0"/>
      </w:pPr>
    </w:p>
    <w:p w14:paraId="27BB114D" w14:textId="27AF4262" w:rsidR="00E27D80" w:rsidRDefault="00E27D80" w:rsidP="00F4359A">
      <w:pPr>
        <w:spacing w:after="0"/>
        <w:jc w:val="both"/>
        <w:rPr>
          <w:rFonts w:ascii="Arial" w:hAnsi="Arial" w:cs="Arial"/>
        </w:rPr>
      </w:pPr>
      <w:r>
        <w:rPr>
          <w:rFonts w:ascii="Arial" w:hAnsi="Arial" w:cs="Arial"/>
        </w:rPr>
        <w:t>Smiselna je</w:t>
      </w:r>
      <w:r w:rsidRPr="00E27D80">
        <w:rPr>
          <w:rFonts w:ascii="Arial" w:hAnsi="Arial" w:cs="Arial"/>
        </w:rPr>
        <w:t xml:space="preserve"> vzpostav</w:t>
      </w:r>
      <w:r>
        <w:rPr>
          <w:rFonts w:ascii="Arial" w:hAnsi="Arial" w:cs="Arial"/>
        </w:rPr>
        <w:t>itev</w:t>
      </w:r>
      <w:r w:rsidRPr="00E27D80">
        <w:rPr>
          <w:rFonts w:ascii="Arial" w:hAnsi="Arial" w:cs="Arial"/>
        </w:rPr>
        <w:t xml:space="preserve"> celovitega sistema za spremljanje izvajanja NEPN, ki bo</w:t>
      </w:r>
      <w:r>
        <w:rPr>
          <w:rFonts w:ascii="Arial" w:hAnsi="Arial" w:cs="Arial"/>
        </w:rPr>
        <w:t xml:space="preserve"> v obdobju do leta 2030 </w:t>
      </w:r>
      <w:r w:rsidRPr="00E27D80">
        <w:rPr>
          <w:rFonts w:ascii="Arial" w:hAnsi="Arial" w:cs="Arial"/>
        </w:rPr>
        <w:t>povezal vse naloge spremljanja</w:t>
      </w:r>
      <w:r w:rsidR="00352BAE">
        <w:rPr>
          <w:rFonts w:ascii="Arial" w:hAnsi="Arial" w:cs="Arial"/>
        </w:rPr>
        <w:t xml:space="preserve"> izvajanja</w:t>
      </w:r>
      <w:r w:rsidRPr="00E27D80">
        <w:rPr>
          <w:rFonts w:ascii="Arial" w:hAnsi="Arial" w:cs="Arial"/>
        </w:rPr>
        <w:t xml:space="preserve"> in načrtovanja</w:t>
      </w:r>
      <w:r>
        <w:rPr>
          <w:rFonts w:ascii="Arial" w:hAnsi="Arial" w:cs="Arial"/>
        </w:rPr>
        <w:t xml:space="preserve">. </w:t>
      </w:r>
      <w:r w:rsidRPr="00E27D80">
        <w:rPr>
          <w:rFonts w:ascii="Arial" w:hAnsi="Arial" w:cs="Arial"/>
        </w:rPr>
        <w:t>Vzpostavitev sistema naj vključuje vse vidike spremljanja od porazdelitve odgovornosti do opredelitve kazalnikov, s katerimi se bo spremljalo izvajanje ukrepov.</w:t>
      </w:r>
    </w:p>
    <w:p w14:paraId="09A3C13A" w14:textId="77777777" w:rsidR="00E27D80" w:rsidRDefault="00E27D80" w:rsidP="00F4359A">
      <w:pPr>
        <w:spacing w:after="0"/>
        <w:jc w:val="both"/>
        <w:rPr>
          <w:rFonts w:ascii="Arial" w:hAnsi="Arial" w:cs="Arial"/>
        </w:rPr>
      </w:pPr>
    </w:p>
    <w:p w14:paraId="1741991B" w14:textId="09926985" w:rsidR="00F4359A" w:rsidRPr="00F4359A" w:rsidRDefault="00F4359A" w:rsidP="00F4359A">
      <w:pPr>
        <w:spacing w:after="0"/>
        <w:jc w:val="both"/>
        <w:rPr>
          <w:rFonts w:ascii="Arial" w:hAnsi="Arial" w:cs="Arial"/>
        </w:rPr>
      </w:pPr>
      <w:r w:rsidRPr="00F4359A">
        <w:rPr>
          <w:rFonts w:ascii="Arial" w:hAnsi="Arial" w:cs="Arial"/>
        </w:rPr>
        <w:t>Obsežen nabor kazalnikov za spremljanje napredka na področju doseganja ciljev emisij TGP je priporočen znotraj Resolucije o Dolgoročni podnebni strategiji Slovenije do leta 2050, ki temelji na odločitvah Strategije razvoja Slovenije 2030, Celovitem nacionalnem energetsko podnebnem načrtu, Resoluciji o nacionalnem programu razvoja prometa v Republiki Sloveniji za obdobje do leta 2030, Resoluciji o Nacionalnem programu varstva okolja za obdobje 2020–2030 in drugih sektorskih dokumentih.</w:t>
      </w:r>
    </w:p>
    <w:p w14:paraId="57F11FD5" w14:textId="5138591A" w:rsidR="00CE19EA" w:rsidRPr="00900F8E" w:rsidRDefault="00CE19EA" w:rsidP="00D4700C">
      <w:pPr>
        <w:pStyle w:val="Naslov2"/>
        <w:spacing w:before="360"/>
        <w:rPr>
          <w:rFonts w:ascii="Arial" w:hAnsi="Arial" w:cs="Arial"/>
          <w:color w:val="auto"/>
        </w:rPr>
      </w:pPr>
      <w:bookmarkStart w:id="46" w:name="_Toc120166948"/>
      <w:r w:rsidRPr="00900F8E">
        <w:rPr>
          <w:rFonts w:ascii="Arial" w:hAnsi="Arial" w:cs="Arial"/>
          <w:color w:val="auto"/>
        </w:rPr>
        <w:t>6.1 Zelena gospodarska rast</w:t>
      </w:r>
      <w:bookmarkEnd w:id="46"/>
    </w:p>
    <w:p w14:paraId="16BE28E8" w14:textId="77777777" w:rsidR="00CE19EA" w:rsidRPr="00900F8E" w:rsidRDefault="00CE19EA" w:rsidP="00CE19EA">
      <w:pPr>
        <w:spacing w:after="0" w:line="240" w:lineRule="auto"/>
        <w:jc w:val="both"/>
        <w:rPr>
          <w:rFonts w:ascii="Arial" w:hAnsi="Arial" w:cs="Arial"/>
        </w:rPr>
      </w:pPr>
    </w:p>
    <w:p w14:paraId="79AD813A" w14:textId="400C0F6D" w:rsidR="0000421D" w:rsidRDefault="003B5398" w:rsidP="00CE19EA">
      <w:pPr>
        <w:spacing w:after="0" w:line="240" w:lineRule="auto"/>
        <w:jc w:val="both"/>
        <w:rPr>
          <w:rFonts w:ascii="Arial" w:hAnsi="Arial" w:cs="Arial"/>
        </w:rPr>
      </w:pPr>
      <w:r>
        <w:rPr>
          <w:rFonts w:ascii="Arial" w:hAnsi="Arial" w:cs="Arial"/>
        </w:rPr>
        <w:t>N</w:t>
      </w:r>
      <w:r w:rsidR="0000421D" w:rsidRPr="0000421D">
        <w:rPr>
          <w:rFonts w:ascii="Arial" w:hAnsi="Arial" w:cs="Arial"/>
        </w:rPr>
        <w:t xml:space="preserve">eizbežno </w:t>
      </w:r>
      <w:r>
        <w:rPr>
          <w:rFonts w:ascii="Arial" w:hAnsi="Arial" w:cs="Arial"/>
        </w:rPr>
        <w:t xml:space="preserve">je </w:t>
      </w:r>
      <w:r w:rsidR="0000421D" w:rsidRPr="0000421D">
        <w:rPr>
          <w:rFonts w:ascii="Arial" w:hAnsi="Arial" w:cs="Arial"/>
        </w:rPr>
        <w:t>preoblikovanje gospodarstva, ki deluje po načelih krožnega gospodarstva</w:t>
      </w:r>
      <w:r w:rsidR="00E23EF4">
        <w:rPr>
          <w:rFonts w:ascii="Arial" w:hAnsi="Arial" w:cs="Arial"/>
        </w:rPr>
        <w:t xml:space="preserve"> in kjer so osrednjega pomena</w:t>
      </w:r>
      <w:r w:rsidR="0000421D" w:rsidRPr="0000421D">
        <w:rPr>
          <w:rFonts w:ascii="Arial" w:hAnsi="Arial" w:cs="Arial"/>
        </w:rPr>
        <w:t xml:space="preserve"> </w:t>
      </w:r>
      <w:r w:rsidR="00E23EF4">
        <w:rPr>
          <w:rFonts w:ascii="Arial" w:hAnsi="Arial" w:cs="Arial"/>
        </w:rPr>
        <w:t xml:space="preserve">tudi </w:t>
      </w:r>
      <w:r w:rsidR="00505724">
        <w:rPr>
          <w:rFonts w:ascii="Arial" w:hAnsi="Arial" w:cs="Arial"/>
        </w:rPr>
        <w:t>z</w:t>
      </w:r>
      <w:r w:rsidR="00E23EF4" w:rsidRPr="00E23EF4">
        <w:rPr>
          <w:rFonts w:ascii="Arial" w:hAnsi="Arial" w:cs="Arial"/>
        </w:rPr>
        <w:t>elene javne finance</w:t>
      </w:r>
      <w:r w:rsidR="00696554">
        <w:rPr>
          <w:rStyle w:val="Sprotnaopomba-sklic"/>
          <w:rFonts w:ascii="Arial" w:hAnsi="Arial" w:cs="Arial"/>
        </w:rPr>
        <w:footnoteReference w:id="20"/>
      </w:r>
      <w:r w:rsidR="00E23EF4" w:rsidRPr="00E23EF4">
        <w:rPr>
          <w:rFonts w:ascii="Arial" w:hAnsi="Arial" w:cs="Arial"/>
        </w:rPr>
        <w:t>, trajnostne investicije in digitalizacija</w:t>
      </w:r>
      <w:r w:rsidR="00E23EF4">
        <w:rPr>
          <w:rFonts w:ascii="Arial" w:hAnsi="Arial" w:cs="Arial"/>
        </w:rPr>
        <w:t>.</w:t>
      </w:r>
      <w:r w:rsidR="001B293A" w:rsidRPr="001B293A">
        <w:rPr>
          <w:rFonts w:ascii="Arial" w:hAnsi="Arial" w:cs="Arial"/>
        </w:rPr>
        <w:t xml:space="preserve"> </w:t>
      </w:r>
      <w:r w:rsidR="001B293A" w:rsidRPr="00900F8E">
        <w:rPr>
          <w:rFonts w:ascii="Arial" w:hAnsi="Arial" w:cs="Arial"/>
        </w:rPr>
        <w:t xml:space="preserve">Oblikovati je treba nizkoogljično krožno, </w:t>
      </w:r>
      <w:proofErr w:type="spellStart"/>
      <w:r w:rsidR="001B293A" w:rsidRPr="00900F8E">
        <w:rPr>
          <w:rFonts w:ascii="Arial" w:hAnsi="Arial" w:cs="Arial"/>
        </w:rPr>
        <w:t>vsevključujoče</w:t>
      </w:r>
      <w:proofErr w:type="spellEnd"/>
      <w:r w:rsidR="001B293A" w:rsidRPr="00900F8E">
        <w:rPr>
          <w:rFonts w:ascii="Arial" w:hAnsi="Arial" w:cs="Arial"/>
        </w:rPr>
        <w:t xml:space="preserve"> gospodarstvo, ki temelji na trajnostnih potrošniških vzorcih</w:t>
      </w:r>
      <w:r w:rsidR="00A919EE">
        <w:rPr>
          <w:rFonts w:ascii="Arial" w:hAnsi="Arial" w:cs="Arial"/>
        </w:rPr>
        <w:t>.</w:t>
      </w:r>
      <w:r w:rsidR="001B293A">
        <w:rPr>
          <w:rFonts w:ascii="Arial" w:hAnsi="Arial" w:cs="Arial"/>
        </w:rPr>
        <w:t xml:space="preserve"> </w:t>
      </w:r>
    </w:p>
    <w:p w14:paraId="48485717" w14:textId="29B8AEA7" w:rsidR="00CE19EA" w:rsidRDefault="00CE19EA" w:rsidP="00CE19EA">
      <w:pPr>
        <w:spacing w:after="0" w:line="240" w:lineRule="auto"/>
        <w:jc w:val="both"/>
        <w:rPr>
          <w:rFonts w:ascii="Arial" w:hAnsi="Arial" w:cs="Arial"/>
        </w:rPr>
      </w:pPr>
      <w:r w:rsidRPr="00900F8E">
        <w:rPr>
          <w:rFonts w:ascii="Arial" w:hAnsi="Arial" w:cs="Arial"/>
        </w:rPr>
        <w:t xml:space="preserve">Pomembna je usmerjevalna vloga </w:t>
      </w:r>
      <w:r w:rsidR="004B3773" w:rsidRPr="006E4F73">
        <w:rPr>
          <w:rFonts w:ascii="Arial" w:hAnsi="Arial" w:cs="Arial"/>
        </w:rPr>
        <w:t>okoljske dajatve</w:t>
      </w:r>
      <w:r w:rsidR="004B3773" w:rsidRPr="004B3773">
        <w:rPr>
          <w:rFonts w:ascii="Arial" w:hAnsi="Arial" w:cs="Arial"/>
        </w:rPr>
        <w:t xml:space="preserve"> za onesnaževanje zraka z emisijo ogljikovega dioksida</w:t>
      </w:r>
      <w:r w:rsidRPr="00900F8E">
        <w:rPr>
          <w:rFonts w:ascii="Arial" w:hAnsi="Arial" w:cs="Arial"/>
        </w:rPr>
        <w:t xml:space="preserve">, ki </w:t>
      </w:r>
      <w:r w:rsidR="00655767">
        <w:rPr>
          <w:rFonts w:ascii="Arial" w:hAnsi="Arial" w:cs="Arial"/>
        </w:rPr>
        <w:t>obravnava</w:t>
      </w:r>
      <w:r w:rsidR="00655767" w:rsidRPr="00900F8E">
        <w:rPr>
          <w:rFonts w:ascii="Arial" w:hAnsi="Arial" w:cs="Arial"/>
        </w:rPr>
        <w:t xml:space="preserve"> </w:t>
      </w:r>
      <w:r w:rsidRPr="00900F8E">
        <w:rPr>
          <w:rFonts w:ascii="Arial" w:hAnsi="Arial" w:cs="Arial"/>
        </w:rPr>
        <w:t xml:space="preserve">zmanjševanje podnebnih in s tem povezanih finančnih tveganj in škod v prihodnje. </w:t>
      </w:r>
      <w:r w:rsidR="004B3773" w:rsidRPr="004B3773">
        <w:rPr>
          <w:rFonts w:ascii="Arial" w:hAnsi="Arial" w:cs="Arial"/>
        </w:rPr>
        <w:t xml:space="preserve">Neustrezen odziv in oblikovanje </w:t>
      </w:r>
      <w:r w:rsidR="004B3773">
        <w:rPr>
          <w:rFonts w:ascii="Arial" w:hAnsi="Arial" w:cs="Arial"/>
        </w:rPr>
        <w:t>te</w:t>
      </w:r>
      <w:r w:rsidR="004B3773" w:rsidRPr="004B3773">
        <w:rPr>
          <w:rFonts w:ascii="Arial" w:hAnsi="Arial" w:cs="Arial"/>
        </w:rPr>
        <w:t xml:space="preserve"> dajatve v trenutnih razmerah lahko povzroči povečanje rabe energentov, ki imajo večji negativni vpliv na okolje in povzročajo več emisij TGP, na gospodarstvo pa imajo le kratkoročne učinke.</w:t>
      </w:r>
      <w:r w:rsidR="001B293A">
        <w:rPr>
          <w:rFonts w:ascii="Arial" w:hAnsi="Arial" w:cs="Arial"/>
        </w:rPr>
        <w:t xml:space="preserve"> </w:t>
      </w:r>
      <w:r w:rsidRPr="00900F8E">
        <w:rPr>
          <w:rFonts w:ascii="Arial" w:hAnsi="Arial" w:cs="Arial"/>
        </w:rPr>
        <w:t>Za zmanjšanje spodbud, ki so v nasprotju s ciljem zmanjševanja emisij TGP</w:t>
      </w:r>
      <w:r w:rsidR="00655767">
        <w:rPr>
          <w:rFonts w:ascii="Arial" w:hAnsi="Arial" w:cs="Arial"/>
        </w:rPr>
        <w:t>,</w:t>
      </w:r>
      <w:r w:rsidRPr="00900F8E">
        <w:rPr>
          <w:rFonts w:ascii="Arial" w:hAnsi="Arial" w:cs="Arial"/>
        </w:rPr>
        <w:t xml:space="preserve"> je treba zastaviti ciljno naravnan načrt za celoten proces postopnega zmanjševanja tovrstnih spodbud. </w:t>
      </w:r>
    </w:p>
    <w:p w14:paraId="1A41D6DD" w14:textId="68009610" w:rsidR="00CE19EA" w:rsidRDefault="00CE19EA" w:rsidP="00CE19EA">
      <w:pPr>
        <w:spacing w:after="0" w:line="240" w:lineRule="auto"/>
        <w:jc w:val="both"/>
        <w:rPr>
          <w:rFonts w:ascii="Arial" w:hAnsi="Arial" w:cs="Arial"/>
        </w:rPr>
      </w:pPr>
      <w:r w:rsidRPr="00900F8E">
        <w:rPr>
          <w:rFonts w:ascii="Arial" w:hAnsi="Arial" w:cs="Arial"/>
        </w:rPr>
        <w:t>Nadaljevati je treba pripravo pilotno-demonstracijskih projektov in izvajanje spodbud podjetjem za pripravo ali neposreden prehod v NOD z izrazitejšo usmerit</w:t>
      </w:r>
      <w:r w:rsidR="00D7480E">
        <w:rPr>
          <w:rFonts w:ascii="Arial" w:hAnsi="Arial" w:cs="Arial"/>
        </w:rPr>
        <w:t>vijo</w:t>
      </w:r>
      <w:r w:rsidRPr="00900F8E">
        <w:rPr>
          <w:rFonts w:ascii="Arial" w:hAnsi="Arial" w:cs="Arial"/>
        </w:rPr>
        <w:t xml:space="preserve"> v tehnologije, ki bodo prispevale k prehodu v NOD in s tem podprl</w:t>
      </w:r>
      <w:r w:rsidR="00C9419D">
        <w:rPr>
          <w:rFonts w:ascii="Arial" w:hAnsi="Arial" w:cs="Arial"/>
        </w:rPr>
        <w:t>e</w:t>
      </w:r>
      <w:r w:rsidRPr="00900F8E">
        <w:rPr>
          <w:rFonts w:ascii="Arial" w:hAnsi="Arial" w:cs="Arial"/>
        </w:rPr>
        <w:t xml:space="preserve"> podnebno</w:t>
      </w:r>
      <w:r w:rsidR="00D7480E">
        <w:rPr>
          <w:rFonts w:ascii="Arial" w:hAnsi="Arial" w:cs="Arial"/>
        </w:rPr>
        <w:t>-</w:t>
      </w:r>
      <w:r w:rsidRPr="00900F8E">
        <w:rPr>
          <w:rFonts w:ascii="Arial" w:hAnsi="Arial" w:cs="Arial"/>
        </w:rPr>
        <w:t xml:space="preserve">energetske zaveze, ki jih je Slovenija sprejela. Področje prehoda v podnebno nevtralno družbo mora postati eno od </w:t>
      </w:r>
      <w:r w:rsidR="00D7480E">
        <w:rPr>
          <w:rFonts w:ascii="Arial" w:hAnsi="Arial" w:cs="Arial"/>
        </w:rPr>
        <w:t>prednostnih</w:t>
      </w:r>
      <w:r w:rsidR="00D7480E" w:rsidRPr="00900F8E">
        <w:rPr>
          <w:rFonts w:ascii="Arial" w:hAnsi="Arial" w:cs="Arial"/>
        </w:rPr>
        <w:t xml:space="preserve"> </w:t>
      </w:r>
      <w:r w:rsidRPr="00900F8E">
        <w:rPr>
          <w:rFonts w:ascii="Arial" w:hAnsi="Arial" w:cs="Arial"/>
        </w:rPr>
        <w:t>področij pri financiranju raziskovalno-razvojnih programov in projektov, ki jih pripravljata M</w:t>
      </w:r>
      <w:r w:rsidR="00442F2D">
        <w:rPr>
          <w:rFonts w:ascii="Arial" w:hAnsi="Arial" w:cs="Arial"/>
        </w:rPr>
        <w:t>inistrstvo za izobraževanje, znanost in šport</w:t>
      </w:r>
      <w:r w:rsidR="00753D1A">
        <w:rPr>
          <w:rFonts w:ascii="Arial" w:hAnsi="Arial" w:cs="Arial"/>
        </w:rPr>
        <w:t xml:space="preserve"> RS</w:t>
      </w:r>
      <w:r w:rsidRPr="00900F8E">
        <w:rPr>
          <w:rFonts w:ascii="Arial" w:hAnsi="Arial" w:cs="Arial"/>
        </w:rPr>
        <w:t xml:space="preserve"> </w:t>
      </w:r>
      <w:r w:rsidR="00442F2D">
        <w:rPr>
          <w:rFonts w:ascii="Arial" w:hAnsi="Arial" w:cs="Arial"/>
        </w:rPr>
        <w:t>ter</w:t>
      </w:r>
      <w:r w:rsidRPr="00900F8E">
        <w:rPr>
          <w:rFonts w:ascii="Arial" w:hAnsi="Arial" w:cs="Arial"/>
        </w:rPr>
        <w:t xml:space="preserve"> ARRS. </w:t>
      </w:r>
      <w:r w:rsidR="00655789">
        <w:rPr>
          <w:rFonts w:ascii="Arial" w:hAnsi="Arial" w:cs="Arial"/>
        </w:rPr>
        <w:t>Merila</w:t>
      </w:r>
      <w:r w:rsidR="00655789" w:rsidRPr="00900F8E">
        <w:rPr>
          <w:rFonts w:ascii="Arial" w:hAnsi="Arial" w:cs="Arial"/>
        </w:rPr>
        <w:t xml:space="preserve"> </w:t>
      </w:r>
      <w:r w:rsidRPr="00900F8E">
        <w:rPr>
          <w:rFonts w:ascii="Arial" w:hAnsi="Arial" w:cs="Arial"/>
        </w:rPr>
        <w:t xml:space="preserve">izbire morajo upoštevati večjo težo teh področij pri ocenjevanju, za kar je treba pripraviti natančnejša pojasnila ocenjevalcem. Povečati je treba število inovativnih projektov, ki bodo v fazi razvoja razviti do stopnje, ko bodo primerni za demonstracijski ali pilotni projekt. </w:t>
      </w:r>
    </w:p>
    <w:p w14:paraId="6ADCA27E" w14:textId="007214E4" w:rsidR="00CE19EA" w:rsidRDefault="00CE19EA" w:rsidP="00CE19EA">
      <w:pPr>
        <w:spacing w:after="0" w:line="240" w:lineRule="auto"/>
        <w:jc w:val="both"/>
        <w:rPr>
          <w:rFonts w:ascii="Arial" w:hAnsi="Arial" w:cs="Arial"/>
        </w:rPr>
      </w:pPr>
      <w:r w:rsidRPr="00900F8E">
        <w:rPr>
          <w:rFonts w:ascii="Arial" w:hAnsi="Arial" w:cs="Arial"/>
        </w:rPr>
        <w:t xml:space="preserve">Pri oblikovanju in spremljanju spodbud za prehod v NOD bi bilo treba postaviti konkretne cilje v zvezi s prehodom v nizkoogljično gospodarstvo, za kar je treba izboljšati pripravo in vključevanje primernih </w:t>
      </w:r>
      <w:r w:rsidR="00655789">
        <w:rPr>
          <w:rFonts w:ascii="Arial" w:hAnsi="Arial" w:cs="Arial"/>
        </w:rPr>
        <w:t>meril</w:t>
      </w:r>
      <w:r w:rsidR="00655789" w:rsidRPr="00900F8E">
        <w:rPr>
          <w:rFonts w:ascii="Arial" w:hAnsi="Arial" w:cs="Arial"/>
        </w:rPr>
        <w:t xml:space="preserve"> </w:t>
      </w:r>
      <w:r w:rsidRPr="00900F8E">
        <w:rPr>
          <w:rFonts w:ascii="Arial" w:hAnsi="Arial" w:cs="Arial"/>
        </w:rPr>
        <w:t>in meril za razpise. Cilji lahko med drugim vključujejo delež sredstev</w:t>
      </w:r>
      <w:r w:rsidR="00655789">
        <w:rPr>
          <w:rFonts w:ascii="Arial" w:hAnsi="Arial" w:cs="Arial"/>
        </w:rPr>
        <w:t>,</w:t>
      </w:r>
      <w:r w:rsidRPr="00900F8E">
        <w:rPr>
          <w:rFonts w:ascii="Arial" w:hAnsi="Arial" w:cs="Arial"/>
        </w:rPr>
        <w:t xml:space="preserve"> usmerjenih v zelene tehnologije, razvoj materialov, ki bodo nadomeščal</w:t>
      </w:r>
      <w:r w:rsidR="00655789">
        <w:rPr>
          <w:rFonts w:ascii="Arial" w:hAnsi="Arial" w:cs="Arial"/>
        </w:rPr>
        <w:t>i</w:t>
      </w:r>
      <w:r w:rsidRPr="00900F8E">
        <w:rPr>
          <w:rFonts w:ascii="Arial" w:hAnsi="Arial" w:cs="Arial"/>
        </w:rPr>
        <w:t xml:space="preserve"> ogljično bolj potratne</w:t>
      </w:r>
      <w:r w:rsidR="002A6408">
        <w:rPr>
          <w:rFonts w:ascii="Arial" w:hAnsi="Arial" w:cs="Arial"/>
        </w:rPr>
        <w:t xml:space="preserve"> materiale</w:t>
      </w:r>
      <w:r w:rsidRPr="00900F8E">
        <w:rPr>
          <w:rFonts w:ascii="Arial" w:hAnsi="Arial" w:cs="Arial"/>
        </w:rPr>
        <w:t>, razvoj proizvodnje novih OVE in s tem povezana konkretna znižanja emisij na enoto goriva.</w:t>
      </w:r>
    </w:p>
    <w:p w14:paraId="2D529D2F" w14:textId="42C44CEC" w:rsidR="00CE19EA" w:rsidRDefault="00CE19EA" w:rsidP="00CE19EA">
      <w:pPr>
        <w:spacing w:after="0" w:line="240" w:lineRule="auto"/>
        <w:jc w:val="both"/>
        <w:rPr>
          <w:rFonts w:ascii="Arial" w:hAnsi="Arial" w:cs="Arial"/>
        </w:rPr>
      </w:pPr>
      <w:r w:rsidRPr="00900F8E">
        <w:rPr>
          <w:rFonts w:ascii="Arial" w:hAnsi="Arial" w:cs="Arial"/>
        </w:rPr>
        <w:t>Pri lesarstvu je treba pripraviti več ciljno usmerjenih pobud, vendar bi bilo to smiselno izvajati v okviru drugih razvojnih in trajnostnih zavez in virov financiranja, ne da bi s tem zmanjševali sredstva</w:t>
      </w:r>
      <w:r w:rsidR="00655789">
        <w:rPr>
          <w:rFonts w:ascii="Arial" w:hAnsi="Arial" w:cs="Arial"/>
        </w:rPr>
        <w:t>,</w:t>
      </w:r>
      <w:r w:rsidRPr="00900F8E">
        <w:rPr>
          <w:rFonts w:ascii="Arial" w:hAnsi="Arial" w:cs="Arial"/>
        </w:rPr>
        <w:t xml:space="preserve"> namenjena drugim </w:t>
      </w:r>
      <w:r w:rsidR="00097EDB">
        <w:rPr>
          <w:rFonts w:ascii="Arial" w:hAnsi="Arial" w:cs="Arial"/>
        </w:rPr>
        <w:t>malim in srednje velikim podjetjem</w:t>
      </w:r>
      <w:r w:rsidRPr="00900F8E">
        <w:rPr>
          <w:rFonts w:ascii="Arial" w:hAnsi="Arial" w:cs="Arial"/>
        </w:rPr>
        <w:t xml:space="preserve">. </w:t>
      </w:r>
    </w:p>
    <w:p w14:paraId="5564CCA5" w14:textId="4913D397" w:rsidR="00CE19EA" w:rsidRDefault="00CE19EA" w:rsidP="00CE19EA">
      <w:pPr>
        <w:spacing w:after="0" w:line="240" w:lineRule="auto"/>
        <w:jc w:val="both"/>
        <w:rPr>
          <w:rFonts w:ascii="Arial" w:hAnsi="Arial" w:cs="Arial"/>
        </w:rPr>
      </w:pPr>
      <w:r w:rsidRPr="00900F8E">
        <w:rPr>
          <w:rFonts w:ascii="Arial" w:hAnsi="Arial" w:cs="Arial"/>
        </w:rPr>
        <w:t xml:space="preserve">V razpisih se dosledno ločuje med vzhodno in zahodno regijo, kjer prevladuje vzhodna regija, zato podjetja na razpisih niso obravnavana enakopravno. V prihodnjih programskih </w:t>
      </w:r>
      <w:r w:rsidRPr="00900F8E">
        <w:rPr>
          <w:rFonts w:ascii="Arial" w:hAnsi="Arial" w:cs="Arial"/>
        </w:rPr>
        <w:lastRenderedPageBreak/>
        <w:t xml:space="preserve">dokumentih in razpisih mora odločitev o usmerjanju sredstev za prehod v NOD temeljiti na analizi potreb. </w:t>
      </w:r>
    </w:p>
    <w:p w14:paraId="170BB51A" w14:textId="339821C8" w:rsidR="00CE19EA" w:rsidRPr="00900F8E" w:rsidRDefault="00CE19EA" w:rsidP="00CE19EA">
      <w:pPr>
        <w:spacing w:after="0" w:line="240" w:lineRule="auto"/>
        <w:jc w:val="both"/>
        <w:rPr>
          <w:rFonts w:ascii="Arial" w:hAnsi="Arial" w:cs="Arial"/>
        </w:rPr>
      </w:pPr>
      <w:r w:rsidRPr="00900F8E">
        <w:rPr>
          <w:rFonts w:ascii="Arial" w:hAnsi="Arial" w:cs="Arial"/>
        </w:rPr>
        <w:t xml:space="preserve">Treba je zagotoviti usklajenost ravnanja na področju prehoda v NOD na področju ministrstev, programskih dokumentov, sprejetega </w:t>
      </w:r>
      <w:r w:rsidR="00134B5E">
        <w:rPr>
          <w:rFonts w:ascii="Arial" w:hAnsi="Arial" w:cs="Arial"/>
        </w:rPr>
        <w:t>n</w:t>
      </w:r>
      <w:r w:rsidRPr="00900F8E">
        <w:rPr>
          <w:rFonts w:ascii="Arial" w:hAnsi="Arial" w:cs="Arial"/>
        </w:rPr>
        <w:t>acionalnega energetskega podnebnega načrta.</w:t>
      </w:r>
      <w:r w:rsidR="00097EDB">
        <w:rPr>
          <w:rFonts w:ascii="Arial" w:hAnsi="Arial" w:cs="Arial"/>
        </w:rPr>
        <w:t xml:space="preserve"> </w:t>
      </w:r>
    </w:p>
    <w:p w14:paraId="5C32A00E" w14:textId="759BD67F" w:rsidR="005805B6" w:rsidRPr="00900F8E" w:rsidRDefault="005805B6" w:rsidP="00EA1105">
      <w:pPr>
        <w:spacing w:after="0" w:line="240" w:lineRule="auto"/>
        <w:jc w:val="both"/>
        <w:rPr>
          <w:rFonts w:ascii="Arial" w:hAnsi="Arial" w:cs="Arial"/>
          <w:b/>
          <w:bCs/>
          <w:sz w:val="26"/>
          <w:szCs w:val="26"/>
        </w:rPr>
      </w:pPr>
    </w:p>
    <w:p w14:paraId="02492285" w14:textId="225C31F6" w:rsidR="001D3E38" w:rsidRPr="00900F8E" w:rsidRDefault="001D3E38" w:rsidP="001D3E38">
      <w:pPr>
        <w:pStyle w:val="Naslov2"/>
        <w:rPr>
          <w:rFonts w:ascii="Arial" w:hAnsi="Arial" w:cs="Arial"/>
          <w:color w:val="auto"/>
        </w:rPr>
      </w:pPr>
      <w:bookmarkStart w:id="47" w:name="_Toc120166949"/>
      <w:r w:rsidRPr="00900F8E">
        <w:rPr>
          <w:rFonts w:ascii="Arial" w:hAnsi="Arial" w:cs="Arial"/>
          <w:color w:val="auto"/>
        </w:rPr>
        <w:t>6.2 Promet</w:t>
      </w:r>
      <w:bookmarkEnd w:id="47"/>
    </w:p>
    <w:p w14:paraId="7F877990" w14:textId="77777777" w:rsidR="001D3E38" w:rsidRPr="00900F8E" w:rsidRDefault="001D3E38" w:rsidP="001D3E38">
      <w:pPr>
        <w:spacing w:after="0" w:line="240" w:lineRule="auto"/>
        <w:jc w:val="both"/>
        <w:rPr>
          <w:rFonts w:ascii="Arial" w:hAnsi="Arial" w:cs="Arial"/>
          <w:u w:val="single"/>
        </w:rPr>
      </w:pPr>
    </w:p>
    <w:p w14:paraId="498A4996" w14:textId="6E54BCE9" w:rsidR="00A57C63" w:rsidRDefault="00A57C63" w:rsidP="001D3E38">
      <w:pPr>
        <w:spacing w:after="0" w:line="240" w:lineRule="auto"/>
        <w:jc w:val="both"/>
        <w:rPr>
          <w:rFonts w:ascii="Arial" w:hAnsi="Arial" w:cs="Arial"/>
        </w:rPr>
      </w:pPr>
      <w:r w:rsidRPr="00A57C63">
        <w:rPr>
          <w:rFonts w:ascii="Arial" w:hAnsi="Arial" w:cs="Arial"/>
        </w:rPr>
        <w:t>V skladu z NEPN</w:t>
      </w:r>
      <w:r>
        <w:rPr>
          <w:rFonts w:ascii="Arial" w:hAnsi="Arial" w:cs="Arial"/>
        </w:rPr>
        <w:t xml:space="preserve"> naj se</w:t>
      </w:r>
      <w:r w:rsidRPr="00A57C63">
        <w:rPr>
          <w:rFonts w:ascii="Arial" w:hAnsi="Arial" w:cs="Arial"/>
        </w:rPr>
        <w:t xml:space="preserve"> čim</w:t>
      </w:r>
      <w:r w:rsidR="00867678">
        <w:rPr>
          <w:rFonts w:ascii="Arial" w:hAnsi="Arial" w:cs="Arial"/>
        </w:rPr>
        <w:t xml:space="preserve"> </w:t>
      </w:r>
      <w:r w:rsidRPr="00A57C63">
        <w:rPr>
          <w:rFonts w:ascii="Arial" w:hAnsi="Arial" w:cs="Arial"/>
        </w:rPr>
        <w:t>prej pripravi</w:t>
      </w:r>
      <w:r w:rsidR="00351378">
        <w:rPr>
          <w:rFonts w:ascii="Arial" w:hAnsi="Arial" w:cs="Arial"/>
        </w:rPr>
        <w:t>jo</w:t>
      </w:r>
      <w:r w:rsidRPr="00A57C63">
        <w:rPr>
          <w:rFonts w:ascii="Arial" w:hAnsi="Arial" w:cs="Arial"/>
        </w:rPr>
        <w:t xml:space="preserve"> usmeritve, smernice in spodbude za pripravo regionalnih CPS. Tako za pripravo kot tudi izvajanje </w:t>
      </w:r>
      <w:r w:rsidR="00C6526C">
        <w:rPr>
          <w:rFonts w:ascii="Arial" w:hAnsi="Arial" w:cs="Arial"/>
        </w:rPr>
        <w:t xml:space="preserve">ukrepov </w:t>
      </w:r>
      <w:r w:rsidRPr="00A57C63">
        <w:rPr>
          <w:rFonts w:ascii="Arial" w:hAnsi="Arial" w:cs="Arial"/>
        </w:rPr>
        <w:t>občinskih in regionalnih CPS je treba zagotoviti redna, stabilna in predvidljiva finančna sredstva</w:t>
      </w:r>
      <w:r>
        <w:rPr>
          <w:rFonts w:ascii="Arial" w:hAnsi="Arial" w:cs="Arial"/>
        </w:rPr>
        <w:t>.</w:t>
      </w:r>
    </w:p>
    <w:p w14:paraId="7B031154" w14:textId="43E03862" w:rsidR="00A57C63" w:rsidRDefault="00A57C63" w:rsidP="001D3E38">
      <w:pPr>
        <w:spacing w:after="0" w:line="240" w:lineRule="auto"/>
        <w:jc w:val="both"/>
        <w:rPr>
          <w:rFonts w:ascii="Arial" w:hAnsi="Arial" w:cs="Arial"/>
        </w:rPr>
      </w:pPr>
      <w:r w:rsidRPr="00A57C63">
        <w:rPr>
          <w:rFonts w:ascii="Arial" w:hAnsi="Arial" w:cs="Arial"/>
        </w:rPr>
        <w:t xml:space="preserve">Priporoča se tudi ponovna vzpostavitev finančnih </w:t>
      </w:r>
      <w:r w:rsidR="00351378">
        <w:rPr>
          <w:rFonts w:ascii="Arial" w:hAnsi="Arial" w:cs="Arial"/>
        </w:rPr>
        <w:t>s</w:t>
      </w:r>
      <w:r w:rsidRPr="00A57C63">
        <w:rPr>
          <w:rFonts w:ascii="Arial" w:hAnsi="Arial" w:cs="Arial"/>
        </w:rPr>
        <w:t>podbud za delodajalce za namen izdelave in izvedbe mobilnostnih načrtov.</w:t>
      </w:r>
      <w:r w:rsidR="00A44802" w:rsidRPr="00A44802">
        <w:t xml:space="preserve"> </w:t>
      </w:r>
    </w:p>
    <w:p w14:paraId="766CA633" w14:textId="111627AD" w:rsidR="0001759A" w:rsidRDefault="0001759A" w:rsidP="001D3E38">
      <w:pPr>
        <w:spacing w:after="0" w:line="240" w:lineRule="auto"/>
        <w:jc w:val="both"/>
        <w:rPr>
          <w:rFonts w:ascii="Arial" w:hAnsi="Arial" w:cs="Arial"/>
        </w:rPr>
      </w:pPr>
      <w:r w:rsidRPr="0001759A">
        <w:rPr>
          <w:rFonts w:ascii="Arial" w:hAnsi="Arial" w:cs="Arial"/>
        </w:rPr>
        <w:t xml:space="preserve">Nadaljuje naj se intenzivno in ciljno spodbujanje ter informiranje splošne in strokovne javnosti tako na lokalni kot državni ravni. V </w:t>
      </w:r>
      <w:r>
        <w:rPr>
          <w:rFonts w:ascii="Arial" w:hAnsi="Arial" w:cs="Arial"/>
        </w:rPr>
        <w:t>izobraževalni sistem</w:t>
      </w:r>
      <w:r w:rsidRPr="0001759A">
        <w:rPr>
          <w:rFonts w:ascii="Arial" w:hAnsi="Arial" w:cs="Arial"/>
        </w:rPr>
        <w:t xml:space="preserve"> bi bilo treba vključiti sistematično obravnavo trajnostne mobilnosti.</w:t>
      </w:r>
    </w:p>
    <w:p w14:paraId="4B066C69" w14:textId="0BDFE1E5" w:rsidR="005F3715" w:rsidRDefault="005F3715" w:rsidP="001D3E38">
      <w:pPr>
        <w:spacing w:after="0" w:line="240" w:lineRule="auto"/>
        <w:jc w:val="both"/>
        <w:rPr>
          <w:rFonts w:ascii="Arial" w:hAnsi="Arial" w:cs="Arial"/>
        </w:rPr>
      </w:pPr>
      <w:r>
        <w:rPr>
          <w:rFonts w:ascii="Arial" w:hAnsi="Arial" w:cs="Arial"/>
        </w:rPr>
        <w:t>Smiselna je v</w:t>
      </w:r>
      <w:r w:rsidRPr="005F3715">
        <w:rPr>
          <w:rFonts w:ascii="Arial" w:hAnsi="Arial" w:cs="Arial"/>
        </w:rPr>
        <w:t xml:space="preserve">zpostavitev </w:t>
      </w:r>
      <w:r w:rsidR="00351378">
        <w:rPr>
          <w:rFonts w:ascii="Arial" w:hAnsi="Arial" w:cs="Arial"/>
        </w:rPr>
        <w:t>stalnega</w:t>
      </w:r>
      <w:r w:rsidR="00351378" w:rsidRPr="005F3715">
        <w:rPr>
          <w:rFonts w:ascii="Arial" w:hAnsi="Arial" w:cs="Arial"/>
        </w:rPr>
        <w:t xml:space="preserve"> </w:t>
      </w:r>
      <w:r w:rsidRPr="005F3715">
        <w:rPr>
          <w:rFonts w:ascii="Arial" w:hAnsi="Arial" w:cs="Arial"/>
        </w:rPr>
        <w:t xml:space="preserve">zbiranja podatkov o dejansko prepeljanih potnikih </w:t>
      </w:r>
      <w:r>
        <w:rPr>
          <w:rFonts w:ascii="Arial" w:hAnsi="Arial" w:cs="Arial"/>
        </w:rPr>
        <w:t xml:space="preserve">ter </w:t>
      </w:r>
      <w:r w:rsidRPr="005F3715">
        <w:rPr>
          <w:rFonts w:ascii="Arial" w:hAnsi="Arial" w:cs="Arial"/>
        </w:rPr>
        <w:t>sistem</w:t>
      </w:r>
      <w:r>
        <w:rPr>
          <w:rFonts w:ascii="Arial" w:hAnsi="Arial" w:cs="Arial"/>
        </w:rPr>
        <w:t>a</w:t>
      </w:r>
      <w:r w:rsidRPr="005F3715">
        <w:rPr>
          <w:rFonts w:ascii="Arial" w:hAnsi="Arial" w:cs="Arial"/>
        </w:rPr>
        <w:t xml:space="preserve"> rednega in objektivnega spremljanja kakovosti </w:t>
      </w:r>
      <w:r w:rsidR="00091432">
        <w:rPr>
          <w:rFonts w:ascii="Arial" w:hAnsi="Arial" w:cs="Arial"/>
        </w:rPr>
        <w:t xml:space="preserve">storitev </w:t>
      </w:r>
      <w:r w:rsidRPr="005F3715">
        <w:rPr>
          <w:rFonts w:ascii="Arial" w:hAnsi="Arial" w:cs="Arial"/>
        </w:rPr>
        <w:t>in v ospredje delovanja postaviti skrb za uporabnika.</w:t>
      </w:r>
    </w:p>
    <w:p w14:paraId="0B4F7E94" w14:textId="6367F7CC" w:rsidR="001D3E38" w:rsidRPr="00900F8E" w:rsidRDefault="001D3E38" w:rsidP="001D3E38">
      <w:pPr>
        <w:spacing w:after="0" w:line="240" w:lineRule="auto"/>
        <w:jc w:val="both"/>
        <w:rPr>
          <w:rFonts w:ascii="Arial" w:hAnsi="Arial" w:cs="Arial"/>
        </w:rPr>
      </w:pPr>
      <w:r w:rsidRPr="00900F8E">
        <w:rPr>
          <w:rFonts w:ascii="Arial" w:hAnsi="Arial" w:cs="Arial"/>
        </w:rPr>
        <w:t>Zaostajamo pri ureditvi ljubljanskega železniškega vozlišča in nadgradnjah enotirnih regionalnih prog. Obenem je nuj</w:t>
      </w:r>
      <w:r w:rsidR="0089120F">
        <w:rPr>
          <w:rFonts w:ascii="Arial" w:hAnsi="Arial" w:cs="Arial"/>
        </w:rPr>
        <w:t>no</w:t>
      </w:r>
      <w:r w:rsidRPr="00900F8E">
        <w:rPr>
          <w:rFonts w:ascii="Arial" w:hAnsi="Arial" w:cs="Arial"/>
        </w:rPr>
        <w:t xml:space="preserve"> poveča</w:t>
      </w:r>
      <w:r w:rsidR="0089120F">
        <w:rPr>
          <w:rFonts w:ascii="Arial" w:hAnsi="Arial" w:cs="Arial"/>
        </w:rPr>
        <w:t>ti</w:t>
      </w:r>
      <w:r w:rsidRPr="00900F8E">
        <w:rPr>
          <w:rFonts w:ascii="Arial" w:hAnsi="Arial" w:cs="Arial"/>
        </w:rPr>
        <w:t xml:space="preserve"> frekvence voženj, ustrezn</w:t>
      </w:r>
      <w:r w:rsidR="0089120F">
        <w:rPr>
          <w:rFonts w:ascii="Arial" w:hAnsi="Arial" w:cs="Arial"/>
        </w:rPr>
        <w:t>o</w:t>
      </w:r>
      <w:r w:rsidRPr="00900F8E">
        <w:rPr>
          <w:rFonts w:ascii="Arial" w:hAnsi="Arial" w:cs="Arial"/>
        </w:rPr>
        <w:t xml:space="preserve"> kapacitet</w:t>
      </w:r>
      <w:r w:rsidR="0089120F">
        <w:rPr>
          <w:rFonts w:ascii="Arial" w:hAnsi="Arial" w:cs="Arial"/>
        </w:rPr>
        <w:t>o</w:t>
      </w:r>
      <w:r w:rsidRPr="00900F8E">
        <w:rPr>
          <w:rFonts w:ascii="Arial" w:hAnsi="Arial" w:cs="Arial"/>
        </w:rPr>
        <w:t xml:space="preserve"> vozil, uskla</w:t>
      </w:r>
      <w:r w:rsidR="0089120F">
        <w:rPr>
          <w:rFonts w:ascii="Arial" w:hAnsi="Arial" w:cs="Arial"/>
        </w:rPr>
        <w:t>diti</w:t>
      </w:r>
      <w:r w:rsidRPr="00900F8E">
        <w:rPr>
          <w:rFonts w:ascii="Arial" w:hAnsi="Arial" w:cs="Arial"/>
        </w:rPr>
        <w:t xml:space="preserve"> vozn</w:t>
      </w:r>
      <w:r w:rsidR="0089120F">
        <w:rPr>
          <w:rFonts w:ascii="Arial" w:hAnsi="Arial" w:cs="Arial"/>
        </w:rPr>
        <w:t>e</w:t>
      </w:r>
      <w:r w:rsidRPr="00900F8E">
        <w:rPr>
          <w:rFonts w:ascii="Arial" w:hAnsi="Arial" w:cs="Arial"/>
        </w:rPr>
        <w:t xml:space="preserve"> red</w:t>
      </w:r>
      <w:r w:rsidR="0089120F">
        <w:rPr>
          <w:rFonts w:ascii="Arial" w:hAnsi="Arial" w:cs="Arial"/>
        </w:rPr>
        <w:t>e</w:t>
      </w:r>
      <w:r w:rsidR="0022311E">
        <w:rPr>
          <w:rFonts w:ascii="Arial" w:hAnsi="Arial" w:cs="Arial"/>
        </w:rPr>
        <w:t xml:space="preserve"> </w:t>
      </w:r>
      <w:r w:rsidRPr="00900F8E">
        <w:rPr>
          <w:rFonts w:ascii="Arial" w:hAnsi="Arial" w:cs="Arial"/>
        </w:rPr>
        <w:t>i</w:t>
      </w:r>
      <w:r w:rsidR="00362CC2">
        <w:rPr>
          <w:rFonts w:ascii="Arial" w:hAnsi="Arial" w:cs="Arial"/>
        </w:rPr>
        <w:t xml:space="preserve">n </w:t>
      </w:r>
      <w:r w:rsidRPr="00900F8E">
        <w:rPr>
          <w:rFonts w:ascii="Arial" w:hAnsi="Arial" w:cs="Arial"/>
        </w:rPr>
        <w:t>dr</w:t>
      </w:r>
      <w:r w:rsidR="00362CC2">
        <w:rPr>
          <w:rFonts w:ascii="Arial" w:hAnsi="Arial" w:cs="Arial"/>
        </w:rPr>
        <w:t>ugo</w:t>
      </w:r>
      <w:r w:rsidRPr="00900F8E">
        <w:rPr>
          <w:rFonts w:ascii="Arial" w:hAnsi="Arial" w:cs="Arial"/>
        </w:rPr>
        <w:t>. Treba je nadaljevati prenov</w:t>
      </w:r>
      <w:r w:rsidR="00362CC2">
        <w:rPr>
          <w:rFonts w:ascii="Arial" w:hAnsi="Arial" w:cs="Arial"/>
        </w:rPr>
        <w:t>e</w:t>
      </w:r>
      <w:r w:rsidRPr="00900F8E">
        <w:rPr>
          <w:rFonts w:ascii="Arial" w:hAnsi="Arial" w:cs="Arial"/>
        </w:rPr>
        <w:t xml:space="preserve"> in gradnj</w:t>
      </w:r>
      <w:r w:rsidR="00362CC2">
        <w:rPr>
          <w:rFonts w:ascii="Arial" w:hAnsi="Arial" w:cs="Arial"/>
        </w:rPr>
        <w:t>o</w:t>
      </w:r>
      <w:r w:rsidRPr="00900F8E">
        <w:rPr>
          <w:rFonts w:ascii="Arial" w:hAnsi="Arial" w:cs="Arial"/>
        </w:rPr>
        <w:t xml:space="preserve"> kolesarske infrastrukture</w:t>
      </w:r>
      <w:r w:rsidR="00CB0E78">
        <w:rPr>
          <w:rFonts w:ascii="Arial" w:hAnsi="Arial" w:cs="Arial"/>
        </w:rPr>
        <w:t xml:space="preserve"> in infrastrukture za peš</w:t>
      </w:r>
      <w:r w:rsidR="00A44802">
        <w:rPr>
          <w:rFonts w:ascii="Arial" w:hAnsi="Arial" w:cs="Arial"/>
        </w:rPr>
        <w:t>c</w:t>
      </w:r>
      <w:r w:rsidR="00CB0E78">
        <w:rPr>
          <w:rFonts w:ascii="Arial" w:hAnsi="Arial" w:cs="Arial"/>
        </w:rPr>
        <w:t>e</w:t>
      </w:r>
      <w:r w:rsidRPr="00900F8E">
        <w:rPr>
          <w:rFonts w:ascii="Arial" w:hAnsi="Arial" w:cs="Arial"/>
        </w:rPr>
        <w:t xml:space="preserve"> ter podporno infrastrukturo, ki med drugim vključuje varovana in pokrita kolesarska parkirišča, integracij</w:t>
      </w:r>
      <w:r w:rsidR="00A44802">
        <w:rPr>
          <w:rFonts w:ascii="Arial" w:hAnsi="Arial" w:cs="Arial"/>
        </w:rPr>
        <w:t>o</w:t>
      </w:r>
      <w:r w:rsidRPr="00900F8E">
        <w:rPr>
          <w:rFonts w:ascii="Arial" w:hAnsi="Arial" w:cs="Arial"/>
        </w:rPr>
        <w:t xml:space="preserve"> z železniškim prometom, sistemi izposoje koles, opremljenost lokacij delovnih mest s </w:t>
      </w:r>
      <w:r w:rsidR="00792B1C">
        <w:rPr>
          <w:rFonts w:ascii="Arial" w:hAnsi="Arial" w:cs="Arial"/>
        </w:rPr>
        <w:t>prhami</w:t>
      </w:r>
      <w:r w:rsidR="00792B1C" w:rsidRPr="00900F8E">
        <w:rPr>
          <w:rFonts w:ascii="Arial" w:hAnsi="Arial" w:cs="Arial"/>
        </w:rPr>
        <w:t xml:space="preserve"> </w:t>
      </w:r>
      <w:r w:rsidRPr="00900F8E">
        <w:rPr>
          <w:rFonts w:ascii="Arial" w:hAnsi="Arial" w:cs="Arial"/>
        </w:rPr>
        <w:t xml:space="preserve">in garderobami. </w:t>
      </w:r>
    </w:p>
    <w:p w14:paraId="03B7B196" w14:textId="3DD8D184" w:rsidR="001D3E38" w:rsidRPr="00900F8E" w:rsidRDefault="001D3E38" w:rsidP="001D3E38">
      <w:pPr>
        <w:spacing w:after="0" w:line="240" w:lineRule="auto"/>
        <w:jc w:val="both"/>
        <w:rPr>
          <w:rFonts w:ascii="Arial" w:hAnsi="Arial" w:cs="Arial"/>
        </w:rPr>
      </w:pPr>
      <w:r w:rsidRPr="00900F8E">
        <w:rPr>
          <w:rFonts w:ascii="Arial" w:hAnsi="Arial" w:cs="Arial"/>
        </w:rPr>
        <w:t>Zagotoviti je treba intenzivnejša vlaganja v razvoj železniškega omrežja s ciljem večje uporabe železniškega prometa za potniški in tovorni promet ter določiti nov koncept financiranja trajnostne prometne infrastrukture za zagotavljanje potrebnih javnih finančnih sredstev za pospešeno načrtovanje, umeščanje in gradnjo sodobne železniške in druge trajnostne prometne infrastrukture.</w:t>
      </w:r>
      <w:r w:rsidR="007A309D">
        <w:rPr>
          <w:rFonts w:ascii="Arial" w:hAnsi="Arial" w:cs="Arial"/>
        </w:rPr>
        <w:t xml:space="preserve"> Treba je nameniti več sredstev za gradnjo sklenjenih kolesarskih povezav (hitre kolesarske ceste med večjimi središči) prek DRSI in ponovno uvesti razpis za gradnjo kolesarskih povezav v občinah prek Eko sklada.</w:t>
      </w:r>
    </w:p>
    <w:p w14:paraId="39247559" w14:textId="5FE69DA5" w:rsidR="001D3E38" w:rsidRPr="00900F8E" w:rsidRDefault="001D3E38" w:rsidP="001D3E38">
      <w:pPr>
        <w:spacing w:after="0" w:line="240" w:lineRule="auto"/>
        <w:jc w:val="both"/>
        <w:rPr>
          <w:rFonts w:ascii="Arial" w:hAnsi="Arial" w:cs="Arial"/>
        </w:rPr>
      </w:pPr>
      <w:r w:rsidRPr="00900F8E">
        <w:rPr>
          <w:rFonts w:ascii="Arial" w:hAnsi="Arial" w:cs="Arial"/>
        </w:rPr>
        <w:t xml:space="preserve">Pri povračilu za prevoz na delo </w:t>
      </w:r>
      <w:r w:rsidR="00020BBB">
        <w:rPr>
          <w:rFonts w:ascii="Arial" w:hAnsi="Arial" w:cs="Arial"/>
        </w:rPr>
        <w:t>spodbude</w:t>
      </w:r>
      <w:r w:rsidRPr="00900F8E">
        <w:rPr>
          <w:rFonts w:ascii="Arial" w:hAnsi="Arial" w:cs="Arial"/>
        </w:rPr>
        <w:t xml:space="preserve">, vezane na oddaljenost od delovnega mesta, spodbujajo razpršeno poselitev in imajo pretežno negativne okoljske in prometne učinke, zato je smiselno uvesti </w:t>
      </w:r>
      <w:r w:rsidR="006747A3">
        <w:rPr>
          <w:rFonts w:ascii="Arial" w:hAnsi="Arial" w:cs="Arial"/>
        </w:rPr>
        <w:t>spodbude</w:t>
      </w:r>
      <w:r w:rsidRPr="00900F8E">
        <w:rPr>
          <w:rFonts w:ascii="Arial" w:hAnsi="Arial" w:cs="Arial"/>
        </w:rPr>
        <w:t xml:space="preserve">, vezane na strošek JPP, ki ne izvzemajo tudi nagrajevanja hoje in kolesarjenja. </w:t>
      </w:r>
    </w:p>
    <w:p w14:paraId="173602FA" w14:textId="4890D364" w:rsidR="007A309D" w:rsidRDefault="001D3E38" w:rsidP="001D3E38">
      <w:pPr>
        <w:spacing w:after="0" w:line="240" w:lineRule="auto"/>
        <w:jc w:val="both"/>
        <w:rPr>
          <w:rFonts w:ascii="Arial" w:hAnsi="Arial" w:cs="Arial"/>
        </w:rPr>
      </w:pPr>
      <w:r w:rsidRPr="00900F8E">
        <w:rPr>
          <w:rFonts w:ascii="Arial" w:hAnsi="Arial" w:cs="Arial"/>
        </w:rPr>
        <w:t>Nov</w:t>
      </w:r>
      <w:r w:rsidR="009E1B0F">
        <w:rPr>
          <w:rFonts w:ascii="Arial" w:hAnsi="Arial" w:cs="Arial"/>
        </w:rPr>
        <w:t>i</w:t>
      </w:r>
      <w:r w:rsidRPr="00900F8E">
        <w:rPr>
          <w:rFonts w:ascii="Arial" w:hAnsi="Arial" w:cs="Arial"/>
        </w:rPr>
        <w:t xml:space="preserve"> Zakon o davku na motorna vozila ni dovolj stimulativen za izbiro čistejših in električnih vozil in zato potrebuje večjo progresivnost lestvice za stopnje obdavčitve glede na emisije CO</w:t>
      </w:r>
      <w:r w:rsidRPr="00900F8E">
        <w:rPr>
          <w:rFonts w:ascii="Arial" w:hAnsi="Arial" w:cs="Arial"/>
          <w:vertAlign w:val="subscript"/>
        </w:rPr>
        <w:t>2</w:t>
      </w:r>
      <w:r w:rsidRPr="00900F8E">
        <w:rPr>
          <w:rFonts w:ascii="Arial" w:hAnsi="Arial" w:cs="Arial"/>
        </w:rPr>
        <w:t xml:space="preserve">. Smiselna bi bila tudi višja spodbuda za </w:t>
      </w:r>
      <w:r w:rsidR="00C6526C">
        <w:rPr>
          <w:rFonts w:ascii="Arial" w:hAnsi="Arial" w:cs="Arial"/>
        </w:rPr>
        <w:t xml:space="preserve">nakup novega </w:t>
      </w:r>
      <w:r w:rsidRPr="00900F8E">
        <w:rPr>
          <w:rFonts w:ascii="Arial" w:hAnsi="Arial" w:cs="Arial"/>
        </w:rPr>
        <w:t>električna vozila, če bi lastniki star</w:t>
      </w:r>
      <w:r w:rsidR="00A44802">
        <w:rPr>
          <w:rFonts w:ascii="Arial" w:hAnsi="Arial" w:cs="Arial"/>
        </w:rPr>
        <w:t>a</w:t>
      </w:r>
      <w:r w:rsidRPr="00900F8E">
        <w:rPr>
          <w:rFonts w:ascii="Arial" w:hAnsi="Arial" w:cs="Arial"/>
        </w:rPr>
        <w:t xml:space="preserve"> vozil</w:t>
      </w:r>
      <w:r w:rsidR="00A44802">
        <w:rPr>
          <w:rFonts w:ascii="Arial" w:hAnsi="Arial" w:cs="Arial"/>
        </w:rPr>
        <w:t>a</w:t>
      </w:r>
      <w:r w:rsidRPr="00900F8E">
        <w:rPr>
          <w:rFonts w:ascii="Arial" w:hAnsi="Arial" w:cs="Arial"/>
        </w:rPr>
        <w:t xml:space="preserve"> z motorjem z notranjim zgorevanjem odjavili iz prometa. </w:t>
      </w:r>
    </w:p>
    <w:p w14:paraId="46B6B777" w14:textId="41EA9BAE" w:rsidR="001D3E38" w:rsidRPr="00900F8E" w:rsidRDefault="005F3715" w:rsidP="001D3E38">
      <w:pPr>
        <w:spacing w:after="0" w:line="240" w:lineRule="auto"/>
        <w:jc w:val="both"/>
        <w:rPr>
          <w:rFonts w:ascii="Arial" w:hAnsi="Arial" w:cs="Arial"/>
        </w:rPr>
      </w:pPr>
      <w:r>
        <w:rPr>
          <w:rFonts w:ascii="Arial" w:hAnsi="Arial" w:cs="Arial"/>
        </w:rPr>
        <w:t xml:space="preserve">Treba je </w:t>
      </w:r>
      <w:r w:rsidRPr="005F3715">
        <w:rPr>
          <w:rFonts w:ascii="Arial" w:hAnsi="Arial" w:cs="Arial"/>
        </w:rPr>
        <w:t xml:space="preserve">vzpostaviti spodbude za proizvodnjo naprednih tekočih in plinastih biogoriv iz biomase ter sintetičnih biogoriv. Posebno pozornost je </w:t>
      </w:r>
      <w:r>
        <w:rPr>
          <w:rFonts w:ascii="Arial" w:hAnsi="Arial" w:cs="Arial"/>
        </w:rPr>
        <w:t>treba</w:t>
      </w:r>
      <w:r w:rsidRPr="005F3715">
        <w:rPr>
          <w:rFonts w:ascii="Arial" w:hAnsi="Arial" w:cs="Arial"/>
        </w:rPr>
        <w:t xml:space="preserve"> nameniti čimprejšnji zamenjavi </w:t>
      </w:r>
      <w:r w:rsidR="00E3489D">
        <w:rPr>
          <w:rFonts w:ascii="Arial" w:hAnsi="Arial" w:cs="Arial"/>
        </w:rPr>
        <w:t xml:space="preserve">netrajnostnih </w:t>
      </w:r>
      <w:r w:rsidRPr="005F3715">
        <w:rPr>
          <w:rFonts w:ascii="Arial" w:hAnsi="Arial" w:cs="Arial"/>
        </w:rPr>
        <w:t>biogoriv.</w:t>
      </w:r>
    </w:p>
    <w:p w14:paraId="7701E33C" w14:textId="4BE78071" w:rsidR="001D3E38" w:rsidRPr="00900F8E" w:rsidRDefault="001D3E38" w:rsidP="001D3E38">
      <w:pPr>
        <w:spacing w:after="0" w:line="240" w:lineRule="auto"/>
        <w:jc w:val="both"/>
        <w:rPr>
          <w:rFonts w:ascii="Arial" w:hAnsi="Arial" w:cs="Arial"/>
        </w:rPr>
      </w:pPr>
      <w:r w:rsidRPr="00900F8E">
        <w:rPr>
          <w:rFonts w:ascii="Arial" w:hAnsi="Arial" w:cs="Arial"/>
        </w:rPr>
        <w:t xml:space="preserve">Čim hitreje je treba začeti izvajanje ukrepov ustanovitve upravljavca sistema javnega potniškega prometa, prilagoditve voznih redov in vzpostavitve informacijskih platform, zagotoviti čimprejšnjo vključitev vseh ponudnikov mestnega potniškega prometa v sistem enotne vozovnice, vključno z Ljubljanskim potniškim prometom, izvedena mora biti nadaljnja integracija voznih redov avtobusnega, železniškega, mestnih in šolskih prevozov. Za izvajanje je potrebno zadostno število </w:t>
      </w:r>
      <w:r w:rsidR="005F5AD5">
        <w:rPr>
          <w:rFonts w:ascii="Arial" w:hAnsi="Arial" w:cs="Arial"/>
        </w:rPr>
        <w:t>usposobljenih</w:t>
      </w:r>
      <w:r w:rsidR="005F5AD5" w:rsidRPr="00900F8E">
        <w:rPr>
          <w:rFonts w:ascii="Arial" w:hAnsi="Arial" w:cs="Arial"/>
        </w:rPr>
        <w:t xml:space="preserve"> </w:t>
      </w:r>
      <w:r w:rsidRPr="00900F8E">
        <w:rPr>
          <w:rFonts w:ascii="Arial" w:hAnsi="Arial" w:cs="Arial"/>
        </w:rPr>
        <w:t xml:space="preserve">kadrov za vzpostavitev, vodenje, vzdrževanje in razvoj integriranega javnega potniškega prometa. </w:t>
      </w:r>
    </w:p>
    <w:p w14:paraId="1E77627F" w14:textId="63073F51" w:rsidR="001D3E38" w:rsidRPr="00900F8E" w:rsidRDefault="001D3E38" w:rsidP="001D3E38">
      <w:pPr>
        <w:spacing w:after="0" w:line="240" w:lineRule="auto"/>
        <w:jc w:val="both"/>
        <w:rPr>
          <w:rFonts w:ascii="Arial" w:hAnsi="Arial" w:cs="Arial"/>
        </w:rPr>
      </w:pPr>
      <w:r w:rsidRPr="00900F8E">
        <w:rPr>
          <w:rFonts w:ascii="Arial" w:hAnsi="Arial" w:cs="Arial"/>
        </w:rPr>
        <w:t xml:space="preserve">Pripraviti je treba državno strategijo javnega potniškega prometa, poenostaviti postopke umeščanja kolesarskih povezav v prostor, bolje upravljati promet in izkoriščenost cest z uporabo elektronskega cestninjenja tovornih vozil tudi kot orodja za upravljanje prometa, preučiti in postopno vzpostaviti zaračunavanje zunanjih stroškov za tovorni promet ter </w:t>
      </w:r>
      <w:r w:rsidRPr="00900F8E">
        <w:rPr>
          <w:rFonts w:ascii="Arial" w:hAnsi="Arial" w:cs="Arial"/>
        </w:rPr>
        <w:lastRenderedPageBreak/>
        <w:t>aktivneje začeti izvaja</w:t>
      </w:r>
      <w:r w:rsidR="00850800">
        <w:rPr>
          <w:rFonts w:ascii="Arial" w:hAnsi="Arial" w:cs="Arial"/>
        </w:rPr>
        <w:t>ti</w:t>
      </w:r>
      <w:r w:rsidRPr="00900F8E">
        <w:rPr>
          <w:rFonts w:ascii="Arial" w:hAnsi="Arial" w:cs="Arial"/>
        </w:rPr>
        <w:t xml:space="preserve"> prepoved vstopa v mestna območja za tovorna motorna vozila, ki ne ustrezajo okoljskim standardom za nova vozila. Potrebna je boljša integracija prostorskega in celostnega prometnega načrtovanja.</w:t>
      </w:r>
    </w:p>
    <w:p w14:paraId="1C32D53C" w14:textId="4457E427" w:rsidR="008907A7" w:rsidRPr="00900F8E" w:rsidRDefault="001D3E38" w:rsidP="008907A7">
      <w:pPr>
        <w:spacing w:after="0" w:line="240" w:lineRule="auto"/>
        <w:jc w:val="both"/>
        <w:rPr>
          <w:rFonts w:ascii="Arial" w:hAnsi="Arial" w:cs="Arial"/>
        </w:rPr>
      </w:pPr>
      <w:r w:rsidRPr="00900F8E">
        <w:rPr>
          <w:rFonts w:ascii="Arial" w:hAnsi="Arial" w:cs="Arial"/>
        </w:rPr>
        <w:t xml:space="preserve">Optimizirati je treba mestni tovorni promet, opredeliti okoljske cone, kjer se dostava </w:t>
      </w:r>
      <w:r w:rsidR="00134B5E">
        <w:rPr>
          <w:rFonts w:ascii="Arial" w:hAnsi="Arial" w:cs="Arial"/>
        </w:rPr>
        <w:t>izvaja</w:t>
      </w:r>
      <w:r w:rsidR="00134B5E" w:rsidRPr="00900F8E">
        <w:rPr>
          <w:rFonts w:ascii="Arial" w:hAnsi="Arial" w:cs="Arial"/>
        </w:rPr>
        <w:t xml:space="preserve"> </w:t>
      </w:r>
      <w:r w:rsidRPr="00900F8E">
        <w:rPr>
          <w:rFonts w:ascii="Arial" w:hAnsi="Arial" w:cs="Arial"/>
        </w:rPr>
        <w:t xml:space="preserve">z alternativnimi oblikami prometa, spodbujati nakup električnih vozil za mestni </w:t>
      </w:r>
      <w:r w:rsidR="00C6526C">
        <w:rPr>
          <w:rFonts w:ascii="Arial" w:hAnsi="Arial" w:cs="Arial"/>
        </w:rPr>
        <w:t xml:space="preserve">javni in </w:t>
      </w:r>
      <w:r w:rsidRPr="00900F8E">
        <w:rPr>
          <w:rFonts w:ascii="Arial" w:hAnsi="Arial" w:cs="Arial"/>
        </w:rPr>
        <w:t xml:space="preserve">tovorni promet, določiti časovne in prostorske omejitve dostav, vzpostaviti </w:t>
      </w:r>
      <w:proofErr w:type="spellStart"/>
      <w:r w:rsidRPr="00900F8E">
        <w:rPr>
          <w:rFonts w:ascii="Arial" w:hAnsi="Arial" w:cs="Arial"/>
        </w:rPr>
        <w:t>konsolidacijske</w:t>
      </w:r>
      <w:proofErr w:type="spellEnd"/>
      <w:r w:rsidRPr="00900F8E">
        <w:rPr>
          <w:rFonts w:ascii="Arial" w:hAnsi="Arial" w:cs="Arial"/>
        </w:rPr>
        <w:t xml:space="preserve"> centre, informacijske platforme, kombinirati prevoz tovora, spodbujati</w:t>
      </w:r>
      <w:r w:rsidR="007A309D">
        <w:rPr>
          <w:rFonts w:ascii="Arial" w:hAnsi="Arial" w:cs="Arial"/>
        </w:rPr>
        <w:t xml:space="preserve"> večjo učinkovitost tovornega prometa prek vzpostavitve podpornih mehanizmov (povezovanja ponudnikov, IKT rešitev</w:t>
      </w:r>
      <w:r w:rsidR="00134B5E">
        <w:rPr>
          <w:rFonts w:ascii="Arial" w:hAnsi="Arial" w:cs="Arial"/>
        </w:rPr>
        <w:t> </w:t>
      </w:r>
      <w:r w:rsidR="007A309D">
        <w:rPr>
          <w:rFonts w:ascii="Arial" w:hAnsi="Arial" w:cs="Arial"/>
        </w:rPr>
        <w:t>…) in</w:t>
      </w:r>
      <w:r w:rsidRPr="00900F8E">
        <w:rPr>
          <w:rFonts w:ascii="Arial" w:hAnsi="Arial" w:cs="Arial"/>
        </w:rPr>
        <w:t xml:space="preserve"> </w:t>
      </w:r>
      <w:proofErr w:type="spellStart"/>
      <w:r w:rsidRPr="00900F8E">
        <w:rPr>
          <w:rFonts w:ascii="Arial" w:hAnsi="Arial" w:cs="Arial"/>
        </w:rPr>
        <w:t>intermodalne</w:t>
      </w:r>
      <w:proofErr w:type="spellEnd"/>
      <w:r w:rsidRPr="00900F8E">
        <w:rPr>
          <w:rFonts w:ascii="Arial" w:hAnsi="Arial" w:cs="Arial"/>
        </w:rPr>
        <w:t xml:space="preserve"> prevozne verige, okrepiti nadzor cestnega tovornega prometa, razvijati logistične koncepte za tovarniški in gradbiščni promet ter infrastrukturne projekte za zeleno logistiko pri železniški, letališki infrastrukturi in na logističnih območjih ter ozaveščati.</w:t>
      </w:r>
      <w:r w:rsidR="008907A7" w:rsidRPr="008907A7">
        <w:rPr>
          <w:rFonts w:ascii="Arial" w:hAnsi="Arial" w:cs="Arial"/>
        </w:rPr>
        <w:t xml:space="preserve"> </w:t>
      </w:r>
      <w:r w:rsidR="008907A7" w:rsidRPr="00900F8E">
        <w:rPr>
          <w:rFonts w:ascii="Arial" w:hAnsi="Arial" w:cs="Arial"/>
        </w:rPr>
        <w:t xml:space="preserve">K skrajšanju potovalnih časov bi pripomoglo </w:t>
      </w:r>
      <w:r w:rsidR="008907A7">
        <w:rPr>
          <w:rFonts w:ascii="Arial" w:hAnsi="Arial" w:cs="Arial"/>
        </w:rPr>
        <w:t xml:space="preserve">tudi </w:t>
      </w:r>
      <w:r w:rsidR="008907A7" w:rsidRPr="00900F8E">
        <w:rPr>
          <w:rFonts w:ascii="Arial" w:hAnsi="Arial" w:cs="Arial"/>
        </w:rPr>
        <w:t xml:space="preserve">uvajanje rumenih pasov </w:t>
      </w:r>
      <w:r w:rsidR="007A309D">
        <w:rPr>
          <w:rFonts w:ascii="Arial" w:hAnsi="Arial" w:cs="Arial"/>
        </w:rPr>
        <w:t xml:space="preserve">za vozila JPP </w:t>
      </w:r>
      <w:r w:rsidR="008907A7" w:rsidRPr="00900F8E">
        <w:rPr>
          <w:rFonts w:ascii="Arial" w:hAnsi="Arial" w:cs="Arial"/>
        </w:rPr>
        <w:t>v mestnem in medkrajevnem prometu.</w:t>
      </w:r>
      <w:r w:rsidR="008907A7" w:rsidRPr="005F3715">
        <w:rPr>
          <w:rFonts w:ascii="Arial" w:hAnsi="Arial" w:cs="Arial"/>
        </w:rPr>
        <w:t xml:space="preserve"> </w:t>
      </w:r>
    </w:p>
    <w:p w14:paraId="2A03B955" w14:textId="581C5822" w:rsidR="001D3E38" w:rsidRPr="00900F8E" w:rsidRDefault="001D3E38" w:rsidP="00EA1105">
      <w:pPr>
        <w:spacing w:after="0" w:line="240" w:lineRule="auto"/>
        <w:jc w:val="both"/>
        <w:rPr>
          <w:rFonts w:ascii="Arial" w:hAnsi="Arial" w:cs="Arial"/>
          <w:b/>
          <w:bCs/>
          <w:sz w:val="26"/>
          <w:szCs w:val="26"/>
        </w:rPr>
      </w:pPr>
    </w:p>
    <w:p w14:paraId="0995ACF1" w14:textId="7D9C9354" w:rsidR="002F3DAD" w:rsidRPr="00900F8E" w:rsidRDefault="002F3DAD" w:rsidP="002F3DAD">
      <w:pPr>
        <w:pStyle w:val="Naslov2"/>
        <w:rPr>
          <w:rFonts w:ascii="Arial" w:hAnsi="Arial" w:cs="Arial"/>
          <w:color w:val="auto"/>
        </w:rPr>
      </w:pPr>
      <w:bookmarkStart w:id="48" w:name="_Toc120166950"/>
      <w:r w:rsidRPr="00900F8E">
        <w:rPr>
          <w:rFonts w:ascii="Arial" w:hAnsi="Arial" w:cs="Arial"/>
          <w:color w:val="auto"/>
        </w:rPr>
        <w:t>6.3 Kmetijstvo</w:t>
      </w:r>
      <w:bookmarkEnd w:id="48"/>
    </w:p>
    <w:p w14:paraId="3994F630" w14:textId="77777777" w:rsidR="002F3DAD" w:rsidRPr="00900F8E" w:rsidRDefault="002F3DAD" w:rsidP="002F3DAD">
      <w:pPr>
        <w:autoSpaceDE w:val="0"/>
        <w:autoSpaceDN w:val="0"/>
        <w:adjustRightInd w:val="0"/>
        <w:spacing w:after="0" w:line="240" w:lineRule="auto"/>
        <w:jc w:val="both"/>
        <w:rPr>
          <w:rFonts w:ascii="Arial" w:hAnsi="Arial" w:cs="Arial"/>
          <w:b/>
          <w:bCs/>
          <w:color w:val="000000"/>
          <w:sz w:val="16"/>
          <w:szCs w:val="16"/>
        </w:rPr>
      </w:pPr>
    </w:p>
    <w:p w14:paraId="22B56D53" w14:textId="043CB8E3" w:rsidR="002F3DAD" w:rsidRPr="00900F8E" w:rsidRDefault="002F3DAD" w:rsidP="002F3DAD">
      <w:pPr>
        <w:pStyle w:val="Default"/>
        <w:jc w:val="both"/>
      </w:pPr>
      <w:r w:rsidRPr="00900F8E">
        <w:rPr>
          <w:sz w:val="22"/>
          <w:szCs w:val="22"/>
          <w:lang w:val="sl-SI"/>
        </w:rPr>
        <w:t>Smiselno je nadaljevati ukrep</w:t>
      </w:r>
      <w:r w:rsidR="006A7E0F">
        <w:rPr>
          <w:sz w:val="22"/>
          <w:szCs w:val="22"/>
          <w:lang w:val="sl-SI"/>
        </w:rPr>
        <w:t>e</w:t>
      </w:r>
      <w:r w:rsidRPr="00900F8E">
        <w:rPr>
          <w:sz w:val="22"/>
          <w:szCs w:val="22"/>
          <w:lang w:val="sl-SI"/>
        </w:rPr>
        <w:t xml:space="preserve"> za zmanjševanje izpustov didušikovega oksida, saj so se izkazali za ustrezne. Zahteva </w:t>
      </w:r>
      <w:r w:rsidR="00732455">
        <w:rPr>
          <w:sz w:val="22"/>
          <w:szCs w:val="22"/>
          <w:lang w:val="sl-SI"/>
        </w:rPr>
        <w:t>g</w:t>
      </w:r>
      <w:r w:rsidRPr="00900F8E">
        <w:rPr>
          <w:sz w:val="22"/>
          <w:szCs w:val="22"/>
          <w:lang w:val="sl-SI"/>
        </w:rPr>
        <w:t>nojenje z organskimi gnojili z nizkimi izpusti v zrak na trajnem travinju se izvaja v premajhnem obsegu, saj kmete zaradi izvajanja drugih zahtev odvrača od vključevanja v to zadevo. Kmetije namreč lahko zahtevo izberejo le na travnikih, na katerih se odločijo za puščanje nepokošenega pasu, kar pa je v praksi 5−10</w:t>
      </w:r>
      <w:r w:rsidR="00EF4180">
        <w:rPr>
          <w:sz w:val="22"/>
          <w:szCs w:val="22"/>
          <w:lang w:val="sl-SI"/>
        </w:rPr>
        <w:t> </w:t>
      </w:r>
      <w:r w:rsidRPr="00900F8E">
        <w:rPr>
          <w:sz w:val="22"/>
          <w:szCs w:val="22"/>
          <w:lang w:val="sl-SI"/>
        </w:rPr>
        <w:t>% njihove površine, ali če se odločijo opustiti siliranje krme.</w:t>
      </w:r>
      <w:r w:rsidRPr="00900F8E">
        <w:t xml:space="preserve"> </w:t>
      </w:r>
    </w:p>
    <w:p w14:paraId="252FD37C" w14:textId="6D2C2FF0" w:rsidR="002F3DAD" w:rsidRDefault="002F3DAD" w:rsidP="002F3DAD">
      <w:pPr>
        <w:pStyle w:val="Default"/>
        <w:jc w:val="both"/>
        <w:rPr>
          <w:sz w:val="22"/>
          <w:szCs w:val="22"/>
          <w:lang w:val="sl-SI"/>
        </w:rPr>
      </w:pPr>
      <w:r w:rsidRPr="00900F8E">
        <w:rPr>
          <w:sz w:val="22"/>
          <w:szCs w:val="22"/>
          <w:lang w:val="sl-SI"/>
        </w:rPr>
        <w:t>Zmanjševanju emisij metana namenjamo bistveno manj pozornosti kot zmanjševanju emisij didušikovega oksida</w:t>
      </w:r>
      <w:r w:rsidR="009C6DBB">
        <w:rPr>
          <w:sz w:val="22"/>
          <w:szCs w:val="22"/>
          <w:lang w:val="sl-SI"/>
        </w:rPr>
        <w:t xml:space="preserve"> in je treba ambicioznost </w:t>
      </w:r>
      <w:r w:rsidR="009C6DBB" w:rsidRPr="009C6DBB">
        <w:rPr>
          <w:sz w:val="22"/>
          <w:szCs w:val="22"/>
          <w:lang w:val="sl-SI"/>
        </w:rPr>
        <w:t>na področju zmanjševanja emisij metana iz prebavil rejnih živali</w:t>
      </w:r>
      <w:r w:rsidR="009C6DBB">
        <w:rPr>
          <w:sz w:val="22"/>
          <w:szCs w:val="22"/>
          <w:lang w:val="sl-SI"/>
        </w:rPr>
        <w:t xml:space="preserve"> povečati</w:t>
      </w:r>
      <w:r w:rsidRPr="00900F8E">
        <w:rPr>
          <w:sz w:val="22"/>
          <w:szCs w:val="22"/>
          <w:lang w:val="sl-SI"/>
        </w:rPr>
        <w:t xml:space="preserve">. Na področju ustreznejšega krmljenja rejnih živali so potrebne dodatne spodbude. Prav tako so le-te potrebne za namene širjenja bioplinskih naprav, ki znatno zmanjšajo emisije TGP pri obdelavi živinskih gnojil ter hkrati prispevajo k višjemu deležu </w:t>
      </w:r>
      <w:r w:rsidR="00272EDB">
        <w:rPr>
          <w:sz w:val="22"/>
          <w:szCs w:val="22"/>
          <w:lang w:val="sl-SI"/>
        </w:rPr>
        <w:t>OVE</w:t>
      </w:r>
      <w:r w:rsidRPr="00900F8E">
        <w:rPr>
          <w:sz w:val="22"/>
          <w:szCs w:val="22"/>
          <w:lang w:val="sl-SI"/>
        </w:rPr>
        <w:t>.</w:t>
      </w:r>
    </w:p>
    <w:p w14:paraId="6DDED923" w14:textId="288D9051" w:rsidR="009C6DBB" w:rsidRPr="00900F8E" w:rsidRDefault="009C6DBB" w:rsidP="002F3DAD">
      <w:pPr>
        <w:pStyle w:val="Default"/>
        <w:jc w:val="both"/>
        <w:rPr>
          <w:sz w:val="22"/>
          <w:szCs w:val="22"/>
          <w:lang w:val="sl-SI"/>
        </w:rPr>
      </w:pPr>
      <w:r w:rsidRPr="009C6DBB">
        <w:rPr>
          <w:sz w:val="22"/>
          <w:szCs w:val="22"/>
          <w:lang w:val="sl-SI"/>
        </w:rPr>
        <w:t xml:space="preserve">Smiselno bi bilo okrepiti </w:t>
      </w:r>
      <w:r w:rsidR="00E07C48">
        <w:rPr>
          <w:sz w:val="22"/>
          <w:szCs w:val="22"/>
          <w:lang w:val="sl-SI"/>
        </w:rPr>
        <w:t>dejavnosti</w:t>
      </w:r>
      <w:r w:rsidRPr="009C6DBB">
        <w:rPr>
          <w:sz w:val="22"/>
          <w:szCs w:val="22"/>
          <w:lang w:val="sl-SI"/>
        </w:rPr>
        <w:t xml:space="preserve"> javne svetovalne službe</w:t>
      </w:r>
      <w:r>
        <w:rPr>
          <w:sz w:val="22"/>
          <w:szCs w:val="22"/>
          <w:lang w:val="sl-SI"/>
        </w:rPr>
        <w:t xml:space="preserve"> pri namenih </w:t>
      </w:r>
      <w:r w:rsidRPr="009C6DBB">
        <w:rPr>
          <w:sz w:val="22"/>
          <w:szCs w:val="22"/>
          <w:lang w:val="sl-SI"/>
        </w:rPr>
        <w:t>zmanjševanj</w:t>
      </w:r>
      <w:r>
        <w:rPr>
          <w:sz w:val="22"/>
          <w:szCs w:val="22"/>
          <w:lang w:val="sl-SI"/>
        </w:rPr>
        <w:t>a</w:t>
      </w:r>
      <w:r w:rsidRPr="009C6DBB">
        <w:rPr>
          <w:sz w:val="22"/>
          <w:szCs w:val="22"/>
          <w:lang w:val="sl-SI"/>
        </w:rPr>
        <w:t xml:space="preserve"> emisij </w:t>
      </w:r>
      <w:r>
        <w:rPr>
          <w:sz w:val="22"/>
          <w:szCs w:val="22"/>
          <w:lang w:val="sl-SI"/>
        </w:rPr>
        <w:t>TGP ter</w:t>
      </w:r>
      <w:r w:rsidRPr="009C6DBB">
        <w:t xml:space="preserve"> </w:t>
      </w:r>
      <w:r>
        <w:rPr>
          <w:lang w:val="sl-SI"/>
        </w:rPr>
        <w:t>v</w:t>
      </w:r>
      <w:r w:rsidRPr="009C6DBB">
        <w:rPr>
          <w:sz w:val="22"/>
          <w:szCs w:val="22"/>
          <w:lang w:val="sl-SI"/>
        </w:rPr>
        <w:t>eč pozornosti nameniti krepitvi verig preskrbe z lokalno hrano rastlinskega izvora, ki bodo na območjih z ugodnimi razmerami za kmetovanje omogočile postopno preusmeritev govedoreje v rastlinsko pridelavo z visoko dodano vrednostjo.</w:t>
      </w:r>
    </w:p>
    <w:p w14:paraId="31578885" w14:textId="59E64193" w:rsidR="002F3DAD" w:rsidRPr="00900F8E" w:rsidRDefault="002F3DAD" w:rsidP="00E36290">
      <w:pPr>
        <w:pStyle w:val="Naslov2"/>
        <w:spacing w:before="360"/>
        <w:rPr>
          <w:rFonts w:ascii="Arial" w:hAnsi="Arial" w:cs="Arial"/>
          <w:color w:val="auto"/>
        </w:rPr>
      </w:pPr>
      <w:bookmarkStart w:id="49" w:name="_Toc120166951"/>
      <w:r w:rsidRPr="00900F8E">
        <w:rPr>
          <w:rFonts w:ascii="Arial" w:hAnsi="Arial" w:cs="Arial"/>
          <w:color w:val="auto"/>
        </w:rPr>
        <w:t xml:space="preserve">6.4 Široka raba </w:t>
      </w:r>
      <w:r w:rsidR="00134B5E">
        <w:rPr>
          <w:rFonts w:ascii="Arial" w:hAnsi="Arial" w:cs="Arial"/>
          <w:color w:val="auto"/>
        </w:rPr>
        <w:t>–</w:t>
      </w:r>
      <w:r w:rsidRPr="00900F8E">
        <w:rPr>
          <w:rFonts w:ascii="Arial" w:hAnsi="Arial" w:cs="Arial"/>
          <w:color w:val="auto"/>
        </w:rPr>
        <w:t xml:space="preserve"> stavbe</w:t>
      </w:r>
      <w:bookmarkEnd w:id="49"/>
    </w:p>
    <w:p w14:paraId="62E6475A" w14:textId="77777777" w:rsidR="00EF4E33" w:rsidRPr="00900F8E" w:rsidRDefault="00EF4E33" w:rsidP="00EF4E33">
      <w:pPr>
        <w:pStyle w:val="Default"/>
        <w:jc w:val="both"/>
        <w:rPr>
          <w:sz w:val="22"/>
          <w:szCs w:val="22"/>
          <w:lang w:val="sl-SI"/>
        </w:rPr>
      </w:pPr>
    </w:p>
    <w:p w14:paraId="46DF736B" w14:textId="6AAF45BF" w:rsidR="00A90A6F" w:rsidRPr="0029180E" w:rsidRDefault="00EF4E33" w:rsidP="00A90A6F">
      <w:pPr>
        <w:pStyle w:val="Default"/>
        <w:jc w:val="both"/>
        <w:rPr>
          <w:sz w:val="22"/>
          <w:szCs w:val="22"/>
          <w:lang w:val="sl-SI"/>
        </w:rPr>
      </w:pPr>
      <w:r w:rsidRPr="00900F8E">
        <w:rPr>
          <w:sz w:val="22"/>
          <w:szCs w:val="22"/>
          <w:lang w:val="sl-SI"/>
        </w:rPr>
        <w:t xml:space="preserve">Bistvenega pomena je, da se nadaljuje izvajanje načrtovanih instrumentov, njihovo izvajanje nadgradi v skladu z </w:t>
      </w:r>
      <w:r w:rsidR="00134B5E">
        <w:rPr>
          <w:sz w:val="22"/>
          <w:szCs w:val="22"/>
          <w:lang w:val="sl-SI"/>
        </w:rPr>
        <w:t>n</w:t>
      </w:r>
      <w:r w:rsidRPr="00900F8E">
        <w:rPr>
          <w:sz w:val="22"/>
          <w:szCs w:val="22"/>
          <w:lang w:val="sl-SI"/>
        </w:rPr>
        <w:t xml:space="preserve">acionalnim energetskim podnebnim načrtom in </w:t>
      </w:r>
      <w:r w:rsidR="00134B5E">
        <w:rPr>
          <w:sz w:val="22"/>
          <w:szCs w:val="22"/>
          <w:lang w:val="sl-SI"/>
        </w:rPr>
        <w:t>d</w:t>
      </w:r>
      <w:r w:rsidRPr="00900F8E">
        <w:rPr>
          <w:sz w:val="22"/>
          <w:szCs w:val="22"/>
          <w:lang w:val="sl-SI"/>
        </w:rPr>
        <w:t>olgoročno strategijo energetske prenove stavb do leta 2050 ter temu ustrezno zagotovi</w:t>
      </w:r>
      <w:r w:rsidR="00134B5E">
        <w:rPr>
          <w:sz w:val="22"/>
          <w:szCs w:val="22"/>
          <w:lang w:val="sl-SI"/>
        </w:rPr>
        <w:t>jo</w:t>
      </w:r>
      <w:r w:rsidRPr="00900F8E">
        <w:rPr>
          <w:sz w:val="22"/>
          <w:szCs w:val="22"/>
          <w:lang w:val="sl-SI"/>
        </w:rPr>
        <w:t xml:space="preserve"> potrebn</w:t>
      </w:r>
      <w:r w:rsidR="00134B5E">
        <w:rPr>
          <w:sz w:val="22"/>
          <w:szCs w:val="22"/>
          <w:lang w:val="sl-SI"/>
        </w:rPr>
        <w:t>i</w:t>
      </w:r>
      <w:r w:rsidRPr="00900F8E">
        <w:rPr>
          <w:sz w:val="22"/>
          <w:szCs w:val="22"/>
          <w:lang w:val="sl-SI"/>
        </w:rPr>
        <w:t xml:space="preserve"> kadrovsk</w:t>
      </w:r>
      <w:r w:rsidR="00134B5E">
        <w:rPr>
          <w:sz w:val="22"/>
          <w:szCs w:val="22"/>
          <w:lang w:val="sl-SI"/>
        </w:rPr>
        <w:t>i</w:t>
      </w:r>
      <w:r w:rsidRPr="00900F8E">
        <w:rPr>
          <w:sz w:val="22"/>
          <w:szCs w:val="22"/>
          <w:lang w:val="sl-SI"/>
        </w:rPr>
        <w:t xml:space="preserve"> in finančn</w:t>
      </w:r>
      <w:r w:rsidR="00134B5E">
        <w:rPr>
          <w:sz w:val="22"/>
          <w:szCs w:val="22"/>
          <w:lang w:val="sl-SI"/>
        </w:rPr>
        <w:t>i</w:t>
      </w:r>
      <w:r w:rsidRPr="00900F8E">
        <w:rPr>
          <w:sz w:val="22"/>
          <w:szCs w:val="22"/>
          <w:lang w:val="sl-SI"/>
        </w:rPr>
        <w:t xml:space="preserve"> vir</w:t>
      </w:r>
      <w:r w:rsidR="00134B5E">
        <w:rPr>
          <w:sz w:val="22"/>
          <w:szCs w:val="22"/>
          <w:lang w:val="sl-SI"/>
        </w:rPr>
        <w:t>i</w:t>
      </w:r>
      <w:r w:rsidRPr="00900F8E">
        <w:rPr>
          <w:sz w:val="22"/>
          <w:szCs w:val="22"/>
          <w:lang w:val="sl-SI"/>
        </w:rPr>
        <w:t xml:space="preserve">, še posebej pa </w:t>
      </w:r>
      <w:r w:rsidR="00134B5E">
        <w:rPr>
          <w:sz w:val="22"/>
          <w:szCs w:val="22"/>
          <w:lang w:val="sl-SI"/>
        </w:rPr>
        <w:t xml:space="preserve">je treba </w:t>
      </w:r>
      <w:r w:rsidRPr="00900F8E">
        <w:rPr>
          <w:sz w:val="22"/>
          <w:szCs w:val="22"/>
          <w:lang w:val="sl-SI"/>
        </w:rPr>
        <w:t xml:space="preserve">zagotoviti </w:t>
      </w:r>
      <w:r w:rsidR="00134B5E">
        <w:rPr>
          <w:sz w:val="22"/>
          <w:szCs w:val="22"/>
          <w:lang w:val="sl-SI"/>
        </w:rPr>
        <w:t>stalnost</w:t>
      </w:r>
      <w:r w:rsidR="00134B5E" w:rsidRPr="00900F8E">
        <w:rPr>
          <w:sz w:val="22"/>
          <w:szCs w:val="22"/>
          <w:lang w:val="sl-SI"/>
        </w:rPr>
        <w:t xml:space="preserve"> </w:t>
      </w:r>
      <w:r w:rsidRPr="00900F8E">
        <w:rPr>
          <w:sz w:val="22"/>
          <w:szCs w:val="22"/>
          <w:lang w:val="sl-SI"/>
        </w:rPr>
        <w:t xml:space="preserve">in povečan obseg potrebnih nepovratnih sredstev. Za projekte energetske prenove stavb ožjega javnega sektorja je treba zagotoviti sistemski finančni vir z zagotovitvijo različnih finančnih virov, smotrno pa bi bilo tudi </w:t>
      </w:r>
      <w:r w:rsidRPr="0029180E">
        <w:rPr>
          <w:sz w:val="22"/>
          <w:szCs w:val="22"/>
          <w:lang w:val="sl-SI"/>
        </w:rPr>
        <w:t>zagotoviti ustrezno podporo na strani ponudnikov storitev energetskega pogodbeništva</w:t>
      </w:r>
      <w:r w:rsidR="00A90A6F">
        <w:rPr>
          <w:sz w:val="22"/>
          <w:szCs w:val="22"/>
          <w:lang w:val="sl-SI"/>
        </w:rPr>
        <w:t xml:space="preserve"> (v </w:t>
      </w:r>
      <w:r w:rsidR="00930529">
        <w:rPr>
          <w:sz w:val="22"/>
          <w:szCs w:val="22"/>
          <w:lang w:val="sl-SI"/>
        </w:rPr>
        <w:t>nadaljnjem besedilu</w:t>
      </w:r>
      <w:r w:rsidR="00A90A6F">
        <w:rPr>
          <w:sz w:val="22"/>
          <w:szCs w:val="22"/>
          <w:lang w:val="sl-SI"/>
        </w:rPr>
        <w:t>: EPC)</w:t>
      </w:r>
      <w:r w:rsidRPr="0029180E">
        <w:rPr>
          <w:sz w:val="22"/>
          <w:szCs w:val="22"/>
          <w:lang w:val="sl-SI"/>
        </w:rPr>
        <w:t>. Ob tem je treba ustrezno spremljati učinke izvedenih ukrepov.</w:t>
      </w:r>
      <w:r w:rsidR="00A90A6F" w:rsidRPr="00A90A6F">
        <w:rPr>
          <w:sz w:val="22"/>
          <w:szCs w:val="22"/>
          <w:lang w:val="sl-SI"/>
        </w:rPr>
        <w:t xml:space="preserve"> </w:t>
      </w:r>
      <w:r w:rsidR="00A90A6F">
        <w:rPr>
          <w:sz w:val="22"/>
          <w:szCs w:val="22"/>
          <w:lang w:val="sl-SI"/>
        </w:rPr>
        <w:t>Z</w:t>
      </w:r>
      <w:r w:rsidR="002628B8">
        <w:rPr>
          <w:sz w:val="22"/>
          <w:szCs w:val="22"/>
          <w:lang w:val="sl-SI"/>
        </w:rPr>
        <w:t>a</w:t>
      </w:r>
      <w:r w:rsidR="00A90A6F">
        <w:rPr>
          <w:sz w:val="22"/>
          <w:szCs w:val="22"/>
          <w:lang w:val="sl-SI"/>
        </w:rPr>
        <w:t xml:space="preserve"> celovitejš</w:t>
      </w:r>
      <w:r w:rsidR="002628B8">
        <w:rPr>
          <w:sz w:val="22"/>
          <w:szCs w:val="22"/>
          <w:lang w:val="sl-SI"/>
        </w:rPr>
        <w:t>e</w:t>
      </w:r>
      <w:r w:rsidR="00A90A6F">
        <w:rPr>
          <w:sz w:val="22"/>
          <w:szCs w:val="22"/>
          <w:lang w:val="sl-SI"/>
        </w:rPr>
        <w:t>, učinkovitejš</w:t>
      </w:r>
      <w:r w:rsidR="002628B8">
        <w:rPr>
          <w:sz w:val="22"/>
          <w:szCs w:val="22"/>
          <w:lang w:val="sl-SI"/>
        </w:rPr>
        <w:t>e</w:t>
      </w:r>
      <w:r w:rsidR="00A90A6F">
        <w:rPr>
          <w:sz w:val="22"/>
          <w:szCs w:val="22"/>
          <w:lang w:val="sl-SI"/>
        </w:rPr>
        <w:t xml:space="preserve"> in cenejš</w:t>
      </w:r>
      <w:r w:rsidR="002628B8">
        <w:rPr>
          <w:sz w:val="22"/>
          <w:szCs w:val="22"/>
          <w:lang w:val="sl-SI"/>
        </w:rPr>
        <w:t>e</w:t>
      </w:r>
      <w:r w:rsidR="00A90A6F">
        <w:rPr>
          <w:sz w:val="22"/>
          <w:szCs w:val="22"/>
          <w:lang w:val="sl-SI"/>
        </w:rPr>
        <w:t xml:space="preserve"> energetsk</w:t>
      </w:r>
      <w:r w:rsidR="002628B8">
        <w:rPr>
          <w:sz w:val="22"/>
          <w:szCs w:val="22"/>
          <w:lang w:val="sl-SI"/>
        </w:rPr>
        <w:t>e</w:t>
      </w:r>
      <w:r w:rsidR="00A90A6F">
        <w:rPr>
          <w:sz w:val="22"/>
          <w:szCs w:val="22"/>
          <w:lang w:val="sl-SI"/>
        </w:rPr>
        <w:t xml:space="preserve"> rešit</w:t>
      </w:r>
      <w:r w:rsidR="002628B8">
        <w:rPr>
          <w:sz w:val="22"/>
          <w:szCs w:val="22"/>
          <w:lang w:val="sl-SI"/>
        </w:rPr>
        <w:t>ve</w:t>
      </w:r>
      <w:r w:rsidR="00A90A6F">
        <w:rPr>
          <w:sz w:val="22"/>
          <w:szCs w:val="22"/>
          <w:lang w:val="sl-SI"/>
        </w:rPr>
        <w:t xml:space="preserve"> bi bilo smiselno EPC razširit</w:t>
      </w:r>
      <w:r w:rsidR="001D6649">
        <w:rPr>
          <w:sz w:val="22"/>
          <w:szCs w:val="22"/>
          <w:lang w:val="sl-SI"/>
        </w:rPr>
        <w:t>i</w:t>
      </w:r>
      <w:r w:rsidR="00A90A6F">
        <w:rPr>
          <w:sz w:val="22"/>
          <w:szCs w:val="22"/>
          <w:lang w:val="sl-SI"/>
        </w:rPr>
        <w:t xml:space="preserve"> tudi na širši del storitvenega in tudi stanovanjskega sektorja.</w:t>
      </w:r>
    </w:p>
    <w:p w14:paraId="0F8E5804" w14:textId="6113B109" w:rsidR="00EF4E33" w:rsidRPr="0029180E" w:rsidRDefault="00EF4E33" w:rsidP="00EF4E33">
      <w:pPr>
        <w:pStyle w:val="Default"/>
        <w:jc w:val="both"/>
        <w:rPr>
          <w:sz w:val="22"/>
          <w:szCs w:val="22"/>
          <w:lang w:val="sl-SI"/>
        </w:rPr>
      </w:pPr>
      <w:r w:rsidRPr="0029180E">
        <w:rPr>
          <w:sz w:val="22"/>
          <w:szCs w:val="22"/>
          <w:lang w:val="sl-SI"/>
        </w:rPr>
        <w:t>Za predvidljivejšo dinamiko izvajanja naložb bi objava urnikov razpisov vsaj za dvoletna obdobja investitorjem omogočila, da lahko pravočasno pripravijo projekte.</w:t>
      </w:r>
    </w:p>
    <w:p w14:paraId="5C9E7252" w14:textId="1B2977EC" w:rsidR="00CB0E78" w:rsidRPr="00900F8E" w:rsidRDefault="002628B8" w:rsidP="00CB0E78">
      <w:pPr>
        <w:pStyle w:val="Default"/>
        <w:jc w:val="both"/>
        <w:rPr>
          <w:sz w:val="22"/>
          <w:szCs w:val="22"/>
          <w:lang w:val="sl-SI"/>
        </w:rPr>
      </w:pPr>
      <w:r>
        <w:rPr>
          <w:sz w:val="22"/>
          <w:szCs w:val="22"/>
          <w:lang w:val="sl-SI"/>
        </w:rPr>
        <w:t>Da bi uresničili cilj</w:t>
      </w:r>
      <w:r w:rsidR="00EF4E33" w:rsidRPr="0029180E">
        <w:rPr>
          <w:sz w:val="22"/>
          <w:szCs w:val="22"/>
        </w:rPr>
        <w:t xml:space="preserve"> prenove 3 % skupne tlorisne površine stavb v lasti in rabi osrednje vlade vsako leto, je treba pripraviti program energetske učinkovitosti za javni sektor ter ga čim hitreje </w:t>
      </w:r>
      <w:r w:rsidR="001D6649">
        <w:rPr>
          <w:sz w:val="22"/>
          <w:szCs w:val="22"/>
          <w:lang w:val="sl-SI"/>
        </w:rPr>
        <w:t>za</w:t>
      </w:r>
      <w:r w:rsidR="00EF4E33" w:rsidRPr="0029180E">
        <w:rPr>
          <w:sz w:val="22"/>
          <w:szCs w:val="22"/>
        </w:rPr>
        <w:t>četi izvajati. Energetsko prenovo javnih stavb je treba okrepiti, pri čemer je smiselno nadgraditi obseg del projektne pisarne z nalogami sistemskega pospeševalca projektov energetske prenove javnih stavb in skrbnika programa kakovosti.</w:t>
      </w:r>
      <w:r w:rsidR="00CB0E78" w:rsidRPr="0029180E">
        <w:rPr>
          <w:sz w:val="22"/>
          <w:szCs w:val="22"/>
          <w:lang w:val="sl-SI"/>
        </w:rPr>
        <w:t xml:space="preserve"> </w:t>
      </w:r>
      <w:r w:rsidR="00A90A6F" w:rsidRPr="00B25FC5">
        <w:rPr>
          <w:sz w:val="22"/>
          <w:szCs w:val="22"/>
          <w:lang w:val="sl-SI"/>
        </w:rPr>
        <w:t xml:space="preserve">Pospeševalec projektov EPC </w:t>
      </w:r>
      <w:r w:rsidR="001D6649">
        <w:rPr>
          <w:sz w:val="22"/>
          <w:szCs w:val="22"/>
          <w:lang w:val="sl-SI"/>
        </w:rPr>
        <w:t xml:space="preserve">ima </w:t>
      </w:r>
      <w:r w:rsidR="00A90A6F">
        <w:rPr>
          <w:sz w:val="22"/>
          <w:szCs w:val="22"/>
          <w:lang w:val="sl-SI"/>
        </w:rPr>
        <w:t xml:space="preserve">lahko </w:t>
      </w:r>
      <w:r w:rsidR="00A90A6F" w:rsidRPr="00B25FC5">
        <w:rPr>
          <w:sz w:val="22"/>
          <w:szCs w:val="22"/>
          <w:lang w:val="sl-SI"/>
        </w:rPr>
        <w:t>ključn</w:t>
      </w:r>
      <w:r w:rsidR="00A90A6F">
        <w:rPr>
          <w:sz w:val="22"/>
          <w:szCs w:val="22"/>
          <w:lang w:val="sl-SI"/>
        </w:rPr>
        <w:t>o</w:t>
      </w:r>
      <w:r w:rsidR="00A90A6F" w:rsidRPr="00B25FC5">
        <w:rPr>
          <w:sz w:val="22"/>
          <w:szCs w:val="22"/>
          <w:lang w:val="sl-SI"/>
        </w:rPr>
        <w:t xml:space="preserve"> vlog</w:t>
      </w:r>
      <w:r w:rsidR="00A90A6F">
        <w:rPr>
          <w:sz w:val="22"/>
          <w:szCs w:val="22"/>
          <w:lang w:val="sl-SI"/>
        </w:rPr>
        <w:t>o pri</w:t>
      </w:r>
      <w:r w:rsidR="00A90A6F" w:rsidRPr="00B25FC5">
        <w:rPr>
          <w:sz w:val="22"/>
          <w:szCs w:val="22"/>
          <w:lang w:val="sl-SI"/>
        </w:rPr>
        <w:t xml:space="preserve"> posredni</w:t>
      </w:r>
      <w:r w:rsidR="00A90A6F">
        <w:rPr>
          <w:sz w:val="22"/>
          <w:szCs w:val="22"/>
          <w:lang w:val="sl-SI"/>
        </w:rPr>
        <w:t xml:space="preserve">štvu in </w:t>
      </w:r>
      <w:r w:rsidR="00A90A6F" w:rsidRPr="00B25FC5">
        <w:rPr>
          <w:sz w:val="22"/>
          <w:szCs w:val="22"/>
          <w:lang w:val="sl-SI"/>
        </w:rPr>
        <w:t>povezova</w:t>
      </w:r>
      <w:r w:rsidR="00A90A6F">
        <w:rPr>
          <w:sz w:val="22"/>
          <w:szCs w:val="22"/>
          <w:lang w:val="sl-SI"/>
        </w:rPr>
        <w:t xml:space="preserve">nju ter </w:t>
      </w:r>
      <w:r w:rsidR="00A90A6F" w:rsidRPr="00B25FC5">
        <w:rPr>
          <w:sz w:val="22"/>
          <w:szCs w:val="22"/>
          <w:lang w:val="sl-SI"/>
        </w:rPr>
        <w:t>vključ</w:t>
      </w:r>
      <w:r w:rsidR="00A90A6F">
        <w:rPr>
          <w:sz w:val="22"/>
          <w:szCs w:val="22"/>
          <w:lang w:val="sl-SI"/>
        </w:rPr>
        <w:t>evanju</w:t>
      </w:r>
      <w:r w:rsidR="00A90A6F" w:rsidRPr="00B25FC5">
        <w:rPr>
          <w:sz w:val="22"/>
          <w:szCs w:val="22"/>
          <w:lang w:val="sl-SI"/>
        </w:rPr>
        <w:t xml:space="preserve"> </w:t>
      </w:r>
      <w:r w:rsidR="001D6649" w:rsidRPr="00B25FC5">
        <w:rPr>
          <w:sz w:val="22"/>
          <w:szCs w:val="22"/>
          <w:lang w:val="sl-SI"/>
        </w:rPr>
        <w:t xml:space="preserve">tudi </w:t>
      </w:r>
      <w:r w:rsidR="001D6649">
        <w:rPr>
          <w:sz w:val="22"/>
          <w:szCs w:val="22"/>
          <w:lang w:val="sl-SI"/>
        </w:rPr>
        <w:t>drugih stavb</w:t>
      </w:r>
      <w:r w:rsidR="001D6649" w:rsidRPr="00B25FC5">
        <w:rPr>
          <w:sz w:val="22"/>
          <w:szCs w:val="22"/>
          <w:lang w:val="sl-SI"/>
        </w:rPr>
        <w:t xml:space="preserve"> </w:t>
      </w:r>
      <w:r w:rsidR="00A90A6F" w:rsidRPr="00B25FC5">
        <w:rPr>
          <w:sz w:val="22"/>
          <w:szCs w:val="22"/>
          <w:lang w:val="sl-SI"/>
        </w:rPr>
        <w:lastRenderedPageBreak/>
        <w:t xml:space="preserve">v </w:t>
      </w:r>
      <w:r w:rsidR="001D6649" w:rsidRPr="00B25FC5">
        <w:rPr>
          <w:sz w:val="22"/>
          <w:szCs w:val="22"/>
          <w:lang w:val="sl-SI"/>
        </w:rPr>
        <w:t xml:space="preserve">projekt </w:t>
      </w:r>
      <w:r w:rsidR="00A90A6F" w:rsidRPr="00B25FC5">
        <w:rPr>
          <w:sz w:val="22"/>
          <w:szCs w:val="22"/>
          <w:lang w:val="sl-SI"/>
        </w:rPr>
        <w:t>EPC</w:t>
      </w:r>
      <w:r w:rsidR="00A90A6F">
        <w:rPr>
          <w:sz w:val="22"/>
          <w:szCs w:val="22"/>
          <w:lang w:val="sl-SI"/>
        </w:rPr>
        <w:t>. Vlogo tovrstnega pospeševalca bi lahko prevzele občine.</w:t>
      </w:r>
      <w:r w:rsidR="00A90A6F" w:rsidRPr="0029180E">
        <w:rPr>
          <w:sz w:val="22"/>
          <w:szCs w:val="22"/>
          <w:lang w:val="sl-SI"/>
        </w:rPr>
        <w:t xml:space="preserve"> </w:t>
      </w:r>
      <w:r w:rsidR="00CB0E78" w:rsidRPr="0029180E">
        <w:rPr>
          <w:sz w:val="22"/>
          <w:szCs w:val="22"/>
          <w:lang w:val="sl-SI"/>
        </w:rPr>
        <w:t>Kmetijska gospodarstva so specifična skupina, ki na področju zmanjševanja rabe energije in emisij TGP še ni bila ustrezno obravnavana</w:t>
      </w:r>
      <w:r w:rsidR="003C33C8">
        <w:rPr>
          <w:sz w:val="22"/>
          <w:szCs w:val="22"/>
          <w:lang w:val="sl-SI"/>
        </w:rPr>
        <w:t>,</w:t>
      </w:r>
      <w:r w:rsidR="00CB0E78" w:rsidRPr="0029180E">
        <w:rPr>
          <w:sz w:val="22"/>
          <w:szCs w:val="22"/>
          <w:lang w:val="sl-SI"/>
        </w:rPr>
        <w:t xml:space="preserve"> zato jim je treba</w:t>
      </w:r>
      <w:r w:rsidR="00CB0E78">
        <w:rPr>
          <w:sz w:val="22"/>
          <w:szCs w:val="22"/>
          <w:lang w:val="sl-SI"/>
        </w:rPr>
        <w:t xml:space="preserve"> zagotoviti d</w:t>
      </w:r>
      <w:r w:rsidR="00CB0E78" w:rsidRPr="00CB0E78">
        <w:rPr>
          <w:sz w:val="22"/>
          <w:szCs w:val="22"/>
          <w:lang w:val="sl-SI"/>
        </w:rPr>
        <w:t>ostop do sredstev za energetsko prenovo ter izvajanje drugih ukrepov URE in izrabe OVE</w:t>
      </w:r>
      <w:r w:rsidR="00CB0E78">
        <w:rPr>
          <w:sz w:val="22"/>
          <w:szCs w:val="22"/>
          <w:lang w:val="sl-SI"/>
        </w:rPr>
        <w:t>.</w:t>
      </w:r>
    </w:p>
    <w:p w14:paraId="5EC027DB" w14:textId="43790142" w:rsidR="00EF4E33" w:rsidRPr="00900F8E" w:rsidRDefault="00EF4E33" w:rsidP="00EF4E33">
      <w:pPr>
        <w:spacing w:after="0" w:line="240" w:lineRule="auto"/>
        <w:jc w:val="both"/>
        <w:rPr>
          <w:rFonts w:ascii="Arial" w:hAnsi="Arial" w:cs="Arial"/>
        </w:rPr>
      </w:pPr>
      <w:r w:rsidRPr="00900F8E">
        <w:rPr>
          <w:rFonts w:ascii="Arial" w:hAnsi="Arial" w:cs="Arial"/>
        </w:rPr>
        <w:t>Z vzpostavitvijo sheme za naknadno izvedbo optimizacije za že izvedene projekte energetske prenove in nove naložbene projekte, ki bi se umestil</w:t>
      </w:r>
      <w:r w:rsidR="001D6649">
        <w:rPr>
          <w:rFonts w:ascii="Arial" w:hAnsi="Arial" w:cs="Arial"/>
        </w:rPr>
        <w:t>a</w:t>
      </w:r>
      <w:r w:rsidRPr="00900F8E">
        <w:rPr>
          <w:rFonts w:ascii="Arial" w:hAnsi="Arial" w:cs="Arial"/>
        </w:rPr>
        <w:t xml:space="preserve"> v program energetske učinkovitosti za javni sektor, se lahko spodbudi izvajanje ukrepov optimizacije delovanja energetskih sistemov (Re-Co).</w:t>
      </w:r>
    </w:p>
    <w:p w14:paraId="0CC5DABF" w14:textId="63DD8BFF" w:rsidR="00EF4E33" w:rsidRPr="00900F8E" w:rsidRDefault="00EF4E33" w:rsidP="00EF4E33">
      <w:pPr>
        <w:spacing w:after="0" w:line="240" w:lineRule="auto"/>
        <w:jc w:val="both"/>
        <w:rPr>
          <w:rFonts w:ascii="Arial" w:hAnsi="Arial" w:cs="Arial"/>
        </w:rPr>
      </w:pPr>
      <w:r w:rsidRPr="00900F8E">
        <w:rPr>
          <w:rFonts w:ascii="Arial" w:hAnsi="Arial" w:cs="Arial"/>
        </w:rPr>
        <w:t xml:space="preserve">Za doseganje ciljev do leta 2030 bo treba </w:t>
      </w:r>
      <w:r w:rsidR="001D6649">
        <w:rPr>
          <w:rFonts w:ascii="Arial" w:hAnsi="Arial" w:cs="Arial"/>
        </w:rPr>
        <w:t>sedanji</w:t>
      </w:r>
      <w:r w:rsidR="001D6649" w:rsidRPr="00900F8E">
        <w:rPr>
          <w:rFonts w:ascii="Arial" w:hAnsi="Arial" w:cs="Arial"/>
        </w:rPr>
        <w:t xml:space="preserve"> </w:t>
      </w:r>
      <w:r w:rsidRPr="00900F8E">
        <w:rPr>
          <w:rFonts w:ascii="Arial" w:hAnsi="Arial" w:cs="Arial"/>
        </w:rPr>
        <w:t xml:space="preserve">obseg zahtevnejših energetskih prenov stanovanjskih stavb povečati za trikrat. Ovire za učinkovitejšo prenovo so razpršena lastništva, demografska struktura lastnikov, energetska revščina, deljenje spodbud med lastnike in najemnike, nemotiviranost lastnikov in vse večja potreba po temeljnih prenovah stavb. </w:t>
      </w:r>
      <w:r w:rsidR="001D6649">
        <w:rPr>
          <w:rFonts w:ascii="Arial" w:hAnsi="Arial" w:cs="Arial"/>
        </w:rPr>
        <w:t>Težav</w:t>
      </w:r>
      <w:r w:rsidR="003F7C15">
        <w:rPr>
          <w:rFonts w:ascii="Arial" w:hAnsi="Arial" w:cs="Arial"/>
        </w:rPr>
        <w:t>o</w:t>
      </w:r>
      <w:r w:rsidR="001D6649" w:rsidRPr="00900F8E">
        <w:rPr>
          <w:rFonts w:ascii="Arial" w:hAnsi="Arial" w:cs="Arial"/>
        </w:rPr>
        <w:t xml:space="preserve"> </w:t>
      </w:r>
      <w:r w:rsidRPr="00900F8E">
        <w:rPr>
          <w:rFonts w:ascii="Arial" w:hAnsi="Arial" w:cs="Arial"/>
        </w:rPr>
        <w:t xml:space="preserve">lahko </w:t>
      </w:r>
      <w:r w:rsidR="001D6649">
        <w:rPr>
          <w:rFonts w:ascii="Arial" w:hAnsi="Arial" w:cs="Arial"/>
        </w:rPr>
        <w:t>reši</w:t>
      </w:r>
      <w:r w:rsidR="001D6649" w:rsidRPr="00900F8E">
        <w:rPr>
          <w:rFonts w:ascii="Arial" w:hAnsi="Arial" w:cs="Arial"/>
        </w:rPr>
        <w:t xml:space="preserve"> </w:t>
      </w:r>
      <w:r w:rsidRPr="00900F8E">
        <w:rPr>
          <w:rFonts w:ascii="Arial" w:hAnsi="Arial" w:cs="Arial"/>
        </w:rPr>
        <w:t>vzpostavitev projektne pisarne, katere delo bo usmerjeno v pripravo projektov energetskih prenov stanovanjskih stavb ter delovanje po načelu vse na enem mestu in kot platforma med naložbeniki oz</w:t>
      </w:r>
      <w:r w:rsidR="003F7C15">
        <w:rPr>
          <w:rFonts w:ascii="Arial" w:hAnsi="Arial" w:cs="Arial"/>
        </w:rPr>
        <w:t>iroma</w:t>
      </w:r>
      <w:r w:rsidRPr="00900F8E">
        <w:rPr>
          <w:rFonts w:ascii="Arial" w:hAnsi="Arial" w:cs="Arial"/>
        </w:rPr>
        <w:t xml:space="preserve"> lastniki, upravniki, izvajalci prenov, Eko skladom, dobavitelji energije, podjetji za energetske storitve. Za okrepitev energetske prenove teh stavb bo </w:t>
      </w:r>
      <w:r w:rsidR="001D6649">
        <w:rPr>
          <w:rFonts w:ascii="Arial" w:hAnsi="Arial" w:cs="Arial"/>
        </w:rPr>
        <w:t>treba</w:t>
      </w:r>
      <w:r w:rsidR="001D6649" w:rsidRPr="00900F8E">
        <w:rPr>
          <w:rFonts w:ascii="Arial" w:hAnsi="Arial" w:cs="Arial"/>
        </w:rPr>
        <w:t xml:space="preserve"> </w:t>
      </w:r>
      <w:r w:rsidRPr="00900F8E">
        <w:rPr>
          <w:rFonts w:ascii="Arial" w:hAnsi="Arial" w:cs="Arial"/>
        </w:rPr>
        <w:t>razviti nove finančne instrumente in nove modele financiranja.</w:t>
      </w:r>
      <w:r w:rsidR="00A90A6F" w:rsidRPr="00A90A6F">
        <w:rPr>
          <w:rFonts w:ascii="Arial" w:hAnsi="Arial" w:cs="Arial"/>
        </w:rPr>
        <w:t xml:space="preserve"> </w:t>
      </w:r>
      <w:r w:rsidR="00A90A6F">
        <w:rPr>
          <w:rFonts w:ascii="Arial" w:hAnsi="Arial" w:cs="Arial"/>
        </w:rPr>
        <w:t>Problem razpršenega lastništva</w:t>
      </w:r>
      <w:r w:rsidR="00A90A6F" w:rsidRPr="00C42E26">
        <w:rPr>
          <w:rFonts w:ascii="Arial" w:hAnsi="Arial" w:cs="Arial"/>
        </w:rPr>
        <w:t xml:space="preserve"> se da omiliti z dobro participativno strategijo vključevanja deležnikov v </w:t>
      </w:r>
      <w:r w:rsidR="003F7C15">
        <w:rPr>
          <w:rFonts w:ascii="Arial" w:hAnsi="Arial" w:cs="Arial"/>
        </w:rPr>
        <w:t xml:space="preserve">projekt </w:t>
      </w:r>
      <w:r w:rsidR="00A90A6F" w:rsidRPr="00C42E26">
        <w:rPr>
          <w:rFonts w:ascii="Arial" w:hAnsi="Arial" w:cs="Arial"/>
        </w:rPr>
        <w:t xml:space="preserve">EPC prek posrednikov (pospeševalcev projektov EPC), ki bi vodili informativne delavnice; in z modelom večfaznega vključevanja različnih deležnikov v posamičen </w:t>
      </w:r>
      <w:r w:rsidR="001D6649">
        <w:rPr>
          <w:rFonts w:ascii="Arial" w:hAnsi="Arial" w:cs="Arial"/>
        </w:rPr>
        <w:t xml:space="preserve">projekt </w:t>
      </w:r>
      <w:r w:rsidR="00A90A6F" w:rsidRPr="00C42E26">
        <w:rPr>
          <w:rFonts w:ascii="Arial" w:hAnsi="Arial" w:cs="Arial"/>
        </w:rPr>
        <w:t xml:space="preserve">EPC. </w:t>
      </w:r>
      <w:r w:rsidR="00A90A6F">
        <w:rPr>
          <w:rFonts w:ascii="Arial" w:hAnsi="Arial" w:cs="Arial"/>
        </w:rPr>
        <w:t>Na ta način bi</w:t>
      </w:r>
      <w:r w:rsidR="00A90A6F" w:rsidRPr="00C42E26">
        <w:rPr>
          <w:rFonts w:ascii="Arial" w:hAnsi="Arial" w:cs="Arial"/>
        </w:rPr>
        <w:t xml:space="preserve"> se energetska prenova vzpostavi</w:t>
      </w:r>
      <w:r w:rsidR="00A90A6F">
        <w:rPr>
          <w:rFonts w:ascii="Arial" w:hAnsi="Arial" w:cs="Arial"/>
        </w:rPr>
        <w:t>la</w:t>
      </w:r>
      <w:r w:rsidR="00A90A6F" w:rsidRPr="00C42E26">
        <w:rPr>
          <w:rFonts w:ascii="Arial" w:hAnsi="Arial" w:cs="Arial"/>
        </w:rPr>
        <w:t xml:space="preserve"> </w:t>
      </w:r>
      <w:r w:rsidR="00A90A6F">
        <w:rPr>
          <w:rFonts w:ascii="Arial" w:hAnsi="Arial" w:cs="Arial"/>
        </w:rPr>
        <w:t>tako</w:t>
      </w:r>
      <w:r w:rsidR="00A90A6F" w:rsidRPr="00C42E26">
        <w:rPr>
          <w:rFonts w:ascii="Arial" w:hAnsi="Arial" w:cs="Arial"/>
        </w:rPr>
        <w:t xml:space="preserve">, da </w:t>
      </w:r>
      <w:r w:rsidR="00A90A6F">
        <w:rPr>
          <w:rFonts w:ascii="Arial" w:hAnsi="Arial" w:cs="Arial"/>
        </w:rPr>
        <w:t xml:space="preserve">bi </w:t>
      </w:r>
      <w:r w:rsidR="00A90A6F" w:rsidRPr="00C42E26">
        <w:rPr>
          <w:rFonts w:ascii="Arial" w:hAnsi="Arial" w:cs="Arial"/>
        </w:rPr>
        <w:t>tehnično omogoča</w:t>
      </w:r>
      <w:r w:rsidR="00A90A6F">
        <w:rPr>
          <w:rFonts w:ascii="Arial" w:hAnsi="Arial" w:cs="Arial"/>
        </w:rPr>
        <w:t>la</w:t>
      </w:r>
      <w:r w:rsidR="00A90A6F" w:rsidRPr="00C42E26">
        <w:rPr>
          <w:rFonts w:ascii="Arial" w:hAnsi="Arial" w:cs="Arial"/>
        </w:rPr>
        <w:t xml:space="preserve"> </w:t>
      </w:r>
      <w:r w:rsidR="001D6649">
        <w:rPr>
          <w:rFonts w:ascii="Arial" w:hAnsi="Arial" w:cs="Arial"/>
        </w:rPr>
        <w:t>sorazmerno</w:t>
      </w:r>
      <w:r w:rsidR="001D6649" w:rsidRPr="00C42E26">
        <w:rPr>
          <w:rFonts w:ascii="Arial" w:hAnsi="Arial" w:cs="Arial"/>
        </w:rPr>
        <w:t xml:space="preserve"> </w:t>
      </w:r>
      <w:r w:rsidR="00A90A6F" w:rsidRPr="00C42E26">
        <w:rPr>
          <w:rFonts w:ascii="Arial" w:hAnsi="Arial" w:cs="Arial"/>
        </w:rPr>
        <w:t xml:space="preserve">preprosto priključitev novih bližnjih deležnikov v prenovljeni energetski sistem tudi v </w:t>
      </w:r>
      <w:r w:rsidR="001D6649">
        <w:rPr>
          <w:rFonts w:ascii="Arial" w:hAnsi="Arial" w:cs="Arial"/>
        </w:rPr>
        <w:t>poz</w:t>
      </w:r>
      <w:r w:rsidR="00A90A6F" w:rsidRPr="00C42E26">
        <w:rPr>
          <w:rFonts w:ascii="Arial" w:hAnsi="Arial" w:cs="Arial"/>
        </w:rPr>
        <w:t>nejši fazi.</w:t>
      </w:r>
      <w:r w:rsidR="00E23FDA" w:rsidRPr="00E23FDA">
        <w:t xml:space="preserve"> </w:t>
      </w:r>
      <w:r w:rsidR="00E23FDA" w:rsidRPr="00E23FDA">
        <w:rPr>
          <w:rFonts w:ascii="Arial" w:hAnsi="Arial" w:cs="Arial"/>
        </w:rPr>
        <w:t>Energetsko revnim je treba zagotoviti stalen dostop do sredstev, s katerimi lahko zmanjšajo rabo</w:t>
      </w:r>
      <w:r w:rsidR="00E23FDA">
        <w:rPr>
          <w:rFonts w:ascii="Arial" w:hAnsi="Arial" w:cs="Arial"/>
        </w:rPr>
        <w:t xml:space="preserve"> energije</w:t>
      </w:r>
      <w:r w:rsidR="00E23FDA" w:rsidRPr="00E23FDA">
        <w:rPr>
          <w:rFonts w:ascii="Arial" w:hAnsi="Arial" w:cs="Arial"/>
        </w:rPr>
        <w:t xml:space="preserve"> in s tem stroške energije ter tako izboljšajo tudi svoje bivanjske razmere</w:t>
      </w:r>
      <w:r w:rsidR="00E23FDA">
        <w:rPr>
          <w:rFonts w:ascii="Arial" w:hAnsi="Arial" w:cs="Arial"/>
        </w:rPr>
        <w:t>.</w:t>
      </w:r>
    </w:p>
    <w:p w14:paraId="1D65913A" w14:textId="4550AD99" w:rsidR="00EF4E33" w:rsidRPr="00900F8E" w:rsidRDefault="00EF4E33" w:rsidP="00EF4E33">
      <w:pPr>
        <w:spacing w:after="0" w:line="240" w:lineRule="auto"/>
        <w:jc w:val="both"/>
        <w:rPr>
          <w:rFonts w:ascii="Arial" w:hAnsi="Arial" w:cs="Arial"/>
        </w:rPr>
      </w:pPr>
      <w:r w:rsidRPr="00900F8E">
        <w:rPr>
          <w:rFonts w:ascii="Arial" w:hAnsi="Arial" w:cs="Arial"/>
        </w:rPr>
        <w:t>Doseganje večjih učinkov programov Eko sklada za gospodinjstva zahteva tako pripravo finančnega načrta spodbujanja ukrepov v gospodinjstvih, vključno z določitvijo virov financiranja, spodbujevalnih mehanizmov in ukrepov za odstranjevanje ključnih ovir ter organizacijo spodbujanja in zagotavljanjem pomoči po načelu vse na enem mestu, kot tudi povečanje finančnega vzvoda in razpoložljivih finančnih sredstev za celovite energetske prenove in prenove v skoraj ničenergijskih stavbah. Ciljno usmerjanje prenov in doseganje ciljev v letu 2030 bi omogočil ločen poziv za delne in celovite energetske prenove, pri čemer se za slednje in prenove v skoraj ničenergijskih stavbah nameni vsaj 70 % predvidenih sredstev za ukrepe URE in izrabe OVE v gospodinjstvih. Eko sklad naj analizira možnosti za te ukrepe, dosegljive s spodbujevalnimi mehanizmi, ter sodeluje z MzI in drugimi institucijami pri oblikovanju novih finančnih instrumentov za stanovanjski sektor.</w:t>
      </w:r>
    </w:p>
    <w:p w14:paraId="3C6AB46B" w14:textId="3D19C493" w:rsidR="00EF4E33" w:rsidRPr="00900F8E" w:rsidRDefault="00EF4E33" w:rsidP="00E36290">
      <w:pPr>
        <w:pStyle w:val="Naslov2"/>
        <w:spacing w:before="360"/>
        <w:rPr>
          <w:rFonts w:ascii="Arial" w:hAnsi="Arial" w:cs="Arial"/>
          <w:color w:val="auto"/>
        </w:rPr>
      </w:pPr>
      <w:bookmarkStart w:id="50" w:name="_Toc120166952"/>
      <w:r w:rsidRPr="00900F8E">
        <w:rPr>
          <w:rFonts w:ascii="Arial" w:hAnsi="Arial" w:cs="Arial"/>
          <w:color w:val="auto"/>
        </w:rPr>
        <w:t>6.5</w:t>
      </w:r>
      <w:r w:rsidR="006A5D35" w:rsidRPr="00900F8E">
        <w:rPr>
          <w:rFonts w:ascii="Arial" w:hAnsi="Arial" w:cs="Arial"/>
          <w:color w:val="auto"/>
        </w:rPr>
        <w:t xml:space="preserve"> </w:t>
      </w:r>
      <w:r w:rsidR="00DA241C">
        <w:rPr>
          <w:rFonts w:ascii="Arial" w:hAnsi="Arial" w:cs="Arial"/>
          <w:color w:val="auto"/>
        </w:rPr>
        <w:t xml:space="preserve">Industrija </w:t>
      </w:r>
      <w:r w:rsidR="00F9504D">
        <w:rPr>
          <w:rFonts w:ascii="Arial" w:hAnsi="Arial" w:cs="Arial"/>
          <w:color w:val="auto"/>
        </w:rPr>
        <w:t>n</w:t>
      </w:r>
      <w:r w:rsidR="00920F43" w:rsidRPr="00900F8E">
        <w:rPr>
          <w:rFonts w:ascii="Arial" w:hAnsi="Arial" w:cs="Arial"/>
          <w:color w:val="auto"/>
        </w:rPr>
        <w:t>eETS</w:t>
      </w:r>
      <w:bookmarkEnd w:id="50"/>
      <w:r w:rsidR="006A5D35" w:rsidRPr="00900F8E">
        <w:rPr>
          <w:rFonts w:ascii="Arial" w:hAnsi="Arial" w:cs="Arial"/>
          <w:color w:val="auto"/>
        </w:rPr>
        <w:t xml:space="preserve"> </w:t>
      </w:r>
    </w:p>
    <w:p w14:paraId="38489E4E" w14:textId="77777777" w:rsidR="006A5D35" w:rsidRPr="00900F8E" w:rsidRDefault="006A5D35" w:rsidP="006A5D35">
      <w:pPr>
        <w:pStyle w:val="Default"/>
        <w:jc w:val="both"/>
        <w:rPr>
          <w:sz w:val="22"/>
          <w:szCs w:val="22"/>
          <w:lang w:val="sl-SI"/>
        </w:rPr>
      </w:pPr>
    </w:p>
    <w:p w14:paraId="43A7F636" w14:textId="2DE8AF6B" w:rsidR="006A5D35" w:rsidRPr="00900F8E" w:rsidRDefault="00DA241C" w:rsidP="006A5D35">
      <w:pPr>
        <w:pStyle w:val="Default"/>
        <w:jc w:val="both"/>
        <w:rPr>
          <w:sz w:val="22"/>
          <w:szCs w:val="22"/>
          <w:lang w:val="sl-SI"/>
        </w:rPr>
      </w:pPr>
      <w:r>
        <w:rPr>
          <w:sz w:val="22"/>
          <w:szCs w:val="22"/>
          <w:lang w:val="sl-SI"/>
        </w:rPr>
        <w:t>Okrepiti</w:t>
      </w:r>
      <w:r w:rsidRPr="00900F8E">
        <w:rPr>
          <w:sz w:val="22"/>
          <w:szCs w:val="22"/>
          <w:lang w:val="sl-SI"/>
        </w:rPr>
        <w:t xml:space="preserve"> </w:t>
      </w:r>
      <w:r w:rsidR="006A5D35" w:rsidRPr="00900F8E">
        <w:rPr>
          <w:sz w:val="22"/>
          <w:szCs w:val="22"/>
          <w:lang w:val="sl-SI"/>
        </w:rPr>
        <w:t xml:space="preserve">je treba izvajanje instrumentov za spodbujanje URE, uvajanje OVE in izrabo odvečne toplote v industriji, saj so odzivi industrije na povratne spodbude </w:t>
      </w:r>
      <w:r>
        <w:rPr>
          <w:sz w:val="22"/>
          <w:szCs w:val="22"/>
          <w:lang w:val="sl-SI"/>
        </w:rPr>
        <w:t>sorazmerno</w:t>
      </w:r>
      <w:r w:rsidRPr="00900F8E">
        <w:rPr>
          <w:sz w:val="22"/>
          <w:szCs w:val="22"/>
          <w:lang w:val="sl-SI"/>
        </w:rPr>
        <w:t xml:space="preserve"> </w:t>
      </w:r>
      <w:r w:rsidR="006A5D35" w:rsidRPr="00900F8E">
        <w:rPr>
          <w:sz w:val="22"/>
          <w:szCs w:val="22"/>
          <w:lang w:val="sl-SI"/>
        </w:rPr>
        <w:t xml:space="preserve">slabi. Zagotoviti je </w:t>
      </w:r>
      <w:r w:rsidR="00CE1906">
        <w:rPr>
          <w:sz w:val="22"/>
          <w:szCs w:val="22"/>
          <w:lang w:val="sl-SI"/>
        </w:rPr>
        <w:t>treba</w:t>
      </w:r>
      <w:r w:rsidR="006A5D35" w:rsidRPr="00900F8E">
        <w:rPr>
          <w:sz w:val="22"/>
          <w:szCs w:val="22"/>
          <w:lang w:val="sl-SI"/>
        </w:rPr>
        <w:t xml:space="preserve"> ustrezne podatke za spremljanje in vrednotenje učinkov nepovratnih in povratnih spodbud v industriji, in sicer skupno ter ločeno za industrijo </w:t>
      </w:r>
      <w:r w:rsidR="00920F43" w:rsidRPr="00900F8E">
        <w:rPr>
          <w:sz w:val="22"/>
          <w:szCs w:val="22"/>
          <w:lang w:val="sl-SI"/>
        </w:rPr>
        <w:t>neETS</w:t>
      </w:r>
      <w:r w:rsidR="006A5D35" w:rsidRPr="00900F8E">
        <w:rPr>
          <w:sz w:val="22"/>
          <w:szCs w:val="22"/>
          <w:lang w:val="sl-SI"/>
        </w:rPr>
        <w:t>, vzpostaviti ustrezno podporno okolje za razvoj celovitih storitev upravljanja energij</w:t>
      </w:r>
      <w:r>
        <w:rPr>
          <w:sz w:val="22"/>
          <w:szCs w:val="22"/>
          <w:lang w:val="sl-SI"/>
        </w:rPr>
        <w:t>e</w:t>
      </w:r>
      <w:r w:rsidR="006A5D35" w:rsidRPr="00900F8E">
        <w:rPr>
          <w:sz w:val="22"/>
          <w:szCs w:val="22"/>
          <w:lang w:val="sl-SI"/>
        </w:rPr>
        <w:t xml:space="preserve"> v </w:t>
      </w:r>
      <w:bookmarkStart w:id="51" w:name="_Hlk100913990"/>
      <w:r w:rsidR="006A5D35" w:rsidRPr="00900F8E">
        <w:rPr>
          <w:sz w:val="22"/>
          <w:szCs w:val="22"/>
          <w:lang w:val="sl-SI"/>
        </w:rPr>
        <w:t>malih in srednje velikih podjetjih</w:t>
      </w:r>
      <w:bookmarkEnd w:id="51"/>
      <w:r w:rsidR="006A5D35" w:rsidRPr="00900F8E">
        <w:rPr>
          <w:sz w:val="22"/>
          <w:szCs w:val="22"/>
          <w:lang w:val="sl-SI"/>
        </w:rPr>
        <w:t xml:space="preserve">, ustrezno podporno okolje za razvoj poslovnih modelov energetskega pogodbeništva in ob pripravi dokumentov za novo obdobje kohezijske politike in akcijski načrt za krožno gospodarstvo načrtovati </w:t>
      </w:r>
      <w:r w:rsidR="00203992">
        <w:rPr>
          <w:sz w:val="22"/>
          <w:szCs w:val="22"/>
          <w:lang w:val="sl-SI"/>
        </w:rPr>
        <w:t>ter</w:t>
      </w:r>
      <w:r w:rsidR="00203992" w:rsidRPr="00900F8E">
        <w:rPr>
          <w:sz w:val="22"/>
          <w:szCs w:val="22"/>
          <w:lang w:val="sl-SI"/>
        </w:rPr>
        <w:t xml:space="preserve"> </w:t>
      </w:r>
      <w:r w:rsidR="006A5D35" w:rsidRPr="00900F8E">
        <w:rPr>
          <w:sz w:val="22"/>
          <w:szCs w:val="22"/>
          <w:lang w:val="sl-SI"/>
        </w:rPr>
        <w:t>upoštevati področje financiranja URE in izrabe OVE v industriji tako za energetsko intenzivna podjetja kot tudi za</w:t>
      </w:r>
      <w:r w:rsidR="006A5D35" w:rsidRPr="00900F8E">
        <w:t xml:space="preserve"> </w:t>
      </w:r>
      <w:r w:rsidR="006A5D35" w:rsidRPr="00900F8E">
        <w:rPr>
          <w:sz w:val="22"/>
          <w:szCs w:val="22"/>
          <w:lang w:val="sl-SI"/>
        </w:rPr>
        <w:t>mala in srednje velika podjetja. Financiranje ukrepov v podjetjih iz vzhodne in zahodne regije bi moralo omogočiti enake možnosti.</w:t>
      </w:r>
    </w:p>
    <w:p w14:paraId="6EDEEB1B" w14:textId="5D844F4D" w:rsidR="00EF4E33" w:rsidRPr="00900F8E" w:rsidRDefault="00EF4E33" w:rsidP="00E36290">
      <w:pPr>
        <w:pStyle w:val="Naslov2"/>
        <w:spacing w:before="360"/>
        <w:rPr>
          <w:rFonts w:ascii="Arial" w:hAnsi="Arial" w:cs="Arial"/>
          <w:color w:val="auto"/>
        </w:rPr>
      </w:pPr>
      <w:bookmarkStart w:id="52" w:name="_Toc120166953"/>
      <w:r w:rsidRPr="00900F8E">
        <w:rPr>
          <w:rFonts w:ascii="Arial" w:hAnsi="Arial" w:cs="Arial"/>
          <w:color w:val="auto"/>
        </w:rPr>
        <w:t xml:space="preserve">6.6 </w:t>
      </w:r>
      <w:r w:rsidR="00DA241C">
        <w:rPr>
          <w:rFonts w:ascii="Arial" w:hAnsi="Arial" w:cs="Arial"/>
          <w:color w:val="auto"/>
        </w:rPr>
        <w:t xml:space="preserve">Energetika </w:t>
      </w:r>
      <w:r w:rsidR="00F9504D">
        <w:rPr>
          <w:rFonts w:ascii="Arial" w:hAnsi="Arial" w:cs="Arial"/>
          <w:color w:val="auto"/>
        </w:rPr>
        <w:t>n</w:t>
      </w:r>
      <w:r w:rsidR="00920F43" w:rsidRPr="00900F8E">
        <w:rPr>
          <w:rFonts w:ascii="Arial" w:hAnsi="Arial" w:cs="Arial"/>
          <w:color w:val="auto"/>
        </w:rPr>
        <w:t>eETS</w:t>
      </w:r>
      <w:bookmarkEnd w:id="52"/>
      <w:r w:rsidR="006A5D35" w:rsidRPr="00900F8E">
        <w:rPr>
          <w:rFonts w:ascii="Arial" w:hAnsi="Arial" w:cs="Arial"/>
          <w:color w:val="auto"/>
        </w:rPr>
        <w:t xml:space="preserve"> </w:t>
      </w:r>
    </w:p>
    <w:p w14:paraId="76AC54D0" w14:textId="77777777" w:rsidR="0094747E" w:rsidRPr="00900F8E" w:rsidRDefault="0094747E" w:rsidP="0094747E">
      <w:pPr>
        <w:spacing w:after="0" w:line="240" w:lineRule="auto"/>
        <w:jc w:val="both"/>
        <w:rPr>
          <w:rFonts w:ascii="Arial" w:hAnsi="Arial" w:cs="Arial"/>
        </w:rPr>
      </w:pPr>
    </w:p>
    <w:p w14:paraId="4C3E9FCE" w14:textId="7BF4A87F" w:rsidR="0094747E" w:rsidRPr="00900F8E" w:rsidRDefault="0094747E" w:rsidP="0094747E">
      <w:pPr>
        <w:spacing w:after="0" w:line="240" w:lineRule="auto"/>
        <w:jc w:val="both"/>
        <w:rPr>
          <w:rFonts w:ascii="Arial" w:hAnsi="Arial" w:cs="Arial"/>
        </w:rPr>
      </w:pPr>
      <w:r w:rsidRPr="00900F8E">
        <w:rPr>
          <w:rFonts w:ascii="Arial" w:hAnsi="Arial" w:cs="Arial"/>
        </w:rPr>
        <w:t>Sistemi daljinskega ogrevanja prispevajo k hitrejšem</w:t>
      </w:r>
      <w:r w:rsidR="00DA241C">
        <w:rPr>
          <w:rFonts w:ascii="Arial" w:hAnsi="Arial" w:cs="Arial"/>
        </w:rPr>
        <w:t>u</w:t>
      </w:r>
      <w:r w:rsidRPr="00900F8E">
        <w:rPr>
          <w:rFonts w:ascii="Arial" w:hAnsi="Arial" w:cs="Arial"/>
        </w:rPr>
        <w:t xml:space="preserve"> zmanjševanju emisij TGP in uvajanju OVE na območjih z gostejšo poselitvijo ter pomembno prispevajo k izboljšanju kakovosti </w:t>
      </w:r>
      <w:r w:rsidRPr="00900F8E">
        <w:rPr>
          <w:rFonts w:ascii="Arial" w:hAnsi="Arial" w:cs="Arial"/>
        </w:rPr>
        <w:lastRenderedPageBreak/>
        <w:t>zraka. Toda pospešiti je treba njihov razvoj v smeri izkoriščanja odvečne toplote, uvajanja OVE, hranilnikov energije ter povezovanja z drugimi sektorji, kot je proizvodnja elektrike. Pospešiti je treba oblikovanje in izvajanje instrumentov za spodbujanje razvoja sistemov daljinskega ogrevanja in hlajenja za doseganje vsaj 1 % letnega povečanja deleža OVE in odvečne toplote.</w:t>
      </w:r>
    </w:p>
    <w:p w14:paraId="19857F93" w14:textId="71FF30F8" w:rsidR="0094747E" w:rsidRPr="00900F8E" w:rsidRDefault="0094747E" w:rsidP="0094747E">
      <w:pPr>
        <w:spacing w:after="0" w:line="240" w:lineRule="auto"/>
        <w:jc w:val="both"/>
        <w:rPr>
          <w:rFonts w:ascii="Arial" w:hAnsi="Arial" w:cs="Arial"/>
        </w:rPr>
      </w:pPr>
      <w:r w:rsidRPr="00900F8E">
        <w:rPr>
          <w:rFonts w:ascii="Arial" w:hAnsi="Arial" w:cs="Arial"/>
        </w:rPr>
        <w:t xml:space="preserve">Več kot 84 % vse toplote v sistemih daljinskega ogrevanja je proizvedene v soproizvodnji toplote in električne energije (v </w:t>
      </w:r>
      <w:r w:rsidR="00930529">
        <w:rPr>
          <w:rFonts w:ascii="Arial" w:hAnsi="Arial" w:cs="Arial"/>
        </w:rPr>
        <w:t>nadaljnjem besedilu</w:t>
      </w:r>
      <w:r w:rsidRPr="00900F8E">
        <w:rPr>
          <w:rFonts w:ascii="Arial" w:hAnsi="Arial" w:cs="Arial"/>
        </w:rPr>
        <w:t>: SPTE), pri čemer delež toplote iz OVE dosega le slabih 13 %. Prenoviti je treba podporno shemo, da bo prednostno zagotavljala podporo SPTE na OVE.</w:t>
      </w:r>
    </w:p>
    <w:p w14:paraId="786A3C47" w14:textId="660681B8" w:rsidR="00CE1906" w:rsidRDefault="0094747E" w:rsidP="0094747E">
      <w:pPr>
        <w:spacing w:after="0" w:line="240" w:lineRule="auto"/>
        <w:jc w:val="both"/>
        <w:rPr>
          <w:rFonts w:ascii="Arial" w:hAnsi="Arial" w:cs="Arial"/>
        </w:rPr>
      </w:pPr>
      <w:r w:rsidRPr="00900F8E">
        <w:rPr>
          <w:rFonts w:ascii="Arial" w:hAnsi="Arial" w:cs="Arial"/>
        </w:rPr>
        <w:t>Za nepovratne investicijske finančne spodbude za gradnjo sistemov DO na OVE je treba zagotoviti dolgoročno in stabilno spodbujanje</w:t>
      </w:r>
      <w:r w:rsidR="00CE1906">
        <w:rPr>
          <w:rFonts w:ascii="Arial" w:hAnsi="Arial" w:cs="Arial"/>
        </w:rPr>
        <w:t>,</w:t>
      </w:r>
      <w:r w:rsidR="00CE1906" w:rsidRPr="00CE1906">
        <w:t xml:space="preserve"> </w:t>
      </w:r>
      <w:r w:rsidR="00CE1906" w:rsidRPr="00CE1906">
        <w:rPr>
          <w:rFonts w:ascii="Arial" w:hAnsi="Arial" w:cs="Arial"/>
        </w:rPr>
        <w:t>omogočiti učinkovito koriščenje razpisanih finančnih spodbud za vse vrste naložb, ki izboljšujejo energetsko učinkovitost DO, povečujejo delež OVE in/ali prispevajo k zmanjšanju ogljičnega odtisa</w:t>
      </w:r>
      <w:r w:rsidR="00CA1363">
        <w:rPr>
          <w:rFonts w:ascii="Arial" w:hAnsi="Arial" w:cs="Arial"/>
        </w:rPr>
        <w:t>,</w:t>
      </w:r>
      <w:r w:rsidRPr="00900F8E">
        <w:rPr>
          <w:rFonts w:ascii="Arial" w:hAnsi="Arial" w:cs="Arial"/>
        </w:rPr>
        <w:t xml:space="preserve"> ter ciljno usmeriti finančne spodbude za izkoriščanje odvečne toplote v sistemih DO. </w:t>
      </w:r>
    </w:p>
    <w:p w14:paraId="317BE6CC" w14:textId="216D0248" w:rsidR="0094747E" w:rsidRPr="00900F8E" w:rsidRDefault="0094747E" w:rsidP="0094747E">
      <w:pPr>
        <w:spacing w:after="0" w:line="240" w:lineRule="auto"/>
        <w:jc w:val="both"/>
        <w:rPr>
          <w:rFonts w:ascii="Arial" w:hAnsi="Arial" w:cs="Arial"/>
        </w:rPr>
      </w:pPr>
      <w:r w:rsidRPr="00900F8E">
        <w:rPr>
          <w:rFonts w:ascii="Arial" w:hAnsi="Arial" w:cs="Arial"/>
        </w:rPr>
        <w:t xml:space="preserve">Nadgraditi je treba načrtovanje energetike na lokalni ravni, prenoviti zakonodajni okvir za pripravo lokalnih energetskih podnebnih konceptov, ki morajo vključevati razvojne programe sistemov daljinskega ogrevanja in hlajenja, opredelitev njihovega (so)financiranja ter določitev </w:t>
      </w:r>
      <w:r w:rsidR="00CA1363">
        <w:rPr>
          <w:rFonts w:ascii="Arial" w:hAnsi="Arial" w:cs="Arial"/>
        </w:rPr>
        <w:t>prednostne</w:t>
      </w:r>
      <w:r w:rsidR="00CA1363" w:rsidRPr="00900F8E">
        <w:rPr>
          <w:rFonts w:ascii="Arial" w:hAnsi="Arial" w:cs="Arial"/>
        </w:rPr>
        <w:t xml:space="preserve"> </w:t>
      </w:r>
      <w:r w:rsidRPr="00900F8E">
        <w:rPr>
          <w:rFonts w:ascii="Arial" w:hAnsi="Arial" w:cs="Arial"/>
        </w:rPr>
        <w:t xml:space="preserve">uporabe energentov za ogrevanje in hlajenje ter na nacionalni ravni zagotoviti centralizirano strokovno podporo lokalnim skupnostim za načrtovanje ogrevanja in hlajenja, vključno s potrebnimi orodji, kot </w:t>
      </w:r>
      <w:r w:rsidR="005D4B5C">
        <w:rPr>
          <w:rFonts w:ascii="Arial" w:hAnsi="Arial" w:cs="Arial"/>
        </w:rPr>
        <w:t>so</w:t>
      </w:r>
      <w:r w:rsidR="00CA1363">
        <w:rPr>
          <w:rFonts w:ascii="Arial" w:hAnsi="Arial" w:cs="Arial"/>
        </w:rPr>
        <w:t xml:space="preserve"> </w:t>
      </w:r>
      <w:r w:rsidRPr="00900F8E">
        <w:rPr>
          <w:rFonts w:ascii="Arial" w:hAnsi="Arial" w:cs="Arial"/>
        </w:rPr>
        <w:t>n</w:t>
      </w:r>
      <w:r w:rsidR="00CA1363">
        <w:rPr>
          <w:rFonts w:ascii="Arial" w:hAnsi="Arial" w:cs="Arial"/>
        </w:rPr>
        <w:t xml:space="preserve">a </w:t>
      </w:r>
      <w:r w:rsidRPr="00900F8E">
        <w:rPr>
          <w:rFonts w:ascii="Arial" w:hAnsi="Arial" w:cs="Arial"/>
        </w:rPr>
        <w:t>pr</w:t>
      </w:r>
      <w:r w:rsidR="00CA1363">
        <w:rPr>
          <w:rFonts w:ascii="Arial" w:hAnsi="Arial" w:cs="Arial"/>
        </w:rPr>
        <w:t>imer</w:t>
      </w:r>
      <w:r w:rsidRPr="00900F8E">
        <w:rPr>
          <w:rFonts w:ascii="Arial" w:hAnsi="Arial" w:cs="Arial"/>
        </w:rPr>
        <w:t xml:space="preserve"> toplotna karta ter usposabljanja ključnih deležnikov.</w:t>
      </w:r>
    </w:p>
    <w:p w14:paraId="07DCA121" w14:textId="361E174D" w:rsidR="0094747E" w:rsidRPr="00900F8E" w:rsidRDefault="0094747E" w:rsidP="0094747E">
      <w:pPr>
        <w:rPr>
          <w:rFonts w:ascii="Arial" w:hAnsi="Arial" w:cs="Arial"/>
        </w:rPr>
      </w:pPr>
    </w:p>
    <w:p w14:paraId="6DBCD599" w14:textId="5CACDCB6" w:rsidR="0094747E" w:rsidRPr="00900F8E" w:rsidRDefault="0094747E" w:rsidP="0094747E">
      <w:pPr>
        <w:pStyle w:val="Naslov2"/>
        <w:rPr>
          <w:rFonts w:ascii="Arial" w:hAnsi="Arial" w:cs="Arial"/>
          <w:color w:val="auto"/>
        </w:rPr>
      </w:pPr>
      <w:bookmarkStart w:id="53" w:name="_Toc120166954"/>
      <w:r w:rsidRPr="00900F8E">
        <w:rPr>
          <w:rFonts w:ascii="Arial" w:hAnsi="Arial" w:cs="Arial"/>
          <w:color w:val="auto"/>
        </w:rPr>
        <w:t>6.7 LULUCF</w:t>
      </w:r>
      <w:r w:rsidR="00F817D5" w:rsidRPr="00900F8E">
        <w:rPr>
          <w:rFonts w:ascii="Arial" w:hAnsi="Arial" w:cs="Arial"/>
          <w:color w:val="auto"/>
        </w:rPr>
        <w:t xml:space="preserve"> – raba zemljišč, sprememba rabe zemljišč in gozdarstvo</w:t>
      </w:r>
      <w:bookmarkEnd w:id="53"/>
    </w:p>
    <w:p w14:paraId="4234D596" w14:textId="77777777" w:rsidR="0094747E" w:rsidRPr="00900F8E" w:rsidRDefault="0094747E" w:rsidP="0094747E">
      <w:pPr>
        <w:spacing w:after="0" w:line="240" w:lineRule="auto"/>
        <w:jc w:val="both"/>
        <w:rPr>
          <w:rFonts w:ascii="Arial" w:hAnsi="Arial" w:cs="Arial"/>
        </w:rPr>
      </w:pPr>
    </w:p>
    <w:p w14:paraId="4568BFD8" w14:textId="288539EB" w:rsidR="0094747E" w:rsidRPr="00900F8E" w:rsidRDefault="0094747E" w:rsidP="0094747E">
      <w:pPr>
        <w:spacing w:after="0" w:line="240" w:lineRule="auto"/>
        <w:jc w:val="both"/>
        <w:rPr>
          <w:rFonts w:ascii="Arial" w:hAnsi="Arial" w:cs="Arial"/>
        </w:rPr>
      </w:pPr>
      <w:r w:rsidRPr="00900F8E">
        <w:rPr>
          <w:rFonts w:ascii="Arial" w:hAnsi="Arial" w:cs="Arial"/>
        </w:rPr>
        <w:t xml:space="preserve">Nadgraditi je treba inventurni sistem za gozdni in negozdni prostor in obstoječe ukrepe za ureditev ključnih nerešenih vprašanj v sektorju LULUCF oziroma AFOLU. V postopku sprejemanja gozdnogospodarskih načrtov GGO z veljavnostjo 2021‒2030 je treba preveriti ustreznost ciljev. </w:t>
      </w:r>
      <w:r w:rsidR="000951A0" w:rsidRPr="000951A0">
        <w:rPr>
          <w:rFonts w:ascii="Arial" w:hAnsi="Arial" w:cs="Arial"/>
        </w:rPr>
        <w:t xml:space="preserve">V strateške načrte in programe Slovenije je </w:t>
      </w:r>
      <w:r w:rsidR="000951A0">
        <w:rPr>
          <w:rFonts w:ascii="Arial" w:hAnsi="Arial" w:cs="Arial"/>
        </w:rPr>
        <w:t>treba</w:t>
      </w:r>
      <w:r w:rsidR="000951A0" w:rsidRPr="000951A0">
        <w:rPr>
          <w:rFonts w:ascii="Arial" w:hAnsi="Arial" w:cs="Arial"/>
        </w:rPr>
        <w:t xml:space="preserve"> vključiti dodatne ukrepe, ki bodo prispevali k zmanjšanju emisij </w:t>
      </w:r>
      <w:r w:rsidR="000951A0">
        <w:rPr>
          <w:rFonts w:ascii="Arial" w:hAnsi="Arial" w:cs="Arial"/>
        </w:rPr>
        <w:t xml:space="preserve">TGP </w:t>
      </w:r>
      <w:r w:rsidR="000951A0" w:rsidRPr="000951A0">
        <w:rPr>
          <w:rFonts w:ascii="Arial" w:hAnsi="Arial" w:cs="Arial"/>
        </w:rPr>
        <w:t>in krepitvi ponorov na področju rabe kmetijskih zemljišč, gozdarstva in predelave lesa</w:t>
      </w:r>
      <w:r w:rsidR="005D4B5C">
        <w:rPr>
          <w:rFonts w:ascii="Arial" w:hAnsi="Arial" w:cs="Arial"/>
        </w:rPr>
        <w:t>,</w:t>
      </w:r>
      <w:r w:rsidR="000951A0">
        <w:rPr>
          <w:rFonts w:ascii="Arial" w:hAnsi="Arial" w:cs="Arial"/>
        </w:rPr>
        <w:t xml:space="preserve"> ter o</w:t>
      </w:r>
      <w:r w:rsidRPr="00900F8E">
        <w:rPr>
          <w:rFonts w:ascii="Arial" w:hAnsi="Arial" w:cs="Arial"/>
        </w:rPr>
        <w:t xml:space="preserve">blikovati in sprejeti </w:t>
      </w:r>
      <w:r w:rsidR="008B4176">
        <w:rPr>
          <w:rFonts w:ascii="Arial" w:hAnsi="Arial" w:cs="Arial"/>
        </w:rPr>
        <w:t>n</w:t>
      </w:r>
      <w:r w:rsidRPr="00900F8E">
        <w:rPr>
          <w:rFonts w:ascii="Arial" w:hAnsi="Arial" w:cs="Arial"/>
        </w:rPr>
        <w:t>acionalni akcijski načrt prilagajanja za področje LULUCF.</w:t>
      </w:r>
    </w:p>
    <w:p w14:paraId="5E94929D" w14:textId="1A0BBB6C" w:rsidR="0094747E" w:rsidRPr="00900F8E" w:rsidRDefault="0094747E" w:rsidP="0094747E">
      <w:pPr>
        <w:spacing w:after="0" w:line="240" w:lineRule="auto"/>
        <w:jc w:val="both"/>
        <w:rPr>
          <w:rFonts w:ascii="Arial" w:hAnsi="Arial" w:cs="Arial"/>
        </w:rPr>
      </w:pPr>
      <w:r w:rsidRPr="00900F8E">
        <w:rPr>
          <w:rFonts w:ascii="Arial" w:hAnsi="Arial" w:cs="Arial"/>
        </w:rPr>
        <w:t xml:space="preserve">Zagotoviti je treba stalnost financiranja za državne spodbude za lastnike gozdov za nego in varstvo gozdov </w:t>
      </w:r>
      <w:r w:rsidR="001618BC">
        <w:rPr>
          <w:rFonts w:ascii="Arial" w:hAnsi="Arial" w:cs="Arial"/>
        </w:rPr>
        <w:t>ter</w:t>
      </w:r>
      <w:r w:rsidR="001618BC" w:rsidRPr="00900F8E">
        <w:rPr>
          <w:rFonts w:ascii="Arial" w:hAnsi="Arial" w:cs="Arial"/>
        </w:rPr>
        <w:t xml:space="preserve"> </w:t>
      </w:r>
      <w:r w:rsidRPr="00900F8E">
        <w:rPr>
          <w:rFonts w:ascii="Arial" w:hAnsi="Arial" w:cs="Arial"/>
        </w:rPr>
        <w:t>stalnost izobraževanja in delavnic o trajnostnem gospodarjenju z gozdovi za lastnike gozdov.</w:t>
      </w:r>
    </w:p>
    <w:p w14:paraId="458EF8F2" w14:textId="18F12FFD" w:rsidR="0094747E" w:rsidRPr="00900F8E" w:rsidRDefault="0094747E" w:rsidP="0094747E">
      <w:pPr>
        <w:rPr>
          <w:rFonts w:ascii="Arial" w:hAnsi="Arial" w:cs="Arial"/>
        </w:rPr>
      </w:pPr>
    </w:p>
    <w:p w14:paraId="36E04C00" w14:textId="15C85C33" w:rsidR="0094747E" w:rsidRPr="00900F8E" w:rsidRDefault="0094747E" w:rsidP="00F15498">
      <w:pPr>
        <w:pStyle w:val="Naslov2"/>
        <w:spacing w:before="0"/>
        <w:rPr>
          <w:rFonts w:ascii="Arial" w:hAnsi="Arial" w:cs="Arial"/>
          <w:color w:val="auto"/>
        </w:rPr>
      </w:pPr>
      <w:bookmarkStart w:id="54" w:name="_Toc120166955"/>
      <w:r w:rsidRPr="00900F8E">
        <w:rPr>
          <w:rFonts w:ascii="Arial" w:hAnsi="Arial" w:cs="Arial"/>
          <w:color w:val="auto"/>
        </w:rPr>
        <w:t xml:space="preserve">6.8 </w:t>
      </w:r>
      <w:r w:rsidR="00F817D5" w:rsidRPr="00900F8E">
        <w:rPr>
          <w:rFonts w:ascii="Arial" w:hAnsi="Arial" w:cs="Arial"/>
          <w:color w:val="auto"/>
        </w:rPr>
        <w:t>Večsektorski ukrepi</w:t>
      </w:r>
      <w:bookmarkEnd w:id="54"/>
    </w:p>
    <w:p w14:paraId="61126AFB" w14:textId="77777777" w:rsidR="00F15498" w:rsidRPr="00900F8E" w:rsidRDefault="00F15498" w:rsidP="00F15498">
      <w:pPr>
        <w:spacing w:after="0"/>
        <w:rPr>
          <w:rFonts w:ascii="Arial" w:hAnsi="Arial" w:cs="Arial"/>
        </w:rPr>
      </w:pPr>
    </w:p>
    <w:p w14:paraId="070994BC" w14:textId="57F7B5A6" w:rsidR="00F817D5" w:rsidRPr="00900F8E" w:rsidRDefault="00F817D5" w:rsidP="00F706B4">
      <w:pPr>
        <w:spacing w:after="0"/>
        <w:jc w:val="both"/>
        <w:rPr>
          <w:rFonts w:ascii="Arial" w:hAnsi="Arial" w:cs="Arial"/>
        </w:rPr>
      </w:pPr>
      <w:r w:rsidRPr="00900F8E">
        <w:rPr>
          <w:rFonts w:ascii="Arial" w:hAnsi="Arial" w:cs="Arial"/>
        </w:rPr>
        <w:t xml:space="preserve">Čim hitreje je treba začeti izvajanje večsektorskih instrumentov za zmanjševanje emisij TGP ter povečevanje energetske učinkovitosti in rabe OVE v vseh sektorjih v skladu z </w:t>
      </w:r>
      <w:r w:rsidR="00DA4479">
        <w:rPr>
          <w:rFonts w:ascii="Arial" w:hAnsi="Arial" w:cs="Arial"/>
        </w:rPr>
        <w:t>n</w:t>
      </w:r>
      <w:r w:rsidRPr="00900F8E">
        <w:rPr>
          <w:rFonts w:ascii="Arial" w:hAnsi="Arial" w:cs="Arial"/>
        </w:rPr>
        <w:t xml:space="preserve">acionalnim energetskim podnebnim načrtom. Obstoječo shemo podpor za spodbujanje proizvodnje električne energije iz OVE in v SPTE z visokim izkoristkom je treba nadgraditi v skladu s smernicami iz NEPN ter okrepiti promocijo razpisov. Pripraviti je treba poglobljeno analizo ovir </w:t>
      </w:r>
      <w:r w:rsidR="00DA4479">
        <w:rPr>
          <w:rFonts w:ascii="Arial" w:hAnsi="Arial" w:cs="Arial"/>
        </w:rPr>
        <w:t>in</w:t>
      </w:r>
      <w:r w:rsidR="00DA4479" w:rsidRPr="00900F8E">
        <w:rPr>
          <w:rFonts w:ascii="Arial" w:hAnsi="Arial" w:cs="Arial"/>
        </w:rPr>
        <w:t xml:space="preserve"> </w:t>
      </w:r>
      <w:r w:rsidRPr="00900F8E">
        <w:rPr>
          <w:rFonts w:ascii="Arial" w:hAnsi="Arial" w:cs="Arial"/>
        </w:rPr>
        <w:t>zagotoviti, da so oprostitve plačila prispevka OVE in SPTE zgolj začasne. Izboljševati je treba izvedljivost prijavljenih projektov, odpraviti ovire za realizacijo izbranih projektov, zlasti glede problematike umeščanja naprav v prostor, podpreti investitorje pri pripravi prijav in dopolniti pravila pri pozivih za konkurenčen vstop naprav SPTE na lesno biomaso. Učinki podporne sheme se namreč kažejo kot nezadostni, posebej sta problematična minimalna realizacija novih proizvodnih naprav in zmanjševanje obsega proizvodnje električne energije iz OVE.</w:t>
      </w:r>
    </w:p>
    <w:p w14:paraId="159BB1A3" w14:textId="0E672D48" w:rsidR="00F817D5" w:rsidRDefault="00F817D5" w:rsidP="00F706B4">
      <w:pPr>
        <w:spacing w:after="0"/>
        <w:jc w:val="both"/>
        <w:rPr>
          <w:rFonts w:ascii="Arial" w:hAnsi="Arial" w:cs="Arial"/>
        </w:rPr>
      </w:pPr>
      <w:r w:rsidRPr="00900F8E">
        <w:rPr>
          <w:rFonts w:ascii="Arial" w:hAnsi="Arial" w:cs="Arial"/>
        </w:rPr>
        <w:t xml:space="preserve">Podporna shema za proizvodnjo električne energije iz OVE in v SPTE spodbuja ukrepe, ki so razpršeni, kar lahko pomembno prispeva k zaposlovanju ter skladnemu gospodarskemu in </w:t>
      </w:r>
      <w:r w:rsidRPr="00900F8E">
        <w:rPr>
          <w:rFonts w:ascii="Arial" w:hAnsi="Arial" w:cs="Arial"/>
        </w:rPr>
        <w:lastRenderedPageBreak/>
        <w:t xml:space="preserve">regionalnemu razvoju. S prenovo podporne sheme je treba preprečiti nastanek vrzeli pri spodbujanju ukrepov in tako zagotoviti </w:t>
      </w:r>
      <w:r w:rsidR="001518E9">
        <w:rPr>
          <w:rFonts w:ascii="Arial" w:hAnsi="Arial" w:cs="Arial"/>
        </w:rPr>
        <w:t>stalnost</w:t>
      </w:r>
      <w:r w:rsidR="001518E9" w:rsidRPr="00900F8E">
        <w:rPr>
          <w:rFonts w:ascii="Arial" w:hAnsi="Arial" w:cs="Arial"/>
        </w:rPr>
        <w:t xml:space="preserve"> </w:t>
      </w:r>
      <w:r w:rsidRPr="00900F8E">
        <w:rPr>
          <w:rFonts w:ascii="Arial" w:hAnsi="Arial" w:cs="Arial"/>
        </w:rPr>
        <w:t xml:space="preserve">nepovratnih sredstev. Za zagotavljanje stabilnega podpornega okolja je </w:t>
      </w:r>
      <w:r w:rsidR="001518E9">
        <w:rPr>
          <w:rFonts w:ascii="Arial" w:hAnsi="Arial" w:cs="Arial"/>
        </w:rPr>
        <w:t>treba</w:t>
      </w:r>
      <w:r w:rsidR="001518E9" w:rsidRPr="00900F8E">
        <w:rPr>
          <w:rFonts w:ascii="Arial" w:hAnsi="Arial" w:cs="Arial"/>
        </w:rPr>
        <w:t xml:space="preserve"> </w:t>
      </w:r>
      <w:r w:rsidRPr="00900F8E">
        <w:rPr>
          <w:rFonts w:ascii="Arial" w:hAnsi="Arial" w:cs="Arial"/>
        </w:rPr>
        <w:t>v okviru sheme zagotoviti napovedovanje razpisov vnaprej za obdobje enega do dveh let.</w:t>
      </w:r>
    </w:p>
    <w:p w14:paraId="42278B39" w14:textId="7D34B97F" w:rsidR="00F27A76" w:rsidRPr="00900F8E" w:rsidRDefault="00F27A76" w:rsidP="00F706B4">
      <w:pPr>
        <w:spacing w:after="0"/>
        <w:jc w:val="both"/>
        <w:rPr>
          <w:rFonts w:ascii="Arial" w:hAnsi="Arial" w:cs="Arial"/>
        </w:rPr>
      </w:pPr>
      <w:r>
        <w:rPr>
          <w:rFonts w:ascii="Arial" w:hAnsi="Arial" w:cs="Arial"/>
        </w:rPr>
        <w:t xml:space="preserve">Treba je okrepiti </w:t>
      </w:r>
      <w:r w:rsidR="00E07C48">
        <w:rPr>
          <w:rFonts w:ascii="Arial" w:hAnsi="Arial" w:cs="Arial"/>
        </w:rPr>
        <w:t>dejavnosti</w:t>
      </w:r>
      <w:r>
        <w:rPr>
          <w:rFonts w:ascii="Arial" w:hAnsi="Arial" w:cs="Arial"/>
        </w:rPr>
        <w:t>, ki bodo omogočile večjo energetsko samooskrbnost</w:t>
      </w:r>
      <w:r w:rsidRPr="00F27A76">
        <w:t xml:space="preserve"> </w:t>
      </w:r>
      <w:r w:rsidRPr="00F27A76">
        <w:rPr>
          <w:rFonts w:ascii="Arial" w:hAnsi="Arial" w:cs="Arial"/>
        </w:rPr>
        <w:t>ter zmanjšale izpostavljenost naraščanju in volatilnosti cen energentov.</w:t>
      </w:r>
      <w:r w:rsidRPr="00F27A76">
        <w:t xml:space="preserve"> </w:t>
      </w:r>
      <w:r w:rsidRPr="00F27A76">
        <w:rPr>
          <w:rFonts w:ascii="Arial" w:hAnsi="Arial" w:cs="Arial"/>
        </w:rPr>
        <w:t xml:space="preserve">Uvesti je </w:t>
      </w:r>
      <w:r w:rsidR="001518E9">
        <w:rPr>
          <w:rFonts w:ascii="Arial" w:hAnsi="Arial" w:cs="Arial"/>
        </w:rPr>
        <w:t>treba</w:t>
      </w:r>
      <w:r w:rsidR="001518E9" w:rsidRPr="00F27A76">
        <w:rPr>
          <w:rFonts w:ascii="Arial" w:hAnsi="Arial" w:cs="Arial"/>
        </w:rPr>
        <w:t xml:space="preserve"> </w:t>
      </w:r>
      <w:r w:rsidRPr="00F27A76">
        <w:rPr>
          <w:rFonts w:ascii="Arial" w:hAnsi="Arial" w:cs="Arial"/>
        </w:rPr>
        <w:t>učinkovite instrumente, ki bodo omogočali skrajšanje časa za izvedbo projektov OVE in izboljšanja energetske infrastrukture.</w:t>
      </w:r>
    </w:p>
    <w:p w14:paraId="10FA7CAE" w14:textId="77777777" w:rsidR="00F817D5" w:rsidRPr="00900F8E" w:rsidRDefault="00F817D5" w:rsidP="00F706B4">
      <w:pPr>
        <w:spacing w:after="0"/>
        <w:jc w:val="both"/>
        <w:rPr>
          <w:rFonts w:ascii="Arial" w:hAnsi="Arial" w:cs="Arial"/>
        </w:rPr>
      </w:pPr>
      <w:r w:rsidRPr="00900F8E">
        <w:rPr>
          <w:rFonts w:ascii="Arial" w:hAnsi="Arial" w:cs="Arial"/>
        </w:rPr>
        <w:t xml:space="preserve">Delovanje sheme obveznega doseganja prihrankov končne energije za zavezance je treba nadgraditi v skladu z Dolgoročno strategijo energetske prenove stavb do leta 2050. Predvidena sta bila zvišanje obveznosti za dobavitelje električne energije in zemeljskega plina na 1 % prodane energije letno.  </w:t>
      </w:r>
    </w:p>
    <w:p w14:paraId="748DD71B" w14:textId="40AF20EB" w:rsidR="00F817D5" w:rsidRDefault="00F817D5" w:rsidP="00F706B4">
      <w:pPr>
        <w:spacing w:after="0"/>
        <w:jc w:val="both"/>
        <w:rPr>
          <w:rFonts w:ascii="Arial" w:hAnsi="Arial" w:cs="Arial"/>
        </w:rPr>
      </w:pPr>
      <w:r w:rsidRPr="00900F8E">
        <w:rPr>
          <w:rFonts w:ascii="Arial" w:hAnsi="Arial" w:cs="Arial"/>
        </w:rPr>
        <w:t>Izboljšati je treba sistem spremljanja učinkov kreditov Eko sklada, tako da bodo na razpolago vsi potrebni podatki o doseženih učinkih po sektorjih in letih, ko so bile naložbe izvedene, kar je nujno za dokazovanje doseganja ciljev na področjih energetske učinkovitosti, izrabe OVE in emisij TGP.</w:t>
      </w:r>
    </w:p>
    <w:p w14:paraId="198EB628" w14:textId="77777777" w:rsidR="00026429" w:rsidRPr="00900F8E" w:rsidRDefault="00026429" w:rsidP="00F706B4">
      <w:pPr>
        <w:spacing w:after="0"/>
        <w:jc w:val="both"/>
        <w:rPr>
          <w:rFonts w:ascii="Arial" w:hAnsi="Arial" w:cs="Arial"/>
        </w:rPr>
      </w:pPr>
    </w:p>
    <w:p w14:paraId="77CAB720" w14:textId="63892F90" w:rsidR="0094747E" w:rsidRDefault="00F817D5" w:rsidP="00F706B4">
      <w:pPr>
        <w:spacing w:after="0"/>
        <w:jc w:val="both"/>
        <w:rPr>
          <w:rFonts w:ascii="Arial" w:hAnsi="Arial" w:cs="Arial"/>
        </w:rPr>
      </w:pPr>
      <w:r w:rsidRPr="00900F8E">
        <w:rPr>
          <w:rFonts w:ascii="Arial" w:hAnsi="Arial" w:cs="Arial"/>
        </w:rPr>
        <w:t>Pri pripravi Akcijskega programa za izvajanje Strategije prostorskega razvoja Slovenije je treba okrepiti vlogo prostorskega razvoja pri prehodu v nizkoogljično družbo.</w:t>
      </w:r>
    </w:p>
    <w:p w14:paraId="7B5BDA16" w14:textId="6816E82B" w:rsidR="00A90A6F" w:rsidRDefault="00A90A6F" w:rsidP="00A90A6F">
      <w:pPr>
        <w:spacing w:after="0"/>
        <w:jc w:val="both"/>
        <w:rPr>
          <w:rFonts w:ascii="Arial" w:hAnsi="Arial" w:cs="Arial"/>
        </w:rPr>
      </w:pPr>
      <w:r w:rsidRPr="00F73875">
        <w:rPr>
          <w:rFonts w:ascii="Arial" w:hAnsi="Arial" w:cs="Arial"/>
        </w:rPr>
        <w:t>Zakon o urejanju prostora (Uradni list RS, št. 199/21)</w:t>
      </w:r>
      <w:r w:rsidRPr="00F73875">
        <w:t xml:space="preserve"> </w:t>
      </w:r>
      <w:r>
        <w:rPr>
          <w:rFonts w:ascii="Arial" w:hAnsi="Arial" w:cs="Arial"/>
        </w:rPr>
        <w:t>me</w:t>
      </w:r>
      <w:r w:rsidRPr="00F73875">
        <w:rPr>
          <w:rFonts w:ascii="Arial" w:hAnsi="Arial" w:cs="Arial"/>
        </w:rPr>
        <w:t>d cilji urejanja prostora</w:t>
      </w:r>
      <w:r>
        <w:rPr>
          <w:rFonts w:ascii="Arial" w:hAnsi="Arial" w:cs="Arial"/>
        </w:rPr>
        <w:t xml:space="preserve"> navaja, da se</w:t>
      </w:r>
      <w:r w:rsidRPr="00F73875">
        <w:t xml:space="preserve"> </w:t>
      </w:r>
      <w:r>
        <w:rPr>
          <w:rFonts w:ascii="Arial" w:hAnsi="Arial" w:cs="Arial"/>
        </w:rPr>
        <w:t>pro</w:t>
      </w:r>
      <w:r w:rsidRPr="00F73875">
        <w:rPr>
          <w:rFonts w:ascii="Arial" w:hAnsi="Arial" w:cs="Arial"/>
        </w:rPr>
        <w:t xml:space="preserve">storske ureditve načrtujejo tako, da so odporne </w:t>
      </w:r>
      <w:r w:rsidR="00D7480E">
        <w:rPr>
          <w:rFonts w:ascii="Arial" w:hAnsi="Arial" w:cs="Arial"/>
        </w:rPr>
        <w:t>proti</w:t>
      </w:r>
      <w:r w:rsidR="00D7480E" w:rsidRPr="00F73875">
        <w:rPr>
          <w:rFonts w:ascii="Arial" w:hAnsi="Arial" w:cs="Arial"/>
        </w:rPr>
        <w:t xml:space="preserve"> </w:t>
      </w:r>
      <w:r w:rsidRPr="00F73875">
        <w:rPr>
          <w:rFonts w:ascii="Arial" w:hAnsi="Arial" w:cs="Arial"/>
        </w:rPr>
        <w:t>podnebn</w:t>
      </w:r>
      <w:r w:rsidR="00D7480E">
        <w:rPr>
          <w:rFonts w:ascii="Arial" w:hAnsi="Arial" w:cs="Arial"/>
        </w:rPr>
        <w:t>im</w:t>
      </w:r>
      <w:r w:rsidRPr="00F73875">
        <w:rPr>
          <w:rFonts w:ascii="Arial" w:hAnsi="Arial" w:cs="Arial"/>
        </w:rPr>
        <w:t xml:space="preserve"> sprememb</w:t>
      </w:r>
      <w:r w:rsidR="00D7480E">
        <w:rPr>
          <w:rFonts w:ascii="Arial" w:hAnsi="Arial" w:cs="Arial"/>
        </w:rPr>
        <w:t>am</w:t>
      </w:r>
      <w:r w:rsidRPr="00F73875">
        <w:rPr>
          <w:rFonts w:ascii="Arial" w:hAnsi="Arial" w:cs="Arial"/>
        </w:rPr>
        <w:t>, omogočajo blaženje podnebnih sprememb in zmanjševanje njihovih vplivov</w:t>
      </w:r>
      <w:r>
        <w:rPr>
          <w:rFonts w:ascii="Arial" w:hAnsi="Arial" w:cs="Arial"/>
        </w:rPr>
        <w:t>. P</w:t>
      </w:r>
      <w:r w:rsidRPr="00960A3A">
        <w:rPr>
          <w:rFonts w:ascii="Arial" w:hAnsi="Arial" w:cs="Arial"/>
        </w:rPr>
        <w:t>riporočljivo</w:t>
      </w:r>
      <w:r>
        <w:rPr>
          <w:rFonts w:ascii="Arial" w:hAnsi="Arial" w:cs="Arial"/>
        </w:rPr>
        <w:t xml:space="preserve"> je</w:t>
      </w:r>
      <w:r w:rsidRPr="00960A3A">
        <w:rPr>
          <w:rFonts w:ascii="Arial" w:hAnsi="Arial" w:cs="Arial"/>
        </w:rPr>
        <w:t>, da se</w:t>
      </w:r>
      <w:r>
        <w:rPr>
          <w:rFonts w:ascii="Arial" w:hAnsi="Arial" w:cs="Arial"/>
        </w:rPr>
        <w:t xml:space="preserve"> začne</w:t>
      </w:r>
      <w:r w:rsidRPr="00960A3A">
        <w:rPr>
          <w:rFonts w:ascii="Arial" w:hAnsi="Arial" w:cs="Arial"/>
        </w:rPr>
        <w:t xml:space="preserve"> </w:t>
      </w:r>
      <w:r w:rsidRPr="008876D6">
        <w:rPr>
          <w:rFonts w:ascii="Arial" w:hAnsi="Arial" w:cs="Arial"/>
        </w:rPr>
        <w:t>pospeševati urbanistično zgoščevanje, ki večplastno in multiplikativno vpliva na zmanjševanje</w:t>
      </w:r>
      <w:r>
        <w:rPr>
          <w:rFonts w:ascii="Arial" w:hAnsi="Arial" w:cs="Arial"/>
        </w:rPr>
        <w:t xml:space="preserve"> emisij toplogrednih plinov</w:t>
      </w:r>
      <w:r w:rsidRPr="008876D6">
        <w:rPr>
          <w:rFonts w:ascii="Arial" w:hAnsi="Arial" w:cs="Arial"/>
        </w:rPr>
        <w:t>.</w:t>
      </w:r>
      <w:r>
        <w:rPr>
          <w:rFonts w:ascii="Arial" w:hAnsi="Arial" w:cs="Arial"/>
        </w:rPr>
        <w:t xml:space="preserve"> I</w:t>
      </w:r>
      <w:r w:rsidRPr="00960A3A">
        <w:rPr>
          <w:rFonts w:ascii="Arial" w:hAnsi="Arial" w:cs="Arial"/>
        </w:rPr>
        <w:t>zvaja</w:t>
      </w:r>
      <w:r>
        <w:rPr>
          <w:rFonts w:ascii="Arial" w:hAnsi="Arial" w:cs="Arial"/>
        </w:rPr>
        <w:t>nje</w:t>
      </w:r>
      <w:r w:rsidRPr="00960A3A">
        <w:rPr>
          <w:rFonts w:ascii="Arial" w:hAnsi="Arial" w:cs="Arial"/>
        </w:rPr>
        <w:t xml:space="preserve"> koncept</w:t>
      </w:r>
      <w:r>
        <w:rPr>
          <w:rFonts w:ascii="Arial" w:hAnsi="Arial" w:cs="Arial"/>
        </w:rPr>
        <w:t>a</w:t>
      </w:r>
      <w:r w:rsidRPr="00960A3A">
        <w:rPr>
          <w:rFonts w:ascii="Arial" w:hAnsi="Arial" w:cs="Arial"/>
        </w:rPr>
        <w:t xml:space="preserve"> gosto naseljenih urbanih središč </w:t>
      </w:r>
      <w:r>
        <w:rPr>
          <w:rFonts w:ascii="Arial" w:hAnsi="Arial" w:cs="Arial"/>
        </w:rPr>
        <w:t>(</w:t>
      </w:r>
      <w:r w:rsidRPr="00960A3A">
        <w:rPr>
          <w:rFonts w:ascii="Arial" w:hAnsi="Arial" w:cs="Arial"/>
        </w:rPr>
        <w:t>15-minutna naselja</w:t>
      </w:r>
      <w:r>
        <w:rPr>
          <w:rFonts w:ascii="Arial" w:hAnsi="Arial" w:cs="Arial"/>
        </w:rPr>
        <w:t>)</w:t>
      </w:r>
      <w:r w:rsidRPr="00960A3A">
        <w:rPr>
          <w:rFonts w:ascii="Arial" w:hAnsi="Arial" w:cs="Arial"/>
        </w:rPr>
        <w:t xml:space="preserve"> </w:t>
      </w:r>
      <w:r>
        <w:rPr>
          <w:rFonts w:ascii="Arial" w:hAnsi="Arial" w:cs="Arial"/>
        </w:rPr>
        <w:t>bi</w:t>
      </w:r>
      <w:r w:rsidRPr="00960A3A">
        <w:rPr>
          <w:rFonts w:ascii="Arial" w:hAnsi="Arial" w:cs="Arial"/>
        </w:rPr>
        <w:t xml:space="preserve"> omogoč</w:t>
      </w:r>
      <w:r>
        <w:rPr>
          <w:rFonts w:ascii="Arial" w:hAnsi="Arial" w:cs="Arial"/>
        </w:rPr>
        <w:t>ilo</w:t>
      </w:r>
      <w:r w:rsidRPr="00960A3A">
        <w:rPr>
          <w:rFonts w:ascii="Arial" w:hAnsi="Arial" w:cs="Arial"/>
        </w:rPr>
        <w:t xml:space="preserve"> dolgoročn</w:t>
      </w:r>
      <w:r>
        <w:rPr>
          <w:rFonts w:ascii="Arial" w:hAnsi="Arial" w:cs="Arial"/>
        </w:rPr>
        <w:t>o</w:t>
      </w:r>
      <w:r w:rsidRPr="00960A3A">
        <w:rPr>
          <w:rFonts w:ascii="Arial" w:hAnsi="Arial" w:cs="Arial"/>
        </w:rPr>
        <w:t xml:space="preserve"> trajnostnost, saj bližina delovnih mest in osnovnih storitev (trgovine, bolni</w:t>
      </w:r>
      <w:r w:rsidR="0066694F">
        <w:rPr>
          <w:rFonts w:ascii="Arial" w:hAnsi="Arial" w:cs="Arial"/>
        </w:rPr>
        <w:t>šni</w:t>
      </w:r>
      <w:r w:rsidRPr="00960A3A">
        <w:rPr>
          <w:rFonts w:ascii="Arial" w:hAnsi="Arial" w:cs="Arial"/>
        </w:rPr>
        <w:t xml:space="preserve">ce, šole, vrtci in </w:t>
      </w:r>
      <w:r w:rsidR="00B76C8D">
        <w:rPr>
          <w:rFonts w:ascii="Arial" w:hAnsi="Arial" w:cs="Arial"/>
        </w:rPr>
        <w:t>druge</w:t>
      </w:r>
      <w:r w:rsidR="00B76C8D" w:rsidRPr="00960A3A">
        <w:rPr>
          <w:rFonts w:ascii="Arial" w:hAnsi="Arial" w:cs="Arial"/>
        </w:rPr>
        <w:t xml:space="preserve"> </w:t>
      </w:r>
      <w:r w:rsidRPr="00960A3A">
        <w:rPr>
          <w:rFonts w:ascii="Arial" w:hAnsi="Arial" w:cs="Arial"/>
        </w:rPr>
        <w:t>storitve) zmanjšajo ali povsem izničijo potrebo po avtomobilskem prevozu.</w:t>
      </w:r>
      <w:r>
        <w:rPr>
          <w:rFonts w:ascii="Arial" w:hAnsi="Arial" w:cs="Arial"/>
        </w:rPr>
        <w:t xml:space="preserve"> Večja naselja omogočajo, da je </w:t>
      </w:r>
      <w:r w:rsidRPr="00960A3A">
        <w:rPr>
          <w:rFonts w:ascii="Arial" w:hAnsi="Arial" w:cs="Arial"/>
        </w:rPr>
        <w:t>lokal</w:t>
      </w:r>
      <w:r w:rsidR="002D2242">
        <w:rPr>
          <w:rFonts w:ascii="Arial" w:hAnsi="Arial" w:cs="Arial"/>
        </w:rPr>
        <w:t>ni</w:t>
      </w:r>
      <w:r w:rsidRPr="00960A3A">
        <w:rPr>
          <w:rFonts w:ascii="Arial" w:hAnsi="Arial" w:cs="Arial"/>
        </w:rPr>
        <w:t xml:space="preserve"> jav</w:t>
      </w:r>
      <w:r w:rsidR="00890565">
        <w:rPr>
          <w:rFonts w:ascii="Arial" w:hAnsi="Arial" w:cs="Arial"/>
        </w:rPr>
        <w:t>ni</w:t>
      </w:r>
      <w:r w:rsidRPr="00960A3A">
        <w:rPr>
          <w:rFonts w:ascii="Arial" w:hAnsi="Arial" w:cs="Arial"/>
        </w:rPr>
        <w:t xml:space="preserve"> prevoz </w:t>
      </w:r>
      <w:r>
        <w:rPr>
          <w:rFonts w:ascii="Arial" w:hAnsi="Arial" w:cs="Arial"/>
        </w:rPr>
        <w:t xml:space="preserve">bolj </w:t>
      </w:r>
      <w:r w:rsidRPr="00960A3A">
        <w:rPr>
          <w:rFonts w:ascii="Arial" w:hAnsi="Arial" w:cs="Arial"/>
        </w:rPr>
        <w:t>funkcionalen in ekonomsko vzdržen</w:t>
      </w:r>
      <w:r>
        <w:rPr>
          <w:rFonts w:ascii="Arial" w:hAnsi="Arial" w:cs="Arial"/>
        </w:rPr>
        <w:t>, prav tako je učinkovitejše</w:t>
      </w:r>
      <w:r w:rsidRPr="00960A3A">
        <w:rPr>
          <w:rFonts w:ascii="Arial" w:hAnsi="Arial" w:cs="Arial"/>
        </w:rPr>
        <w:t xml:space="preserve"> krožno gospodarstvo, ki temelji na podlagi zbiranja in recikliranja odpadkov</w:t>
      </w:r>
      <w:r>
        <w:rPr>
          <w:rFonts w:ascii="Arial" w:hAnsi="Arial" w:cs="Arial"/>
        </w:rPr>
        <w:t xml:space="preserve"> ter vzdrževanje </w:t>
      </w:r>
      <w:r w:rsidRPr="00960A3A">
        <w:rPr>
          <w:rFonts w:ascii="Arial" w:hAnsi="Arial" w:cs="Arial"/>
        </w:rPr>
        <w:t>potrebn</w:t>
      </w:r>
      <w:r>
        <w:rPr>
          <w:rFonts w:ascii="Arial" w:hAnsi="Arial" w:cs="Arial"/>
        </w:rPr>
        <w:t>e</w:t>
      </w:r>
      <w:r w:rsidRPr="00960A3A">
        <w:rPr>
          <w:rFonts w:ascii="Arial" w:hAnsi="Arial" w:cs="Arial"/>
        </w:rPr>
        <w:t xml:space="preserve"> infrastruktur</w:t>
      </w:r>
      <w:r>
        <w:rPr>
          <w:rFonts w:ascii="Arial" w:hAnsi="Arial" w:cs="Arial"/>
        </w:rPr>
        <w:t>e</w:t>
      </w:r>
      <w:r w:rsidRPr="00960A3A">
        <w:rPr>
          <w:rFonts w:ascii="Arial" w:hAnsi="Arial" w:cs="Arial"/>
        </w:rPr>
        <w:t xml:space="preserve"> (ceste, kanalizacija, plinovodi, vodovodi, elektrika i</w:t>
      </w:r>
      <w:r w:rsidR="00D7480E">
        <w:rPr>
          <w:rFonts w:ascii="Arial" w:hAnsi="Arial" w:cs="Arial"/>
        </w:rPr>
        <w:t>p</w:t>
      </w:r>
      <w:r w:rsidRPr="00960A3A">
        <w:rPr>
          <w:rFonts w:ascii="Arial" w:hAnsi="Arial" w:cs="Arial"/>
        </w:rPr>
        <w:t>d.)</w:t>
      </w:r>
      <w:r>
        <w:rPr>
          <w:rFonts w:ascii="Arial" w:hAnsi="Arial" w:cs="Arial"/>
        </w:rPr>
        <w:t>.</w:t>
      </w:r>
      <w:r w:rsidRPr="00960A3A">
        <w:rPr>
          <w:rFonts w:ascii="Arial" w:hAnsi="Arial" w:cs="Arial"/>
        </w:rPr>
        <w:t xml:space="preserve"> </w:t>
      </w:r>
    </w:p>
    <w:p w14:paraId="24A2246B" w14:textId="77777777" w:rsidR="00A90A6F" w:rsidRPr="00900F8E" w:rsidRDefault="00A90A6F" w:rsidP="00F706B4">
      <w:pPr>
        <w:spacing w:after="0"/>
        <w:jc w:val="both"/>
        <w:rPr>
          <w:rFonts w:ascii="Arial" w:hAnsi="Arial" w:cs="Arial"/>
        </w:rPr>
      </w:pPr>
    </w:p>
    <w:p w14:paraId="411F3863" w14:textId="77777777" w:rsidR="00E32F6D" w:rsidRPr="00900F8E" w:rsidRDefault="00E32F6D" w:rsidP="00F706B4">
      <w:pPr>
        <w:spacing w:after="0" w:line="240" w:lineRule="auto"/>
        <w:jc w:val="both"/>
        <w:rPr>
          <w:rFonts w:ascii="Arial" w:hAnsi="Arial" w:cs="Arial"/>
        </w:rPr>
      </w:pPr>
      <w:r w:rsidRPr="00900F8E">
        <w:rPr>
          <w:rFonts w:ascii="Arial" w:hAnsi="Arial" w:cs="Arial"/>
        </w:rPr>
        <w:t>Informacije o sprejeti zakonodaji na področju energijskega označevanja okoljsko primerne zasnove proizvodov niso strnjeno povzete, zato bi bilo treba v okviru Portala Energetika tak pregled pripraviti, ga redno osveževati in ob večjih spremembah zagotoviti ustrezno informiranje in izobraževanje zavezancev.</w:t>
      </w:r>
    </w:p>
    <w:p w14:paraId="0BEA2341" w14:textId="2A8A43DD" w:rsidR="00F15498" w:rsidRDefault="00F15498" w:rsidP="003D4116">
      <w:pPr>
        <w:spacing w:after="0"/>
        <w:rPr>
          <w:rFonts w:ascii="Arial" w:hAnsi="Arial" w:cs="Arial"/>
        </w:rPr>
      </w:pPr>
    </w:p>
    <w:p w14:paraId="155A37E6" w14:textId="77777777" w:rsidR="00E32F6D" w:rsidRPr="00900F8E" w:rsidRDefault="00E32F6D" w:rsidP="003D4116">
      <w:pPr>
        <w:spacing w:after="0"/>
        <w:rPr>
          <w:rFonts w:ascii="Arial" w:hAnsi="Arial" w:cs="Arial"/>
        </w:rPr>
      </w:pPr>
    </w:p>
    <w:p w14:paraId="5AA93FD0" w14:textId="7EAEE6B2" w:rsidR="0094747E" w:rsidRPr="00900F8E" w:rsidRDefault="0094747E" w:rsidP="003D4116">
      <w:pPr>
        <w:pStyle w:val="Naslov2"/>
        <w:spacing w:before="0"/>
        <w:rPr>
          <w:rFonts w:ascii="Arial" w:hAnsi="Arial" w:cs="Arial"/>
          <w:color w:val="auto"/>
        </w:rPr>
      </w:pPr>
      <w:bookmarkStart w:id="55" w:name="_Toc120166956"/>
      <w:r w:rsidRPr="00900F8E">
        <w:rPr>
          <w:rFonts w:ascii="Arial" w:hAnsi="Arial" w:cs="Arial"/>
          <w:color w:val="auto"/>
        </w:rPr>
        <w:t xml:space="preserve">6.9 </w:t>
      </w:r>
      <w:r w:rsidR="00F15498" w:rsidRPr="00900F8E">
        <w:rPr>
          <w:rFonts w:ascii="Arial" w:hAnsi="Arial" w:cs="Arial"/>
          <w:color w:val="auto"/>
        </w:rPr>
        <w:t>Izobraževanje, usposabljanje, informiranje, ozaveščanje</w:t>
      </w:r>
      <w:bookmarkEnd w:id="55"/>
    </w:p>
    <w:p w14:paraId="2C70DD5C" w14:textId="77777777" w:rsidR="00F15498" w:rsidRPr="00900F8E" w:rsidRDefault="00F15498" w:rsidP="00F15498">
      <w:pPr>
        <w:spacing w:after="0" w:line="240" w:lineRule="auto"/>
        <w:jc w:val="both"/>
        <w:rPr>
          <w:rFonts w:ascii="Arial" w:hAnsi="Arial" w:cs="Arial"/>
        </w:rPr>
      </w:pPr>
    </w:p>
    <w:p w14:paraId="62594F1B" w14:textId="51D5B793" w:rsidR="00F15498" w:rsidRPr="00900F8E" w:rsidRDefault="00F15498" w:rsidP="00E36290">
      <w:pPr>
        <w:spacing w:after="0" w:line="240" w:lineRule="auto"/>
        <w:jc w:val="both"/>
        <w:rPr>
          <w:rFonts w:ascii="Arial" w:hAnsi="Arial" w:cs="Arial"/>
        </w:rPr>
      </w:pPr>
      <w:r w:rsidRPr="00900F8E">
        <w:rPr>
          <w:rFonts w:ascii="Arial" w:hAnsi="Arial" w:cs="Arial"/>
        </w:rPr>
        <w:t>Vzpostaviti je treba enotno metodologijo ocenjevanja učinkov usposabljanj ter informiranje in ozaveščanje</w:t>
      </w:r>
      <w:r w:rsidR="00862670">
        <w:rPr>
          <w:rFonts w:ascii="Arial" w:hAnsi="Arial" w:cs="Arial"/>
        </w:rPr>
        <w:t xml:space="preserve"> javnosti o tematikah prehoda v podnebno nevtralnost</w:t>
      </w:r>
      <w:r w:rsidRPr="00900F8E">
        <w:rPr>
          <w:rFonts w:ascii="Arial" w:hAnsi="Arial" w:cs="Arial"/>
        </w:rPr>
        <w:t xml:space="preserve"> usmeriti bolj ciljno v ukrepe, ki se slabo oziroma ne izvajajo</w:t>
      </w:r>
      <w:r w:rsidR="00632A3D">
        <w:rPr>
          <w:rFonts w:ascii="Arial" w:hAnsi="Arial" w:cs="Arial"/>
        </w:rPr>
        <w:t xml:space="preserve"> ter </w:t>
      </w:r>
      <w:r w:rsidR="00632A3D" w:rsidRPr="00632A3D">
        <w:rPr>
          <w:rFonts w:ascii="Arial" w:hAnsi="Arial" w:cs="Arial"/>
        </w:rPr>
        <w:t>okrepiti informiranje ciljnih skupin, ki so slabo informirane</w:t>
      </w:r>
      <w:r w:rsidRPr="00900F8E">
        <w:rPr>
          <w:rFonts w:ascii="Arial" w:hAnsi="Arial" w:cs="Arial"/>
        </w:rPr>
        <w:t>. Ohrani</w:t>
      </w:r>
      <w:r w:rsidR="006257F7">
        <w:rPr>
          <w:rFonts w:ascii="Arial" w:hAnsi="Arial" w:cs="Arial"/>
        </w:rPr>
        <w:t>ti</w:t>
      </w:r>
      <w:r w:rsidRPr="00900F8E">
        <w:rPr>
          <w:rFonts w:ascii="Arial" w:hAnsi="Arial" w:cs="Arial"/>
        </w:rPr>
        <w:t xml:space="preserve"> je treba </w:t>
      </w:r>
      <w:r w:rsidR="008F11A0">
        <w:rPr>
          <w:rFonts w:ascii="Arial" w:hAnsi="Arial" w:cs="Arial"/>
        </w:rPr>
        <w:t>stalnost</w:t>
      </w:r>
      <w:r w:rsidR="008F11A0" w:rsidRPr="00900F8E">
        <w:rPr>
          <w:rFonts w:ascii="Arial" w:hAnsi="Arial" w:cs="Arial"/>
        </w:rPr>
        <w:t xml:space="preserve"> </w:t>
      </w:r>
      <w:r w:rsidRPr="00900F8E">
        <w:rPr>
          <w:rFonts w:ascii="Arial" w:hAnsi="Arial" w:cs="Arial"/>
        </w:rPr>
        <w:t>ozaveščevalnih akcij in med seboj povezati deležnike, ki lahko smiselno sodelujejo v projektih.</w:t>
      </w:r>
    </w:p>
    <w:sectPr w:rsidR="00F15498" w:rsidRPr="00900F8E" w:rsidSect="00F025C0">
      <w:foot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BD8E" w14:textId="77777777" w:rsidR="009A432B" w:rsidRDefault="009A432B" w:rsidP="00F025C0">
      <w:pPr>
        <w:spacing w:after="0" w:line="240" w:lineRule="auto"/>
      </w:pPr>
      <w:r>
        <w:separator/>
      </w:r>
    </w:p>
  </w:endnote>
  <w:endnote w:type="continuationSeparator" w:id="0">
    <w:p w14:paraId="0EC6A12F" w14:textId="77777777" w:rsidR="009A432B" w:rsidRDefault="009A432B" w:rsidP="00F0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935241"/>
      <w:docPartObj>
        <w:docPartGallery w:val="Page Numbers (Bottom of Page)"/>
        <w:docPartUnique/>
      </w:docPartObj>
    </w:sdtPr>
    <w:sdtEndPr>
      <w:rPr>
        <w:noProof/>
      </w:rPr>
    </w:sdtEndPr>
    <w:sdtContent>
      <w:p w14:paraId="682EAFDD" w14:textId="77777777" w:rsidR="006A7E0F" w:rsidRDefault="006A7E0F">
        <w:pPr>
          <w:pStyle w:val="Noga"/>
          <w:jc w:val="right"/>
        </w:pPr>
        <w:r>
          <w:fldChar w:fldCharType="begin"/>
        </w:r>
        <w:r>
          <w:instrText xml:space="preserve"> PAGE   \* MERGEFORMAT </w:instrText>
        </w:r>
        <w:r>
          <w:fldChar w:fldCharType="separate"/>
        </w:r>
        <w:r w:rsidR="00D55E37">
          <w:rPr>
            <w:noProof/>
          </w:rPr>
          <w:t>56</w:t>
        </w:r>
        <w:r>
          <w:rPr>
            <w:noProof/>
          </w:rPr>
          <w:fldChar w:fldCharType="end"/>
        </w:r>
      </w:p>
    </w:sdtContent>
  </w:sdt>
  <w:p w14:paraId="621D9636" w14:textId="77777777" w:rsidR="006A7E0F" w:rsidRDefault="006A7E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9320" w14:textId="77777777" w:rsidR="009A432B" w:rsidRDefault="009A432B" w:rsidP="00F025C0">
      <w:pPr>
        <w:spacing w:after="0" w:line="240" w:lineRule="auto"/>
      </w:pPr>
      <w:r>
        <w:separator/>
      </w:r>
    </w:p>
  </w:footnote>
  <w:footnote w:type="continuationSeparator" w:id="0">
    <w:p w14:paraId="5AF85E01" w14:textId="77777777" w:rsidR="009A432B" w:rsidRDefault="009A432B" w:rsidP="00F025C0">
      <w:pPr>
        <w:spacing w:after="0" w:line="240" w:lineRule="auto"/>
      </w:pPr>
      <w:r>
        <w:continuationSeparator/>
      </w:r>
    </w:p>
  </w:footnote>
  <w:footnote w:id="1">
    <w:p w14:paraId="728DFA19" w14:textId="4CAA049B" w:rsidR="006A7E0F" w:rsidRPr="00900F8E" w:rsidRDefault="006A7E0F">
      <w:pPr>
        <w:pStyle w:val="Sprotnaopomba-besedilo"/>
        <w:rPr>
          <w:rFonts w:ascii="Arial" w:hAnsi="Arial" w:cs="Arial"/>
        </w:rPr>
      </w:pPr>
      <w:r w:rsidRPr="00900F8E">
        <w:rPr>
          <w:rStyle w:val="Sprotnaopomba-sklic"/>
          <w:rFonts w:ascii="Arial" w:hAnsi="Arial" w:cs="Arial"/>
        </w:rPr>
        <w:footnoteRef/>
      </w:r>
      <w:r w:rsidRPr="00900F8E">
        <w:rPr>
          <w:rFonts w:ascii="Arial" w:hAnsi="Arial" w:cs="Arial"/>
        </w:rPr>
        <w:t xml:space="preserve"> </w:t>
      </w:r>
      <w:r w:rsidRPr="00900F8E">
        <w:rPr>
          <w:rFonts w:ascii="Arial" w:hAnsi="Arial" w:cs="Arial"/>
          <w:sz w:val="16"/>
          <w:szCs w:val="16"/>
        </w:rPr>
        <w:t>Podrobnejše informacije o vsebini, ki je predstavljena v Petem poročilu o izvajanju Operativnega programa ukrepov zmanjšanja emisij toplogrednih plinov do leta 2020, so dostopne v zvezkih Podnebnega ogledala 2021 in Podnebnega ogledala 2022:</w:t>
      </w:r>
      <w:r w:rsidRPr="00900F8E">
        <w:rPr>
          <w:rFonts w:ascii="Arial" w:hAnsi="Arial" w:cs="Arial"/>
        </w:rPr>
        <w:t xml:space="preserve"> </w:t>
      </w:r>
      <w:r w:rsidRPr="00900F8E">
        <w:rPr>
          <w:rFonts w:ascii="Arial" w:hAnsi="Arial" w:cs="Arial"/>
          <w:sz w:val="16"/>
          <w:szCs w:val="16"/>
        </w:rPr>
        <w:t>https://podnebnapot2050.si/rezultati-slovenije/letno-podnebno-ogledalo/</w:t>
      </w:r>
      <w:r>
        <w:rPr>
          <w:rFonts w:ascii="Arial" w:hAnsi="Arial" w:cs="Arial"/>
          <w:sz w:val="16"/>
          <w:szCs w:val="16"/>
        </w:rPr>
        <w:t>.</w:t>
      </w:r>
    </w:p>
  </w:footnote>
  <w:footnote w:id="2">
    <w:p w14:paraId="6669466F" w14:textId="2A498851" w:rsidR="006A7E0F" w:rsidRPr="00900F8E" w:rsidRDefault="006A7E0F">
      <w:pPr>
        <w:pStyle w:val="Sprotnaopomba-besedilo"/>
        <w:rPr>
          <w:rFonts w:ascii="Arial" w:hAnsi="Arial" w:cs="Arial"/>
        </w:rPr>
      </w:pPr>
      <w:r w:rsidRPr="00900F8E">
        <w:rPr>
          <w:rStyle w:val="Sprotnaopomba-sklic"/>
          <w:rFonts w:ascii="Arial" w:hAnsi="Arial" w:cs="Arial"/>
        </w:rPr>
        <w:footnoteRef/>
      </w:r>
      <w:r w:rsidRPr="00900F8E">
        <w:rPr>
          <w:rFonts w:ascii="Arial" w:hAnsi="Arial" w:cs="Arial"/>
        </w:rPr>
        <w:t xml:space="preserve"> </w:t>
      </w:r>
      <w:r w:rsidRPr="00900F8E">
        <w:rPr>
          <w:rFonts w:ascii="Arial" w:hAnsi="Arial" w:cs="Arial"/>
          <w:sz w:val="16"/>
          <w:szCs w:val="16"/>
        </w:rPr>
        <w:t xml:space="preserve">LIFE Podnebna pot 2050, Slovenska podnebna pot do sredine stoletja (LIFE </w:t>
      </w:r>
      <w:proofErr w:type="spellStart"/>
      <w:r w:rsidRPr="00900F8E">
        <w:rPr>
          <w:rFonts w:ascii="Arial" w:hAnsi="Arial" w:cs="Arial"/>
          <w:sz w:val="16"/>
          <w:szCs w:val="16"/>
        </w:rPr>
        <w:t>ClimatePath</w:t>
      </w:r>
      <w:proofErr w:type="spellEnd"/>
      <w:r w:rsidRPr="00900F8E">
        <w:rPr>
          <w:rFonts w:ascii="Arial" w:hAnsi="Arial" w:cs="Arial"/>
          <w:sz w:val="16"/>
          <w:szCs w:val="16"/>
        </w:rPr>
        <w:t xml:space="preserve"> 2050 »</w:t>
      </w:r>
      <w:proofErr w:type="spellStart"/>
      <w:r w:rsidRPr="00900F8E">
        <w:rPr>
          <w:rFonts w:ascii="Arial" w:hAnsi="Arial" w:cs="Arial"/>
          <w:sz w:val="16"/>
          <w:szCs w:val="16"/>
        </w:rPr>
        <w:t>Slovenian</w:t>
      </w:r>
      <w:proofErr w:type="spellEnd"/>
      <w:r w:rsidRPr="00900F8E">
        <w:rPr>
          <w:rFonts w:ascii="Arial" w:hAnsi="Arial" w:cs="Arial"/>
          <w:sz w:val="16"/>
          <w:szCs w:val="16"/>
        </w:rPr>
        <w:t xml:space="preserve"> </w:t>
      </w:r>
      <w:proofErr w:type="spellStart"/>
      <w:r w:rsidRPr="00900F8E">
        <w:rPr>
          <w:rFonts w:ascii="Arial" w:hAnsi="Arial" w:cs="Arial"/>
          <w:sz w:val="16"/>
          <w:szCs w:val="16"/>
        </w:rPr>
        <w:t>Path</w:t>
      </w:r>
      <w:proofErr w:type="spellEnd"/>
      <w:r w:rsidRPr="00900F8E">
        <w:rPr>
          <w:rFonts w:ascii="Arial" w:hAnsi="Arial" w:cs="Arial"/>
          <w:sz w:val="16"/>
          <w:szCs w:val="16"/>
        </w:rPr>
        <w:t xml:space="preserve"> </w:t>
      </w:r>
      <w:proofErr w:type="spellStart"/>
      <w:r w:rsidRPr="00900F8E">
        <w:rPr>
          <w:rFonts w:ascii="Arial" w:hAnsi="Arial" w:cs="Arial"/>
          <w:sz w:val="16"/>
          <w:szCs w:val="16"/>
        </w:rPr>
        <w:t>Towards</w:t>
      </w:r>
      <w:proofErr w:type="spellEnd"/>
      <w:r w:rsidRPr="00900F8E">
        <w:rPr>
          <w:rFonts w:ascii="Arial" w:hAnsi="Arial" w:cs="Arial"/>
          <w:sz w:val="16"/>
          <w:szCs w:val="16"/>
        </w:rPr>
        <w:t xml:space="preserve"> the </w:t>
      </w:r>
      <w:proofErr w:type="spellStart"/>
      <w:r w:rsidRPr="00900F8E">
        <w:rPr>
          <w:rFonts w:ascii="Arial" w:hAnsi="Arial" w:cs="Arial"/>
          <w:sz w:val="16"/>
          <w:szCs w:val="16"/>
        </w:rPr>
        <w:t>Mid</w:t>
      </w:r>
      <w:r>
        <w:rPr>
          <w:rFonts w:ascii="Arial" w:hAnsi="Arial" w:cs="Arial"/>
          <w:sz w:val="16"/>
          <w:szCs w:val="16"/>
        </w:rPr>
        <w:t>-</w:t>
      </w:r>
      <w:r w:rsidRPr="00900F8E">
        <w:rPr>
          <w:rFonts w:ascii="Arial" w:hAnsi="Arial" w:cs="Arial"/>
          <w:sz w:val="16"/>
          <w:szCs w:val="16"/>
        </w:rPr>
        <w:t>Century</w:t>
      </w:r>
      <w:proofErr w:type="spellEnd"/>
      <w:r w:rsidRPr="00900F8E">
        <w:rPr>
          <w:rFonts w:ascii="Arial" w:hAnsi="Arial" w:cs="Arial"/>
          <w:sz w:val="16"/>
          <w:szCs w:val="16"/>
        </w:rPr>
        <w:t xml:space="preserve"> Climate </w:t>
      </w:r>
      <w:proofErr w:type="spellStart"/>
      <w:r w:rsidRPr="00900F8E">
        <w:rPr>
          <w:rFonts w:ascii="Arial" w:hAnsi="Arial" w:cs="Arial"/>
          <w:sz w:val="16"/>
          <w:szCs w:val="16"/>
        </w:rPr>
        <w:t>Target</w:t>
      </w:r>
      <w:proofErr w:type="spellEnd"/>
      <w:r w:rsidRPr="00900F8E">
        <w:rPr>
          <w:rFonts w:ascii="Arial" w:hAnsi="Arial" w:cs="Arial"/>
          <w:sz w:val="16"/>
          <w:szCs w:val="16"/>
        </w:rPr>
        <w:t xml:space="preserve">«, LIFE 16 GIC/SI/000043). </w:t>
      </w:r>
      <w:r w:rsidRPr="00900F8E">
        <w:rPr>
          <w:rFonts w:ascii="Arial" w:hAnsi="Arial" w:cs="Arial"/>
        </w:rPr>
        <w:t xml:space="preserve"> </w:t>
      </w:r>
    </w:p>
  </w:footnote>
  <w:footnote w:id="3">
    <w:p w14:paraId="51CFA2A8" w14:textId="1AB4F7B8" w:rsidR="006A7E0F" w:rsidRPr="00900F8E" w:rsidRDefault="006A7E0F">
      <w:pPr>
        <w:pStyle w:val="Sprotnaopomba-besedilo"/>
        <w:rPr>
          <w:rFonts w:ascii="Arial" w:hAnsi="Arial" w:cs="Arial"/>
        </w:rPr>
      </w:pPr>
      <w:r w:rsidRPr="00900F8E">
        <w:rPr>
          <w:rStyle w:val="Sprotnaopomba-sklic"/>
          <w:rFonts w:ascii="Arial" w:hAnsi="Arial" w:cs="Arial"/>
        </w:rPr>
        <w:footnoteRef/>
      </w:r>
      <w:r w:rsidRPr="00900F8E">
        <w:rPr>
          <w:rFonts w:ascii="Arial" w:hAnsi="Arial" w:cs="Arial"/>
        </w:rPr>
        <w:t xml:space="preserve"> </w:t>
      </w:r>
      <w:r w:rsidRPr="00900F8E">
        <w:rPr>
          <w:rFonts w:ascii="Arial" w:hAnsi="Arial" w:cs="Arial"/>
          <w:sz w:val="16"/>
          <w:szCs w:val="16"/>
        </w:rPr>
        <w:t xml:space="preserve">Odločba 406/2009/ES Evropskega parlamenta in </w:t>
      </w:r>
      <w:r>
        <w:rPr>
          <w:rFonts w:ascii="Arial" w:hAnsi="Arial" w:cs="Arial"/>
          <w:sz w:val="16"/>
          <w:szCs w:val="16"/>
        </w:rPr>
        <w:t>S</w:t>
      </w:r>
      <w:r w:rsidRPr="00900F8E">
        <w:rPr>
          <w:rFonts w:ascii="Arial" w:hAnsi="Arial" w:cs="Arial"/>
          <w:sz w:val="16"/>
          <w:szCs w:val="16"/>
        </w:rPr>
        <w:t>veta z dne 23. aprila 2009 o prizadevanju držav članic za zmanjšanje emisij toplogrednih plinov, da do leta 2020 izpolnijo zavezo Skupnosti za zmanjšanje emisij toplogrednih plinov (UL L št. 140 z dne 5. 6. 2009, str</w:t>
      </w:r>
      <w:r>
        <w:rPr>
          <w:rFonts w:ascii="Arial" w:hAnsi="Arial" w:cs="Arial"/>
          <w:sz w:val="16"/>
          <w:szCs w:val="16"/>
        </w:rPr>
        <w:t>.</w:t>
      </w:r>
      <w:r w:rsidRPr="00900F8E">
        <w:rPr>
          <w:rFonts w:ascii="Arial" w:hAnsi="Arial" w:cs="Arial"/>
          <w:sz w:val="16"/>
          <w:szCs w:val="16"/>
        </w:rPr>
        <w:t xml:space="preserve"> 136).</w:t>
      </w:r>
    </w:p>
  </w:footnote>
  <w:footnote w:id="4">
    <w:p w14:paraId="01299086" w14:textId="2B9007FD" w:rsidR="006A7E0F" w:rsidRDefault="006A7E0F">
      <w:pPr>
        <w:pStyle w:val="Sprotnaopomba-besedilo"/>
      </w:pPr>
      <w:r w:rsidRPr="00900F8E">
        <w:rPr>
          <w:rStyle w:val="Sprotnaopomba-sklic"/>
          <w:rFonts w:ascii="Arial" w:hAnsi="Arial" w:cs="Arial"/>
        </w:rPr>
        <w:footnoteRef/>
      </w:r>
      <w:r w:rsidRPr="00900F8E">
        <w:rPr>
          <w:rFonts w:ascii="Arial" w:hAnsi="Arial" w:cs="Arial"/>
        </w:rPr>
        <w:t xml:space="preserve"> </w:t>
      </w:r>
      <w:r w:rsidRPr="00900F8E">
        <w:rPr>
          <w:rFonts w:ascii="Arial" w:hAnsi="Arial" w:cs="Arial"/>
          <w:sz w:val="16"/>
          <w:szCs w:val="16"/>
        </w:rPr>
        <w:t xml:space="preserve">Uredba (EU) 2018/842 Evropskega </w:t>
      </w:r>
      <w:r>
        <w:rPr>
          <w:rFonts w:ascii="Arial" w:hAnsi="Arial" w:cs="Arial"/>
          <w:sz w:val="16"/>
          <w:szCs w:val="16"/>
        </w:rPr>
        <w:t>p</w:t>
      </w:r>
      <w:r w:rsidRPr="00900F8E">
        <w:rPr>
          <w:rFonts w:ascii="Arial" w:hAnsi="Arial" w:cs="Arial"/>
          <w:sz w:val="16"/>
          <w:szCs w:val="16"/>
        </w:rPr>
        <w:t>arlamenta in Sveta z dne 30. maja 2018 o zavezujočem letnem zmanjšanju emisij toplogrednih plinov za države članice v obdobju od 2021 do 2030 kot prispevku k podnebnim ukrepom za izpolnitev zavez iz Pariškega sporazuma ter o spremembi Uredbe (EU) št. 525/2013 (UL L 156, 19.</w:t>
      </w:r>
      <w:r>
        <w:t> </w:t>
      </w:r>
      <w:r w:rsidRPr="00900F8E">
        <w:rPr>
          <w:rFonts w:ascii="Arial" w:hAnsi="Arial" w:cs="Arial"/>
          <w:sz w:val="16"/>
          <w:szCs w:val="16"/>
        </w:rPr>
        <w:t>6.</w:t>
      </w:r>
      <w:r>
        <w:rPr>
          <w:rFonts w:ascii="Arial" w:hAnsi="Arial" w:cs="Arial"/>
          <w:sz w:val="16"/>
          <w:szCs w:val="16"/>
        </w:rPr>
        <w:t> </w:t>
      </w:r>
      <w:r w:rsidRPr="00900F8E">
        <w:rPr>
          <w:rFonts w:ascii="Arial" w:hAnsi="Arial" w:cs="Arial"/>
          <w:sz w:val="16"/>
          <w:szCs w:val="16"/>
        </w:rPr>
        <w:t>2018, str. 26).</w:t>
      </w:r>
    </w:p>
  </w:footnote>
  <w:footnote w:id="5">
    <w:p w14:paraId="4F9BA16F" w14:textId="4F8F4CF3" w:rsidR="006A7E0F" w:rsidRPr="00900F8E" w:rsidRDefault="006A7E0F" w:rsidP="007D0FE7">
      <w:pPr>
        <w:pStyle w:val="Sprotnaopomba-besedilo"/>
        <w:rPr>
          <w:rFonts w:ascii="Arial" w:hAnsi="Arial" w:cs="Arial"/>
          <w:sz w:val="16"/>
          <w:szCs w:val="16"/>
        </w:rPr>
      </w:pPr>
      <w:r>
        <w:rPr>
          <w:rStyle w:val="Sprotnaopomba-sklic"/>
        </w:rPr>
        <w:footnoteRef/>
      </w:r>
      <w:r>
        <w:t xml:space="preserve"> </w:t>
      </w:r>
      <w:r w:rsidRPr="00900F8E">
        <w:rPr>
          <w:rFonts w:ascii="Arial" w:hAnsi="Arial" w:cs="Arial"/>
          <w:sz w:val="16"/>
          <w:szCs w:val="16"/>
        </w:rPr>
        <w:t xml:space="preserve">Sveženj Evropske komisije z dne 14. 7. 2021 </w:t>
      </w:r>
      <w:r>
        <w:rPr>
          <w:rFonts w:ascii="Arial" w:hAnsi="Arial" w:cs="Arial"/>
          <w:sz w:val="16"/>
          <w:szCs w:val="16"/>
        </w:rPr>
        <w:t>–</w:t>
      </w:r>
      <w:r w:rsidRPr="00900F8E">
        <w:rPr>
          <w:rFonts w:ascii="Arial" w:hAnsi="Arial" w:cs="Arial"/>
        </w:rPr>
        <w:t xml:space="preserve"> </w:t>
      </w:r>
      <w:r w:rsidRPr="00900F8E">
        <w:rPr>
          <w:rFonts w:ascii="Arial" w:hAnsi="Arial" w:cs="Arial"/>
          <w:sz w:val="16"/>
          <w:szCs w:val="16"/>
        </w:rPr>
        <w:t xml:space="preserve">Fit for 55: </w:t>
      </w:r>
      <w:proofErr w:type="spellStart"/>
      <w:r w:rsidRPr="00900F8E">
        <w:rPr>
          <w:rFonts w:ascii="Arial" w:hAnsi="Arial" w:cs="Arial"/>
          <w:sz w:val="16"/>
          <w:szCs w:val="16"/>
        </w:rPr>
        <w:t>Delivering</w:t>
      </w:r>
      <w:proofErr w:type="spellEnd"/>
      <w:r w:rsidRPr="00900F8E">
        <w:rPr>
          <w:rFonts w:ascii="Arial" w:hAnsi="Arial" w:cs="Arial"/>
          <w:sz w:val="16"/>
          <w:szCs w:val="16"/>
        </w:rPr>
        <w:t xml:space="preserve"> the </w:t>
      </w:r>
      <w:proofErr w:type="spellStart"/>
      <w:r w:rsidRPr="00900F8E">
        <w:rPr>
          <w:rFonts w:ascii="Arial" w:hAnsi="Arial" w:cs="Arial"/>
          <w:sz w:val="16"/>
          <w:szCs w:val="16"/>
        </w:rPr>
        <w:t>EU's</w:t>
      </w:r>
      <w:proofErr w:type="spellEnd"/>
      <w:r w:rsidRPr="00900F8E">
        <w:rPr>
          <w:rFonts w:ascii="Arial" w:hAnsi="Arial" w:cs="Arial"/>
          <w:sz w:val="16"/>
          <w:szCs w:val="16"/>
        </w:rPr>
        <w:t xml:space="preserve"> 2030 Climate </w:t>
      </w:r>
      <w:proofErr w:type="spellStart"/>
      <w:r w:rsidRPr="00900F8E">
        <w:rPr>
          <w:rFonts w:ascii="Arial" w:hAnsi="Arial" w:cs="Arial"/>
          <w:sz w:val="16"/>
          <w:szCs w:val="16"/>
        </w:rPr>
        <w:t>Target</w:t>
      </w:r>
      <w:proofErr w:type="spellEnd"/>
      <w:r w:rsidRPr="00900F8E">
        <w:rPr>
          <w:rFonts w:ascii="Arial" w:hAnsi="Arial" w:cs="Arial"/>
          <w:sz w:val="16"/>
          <w:szCs w:val="16"/>
        </w:rPr>
        <w:t xml:space="preserve"> on the </w:t>
      </w:r>
      <w:proofErr w:type="spellStart"/>
      <w:r w:rsidRPr="00900F8E">
        <w:rPr>
          <w:rFonts w:ascii="Arial" w:hAnsi="Arial" w:cs="Arial"/>
          <w:sz w:val="16"/>
          <w:szCs w:val="16"/>
        </w:rPr>
        <w:t>Way</w:t>
      </w:r>
      <w:proofErr w:type="spellEnd"/>
      <w:r w:rsidRPr="00900F8E">
        <w:rPr>
          <w:rFonts w:ascii="Arial" w:hAnsi="Arial" w:cs="Arial"/>
          <w:sz w:val="16"/>
          <w:szCs w:val="16"/>
        </w:rPr>
        <w:t xml:space="preserve"> to Climate </w:t>
      </w:r>
      <w:proofErr w:type="spellStart"/>
      <w:r w:rsidRPr="00900F8E">
        <w:rPr>
          <w:rFonts w:ascii="Arial" w:hAnsi="Arial" w:cs="Arial"/>
          <w:sz w:val="16"/>
          <w:szCs w:val="16"/>
        </w:rPr>
        <w:t>Neutrality</w:t>
      </w:r>
      <w:proofErr w:type="spellEnd"/>
      <w:r w:rsidRPr="00900F8E">
        <w:rPr>
          <w:rFonts w:ascii="Arial" w:hAnsi="Arial" w:cs="Arial"/>
          <w:sz w:val="16"/>
          <w:szCs w:val="16"/>
        </w:rPr>
        <w:t>, https://www.consilium.europa.eu/sl/policies/green-deal/fit-for-55-the-eu-plan-for-a-green-transition/</w:t>
      </w:r>
      <w:r>
        <w:rPr>
          <w:rFonts w:ascii="Arial" w:hAnsi="Arial" w:cs="Arial"/>
          <w:sz w:val="16"/>
          <w:szCs w:val="16"/>
        </w:rPr>
        <w:t>.</w:t>
      </w:r>
    </w:p>
    <w:p w14:paraId="5F9C363C" w14:textId="208CF26C" w:rsidR="006A7E0F" w:rsidRDefault="006A7E0F">
      <w:pPr>
        <w:pStyle w:val="Sprotnaopomba-besedilo"/>
      </w:pPr>
    </w:p>
  </w:footnote>
  <w:footnote w:id="6">
    <w:p w14:paraId="671F1188" w14:textId="619B9A47" w:rsidR="006A7E0F" w:rsidRPr="00900F8E" w:rsidRDefault="006A7E0F">
      <w:pPr>
        <w:pStyle w:val="Sprotnaopomba-besedilo"/>
        <w:rPr>
          <w:rFonts w:ascii="Arial" w:hAnsi="Arial" w:cs="Arial"/>
          <w:sz w:val="16"/>
          <w:szCs w:val="16"/>
        </w:rPr>
      </w:pPr>
      <w:r w:rsidRPr="00900F8E">
        <w:rPr>
          <w:rStyle w:val="Sprotnaopomba-sklic"/>
          <w:rFonts w:ascii="Arial" w:hAnsi="Arial" w:cs="Arial"/>
        </w:rPr>
        <w:footnoteRef/>
      </w:r>
      <w:r w:rsidRPr="00900F8E">
        <w:rPr>
          <w:rFonts w:ascii="Arial" w:hAnsi="Arial" w:cs="Arial"/>
          <w:sz w:val="16"/>
          <w:szCs w:val="16"/>
        </w:rPr>
        <w:t xml:space="preserve"> </w:t>
      </w:r>
      <w:r w:rsidRPr="00900F8E">
        <w:rPr>
          <w:rFonts w:ascii="Arial" w:hAnsi="Arial" w:cs="Arial"/>
          <w:sz w:val="16"/>
          <w:szCs w:val="16"/>
        </w:rPr>
        <w:t>Resolucija o Dolgoročni podnebni strategiji Slovenije do leta 2050 (Uradni list RS, št. 119/21 in 44/22 – ZVO-2).</w:t>
      </w:r>
    </w:p>
  </w:footnote>
  <w:footnote w:id="7">
    <w:p w14:paraId="7C3D00F3" w14:textId="4787F087" w:rsidR="006A7E0F" w:rsidRDefault="006A7E0F">
      <w:pPr>
        <w:pStyle w:val="Sprotnaopomba-besedilo"/>
      </w:pPr>
      <w:r>
        <w:rPr>
          <w:rStyle w:val="Sprotnaopomba-sklic"/>
        </w:rPr>
        <w:footnoteRef/>
      </w:r>
      <w:r>
        <w:t xml:space="preserve"> </w:t>
      </w:r>
      <w:r>
        <w:t>S</w:t>
      </w:r>
      <w:r w:rsidRPr="007564B1">
        <w:rPr>
          <w:rFonts w:ascii="Arial" w:hAnsi="Arial" w:cs="Arial"/>
          <w:sz w:val="16"/>
          <w:szCs w:val="16"/>
        </w:rPr>
        <w:t>trokovne podlage</w:t>
      </w:r>
      <w:r>
        <w:rPr>
          <w:rFonts w:ascii="Arial" w:hAnsi="Arial" w:cs="Arial"/>
          <w:sz w:val="16"/>
          <w:szCs w:val="16"/>
        </w:rPr>
        <w:t>, pripravljene za NEPN,</w:t>
      </w:r>
      <w:r w:rsidRPr="007564B1">
        <w:rPr>
          <w:rFonts w:ascii="Arial" w:hAnsi="Arial" w:cs="Arial"/>
          <w:sz w:val="16"/>
          <w:szCs w:val="16"/>
        </w:rPr>
        <w:t xml:space="preserve"> kažejo, da bi lahko dosegli cilj </w:t>
      </w:r>
      <w:r w:rsidR="00EC1BC4">
        <w:rPr>
          <w:rFonts w:ascii="Arial" w:hAnsi="Arial" w:cs="Arial"/>
          <w:sz w:val="16"/>
          <w:szCs w:val="16"/>
        </w:rPr>
        <w:t>–</w:t>
      </w:r>
      <w:r w:rsidRPr="007564B1">
        <w:rPr>
          <w:rFonts w:ascii="Arial" w:hAnsi="Arial" w:cs="Arial"/>
          <w:sz w:val="16"/>
          <w:szCs w:val="16"/>
        </w:rPr>
        <w:t>26 %.</w:t>
      </w:r>
    </w:p>
  </w:footnote>
  <w:footnote w:id="8">
    <w:p w14:paraId="4632CA5E" w14:textId="26AC9B40" w:rsidR="006A7E0F" w:rsidRPr="00900F8E" w:rsidRDefault="006A7E0F">
      <w:pPr>
        <w:pStyle w:val="Sprotnaopomba-besedilo"/>
        <w:rPr>
          <w:rFonts w:ascii="Arial" w:hAnsi="Arial" w:cs="Arial"/>
        </w:rPr>
      </w:pPr>
      <w:r w:rsidRPr="00900F8E">
        <w:rPr>
          <w:rStyle w:val="Sprotnaopomba-sklic"/>
          <w:rFonts w:ascii="Arial" w:hAnsi="Arial" w:cs="Arial"/>
        </w:rPr>
        <w:footnoteRef/>
      </w:r>
      <w:r w:rsidRPr="00900F8E">
        <w:rPr>
          <w:rFonts w:ascii="Arial" w:hAnsi="Arial" w:cs="Arial"/>
          <w:sz w:val="16"/>
          <w:szCs w:val="16"/>
        </w:rPr>
        <w:t xml:space="preserve"> </w:t>
      </w:r>
      <w:r w:rsidRPr="00900F8E">
        <w:rPr>
          <w:rFonts w:ascii="Arial" w:hAnsi="Arial" w:cs="Arial"/>
          <w:sz w:val="16"/>
          <w:szCs w:val="16"/>
        </w:rPr>
        <w:t>Predlog uredbe Evropskega parlamenta in Sveta o spremembi Uredbe (EU) 2018/842 o zavezujočem letnem zmanjšanju emisij toplogrednih plinov za države članice v obdobju od 2021 do 2030 kot prispevku k podnebnim ukrepom za izpolnitev zavez iz Pariškega sporazuma (</w:t>
      </w:r>
      <w:r>
        <w:rPr>
          <w:rFonts w:ascii="Arial" w:hAnsi="Arial" w:cs="Arial"/>
          <w:sz w:val="16"/>
          <w:szCs w:val="16"/>
        </w:rPr>
        <w:t>COM (</w:t>
      </w:r>
      <w:r w:rsidRPr="00900F8E">
        <w:rPr>
          <w:rFonts w:ascii="Arial" w:hAnsi="Arial" w:cs="Arial"/>
          <w:sz w:val="16"/>
          <w:szCs w:val="16"/>
        </w:rPr>
        <w:t>2021</w:t>
      </w:r>
      <w:r>
        <w:rPr>
          <w:rFonts w:ascii="Arial" w:hAnsi="Arial" w:cs="Arial"/>
          <w:sz w:val="16"/>
          <w:szCs w:val="16"/>
        </w:rPr>
        <w:t>) 555</w:t>
      </w:r>
      <w:r w:rsidRPr="00900F8E">
        <w:rPr>
          <w:rFonts w:ascii="Arial" w:hAnsi="Arial" w:cs="Arial"/>
          <w:sz w:val="16"/>
          <w:szCs w:val="16"/>
        </w:rPr>
        <w:t>)</w:t>
      </w:r>
      <w:r>
        <w:rPr>
          <w:rFonts w:ascii="Arial" w:hAnsi="Arial" w:cs="Arial"/>
          <w:sz w:val="16"/>
          <w:szCs w:val="16"/>
        </w:rPr>
        <w:t>.</w:t>
      </w:r>
    </w:p>
  </w:footnote>
  <w:footnote w:id="9">
    <w:p w14:paraId="4584D6FA" w14:textId="4523343F" w:rsidR="006A7E0F" w:rsidRPr="00900F8E" w:rsidRDefault="006A7E0F">
      <w:pPr>
        <w:pStyle w:val="Sprotnaopomba-besedilo"/>
        <w:rPr>
          <w:rFonts w:ascii="Arial" w:hAnsi="Arial" w:cs="Arial"/>
        </w:rPr>
      </w:pPr>
      <w:r w:rsidRPr="00900F8E">
        <w:rPr>
          <w:rStyle w:val="Sprotnaopomba-sklic"/>
          <w:rFonts w:ascii="Arial" w:hAnsi="Arial" w:cs="Arial"/>
        </w:rPr>
        <w:footnoteRef/>
      </w:r>
      <w:r w:rsidRPr="00900F8E">
        <w:rPr>
          <w:rFonts w:ascii="Arial" w:hAnsi="Arial" w:cs="Arial"/>
        </w:rPr>
        <w:t xml:space="preserve"> </w:t>
      </w:r>
      <w:r w:rsidRPr="00900F8E">
        <w:rPr>
          <w:rFonts w:ascii="Arial" w:hAnsi="Arial" w:cs="Arial"/>
          <w:sz w:val="16"/>
          <w:szCs w:val="16"/>
        </w:rPr>
        <w:t>Državni cilji v obdobju do leta 2020 po Odločbi 406/2009/ES ne vključujejo emisij in ponorov toplogrednih plinov v sektorju raba zemljišč, sprememba rabe zemljišč in gozdarstvo (LULUCF).</w:t>
      </w:r>
      <w:r w:rsidRPr="00900F8E">
        <w:rPr>
          <w:rFonts w:ascii="Arial" w:hAnsi="Arial" w:cs="Arial"/>
        </w:rPr>
        <w:t xml:space="preserve"> </w:t>
      </w:r>
      <w:r w:rsidRPr="00900F8E">
        <w:rPr>
          <w:rFonts w:ascii="Arial" w:hAnsi="Arial" w:cs="Arial"/>
          <w:sz w:val="16"/>
          <w:szCs w:val="16"/>
        </w:rPr>
        <w:t>V okviru OP TGP si je Slovenija zastavila cilj uveljavljanja ponorov pri izpolnjevanju ciljev zmanjšanja emisij TGP v okviru obveznosti Skupnosti in v okviru mednarodnih sporazumov v pripravi ter razvoj metodologij in nadgradnjo spremljanja ponorov in emisij TGP.</w:t>
      </w:r>
    </w:p>
  </w:footnote>
  <w:footnote w:id="10">
    <w:p w14:paraId="02D89441" w14:textId="7298407B" w:rsidR="006A7E0F" w:rsidRPr="00900F8E" w:rsidRDefault="006A7E0F" w:rsidP="00B87E5E">
      <w:pPr>
        <w:pStyle w:val="Sprotnaopomba-besedilo"/>
        <w:rPr>
          <w:rFonts w:ascii="Arial" w:hAnsi="Arial" w:cs="Arial"/>
        </w:rPr>
      </w:pPr>
      <w:r w:rsidRPr="00900F8E">
        <w:rPr>
          <w:rStyle w:val="Sprotnaopomba-sklic"/>
          <w:rFonts w:ascii="Arial" w:hAnsi="Arial" w:cs="Arial"/>
        </w:rPr>
        <w:footnoteRef/>
      </w:r>
      <w:r w:rsidRPr="00900F8E">
        <w:rPr>
          <w:rFonts w:ascii="Arial" w:hAnsi="Arial" w:cs="Arial"/>
        </w:rPr>
        <w:t xml:space="preserve"> </w:t>
      </w:r>
      <w:r w:rsidRPr="00900F8E">
        <w:rPr>
          <w:rFonts w:ascii="Arial" w:hAnsi="Arial" w:cs="Arial"/>
          <w:sz w:val="16"/>
          <w:szCs w:val="16"/>
        </w:rPr>
        <w:t>Predlog uredbe Evropskega parlamenta in Sveta o spremembi Uredbe (EU) 2018/841 glede področja uporabe, poenostavitve pravil o skladnosti, določitve ciljev držav članic za leto 2030 in zaveze skupnemu doseganju podnebne nevtralnosti do leta 2035 v sektorju rabe zemljišč, gozdarstva in kmetijstva ter Uredbe (EU) 2018/1999 glede izboljšanja spremljanja, poročanja, spremljanja napredka in pregleda (</w:t>
      </w:r>
      <w:r>
        <w:rPr>
          <w:rFonts w:ascii="Arial" w:hAnsi="Arial" w:cs="Arial"/>
          <w:sz w:val="16"/>
          <w:szCs w:val="16"/>
        </w:rPr>
        <w:t>COM (</w:t>
      </w:r>
      <w:r w:rsidRPr="00900F8E">
        <w:rPr>
          <w:rFonts w:ascii="Arial" w:hAnsi="Arial" w:cs="Arial"/>
          <w:sz w:val="16"/>
          <w:szCs w:val="16"/>
        </w:rPr>
        <w:t>2021</w:t>
      </w:r>
      <w:r>
        <w:rPr>
          <w:rFonts w:ascii="Arial" w:hAnsi="Arial" w:cs="Arial"/>
          <w:sz w:val="16"/>
          <w:szCs w:val="16"/>
        </w:rPr>
        <w:t>) 0554</w:t>
      </w:r>
      <w:r w:rsidRPr="00900F8E">
        <w:rPr>
          <w:rFonts w:ascii="Arial" w:hAnsi="Arial" w:cs="Arial"/>
          <w:sz w:val="16"/>
          <w:szCs w:val="16"/>
        </w:rPr>
        <w:t>)</w:t>
      </w:r>
      <w:r>
        <w:rPr>
          <w:rFonts w:ascii="Arial" w:hAnsi="Arial" w:cs="Arial"/>
          <w:sz w:val="16"/>
          <w:szCs w:val="16"/>
        </w:rPr>
        <w:t>.</w:t>
      </w:r>
    </w:p>
  </w:footnote>
  <w:footnote w:id="11">
    <w:p w14:paraId="111D5276" w14:textId="3FC69713" w:rsidR="006A7E0F" w:rsidRDefault="006A7E0F" w:rsidP="003D15A7">
      <w:pPr>
        <w:pStyle w:val="Sprotnaopomba-besedilo"/>
      </w:pPr>
      <w:r w:rsidRPr="00900F8E">
        <w:rPr>
          <w:rStyle w:val="Sprotnaopomba-sklic"/>
          <w:rFonts w:ascii="Arial" w:hAnsi="Arial" w:cs="Arial"/>
        </w:rPr>
        <w:footnoteRef/>
      </w:r>
      <w:r w:rsidRPr="00900F8E">
        <w:rPr>
          <w:rFonts w:ascii="Arial" w:hAnsi="Arial" w:cs="Arial"/>
          <w:sz w:val="16"/>
          <w:szCs w:val="16"/>
        </w:rPr>
        <w:t xml:space="preserve"> </w:t>
      </w:r>
      <w:r w:rsidRPr="00900F8E">
        <w:rPr>
          <w:rFonts w:ascii="Arial" w:hAnsi="Arial" w:cs="Arial"/>
          <w:sz w:val="16"/>
          <w:szCs w:val="16"/>
        </w:rPr>
        <w:t>Projektna naloga (javno naročilo št. 430-13/2021-2550 z dne 20.</w:t>
      </w:r>
      <w:r>
        <w:rPr>
          <w:rFonts w:ascii="Arial" w:hAnsi="Arial" w:cs="Arial"/>
          <w:sz w:val="16"/>
          <w:szCs w:val="16"/>
        </w:rPr>
        <w:t> </w:t>
      </w:r>
      <w:r w:rsidRPr="00900F8E">
        <w:rPr>
          <w:rFonts w:ascii="Arial" w:hAnsi="Arial" w:cs="Arial"/>
          <w:sz w:val="16"/>
          <w:szCs w:val="16"/>
        </w:rPr>
        <w:t>5.</w:t>
      </w:r>
      <w:r>
        <w:rPr>
          <w:rFonts w:ascii="Arial" w:hAnsi="Arial" w:cs="Arial"/>
          <w:sz w:val="16"/>
          <w:szCs w:val="16"/>
        </w:rPr>
        <w:t> </w:t>
      </w:r>
      <w:r w:rsidRPr="00900F8E">
        <w:rPr>
          <w:rFonts w:ascii="Arial" w:hAnsi="Arial" w:cs="Arial"/>
          <w:sz w:val="16"/>
          <w:szCs w:val="16"/>
        </w:rPr>
        <w:t>2021):</w:t>
      </w:r>
      <w:r w:rsidRPr="00900F8E">
        <w:rPr>
          <w:rFonts w:ascii="Arial" w:hAnsi="Arial" w:cs="Arial"/>
        </w:rPr>
        <w:t xml:space="preserve"> </w:t>
      </w:r>
      <w:r w:rsidRPr="00900F8E">
        <w:rPr>
          <w:rFonts w:ascii="Arial" w:hAnsi="Arial" w:cs="Arial"/>
          <w:sz w:val="16"/>
          <w:szCs w:val="16"/>
        </w:rPr>
        <w:t>Strokovne podlage za izpolnitev nacionalnih, evropskih in mednarodnih obveznosti poročanja ter pripravo stališča s področja blaženja podnebnih sprememb</w:t>
      </w:r>
      <w:r>
        <w:rPr>
          <w:rFonts w:ascii="Arial" w:hAnsi="Arial" w:cs="Arial"/>
          <w:sz w:val="16"/>
          <w:szCs w:val="16"/>
        </w:rPr>
        <w:t>.</w:t>
      </w:r>
    </w:p>
  </w:footnote>
  <w:footnote w:id="12">
    <w:p w14:paraId="3881221F" w14:textId="1ECD16E5" w:rsidR="006A7E0F" w:rsidRPr="00FE4C20" w:rsidRDefault="006A7E0F">
      <w:pPr>
        <w:pStyle w:val="Sprotnaopomba-besedilo"/>
        <w:rPr>
          <w:rFonts w:ascii="Arial" w:hAnsi="Arial" w:cs="Arial"/>
          <w:sz w:val="16"/>
          <w:szCs w:val="16"/>
        </w:rPr>
      </w:pPr>
      <w:r w:rsidRPr="00FE4C20">
        <w:rPr>
          <w:rStyle w:val="Sprotnaopomba-sklic"/>
          <w:rFonts w:ascii="Arial" w:hAnsi="Arial" w:cs="Arial"/>
          <w:sz w:val="16"/>
          <w:szCs w:val="16"/>
        </w:rPr>
        <w:footnoteRef/>
      </w:r>
      <w:r w:rsidRPr="00FE4C20">
        <w:rPr>
          <w:rFonts w:ascii="Arial" w:hAnsi="Arial" w:cs="Arial"/>
          <w:sz w:val="16"/>
          <w:szCs w:val="16"/>
        </w:rPr>
        <w:t xml:space="preserve"> </w:t>
      </w:r>
      <w:r w:rsidRPr="00FE4C20">
        <w:rPr>
          <w:rFonts w:ascii="Arial" w:hAnsi="Arial" w:cs="Arial"/>
          <w:sz w:val="16"/>
          <w:szCs w:val="16"/>
        </w:rPr>
        <w:t>Delegirani sklep Komisije (EU) 2020/2126 o določitvi dodeljenih letnih emisij za države članice za obdobje 2021–2030 v skladu z Uredbo (EU) 2018/842 Evropskega parlamenta in Sveta (UL št. 426 z dne 17.</w:t>
      </w:r>
      <w:r>
        <w:rPr>
          <w:rFonts w:ascii="Arial" w:hAnsi="Arial" w:cs="Arial"/>
          <w:sz w:val="16"/>
          <w:szCs w:val="16"/>
        </w:rPr>
        <w:t> </w:t>
      </w:r>
      <w:r w:rsidRPr="00FE4C20">
        <w:rPr>
          <w:rFonts w:ascii="Arial" w:hAnsi="Arial" w:cs="Arial"/>
          <w:sz w:val="16"/>
          <w:szCs w:val="16"/>
        </w:rPr>
        <w:t>12.</w:t>
      </w:r>
      <w:r>
        <w:rPr>
          <w:rFonts w:ascii="Arial" w:hAnsi="Arial" w:cs="Arial"/>
          <w:sz w:val="16"/>
          <w:szCs w:val="16"/>
        </w:rPr>
        <w:t> </w:t>
      </w:r>
      <w:r w:rsidRPr="00FE4C20">
        <w:rPr>
          <w:rFonts w:ascii="Arial" w:hAnsi="Arial" w:cs="Arial"/>
          <w:sz w:val="16"/>
          <w:szCs w:val="16"/>
        </w:rPr>
        <w:t>2020, str. 58).</w:t>
      </w:r>
    </w:p>
  </w:footnote>
  <w:footnote w:id="13">
    <w:p w14:paraId="5F939999" w14:textId="3CF4103B" w:rsidR="006A7E0F" w:rsidRPr="00FE4C20" w:rsidRDefault="006A7E0F">
      <w:pPr>
        <w:pStyle w:val="Sprotnaopomba-besedilo"/>
        <w:rPr>
          <w:rFonts w:ascii="Arial" w:hAnsi="Arial" w:cs="Arial"/>
          <w:sz w:val="16"/>
          <w:szCs w:val="16"/>
        </w:rPr>
      </w:pPr>
      <w:r w:rsidRPr="00FE4C20">
        <w:rPr>
          <w:rStyle w:val="Sprotnaopomba-sklic"/>
          <w:rFonts w:ascii="Arial" w:hAnsi="Arial" w:cs="Arial"/>
          <w:sz w:val="16"/>
          <w:szCs w:val="16"/>
        </w:rPr>
        <w:footnoteRef/>
      </w:r>
      <w:r w:rsidRPr="00FE4C20">
        <w:rPr>
          <w:rFonts w:ascii="Arial" w:hAnsi="Arial" w:cs="Arial"/>
          <w:sz w:val="16"/>
          <w:szCs w:val="16"/>
        </w:rPr>
        <w:t xml:space="preserve"> </w:t>
      </w:r>
      <w:r>
        <w:rPr>
          <w:rFonts w:ascii="Arial" w:hAnsi="Arial" w:cs="Arial"/>
          <w:sz w:val="16"/>
          <w:szCs w:val="16"/>
        </w:rPr>
        <w:t>A</w:t>
      </w:r>
      <w:r w:rsidRPr="00FE4C20">
        <w:rPr>
          <w:rFonts w:ascii="Arial" w:hAnsi="Arial" w:cs="Arial"/>
          <w:sz w:val="16"/>
          <w:szCs w:val="16"/>
        </w:rPr>
        <w:t>ng</w:t>
      </w:r>
      <w:r>
        <w:rPr>
          <w:rFonts w:ascii="Arial" w:hAnsi="Arial" w:cs="Arial"/>
          <w:sz w:val="16"/>
          <w:szCs w:val="16"/>
        </w:rPr>
        <w:t>l</w:t>
      </w:r>
      <w:r w:rsidRPr="00FE4C20">
        <w:rPr>
          <w:rFonts w:ascii="Arial" w:hAnsi="Arial" w:cs="Arial"/>
          <w:sz w:val="16"/>
          <w:szCs w:val="16"/>
        </w:rPr>
        <w:t>. Annual Emission Allocation (dodeljene letne emisije)</w:t>
      </w:r>
      <w:r>
        <w:rPr>
          <w:rFonts w:ascii="Arial" w:hAnsi="Arial" w:cs="Arial"/>
          <w:sz w:val="16"/>
          <w:szCs w:val="16"/>
        </w:rPr>
        <w:t>.</w:t>
      </w:r>
    </w:p>
  </w:footnote>
  <w:footnote w:id="14">
    <w:p w14:paraId="55B66D17" w14:textId="06CFC0D7" w:rsidR="006A7E0F" w:rsidRPr="00FE4C20" w:rsidRDefault="006A7E0F">
      <w:pPr>
        <w:pStyle w:val="Sprotnaopomba-besedilo"/>
        <w:rPr>
          <w:rFonts w:ascii="Arial" w:hAnsi="Arial" w:cs="Arial"/>
          <w:sz w:val="16"/>
          <w:szCs w:val="16"/>
        </w:rPr>
      </w:pPr>
      <w:r w:rsidRPr="00FE4C20">
        <w:rPr>
          <w:rStyle w:val="Sprotnaopomba-sklic"/>
          <w:rFonts w:ascii="Arial" w:hAnsi="Arial" w:cs="Arial"/>
          <w:sz w:val="16"/>
          <w:szCs w:val="16"/>
        </w:rPr>
        <w:footnoteRef/>
      </w:r>
      <w:r w:rsidRPr="00FE4C20">
        <w:rPr>
          <w:rFonts w:ascii="Arial" w:hAnsi="Arial" w:cs="Arial"/>
          <w:sz w:val="16"/>
          <w:szCs w:val="16"/>
        </w:rPr>
        <w:t xml:space="preserve"> </w:t>
      </w:r>
      <w:r w:rsidRPr="00FE4C20">
        <w:rPr>
          <w:rFonts w:ascii="Arial" w:hAnsi="Arial" w:cs="Arial"/>
          <w:sz w:val="16"/>
          <w:szCs w:val="16"/>
        </w:rPr>
        <w:t>V izračun so vključeni podatki do septembra 2022.</w:t>
      </w:r>
    </w:p>
  </w:footnote>
  <w:footnote w:id="15">
    <w:p w14:paraId="0D405045" w14:textId="4390CFFF" w:rsidR="006A7E0F" w:rsidRDefault="006A7E0F">
      <w:pPr>
        <w:pStyle w:val="Sprotnaopomba-besedilo"/>
      </w:pPr>
      <w:r>
        <w:rPr>
          <w:rStyle w:val="Sprotnaopomba-sklic"/>
        </w:rPr>
        <w:footnoteRef/>
      </w:r>
      <w:r>
        <w:t xml:space="preserve"> </w:t>
      </w:r>
      <w:r w:rsidRPr="00256AC1">
        <w:rPr>
          <w:rFonts w:ascii="Arial" w:hAnsi="Arial" w:cs="Arial"/>
          <w:sz w:val="16"/>
          <w:szCs w:val="16"/>
        </w:rPr>
        <w:t>Leta 2020 se je zmanjšala tudi količina dizelskega goriva z vračili trošarine za komercialni namen.</w:t>
      </w:r>
    </w:p>
  </w:footnote>
  <w:footnote w:id="16">
    <w:p w14:paraId="70C4961A" w14:textId="5E5736D8" w:rsidR="006A7E0F" w:rsidRDefault="006A7E0F" w:rsidP="00C51C15">
      <w:pPr>
        <w:pStyle w:val="Sprotnaopomba-besedilo"/>
        <w:jc w:val="both"/>
      </w:pPr>
    </w:p>
  </w:footnote>
  <w:footnote w:id="17">
    <w:p w14:paraId="6EE04C9E" w14:textId="0844BB8C" w:rsidR="006A7E0F" w:rsidRDefault="006A7E0F">
      <w:pPr>
        <w:pStyle w:val="Sprotnaopomba-besedilo"/>
      </w:pPr>
      <w:r>
        <w:rPr>
          <w:rStyle w:val="Sprotnaopomba-sklic"/>
        </w:rPr>
        <w:footnoteRef/>
      </w:r>
      <w:r>
        <w:t xml:space="preserve"> </w:t>
      </w:r>
      <w:r>
        <w:t>Analiza</w:t>
      </w:r>
      <w:r w:rsidRPr="0013737C">
        <w:t xml:space="preserve"> dr. Mark</w:t>
      </w:r>
      <w:r>
        <w:t>a</w:t>
      </w:r>
      <w:r w:rsidRPr="0013737C">
        <w:t xml:space="preserve"> Kovač</w:t>
      </w:r>
      <w:r>
        <w:t>a</w:t>
      </w:r>
      <w:r w:rsidRPr="0013737C">
        <w:t>, IJS-CEU, 2020</w:t>
      </w:r>
      <w:r>
        <w:t xml:space="preserve"> –</w:t>
      </w:r>
      <w:r w:rsidRPr="0013737C">
        <w:t xml:space="preserve"> </w:t>
      </w:r>
      <w:r>
        <w:t>a</w:t>
      </w:r>
      <w:r w:rsidRPr="0013737C">
        <w:t>naliza je bila narejena na podlagi primerjave ureditev po drugih državah in analize ICCT (https://theicct.org/publication/using-vehicle-taxation-policy-to-lower-transport-emissions-an-overview-for-passenger-cars-in-europe/).</w:t>
      </w:r>
    </w:p>
  </w:footnote>
  <w:footnote w:id="18">
    <w:p w14:paraId="5986F994" w14:textId="368345AD" w:rsidR="006A7E0F" w:rsidRDefault="006A7E0F">
      <w:pPr>
        <w:pStyle w:val="Sprotnaopomba-besedilo"/>
      </w:pPr>
      <w:r>
        <w:rPr>
          <w:rStyle w:val="Sprotnaopomba-sklic"/>
        </w:rPr>
        <w:footnoteRef/>
      </w:r>
      <w:r>
        <w:t xml:space="preserve"> </w:t>
      </w:r>
      <w:r w:rsidRPr="00005428">
        <w:rPr>
          <w:sz w:val="16"/>
          <w:szCs w:val="16"/>
        </w:rPr>
        <w:t xml:space="preserve">Nekatere </w:t>
      </w:r>
      <w:r>
        <w:rPr>
          <w:sz w:val="16"/>
          <w:szCs w:val="16"/>
        </w:rPr>
        <w:t>dejavnosti</w:t>
      </w:r>
      <w:r w:rsidRPr="00005428">
        <w:rPr>
          <w:sz w:val="16"/>
          <w:szCs w:val="16"/>
        </w:rPr>
        <w:t xml:space="preserve"> so zapisane v </w:t>
      </w:r>
      <w:r>
        <w:rPr>
          <w:sz w:val="16"/>
          <w:szCs w:val="16"/>
        </w:rPr>
        <w:t>drugih</w:t>
      </w:r>
      <w:r w:rsidRPr="00005428">
        <w:rPr>
          <w:sz w:val="16"/>
          <w:szCs w:val="16"/>
        </w:rPr>
        <w:t xml:space="preserve"> sektorskih podpoglavjih poglavja 4.</w:t>
      </w:r>
    </w:p>
  </w:footnote>
  <w:footnote w:id="19">
    <w:p w14:paraId="2560AE0A" w14:textId="6514C1F5" w:rsidR="006A7E0F" w:rsidRDefault="006A7E0F">
      <w:pPr>
        <w:pStyle w:val="Sprotnaopomba-besedilo"/>
      </w:pPr>
      <w:r>
        <w:rPr>
          <w:rStyle w:val="Sprotnaopomba-sklic"/>
        </w:rPr>
        <w:footnoteRef/>
      </w:r>
      <w:r>
        <w:t xml:space="preserve"> </w:t>
      </w:r>
      <w:r w:rsidRPr="003F1168">
        <w:rPr>
          <w:sz w:val="16"/>
          <w:szCs w:val="16"/>
        </w:rPr>
        <w:t xml:space="preserve">Za </w:t>
      </w:r>
      <w:r>
        <w:rPr>
          <w:sz w:val="16"/>
          <w:szCs w:val="16"/>
        </w:rPr>
        <w:t>obdobje</w:t>
      </w:r>
      <w:r w:rsidRPr="003F1168">
        <w:rPr>
          <w:sz w:val="16"/>
          <w:szCs w:val="16"/>
        </w:rPr>
        <w:t xml:space="preserve"> 2017</w:t>
      </w:r>
      <w:r>
        <w:rPr>
          <w:sz w:val="16"/>
          <w:szCs w:val="16"/>
        </w:rPr>
        <w:t>–2021</w:t>
      </w:r>
      <w:r w:rsidRPr="003F1168">
        <w:rPr>
          <w:sz w:val="16"/>
          <w:szCs w:val="16"/>
        </w:rPr>
        <w:t xml:space="preserve"> so </w:t>
      </w:r>
      <w:r>
        <w:rPr>
          <w:sz w:val="16"/>
          <w:szCs w:val="16"/>
        </w:rPr>
        <w:t xml:space="preserve">za spodbude </w:t>
      </w:r>
      <w:r w:rsidRPr="003F1168">
        <w:rPr>
          <w:sz w:val="16"/>
          <w:szCs w:val="16"/>
        </w:rPr>
        <w:t>iz Kohezijskega sklada</w:t>
      </w:r>
      <w:r>
        <w:rPr>
          <w:sz w:val="16"/>
          <w:szCs w:val="16"/>
        </w:rPr>
        <w:t xml:space="preserve"> vključeni samo podatki</w:t>
      </w:r>
      <w:r w:rsidRPr="003F1168">
        <w:rPr>
          <w:sz w:val="16"/>
          <w:szCs w:val="16"/>
        </w:rPr>
        <w:t xml:space="preserve"> za sektor stavb.</w:t>
      </w:r>
    </w:p>
  </w:footnote>
  <w:footnote w:id="20">
    <w:p w14:paraId="3AC954F1" w14:textId="77777777" w:rsidR="004B4585" w:rsidRDefault="006A7E0F" w:rsidP="00696554">
      <w:pPr>
        <w:pStyle w:val="Sprotnaopomba-besedilo"/>
        <w:rPr>
          <w:rFonts w:ascii="Arial" w:hAnsi="Arial" w:cs="Arial"/>
          <w:sz w:val="16"/>
          <w:szCs w:val="16"/>
        </w:rPr>
      </w:pPr>
      <w:r>
        <w:rPr>
          <w:rStyle w:val="Sprotnaopomba-sklic"/>
        </w:rPr>
        <w:footnoteRef/>
      </w:r>
      <w:r>
        <w:t xml:space="preserve"> </w:t>
      </w:r>
      <w:r w:rsidRPr="00256AC1">
        <w:rPr>
          <w:rFonts w:ascii="Arial" w:hAnsi="Arial" w:cs="Arial"/>
          <w:sz w:val="16"/>
          <w:szCs w:val="16"/>
        </w:rPr>
        <w:t xml:space="preserve">Pojem označuje javnofinančno politiko, ki uporablja ustrezne zelene mehanizme, ki pomagajo preusmeriti javne naložbe, potrošnjo in obdavčitev na področju zelenih prioritet ter ukinitev škodljivih subvencij. Podpira doseganje ciljev za blažitev in prilagajanje na podnebne spremembe ter drugih okoljskih ciljev. Ozelenitev javnih financ hkrati temelji na pravičnem prehodu za vse in spodbuja trajnostno ravnanje celotnega gospodarstva oziroma družbe </w:t>
      </w:r>
    </w:p>
    <w:p w14:paraId="437A3B78" w14:textId="58CC7B77" w:rsidR="006A7E0F" w:rsidRPr="00256AC1" w:rsidRDefault="006A7E0F" w:rsidP="00696554">
      <w:pPr>
        <w:pStyle w:val="Sprotnaopomba-besedilo"/>
        <w:rPr>
          <w:rFonts w:ascii="Arial" w:hAnsi="Arial" w:cs="Arial"/>
          <w:sz w:val="16"/>
          <w:szCs w:val="16"/>
        </w:rPr>
      </w:pPr>
      <w:r w:rsidRPr="00256AC1">
        <w:rPr>
          <w:rFonts w:ascii="Arial" w:hAnsi="Arial" w:cs="Arial"/>
          <w:sz w:val="16"/>
          <w:szCs w:val="16"/>
        </w:rPr>
        <w:t>(Viri: https://economy-finance.ec.europa.eu/economic-and-fiscal-governance/green-budgeting-eu_en</w:t>
      </w:r>
      <w:r w:rsidR="004B4585">
        <w:rPr>
          <w:rFonts w:ascii="Arial" w:hAnsi="Arial" w:cs="Arial"/>
          <w:sz w:val="16"/>
          <w:szCs w:val="16"/>
        </w:rPr>
        <w:t>,</w:t>
      </w:r>
    </w:p>
    <w:p w14:paraId="6E682FA0" w14:textId="6C36FF07" w:rsidR="006A7E0F" w:rsidRDefault="006A7E0F" w:rsidP="00696554">
      <w:pPr>
        <w:pStyle w:val="Sprotnaopomba-besedilo"/>
      </w:pPr>
      <w:r w:rsidRPr="00256AC1">
        <w:rPr>
          <w:rFonts w:ascii="Arial" w:hAnsi="Arial" w:cs="Arial"/>
          <w:sz w:val="16"/>
          <w:szCs w:val="16"/>
        </w:rPr>
        <w:t>https://eur-lex.europa.eu/legal-content/EN/TXT/?qid=1588580774040&amp;uri=CELEX%3A52019DC0640).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F2D"/>
    <w:multiLevelType w:val="hybridMultilevel"/>
    <w:tmpl w:val="1E2013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9E13D50"/>
    <w:multiLevelType w:val="hybridMultilevel"/>
    <w:tmpl w:val="DEB681D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0C4692A"/>
    <w:multiLevelType w:val="hybridMultilevel"/>
    <w:tmpl w:val="6D8612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14F2F8E"/>
    <w:multiLevelType w:val="hybridMultilevel"/>
    <w:tmpl w:val="2EA49B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8A6A60"/>
    <w:multiLevelType w:val="hybridMultilevel"/>
    <w:tmpl w:val="7D244BE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2EC122B"/>
    <w:multiLevelType w:val="hybridMultilevel"/>
    <w:tmpl w:val="0CCE9C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D860B9"/>
    <w:multiLevelType w:val="hybridMultilevel"/>
    <w:tmpl w:val="C85AB28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7A54E75"/>
    <w:multiLevelType w:val="hybridMultilevel"/>
    <w:tmpl w:val="5B22BC3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7C92214"/>
    <w:multiLevelType w:val="hybridMultilevel"/>
    <w:tmpl w:val="41A846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1724D65"/>
    <w:multiLevelType w:val="hybridMultilevel"/>
    <w:tmpl w:val="A3CAEA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4018BE"/>
    <w:multiLevelType w:val="hybridMultilevel"/>
    <w:tmpl w:val="D06A1E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F83C21"/>
    <w:multiLevelType w:val="hybridMultilevel"/>
    <w:tmpl w:val="060C72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F57503E"/>
    <w:multiLevelType w:val="hybridMultilevel"/>
    <w:tmpl w:val="B8C4CE9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1890B57"/>
    <w:multiLevelType w:val="hybridMultilevel"/>
    <w:tmpl w:val="FDFC54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2FF229F"/>
    <w:multiLevelType w:val="hybridMultilevel"/>
    <w:tmpl w:val="83363D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5122192"/>
    <w:multiLevelType w:val="hybridMultilevel"/>
    <w:tmpl w:val="1018B890"/>
    <w:lvl w:ilvl="0" w:tplc="41B0527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E33330"/>
    <w:multiLevelType w:val="hybridMultilevel"/>
    <w:tmpl w:val="095E9A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42590D99"/>
    <w:multiLevelType w:val="hybridMultilevel"/>
    <w:tmpl w:val="901CF8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085684"/>
    <w:multiLevelType w:val="hybridMultilevel"/>
    <w:tmpl w:val="B616DC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3D345A3"/>
    <w:multiLevelType w:val="hybridMultilevel"/>
    <w:tmpl w:val="9D344D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270D01"/>
    <w:multiLevelType w:val="hybridMultilevel"/>
    <w:tmpl w:val="386877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A8C1F09"/>
    <w:multiLevelType w:val="hybridMultilevel"/>
    <w:tmpl w:val="BB9AB0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4BED1991"/>
    <w:multiLevelType w:val="hybridMultilevel"/>
    <w:tmpl w:val="FDA8C6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FA52D8C"/>
    <w:multiLevelType w:val="hybridMultilevel"/>
    <w:tmpl w:val="0950AB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24904D3"/>
    <w:multiLevelType w:val="hybridMultilevel"/>
    <w:tmpl w:val="8BD286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37272B1"/>
    <w:multiLevelType w:val="hybridMultilevel"/>
    <w:tmpl w:val="ECA4FFBE"/>
    <w:lvl w:ilvl="0" w:tplc="FFFFFFFF">
      <w:start w:val="1"/>
      <w:numFmt w:val="bullet"/>
      <w:lvlText w:val="•"/>
      <w:lvlJc w:val="left"/>
      <w:pPr>
        <w:ind w:left="360" w:hanging="360"/>
      </w:p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577A29F3"/>
    <w:multiLevelType w:val="hybridMultilevel"/>
    <w:tmpl w:val="764249C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58383685"/>
    <w:multiLevelType w:val="hybridMultilevel"/>
    <w:tmpl w:val="97A622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8B4481B"/>
    <w:multiLevelType w:val="hybridMultilevel"/>
    <w:tmpl w:val="D6087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0D0A28"/>
    <w:multiLevelType w:val="multilevel"/>
    <w:tmpl w:val="7E723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933ABB"/>
    <w:multiLevelType w:val="hybridMultilevel"/>
    <w:tmpl w:val="C49E8F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F4F763D"/>
    <w:multiLevelType w:val="hybridMultilevel"/>
    <w:tmpl w:val="644405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8BC1C31"/>
    <w:multiLevelType w:val="hybridMultilevel"/>
    <w:tmpl w:val="73085AE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7FF35405"/>
    <w:multiLevelType w:val="hybridMultilevel"/>
    <w:tmpl w:val="099037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25"/>
  </w:num>
  <w:num w:numId="2">
    <w:abstractNumId w:val="33"/>
  </w:num>
  <w:num w:numId="3">
    <w:abstractNumId w:val="7"/>
  </w:num>
  <w:num w:numId="4">
    <w:abstractNumId w:val="26"/>
  </w:num>
  <w:num w:numId="5">
    <w:abstractNumId w:val="2"/>
  </w:num>
  <w:num w:numId="6">
    <w:abstractNumId w:val="21"/>
  </w:num>
  <w:num w:numId="7">
    <w:abstractNumId w:val="32"/>
  </w:num>
  <w:num w:numId="8">
    <w:abstractNumId w:val="1"/>
  </w:num>
  <w:num w:numId="9">
    <w:abstractNumId w:val="16"/>
  </w:num>
  <w:num w:numId="10">
    <w:abstractNumId w:val="6"/>
  </w:num>
  <w:num w:numId="11">
    <w:abstractNumId w:val="0"/>
  </w:num>
  <w:num w:numId="12">
    <w:abstractNumId w:val="4"/>
  </w:num>
  <w:num w:numId="13">
    <w:abstractNumId w:val="29"/>
  </w:num>
  <w:num w:numId="14">
    <w:abstractNumId w:val="13"/>
  </w:num>
  <w:num w:numId="15">
    <w:abstractNumId w:val="9"/>
  </w:num>
  <w:num w:numId="16">
    <w:abstractNumId w:val="28"/>
  </w:num>
  <w:num w:numId="17">
    <w:abstractNumId w:val="23"/>
  </w:num>
  <w:num w:numId="18">
    <w:abstractNumId w:val="27"/>
  </w:num>
  <w:num w:numId="19">
    <w:abstractNumId w:val="3"/>
  </w:num>
  <w:num w:numId="20">
    <w:abstractNumId w:val="10"/>
  </w:num>
  <w:num w:numId="21">
    <w:abstractNumId w:val="30"/>
  </w:num>
  <w:num w:numId="22">
    <w:abstractNumId w:val="24"/>
  </w:num>
  <w:num w:numId="23">
    <w:abstractNumId w:val="31"/>
  </w:num>
  <w:num w:numId="24">
    <w:abstractNumId w:val="5"/>
  </w:num>
  <w:num w:numId="25">
    <w:abstractNumId w:val="15"/>
  </w:num>
  <w:num w:numId="26">
    <w:abstractNumId w:val="11"/>
  </w:num>
  <w:num w:numId="27">
    <w:abstractNumId w:val="8"/>
  </w:num>
  <w:num w:numId="28">
    <w:abstractNumId w:val="20"/>
  </w:num>
  <w:num w:numId="29">
    <w:abstractNumId w:val="17"/>
  </w:num>
  <w:num w:numId="30">
    <w:abstractNumId w:val="19"/>
  </w:num>
  <w:num w:numId="31">
    <w:abstractNumId w:val="22"/>
  </w:num>
  <w:num w:numId="32">
    <w:abstractNumId w:val="12"/>
  </w:num>
  <w:num w:numId="33">
    <w:abstractNumId w:val="18"/>
  </w:num>
  <w:num w:numId="3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F5"/>
    <w:rsid w:val="00000F6F"/>
    <w:rsid w:val="00001B20"/>
    <w:rsid w:val="000031E6"/>
    <w:rsid w:val="0000346D"/>
    <w:rsid w:val="00003C64"/>
    <w:rsid w:val="00003D71"/>
    <w:rsid w:val="0000421D"/>
    <w:rsid w:val="00004F80"/>
    <w:rsid w:val="00005282"/>
    <w:rsid w:val="00005428"/>
    <w:rsid w:val="00005DD3"/>
    <w:rsid w:val="00005E5F"/>
    <w:rsid w:val="0000664C"/>
    <w:rsid w:val="00006D3A"/>
    <w:rsid w:val="000103C6"/>
    <w:rsid w:val="00010594"/>
    <w:rsid w:val="00010AC2"/>
    <w:rsid w:val="00010D02"/>
    <w:rsid w:val="00010E3B"/>
    <w:rsid w:val="000110FC"/>
    <w:rsid w:val="00012594"/>
    <w:rsid w:val="00012697"/>
    <w:rsid w:val="000126D5"/>
    <w:rsid w:val="00012AE5"/>
    <w:rsid w:val="000131BF"/>
    <w:rsid w:val="00014AB5"/>
    <w:rsid w:val="00014CBD"/>
    <w:rsid w:val="00015093"/>
    <w:rsid w:val="00015EA0"/>
    <w:rsid w:val="000168D5"/>
    <w:rsid w:val="0001759A"/>
    <w:rsid w:val="00017F2F"/>
    <w:rsid w:val="00020A4C"/>
    <w:rsid w:val="00020BBB"/>
    <w:rsid w:val="00020EB8"/>
    <w:rsid w:val="00021B00"/>
    <w:rsid w:val="000223BC"/>
    <w:rsid w:val="000229F8"/>
    <w:rsid w:val="00023DBE"/>
    <w:rsid w:val="00024311"/>
    <w:rsid w:val="000252F6"/>
    <w:rsid w:val="000259A3"/>
    <w:rsid w:val="00025D31"/>
    <w:rsid w:val="00026429"/>
    <w:rsid w:val="000304AA"/>
    <w:rsid w:val="00030DD8"/>
    <w:rsid w:val="00031371"/>
    <w:rsid w:val="000322F7"/>
    <w:rsid w:val="0003325F"/>
    <w:rsid w:val="000333FC"/>
    <w:rsid w:val="00033E15"/>
    <w:rsid w:val="0003447E"/>
    <w:rsid w:val="000355EF"/>
    <w:rsid w:val="00036B8B"/>
    <w:rsid w:val="00036F20"/>
    <w:rsid w:val="00036FA9"/>
    <w:rsid w:val="0003700A"/>
    <w:rsid w:val="00037539"/>
    <w:rsid w:val="00037B62"/>
    <w:rsid w:val="00040B64"/>
    <w:rsid w:val="00043136"/>
    <w:rsid w:val="0004353E"/>
    <w:rsid w:val="00043890"/>
    <w:rsid w:val="00043BEA"/>
    <w:rsid w:val="000460FA"/>
    <w:rsid w:val="00046485"/>
    <w:rsid w:val="00046A9C"/>
    <w:rsid w:val="00046F16"/>
    <w:rsid w:val="00047B64"/>
    <w:rsid w:val="00047F37"/>
    <w:rsid w:val="00050386"/>
    <w:rsid w:val="00050826"/>
    <w:rsid w:val="0005168D"/>
    <w:rsid w:val="0005184B"/>
    <w:rsid w:val="00051E17"/>
    <w:rsid w:val="000545E9"/>
    <w:rsid w:val="00054853"/>
    <w:rsid w:val="000557AA"/>
    <w:rsid w:val="00056D72"/>
    <w:rsid w:val="0006190F"/>
    <w:rsid w:val="000634BA"/>
    <w:rsid w:val="0006455B"/>
    <w:rsid w:val="00064F1A"/>
    <w:rsid w:val="000659E3"/>
    <w:rsid w:val="00065C8A"/>
    <w:rsid w:val="00065E17"/>
    <w:rsid w:val="000663B6"/>
    <w:rsid w:val="000668A7"/>
    <w:rsid w:val="00066920"/>
    <w:rsid w:val="00066A45"/>
    <w:rsid w:val="00067578"/>
    <w:rsid w:val="00067C76"/>
    <w:rsid w:val="00067D21"/>
    <w:rsid w:val="000708ED"/>
    <w:rsid w:val="00070A50"/>
    <w:rsid w:val="000725FD"/>
    <w:rsid w:val="0007394A"/>
    <w:rsid w:val="00074833"/>
    <w:rsid w:val="00074DF6"/>
    <w:rsid w:val="0007578A"/>
    <w:rsid w:val="00075F4D"/>
    <w:rsid w:val="0007603D"/>
    <w:rsid w:val="00076642"/>
    <w:rsid w:val="0007688C"/>
    <w:rsid w:val="00076EDC"/>
    <w:rsid w:val="00076EEB"/>
    <w:rsid w:val="00080BC4"/>
    <w:rsid w:val="00081950"/>
    <w:rsid w:val="00081F0D"/>
    <w:rsid w:val="0008231D"/>
    <w:rsid w:val="00082A95"/>
    <w:rsid w:val="00083D2B"/>
    <w:rsid w:val="00083D3F"/>
    <w:rsid w:val="00084C16"/>
    <w:rsid w:val="000852F0"/>
    <w:rsid w:val="00085FA0"/>
    <w:rsid w:val="00087079"/>
    <w:rsid w:val="000872FF"/>
    <w:rsid w:val="00087F63"/>
    <w:rsid w:val="000904FE"/>
    <w:rsid w:val="00091432"/>
    <w:rsid w:val="0009194F"/>
    <w:rsid w:val="00094FC0"/>
    <w:rsid w:val="000951A0"/>
    <w:rsid w:val="0009571E"/>
    <w:rsid w:val="000957E8"/>
    <w:rsid w:val="00096A91"/>
    <w:rsid w:val="00096FA6"/>
    <w:rsid w:val="00097958"/>
    <w:rsid w:val="00097EDB"/>
    <w:rsid w:val="000A06AF"/>
    <w:rsid w:val="000A0790"/>
    <w:rsid w:val="000A1897"/>
    <w:rsid w:val="000A23BD"/>
    <w:rsid w:val="000A2508"/>
    <w:rsid w:val="000A2B49"/>
    <w:rsid w:val="000A32C5"/>
    <w:rsid w:val="000A376C"/>
    <w:rsid w:val="000A3E49"/>
    <w:rsid w:val="000A4838"/>
    <w:rsid w:val="000A62ED"/>
    <w:rsid w:val="000A663F"/>
    <w:rsid w:val="000A71A7"/>
    <w:rsid w:val="000A7404"/>
    <w:rsid w:val="000B0F5C"/>
    <w:rsid w:val="000B3329"/>
    <w:rsid w:val="000B454C"/>
    <w:rsid w:val="000B5729"/>
    <w:rsid w:val="000B77EB"/>
    <w:rsid w:val="000B78A1"/>
    <w:rsid w:val="000C043D"/>
    <w:rsid w:val="000C0AA5"/>
    <w:rsid w:val="000C0FDE"/>
    <w:rsid w:val="000C14EC"/>
    <w:rsid w:val="000C23DB"/>
    <w:rsid w:val="000C26DE"/>
    <w:rsid w:val="000C2862"/>
    <w:rsid w:val="000C341C"/>
    <w:rsid w:val="000C3D99"/>
    <w:rsid w:val="000C3DB9"/>
    <w:rsid w:val="000C424D"/>
    <w:rsid w:val="000C49FC"/>
    <w:rsid w:val="000C57B4"/>
    <w:rsid w:val="000C5B9C"/>
    <w:rsid w:val="000C68AC"/>
    <w:rsid w:val="000D0CC3"/>
    <w:rsid w:val="000D17B5"/>
    <w:rsid w:val="000D33CF"/>
    <w:rsid w:val="000D3E33"/>
    <w:rsid w:val="000D4370"/>
    <w:rsid w:val="000D447C"/>
    <w:rsid w:val="000D4966"/>
    <w:rsid w:val="000D4EAF"/>
    <w:rsid w:val="000D530D"/>
    <w:rsid w:val="000D5373"/>
    <w:rsid w:val="000D5D06"/>
    <w:rsid w:val="000D6773"/>
    <w:rsid w:val="000D7CCC"/>
    <w:rsid w:val="000D7DFD"/>
    <w:rsid w:val="000E0B59"/>
    <w:rsid w:val="000E0D8D"/>
    <w:rsid w:val="000E1568"/>
    <w:rsid w:val="000E20B6"/>
    <w:rsid w:val="000E3C04"/>
    <w:rsid w:val="000E4AA1"/>
    <w:rsid w:val="000E5052"/>
    <w:rsid w:val="000E5884"/>
    <w:rsid w:val="000E6071"/>
    <w:rsid w:val="000E67A9"/>
    <w:rsid w:val="000E67C4"/>
    <w:rsid w:val="000F0D8B"/>
    <w:rsid w:val="000F22BD"/>
    <w:rsid w:val="000F2458"/>
    <w:rsid w:val="000F2674"/>
    <w:rsid w:val="000F27E5"/>
    <w:rsid w:val="000F329B"/>
    <w:rsid w:val="000F3D83"/>
    <w:rsid w:val="000F4E11"/>
    <w:rsid w:val="000F57F2"/>
    <w:rsid w:val="000F5EAA"/>
    <w:rsid w:val="000F613B"/>
    <w:rsid w:val="000F67B2"/>
    <w:rsid w:val="000F6BAA"/>
    <w:rsid w:val="000F6E1F"/>
    <w:rsid w:val="000F7143"/>
    <w:rsid w:val="000F798F"/>
    <w:rsid w:val="000F79D2"/>
    <w:rsid w:val="00100DF6"/>
    <w:rsid w:val="001011E8"/>
    <w:rsid w:val="001013CF"/>
    <w:rsid w:val="00101AFB"/>
    <w:rsid w:val="00101DF5"/>
    <w:rsid w:val="00102289"/>
    <w:rsid w:val="001022FF"/>
    <w:rsid w:val="00102593"/>
    <w:rsid w:val="00103137"/>
    <w:rsid w:val="00103270"/>
    <w:rsid w:val="0010487B"/>
    <w:rsid w:val="00104B52"/>
    <w:rsid w:val="00104ECF"/>
    <w:rsid w:val="00106077"/>
    <w:rsid w:val="001061FD"/>
    <w:rsid w:val="001067F8"/>
    <w:rsid w:val="0010715D"/>
    <w:rsid w:val="001114D3"/>
    <w:rsid w:val="00112476"/>
    <w:rsid w:val="001124D0"/>
    <w:rsid w:val="00112A8D"/>
    <w:rsid w:val="00112FF8"/>
    <w:rsid w:val="00113AC8"/>
    <w:rsid w:val="001145FF"/>
    <w:rsid w:val="001147D9"/>
    <w:rsid w:val="00114BDC"/>
    <w:rsid w:val="001157B5"/>
    <w:rsid w:val="00115856"/>
    <w:rsid w:val="00115E30"/>
    <w:rsid w:val="00116EBE"/>
    <w:rsid w:val="001175AD"/>
    <w:rsid w:val="00117D9A"/>
    <w:rsid w:val="00120156"/>
    <w:rsid w:val="001205D4"/>
    <w:rsid w:val="00120C15"/>
    <w:rsid w:val="00120C81"/>
    <w:rsid w:val="00121083"/>
    <w:rsid w:val="0012255B"/>
    <w:rsid w:val="00122B97"/>
    <w:rsid w:val="00124FBF"/>
    <w:rsid w:val="00125AB4"/>
    <w:rsid w:val="00126868"/>
    <w:rsid w:val="0012733A"/>
    <w:rsid w:val="00130CBF"/>
    <w:rsid w:val="00131441"/>
    <w:rsid w:val="00131873"/>
    <w:rsid w:val="00131B2E"/>
    <w:rsid w:val="001325F8"/>
    <w:rsid w:val="00133B35"/>
    <w:rsid w:val="00134B5E"/>
    <w:rsid w:val="0013538B"/>
    <w:rsid w:val="001353B4"/>
    <w:rsid w:val="00135B78"/>
    <w:rsid w:val="00135DC4"/>
    <w:rsid w:val="00136978"/>
    <w:rsid w:val="00136A78"/>
    <w:rsid w:val="00136BA3"/>
    <w:rsid w:val="0013737C"/>
    <w:rsid w:val="00137787"/>
    <w:rsid w:val="00137910"/>
    <w:rsid w:val="00137F4E"/>
    <w:rsid w:val="00141039"/>
    <w:rsid w:val="0014202E"/>
    <w:rsid w:val="001429FB"/>
    <w:rsid w:val="00142B7A"/>
    <w:rsid w:val="0014381D"/>
    <w:rsid w:val="00143AC6"/>
    <w:rsid w:val="001446B8"/>
    <w:rsid w:val="00144903"/>
    <w:rsid w:val="001463B7"/>
    <w:rsid w:val="00147C25"/>
    <w:rsid w:val="0015049E"/>
    <w:rsid w:val="0015055A"/>
    <w:rsid w:val="001509ED"/>
    <w:rsid w:val="0015104A"/>
    <w:rsid w:val="0015171C"/>
    <w:rsid w:val="001518E9"/>
    <w:rsid w:val="0015363E"/>
    <w:rsid w:val="00153B4E"/>
    <w:rsid w:val="001543A8"/>
    <w:rsid w:val="00155F41"/>
    <w:rsid w:val="001562DD"/>
    <w:rsid w:val="001564E4"/>
    <w:rsid w:val="00156780"/>
    <w:rsid w:val="00156836"/>
    <w:rsid w:val="00156906"/>
    <w:rsid w:val="00156FE4"/>
    <w:rsid w:val="00157662"/>
    <w:rsid w:val="00160B0A"/>
    <w:rsid w:val="001618BC"/>
    <w:rsid w:val="00161F23"/>
    <w:rsid w:val="001620CF"/>
    <w:rsid w:val="00162A66"/>
    <w:rsid w:val="00162FA3"/>
    <w:rsid w:val="00163039"/>
    <w:rsid w:val="001635C0"/>
    <w:rsid w:val="001646DE"/>
    <w:rsid w:val="00164771"/>
    <w:rsid w:val="001656F1"/>
    <w:rsid w:val="001675B3"/>
    <w:rsid w:val="0017038C"/>
    <w:rsid w:val="001704C3"/>
    <w:rsid w:val="00170C60"/>
    <w:rsid w:val="001713CC"/>
    <w:rsid w:val="00171C23"/>
    <w:rsid w:val="00172EB1"/>
    <w:rsid w:val="00174413"/>
    <w:rsid w:val="0017460F"/>
    <w:rsid w:val="00174D60"/>
    <w:rsid w:val="00175F26"/>
    <w:rsid w:val="00176271"/>
    <w:rsid w:val="001777EC"/>
    <w:rsid w:val="00177D04"/>
    <w:rsid w:val="00177E23"/>
    <w:rsid w:val="0018045D"/>
    <w:rsid w:val="00180702"/>
    <w:rsid w:val="00180990"/>
    <w:rsid w:val="00180F37"/>
    <w:rsid w:val="001810B8"/>
    <w:rsid w:val="001815FD"/>
    <w:rsid w:val="00181AC0"/>
    <w:rsid w:val="001822FB"/>
    <w:rsid w:val="00182C39"/>
    <w:rsid w:val="00182CF4"/>
    <w:rsid w:val="001832D6"/>
    <w:rsid w:val="001840C3"/>
    <w:rsid w:val="001843A0"/>
    <w:rsid w:val="00185158"/>
    <w:rsid w:val="00185C81"/>
    <w:rsid w:val="00185ED4"/>
    <w:rsid w:val="00185F76"/>
    <w:rsid w:val="001866C7"/>
    <w:rsid w:val="00187269"/>
    <w:rsid w:val="001872B5"/>
    <w:rsid w:val="001918FD"/>
    <w:rsid w:val="001927F7"/>
    <w:rsid w:val="00192A19"/>
    <w:rsid w:val="001941C0"/>
    <w:rsid w:val="0019435A"/>
    <w:rsid w:val="001946B0"/>
    <w:rsid w:val="001950AD"/>
    <w:rsid w:val="001957AC"/>
    <w:rsid w:val="00195E14"/>
    <w:rsid w:val="001960AF"/>
    <w:rsid w:val="001965C1"/>
    <w:rsid w:val="00197206"/>
    <w:rsid w:val="00197552"/>
    <w:rsid w:val="001A005C"/>
    <w:rsid w:val="001A01D5"/>
    <w:rsid w:val="001A1A3D"/>
    <w:rsid w:val="001A215C"/>
    <w:rsid w:val="001A358E"/>
    <w:rsid w:val="001A37FA"/>
    <w:rsid w:val="001A3B49"/>
    <w:rsid w:val="001A4A8C"/>
    <w:rsid w:val="001A4C15"/>
    <w:rsid w:val="001A520B"/>
    <w:rsid w:val="001A567B"/>
    <w:rsid w:val="001A5A4C"/>
    <w:rsid w:val="001B002A"/>
    <w:rsid w:val="001B02D9"/>
    <w:rsid w:val="001B1745"/>
    <w:rsid w:val="001B293A"/>
    <w:rsid w:val="001B2A89"/>
    <w:rsid w:val="001B395D"/>
    <w:rsid w:val="001B436C"/>
    <w:rsid w:val="001B51BA"/>
    <w:rsid w:val="001B5CFE"/>
    <w:rsid w:val="001B666E"/>
    <w:rsid w:val="001B6C8F"/>
    <w:rsid w:val="001B7EFE"/>
    <w:rsid w:val="001B7F9B"/>
    <w:rsid w:val="001C22FA"/>
    <w:rsid w:val="001C3781"/>
    <w:rsid w:val="001C378B"/>
    <w:rsid w:val="001C3FFA"/>
    <w:rsid w:val="001C44F0"/>
    <w:rsid w:val="001C4DA4"/>
    <w:rsid w:val="001C539B"/>
    <w:rsid w:val="001C5C9B"/>
    <w:rsid w:val="001C5E3E"/>
    <w:rsid w:val="001C6909"/>
    <w:rsid w:val="001C69F5"/>
    <w:rsid w:val="001D03EF"/>
    <w:rsid w:val="001D0700"/>
    <w:rsid w:val="001D267C"/>
    <w:rsid w:val="001D3E38"/>
    <w:rsid w:val="001D3F82"/>
    <w:rsid w:val="001D54BB"/>
    <w:rsid w:val="001D63B6"/>
    <w:rsid w:val="001D6649"/>
    <w:rsid w:val="001D6F08"/>
    <w:rsid w:val="001E06A3"/>
    <w:rsid w:val="001E09EA"/>
    <w:rsid w:val="001E0DA0"/>
    <w:rsid w:val="001E1845"/>
    <w:rsid w:val="001E3389"/>
    <w:rsid w:val="001E4083"/>
    <w:rsid w:val="001E41D5"/>
    <w:rsid w:val="001E4645"/>
    <w:rsid w:val="001E5412"/>
    <w:rsid w:val="001E5CAF"/>
    <w:rsid w:val="001E6C66"/>
    <w:rsid w:val="001E7B12"/>
    <w:rsid w:val="001F1390"/>
    <w:rsid w:val="001F160B"/>
    <w:rsid w:val="001F1763"/>
    <w:rsid w:val="001F1CB0"/>
    <w:rsid w:val="001F1F33"/>
    <w:rsid w:val="001F4580"/>
    <w:rsid w:val="001F53BD"/>
    <w:rsid w:val="001F63DB"/>
    <w:rsid w:val="001F6E93"/>
    <w:rsid w:val="001F740E"/>
    <w:rsid w:val="002021D6"/>
    <w:rsid w:val="0020382C"/>
    <w:rsid w:val="00203992"/>
    <w:rsid w:val="00203E56"/>
    <w:rsid w:val="00203E9A"/>
    <w:rsid w:val="00205207"/>
    <w:rsid w:val="00205D3C"/>
    <w:rsid w:val="002068CE"/>
    <w:rsid w:val="002106BE"/>
    <w:rsid w:val="00210C0E"/>
    <w:rsid w:val="00210DCA"/>
    <w:rsid w:val="00211C6F"/>
    <w:rsid w:val="0021250E"/>
    <w:rsid w:val="00212FC3"/>
    <w:rsid w:val="0021344F"/>
    <w:rsid w:val="0021361E"/>
    <w:rsid w:val="00213C2F"/>
    <w:rsid w:val="00214D75"/>
    <w:rsid w:val="00215293"/>
    <w:rsid w:val="00215316"/>
    <w:rsid w:val="00215E7D"/>
    <w:rsid w:val="0021757C"/>
    <w:rsid w:val="00217A02"/>
    <w:rsid w:val="00217D4F"/>
    <w:rsid w:val="00217DC2"/>
    <w:rsid w:val="0022004B"/>
    <w:rsid w:val="0022171D"/>
    <w:rsid w:val="0022297F"/>
    <w:rsid w:val="0022311E"/>
    <w:rsid w:val="00223A2F"/>
    <w:rsid w:val="00224CBA"/>
    <w:rsid w:val="002255B8"/>
    <w:rsid w:val="0022566B"/>
    <w:rsid w:val="00226293"/>
    <w:rsid w:val="0022656F"/>
    <w:rsid w:val="00226F55"/>
    <w:rsid w:val="002274C8"/>
    <w:rsid w:val="00227A36"/>
    <w:rsid w:val="00227ECA"/>
    <w:rsid w:val="00230281"/>
    <w:rsid w:val="002309D3"/>
    <w:rsid w:val="00231FA7"/>
    <w:rsid w:val="00232402"/>
    <w:rsid w:val="00232882"/>
    <w:rsid w:val="00232C30"/>
    <w:rsid w:val="002338C2"/>
    <w:rsid w:val="0023414C"/>
    <w:rsid w:val="00234C19"/>
    <w:rsid w:val="00234F4E"/>
    <w:rsid w:val="00235BA9"/>
    <w:rsid w:val="00236180"/>
    <w:rsid w:val="00236700"/>
    <w:rsid w:val="00236F07"/>
    <w:rsid w:val="002379A1"/>
    <w:rsid w:val="00240666"/>
    <w:rsid w:val="00240E0B"/>
    <w:rsid w:val="00240F0E"/>
    <w:rsid w:val="002413EF"/>
    <w:rsid w:val="0024470C"/>
    <w:rsid w:val="00244997"/>
    <w:rsid w:val="00244E1A"/>
    <w:rsid w:val="00246DD8"/>
    <w:rsid w:val="00246FA5"/>
    <w:rsid w:val="0024765C"/>
    <w:rsid w:val="00250109"/>
    <w:rsid w:val="00250318"/>
    <w:rsid w:val="0025035C"/>
    <w:rsid w:val="002513C1"/>
    <w:rsid w:val="002527F8"/>
    <w:rsid w:val="00252EA5"/>
    <w:rsid w:val="002531A7"/>
    <w:rsid w:val="0025392E"/>
    <w:rsid w:val="0025477C"/>
    <w:rsid w:val="00256255"/>
    <w:rsid w:val="002564A0"/>
    <w:rsid w:val="00256A38"/>
    <w:rsid w:val="00256AC1"/>
    <w:rsid w:val="00256E6D"/>
    <w:rsid w:val="00257861"/>
    <w:rsid w:val="00260118"/>
    <w:rsid w:val="00260E64"/>
    <w:rsid w:val="00261369"/>
    <w:rsid w:val="002628B8"/>
    <w:rsid w:val="00263D6A"/>
    <w:rsid w:val="00264E13"/>
    <w:rsid w:val="002655FD"/>
    <w:rsid w:val="00265698"/>
    <w:rsid w:val="0026580E"/>
    <w:rsid w:val="002661CE"/>
    <w:rsid w:val="00266634"/>
    <w:rsid w:val="002667EC"/>
    <w:rsid w:val="0026752A"/>
    <w:rsid w:val="00267B87"/>
    <w:rsid w:val="00267CAA"/>
    <w:rsid w:val="00270D80"/>
    <w:rsid w:val="00270F5C"/>
    <w:rsid w:val="002713F1"/>
    <w:rsid w:val="00271F24"/>
    <w:rsid w:val="00272AF9"/>
    <w:rsid w:val="00272EDB"/>
    <w:rsid w:val="002730EF"/>
    <w:rsid w:val="002744C4"/>
    <w:rsid w:val="00275BC6"/>
    <w:rsid w:val="0027619D"/>
    <w:rsid w:val="0027652D"/>
    <w:rsid w:val="0027666C"/>
    <w:rsid w:val="00277286"/>
    <w:rsid w:val="00277867"/>
    <w:rsid w:val="00280924"/>
    <w:rsid w:val="00280C08"/>
    <w:rsid w:val="00281353"/>
    <w:rsid w:val="00281B92"/>
    <w:rsid w:val="00281C48"/>
    <w:rsid w:val="00281E7B"/>
    <w:rsid w:val="00281F3A"/>
    <w:rsid w:val="00281F4A"/>
    <w:rsid w:val="0028200A"/>
    <w:rsid w:val="00282170"/>
    <w:rsid w:val="0028278C"/>
    <w:rsid w:val="0028478E"/>
    <w:rsid w:val="00284C37"/>
    <w:rsid w:val="002855B8"/>
    <w:rsid w:val="002866B2"/>
    <w:rsid w:val="00286C44"/>
    <w:rsid w:val="0029047C"/>
    <w:rsid w:val="00290669"/>
    <w:rsid w:val="00290AD7"/>
    <w:rsid w:val="00291700"/>
    <w:rsid w:val="0029180E"/>
    <w:rsid w:val="00291C6B"/>
    <w:rsid w:val="00291E2F"/>
    <w:rsid w:val="0029320E"/>
    <w:rsid w:val="00293720"/>
    <w:rsid w:val="0029410C"/>
    <w:rsid w:val="00294321"/>
    <w:rsid w:val="00295D1D"/>
    <w:rsid w:val="00296CC1"/>
    <w:rsid w:val="002A2430"/>
    <w:rsid w:val="002A2B91"/>
    <w:rsid w:val="002A2D2B"/>
    <w:rsid w:val="002A2D72"/>
    <w:rsid w:val="002A36F5"/>
    <w:rsid w:val="002A378E"/>
    <w:rsid w:val="002A3977"/>
    <w:rsid w:val="002A491E"/>
    <w:rsid w:val="002A4B32"/>
    <w:rsid w:val="002A6408"/>
    <w:rsid w:val="002A7484"/>
    <w:rsid w:val="002A7CED"/>
    <w:rsid w:val="002B0A5A"/>
    <w:rsid w:val="002B1AED"/>
    <w:rsid w:val="002B24BC"/>
    <w:rsid w:val="002B3194"/>
    <w:rsid w:val="002B31B7"/>
    <w:rsid w:val="002B69AC"/>
    <w:rsid w:val="002B79A0"/>
    <w:rsid w:val="002B7E80"/>
    <w:rsid w:val="002C05CA"/>
    <w:rsid w:val="002C09FE"/>
    <w:rsid w:val="002C1B98"/>
    <w:rsid w:val="002C2CD9"/>
    <w:rsid w:val="002C2F14"/>
    <w:rsid w:val="002C2F27"/>
    <w:rsid w:val="002C4091"/>
    <w:rsid w:val="002C57AF"/>
    <w:rsid w:val="002C5ED8"/>
    <w:rsid w:val="002C633B"/>
    <w:rsid w:val="002C641B"/>
    <w:rsid w:val="002C6881"/>
    <w:rsid w:val="002C713F"/>
    <w:rsid w:val="002D14F3"/>
    <w:rsid w:val="002D2034"/>
    <w:rsid w:val="002D21F9"/>
    <w:rsid w:val="002D2242"/>
    <w:rsid w:val="002D2524"/>
    <w:rsid w:val="002D2686"/>
    <w:rsid w:val="002D328C"/>
    <w:rsid w:val="002D345D"/>
    <w:rsid w:val="002D371D"/>
    <w:rsid w:val="002D52CA"/>
    <w:rsid w:val="002D70C9"/>
    <w:rsid w:val="002D7D28"/>
    <w:rsid w:val="002E0E69"/>
    <w:rsid w:val="002E0FAD"/>
    <w:rsid w:val="002E2ECD"/>
    <w:rsid w:val="002E3997"/>
    <w:rsid w:val="002E41DB"/>
    <w:rsid w:val="002E58CC"/>
    <w:rsid w:val="002E60B7"/>
    <w:rsid w:val="002E646D"/>
    <w:rsid w:val="002E6925"/>
    <w:rsid w:val="002E74F3"/>
    <w:rsid w:val="002E75C1"/>
    <w:rsid w:val="002E7878"/>
    <w:rsid w:val="002E7A5F"/>
    <w:rsid w:val="002E7E9D"/>
    <w:rsid w:val="002F1436"/>
    <w:rsid w:val="002F1BE1"/>
    <w:rsid w:val="002F1E2B"/>
    <w:rsid w:val="002F2C64"/>
    <w:rsid w:val="002F3865"/>
    <w:rsid w:val="002F3DAD"/>
    <w:rsid w:val="002F3E8A"/>
    <w:rsid w:val="002F3F5A"/>
    <w:rsid w:val="002F40DE"/>
    <w:rsid w:val="002F5141"/>
    <w:rsid w:val="002F54B3"/>
    <w:rsid w:val="002F5974"/>
    <w:rsid w:val="002F5F3C"/>
    <w:rsid w:val="002F70B3"/>
    <w:rsid w:val="002F7423"/>
    <w:rsid w:val="00301316"/>
    <w:rsid w:val="0030191E"/>
    <w:rsid w:val="00301A5D"/>
    <w:rsid w:val="00302C0F"/>
    <w:rsid w:val="00303311"/>
    <w:rsid w:val="00303483"/>
    <w:rsid w:val="00304410"/>
    <w:rsid w:val="00304E9B"/>
    <w:rsid w:val="003056DA"/>
    <w:rsid w:val="0030674A"/>
    <w:rsid w:val="00306E0C"/>
    <w:rsid w:val="0030705E"/>
    <w:rsid w:val="00307884"/>
    <w:rsid w:val="00307EB0"/>
    <w:rsid w:val="00311001"/>
    <w:rsid w:val="00311408"/>
    <w:rsid w:val="003119A4"/>
    <w:rsid w:val="0031272D"/>
    <w:rsid w:val="00312CC5"/>
    <w:rsid w:val="00312D99"/>
    <w:rsid w:val="00314EC5"/>
    <w:rsid w:val="00315160"/>
    <w:rsid w:val="0031535A"/>
    <w:rsid w:val="00315E68"/>
    <w:rsid w:val="00315FBC"/>
    <w:rsid w:val="0031628D"/>
    <w:rsid w:val="00316643"/>
    <w:rsid w:val="00317025"/>
    <w:rsid w:val="00317558"/>
    <w:rsid w:val="003178E7"/>
    <w:rsid w:val="003179B4"/>
    <w:rsid w:val="00317DD7"/>
    <w:rsid w:val="00317F15"/>
    <w:rsid w:val="0032042D"/>
    <w:rsid w:val="00320845"/>
    <w:rsid w:val="00320DF1"/>
    <w:rsid w:val="00320FAC"/>
    <w:rsid w:val="00323632"/>
    <w:rsid w:val="00323B2A"/>
    <w:rsid w:val="00325046"/>
    <w:rsid w:val="0032537D"/>
    <w:rsid w:val="00325A2A"/>
    <w:rsid w:val="00326AD4"/>
    <w:rsid w:val="00327137"/>
    <w:rsid w:val="00327BE4"/>
    <w:rsid w:val="0033292C"/>
    <w:rsid w:val="00333542"/>
    <w:rsid w:val="0033369D"/>
    <w:rsid w:val="003338BA"/>
    <w:rsid w:val="003341D1"/>
    <w:rsid w:val="00334F23"/>
    <w:rsid w:val="003350CD"/>
    <w:rsid w:val="003353D9"/>
    <w:rsid w:val="00335974"/>
    <w:rsid w:val="003359CD"/>
    <w:rsid w:val="00335AE3"/>
    <w:rsid w:val="00335BB7"/>
    <w:rsid w:val="0033678D"/>
    <w:rsid w:val="00336E59"/>
    <w:rsid w:val="00337062"/>
    <w:rsid w:val="00340185"/>
    <w:rsid w:val="003416C1"/>
    <w:rsid w:val="00341780"/>
    <w:rsid w:val="00341D1C"/>
    <w:rsid w:val="00342414"/>
    <w:rsid w:val="00342EC8"/>
    <w:rsid w:val="00342FCB"/>
    <w:rsid w:val="00345253"/>
    <w:rsid w:val="00346C0F"/>
    <w:rsid w:val="00347592"/>
    <w:rsid w:val="003476CF"/>
    <w:rsid w:val="0035120C"/>
    <w:rsid w:val="0035122C"/>
    <w:rsid w:val="00351378"/>
    <w:rsid w:val="0035210F"/>
    <w:rsid w:val="00352BAE"/>
    <w:rsid w:val="0035351B"/>
    <w:rsid w:val="00354D80"/>
    <w:rsid w:val="003550C9"/>
    <w:rsid w:val="003600A8"/>
    <w:rsid w:val="00360158"/>
    <w:rsid w:val="003602D7"/>
    <w:rsid w:val="00360811"/>
    <w:rsid w:val="00361490"/>
    <w:rsid w:val="00361620"/>
    <w:rsid w:val="003620FF"/>
    <w:rsid w:val="0036217C"/>
    <w:rsid w:val="003626C9"/>
    <w:rsid w:val="00362CC2"/>
    <w:rsid w:val="00363BD0"/>
    <w:rsid w:val="00363E21"/>
    <w:rsid w:val="003645BA"/>
    <w:rsid w:val="00364900"/>
    <w:rsid w:val="0036770A"/>
    <w:rsid w:val="00367D89"/>
    <w:rsid w:val="00367E22"/>
    <w:rsid w:val="00371042"/>
    <w:rsid w:val="003716A8"/>
    <w:rsid w:val="00371BB8"/>
    <w:rsid w:val="003721BF"/>
    <w:rsid w:val="00372A0A"/>
    <w:rsid w:val="00372D99"/>
    <w:rsid w:val="003753AE"/>
    <w:rsid w:val="00375984"/>
    <w:rsid w:val="003778DB"/>
    <w:rsid w:val="003825D3"/>
    <w:rsid w:val="003836CF"/>
    <w:rsid w:val="00384460"/>
    <w:rsid w:val="003847F4"/>
    <w:rsid w:val="00384ED8"/>
    <w:rsid w:val="0039038C"/>
    <w:rsid w:val="0039082F"/>
    <w:rsid w:val="00390B4C"/>
    <w:rsid w:val="00391B01"/>
    <w:rsid w:val="00391F47"/>
    <w:rsid w:val="00392369"/>
    <w:rsid w:val="0039314E"/>
    <w:rsid w:val="00394046"/>
    <w:rsid w:val="00394B58"/>
    <w:rsid w:val="00394D02"/>
    <w:rsid w:val="00395068"/>
    <w:rsid w:val="0039575C"/>
    <w:rsid w:val="00395F85"/>
    <w:rsid w:val="00396A40"/>
    <w:rsid w:val="00396C39"/>
    <w:rsid w:val="003A14B5"/>
    <w:rsid w:val="003A1D0F"/>
    <w:rsid w:val="003A356F"/>
    <w:rsid w:val="003A3BC5"/>
    <w:rsid w:val="003A511E"/>
    <w:rsid w:val="003A54D1"/>
    <w:rsid w:val="003A624B"/>
    <w:rsid w:val="003A6718"/>
    <w:rsid w:val="003A6E58"/>
    <w:rsid w:val="003A7057"/>
    <w:rsid w:val="003A74E4"/>
    <w:rsid w:val="003A7C16"/>
    <w:rsid w:val="003A7D96"/>
    <w:rsid w:val="003B10CC"/>
    <w:rsid w:val="003B233A"/>
    <w:rsid w:val="003B254D"/>
    <w:rsid w:val="003B29E2"/>
    <w:rsid w:val="003B428C"/>
    <w:rsid w:val="003B5398"/>
    <w:rsid w:val="003B54A1"/>
    <w:rsid w:val="003B5548"/>
    <w:rsid w:val="003B625C"/>
    <w:rsid w:val="003C0B72"/>
    <w:rsid w:val="003C0D4F"/>
    <w:rsid w:val="003C17CF"/>
    <w:rsid w:val="003C2CBA"/>
    <w:rsid w:val="003C33C8"/>
    <w:rsid w:val="003C4F89"/>
    <w:rsid w:val="003C69DC"/>
    <w:rsid w:val="003C73F0"/>
    <w:rsid w:val="003D0433"/>
    <w:rsid w:val="003D0907"/>
    <w:rsid w:val="003D1338"/>
    <w:rsid w:val="003D15A7"/>
    <w:rsid w:val="003D1DB9"/>
    <w:rsid w:val="003D2543"/>
    <w:rsid w:val="003D362A"/>
    <w:rsid w:val="003D37D6"/>
    <w:rsid w:val="003D3EB2"/>
    <w:rsid w:val="003D4116"/>
    <w:rsid w:val="003D478B"/>
    <w:rsid w:val="003D5632"/>
    <w:rsid w:val="003D6E8C"/>
    <w:rsid w:val="003E01A3"/>
    <w:rsid w:val="003E0A14"/>
    <w:rsid w:val="003E29F3"/>
    <w:rsid w:val="003E2EFF"/>
    <w:rsid w:val="003E38BA"/>
    <w:rsid w:val="003E4371"/>
    <w:rsid w:val="003E4FE8"/>
    <w:rsid w:val="003E625D"/>
    <w:rsid w:val="003E6DDA"/>
    <w:rsid w:val="003F079D"/>
    <w:rsid w:val="003F0F7C"/>
    <w:rsid w:val="003F1168"/>
    <w:rsid w:val="003F1694"/>
    <w:rsid w:val="003F1D77"/>
    <w:rsid w:val="003F2560"/>
    <w:rsid w:val="003F265E"/>
    <w:rsid w:val="003F2B7A"/>
    <w:rsid w:val="003F2DB7"/>
    <w:rsid w:val="003F33E3"/>
    <w:rsid w:val="003F3573"/>
    <w:rsid w:val="003F3F47"/>
    <w:rsid w:val="003F5592"/>
    <w:rsid w:val="003F59CF"/>
    <w:rsid w:val="003F5CB9"/>
    <w:rsid w:val="003F5EE2"/>
    <w:rsid w:val="003F6350"/>
    <w:rsid w:val="003F6697"/>
    <w:rsid w:val="003F69BC"/>
    <w:rsid w:val="003F6A94"/>
    <w:rsid w:val="003F7C15"/>
    <w:rsid w:val="004007E9"/>
    <w:rsid w:val="00401F29"/>
    <w:rsid w:val="00402BAC"/>
    <w:rsid w:val="00402C5B"/>
    <w:rsid w:val="004035E8"/>
    <w:rsid w:val="00403EB8"/>
    <w:rsid w:val="00403F6A"/>
    <w:rsid w:val="00404AB0"/>
    <w:rsid w:val="0040626E"/>
    <w:rsid w:val="004064B1"/>
    <w:rsid w:val="00407F9E"/>
    <w:rsid w:val="00410A60"/>
    <w:rsid w:val="00411309"/>
    <w:rsid w:val="00411627"/>
    <w:rsid w:val="00411729"/>
    <w:rsid w:val="00411A0F"/>
    <w:rsid w:val="004134DE"/>
    <w:rsid w:val="0041385B"/>
    <w:rsid w:val="00414B52"/>
    <w:rsid w:val="00415E35"/>
    <w:rsid w:val="00416754"/>
    <w:rsid w:val="004174BE"/>
    <w:rsid w:val="00422854"/>
    <w:rsid w:val="00422D91"/>
    <w:rsid w:val="00424B7B"/>
    <w:rsid w:val="00427B38"/>
    <w:rsid w:val="00430F0C"/>
    <w:rsid w:val="0043111B"/>
    <w:rsid w:val="00431E32"/>
    <w:rsid w:val="0043224D"/>
    <w:rsid w:val="00432484"/>
    <w:rsid w:val="0043249B"/>
    <w:rsid w:val="00433000"/>
    <w:rsid w:val="00433DBD"/>
    <w:rsid w:val="00433EE8"/>
    <w:rsid w:val="0043467A"/>
    <w:rsid w:val="00435435"/>
    <w:rsid w:val="004357A8"/>
    <w:rsid w:val="00435993"/>
    <w:rsid w:val="004364A8"/>
    <w:rsid w:val="0043742D"/>
    <w:rsid w:val="00437726"/>
    <w:rsid w:val="00440190"/>
    <w:rsid w:val="00440BE1"/>
    <w:rsid w:val="00441130"/>
    <w:rsid w:val="00441A9A"/>
    <w:rsid w:val="00442196"/>
    <w:rsid w:val="00442F2D"/>
    <w:rsid w:val="004444AA"/>
    <w:rsid w:val="00445458"/>
    <w:rsid w:val="00445F2B"/>
    <w:rsid w:val="0044639C"/>
    <w:rsid w:val="004469E5"/>
    <w:rsid w:val="00447DE7"/>
    <w:rsid w:val="00450098"/>
    <w:rsid w:val="004511F6"/>
    <w:rsid w:val="00451670"/>
    <w:rsid w:val="0045170E"/>
    <w:rsid w:val="004517FD"/>
    <w:rsid w:val="00451A88"/>
    <w:rsid w:val="004520BE"/>
    <w:rsid w:val="0045279C"/>
    <w:rsid w:val="00453916"/>
    <w:rsid w:val="004569D7"/>
    <w:rsid w:val="00456CDC"/>
    <w:rsid w:val="004577EB"/>
    <w:rsid w:val="004623BF"/>
    <w:rsid w:val="004626AA"/>
    <w:rsid w:val="00463334"/>
    <w:rsid w:val="00463951"/>
    <w:rsid w:val="0046509D"/>
    <w:rsid w:val="00465A40"/>
    <w:rsid w:val="00466160"/>
    <w:rsid w:val="0046665E"/>
    <w:rsid w:val="00466CED"/>
    <w:rsid w:val="004675F0"/>
    <w:rsid w:val="004700C6"/>
    <w:rsid w:val="00470AD7"/>
    <w:rsid w:val="00471BB2"/>
    <w:rsid w:val="004722AB"/>
    <w:rsid w:val="004729B4"/>
    <w:rsid w:val="004729CD"/>
    <w:rsid w:val="00472C4D"/>
    <w:rsid w:val="00472EE8"/>
    <w:rsid w:val="00474031"/>
    <w:rsid w:val="00475664"/>
    <w:rsid w:val="0047751E"/>
    <w:rsid w:val="00477F16"/>
    <w:rsid w:val="00477F85"/>
    <w:rsid w:val="004805CC"/>
    <w:rsid w:val="00481AF4"/>
    <w:rsid w:val="00482CB5"/>
    <w:rsid w:val="00483AA5"/>
    <w:rsid w:val="00483B1B"/>
    <w:rsid w:val="00483CA4"/>
    <w:rsid w:val="00485212"/>
    <w:rsid w:val="00485D2B"/>
    <w:rsid w:val="00486524"/>
    <w:rsid w:val="00486BCF"/>
    <w:rsid w:val="00486BEA"/>
    <w:rsid w:val="00487B40"/>
    <w:rsid w:val="00490185"/>
    <w:rsid w:val="00490A8D"/>
    <w:rsid w:val="00490DCC"/>
    <w:rsid w:val="004912DD"/>
    <w:rsid w:val="004921AD"/>
    <w:rsid w:val="004931F9"/>
    <w:rsid w:val="004937E3"/>
    <w:rsid w:val="00493A12"/>
    <w:rsid w:val="00493A95"/>
    <w:rsid w:val="00493F46"/>
    <w:rsid w:val="004945AF"/>
    <w:rsid w:val="004945CF"/>
    <w:rsid w:val="00494FD6"/>
    <w:rsid w:val="004964E3"/>
    <w:rsid w:val="004A1B53"/>
    <w:rsid w:val="004A2F32"/>
    <w:rsid w:val="004A37EC"/>
    <w:rsid w:val="004A5011"/>
    <w:rsid w:val="004A527E"/>
    <w:rsid w:val="004A52F7"/>
    <w:rsid w:val="004A5517"/>
    <w:rsid w:val="004A691F"/>
    <w:rsid w:val="004A6AEE"/>
    <w:rsid w:val="004A6EBB"/>
    <w:rsid w:val="004A760E"/>
    <w:rsid w:val="004A7FF3"/>
    <w:rsid w:val="004B20BB"/>
    <w:rsid w:val="004B29A0"/>
    <w:rsid w:val="004B3773"/>
    <w:rsid w:val="004B450D"/>
    <w:rsid w:val="004B4585"/>
    <w:rsid w:val="004B4775"/>
    <w:rsid w:val="004B5DD1"/>
    <w:rsid w:val="004B635F"/>
    <w:rsid w:val="004B6EC0"/>
    <w:rsid w:val="004B7F45"/>
    <w:rsid w:val="004C156A"/>
    <w:rsid w:val="004C3009"/>
    <w:rsid w:val="004C4D01"/>
    <w:rsid w:val="004C52FA"/>
    <w:rsid w:val="004C58A7"/>
    <w:rsid w:val="004C718B"/>
    <w:rsid w:val="004D06F9"/>
    <w:rsid w:val="004D1583"/>
    <w:rsid w:val="004D4FFD"/>
    <w:rsid w:val="004D56E9"/>
    <w:rsid w:val="004D5845"/>
    <w:rsid w:val="004D5CA5"/>
    <w:rsid w:val="004D5D26"/>
    <w:rsid w:val="004D611A"/>
    <w:rsid w:val="004D61F1"/>
    <w:rsid w:val="004D6398"/>
    <w:rsid w:val="004D6EEE"/>
    <w:rsid w:val="004D7111"/>
    <w:rsid w:val="004E0086"/>
    <w:rsid w:val="004E0DCB"/>
    <w:rsid w:val="004E0FC8"/>
    <w:rsid w:val="004E18BB"/>
    <w:rsid w:val="004E20BE"/>
    <w:rsid w:val="004E2104"/>
    <w:rsid w:val="004E25D4"/>
    <w:rsid w:val="004E3813"/>
    <w:rsid w:val="004E3D8E"/>
    <w:rsid w:val="004E3E1E"/>
    <w:rsid w:val="004E4BF9"/>
    <w:rsid w:val="004E630F"/>
    <w:rsid w:val="004E6C61"/>
    <w:rsid w:val="004F1EB3"/>
    <w:rsid w:val="004F2CEC"/>
    <w:rsid w:val="004F34AD"/>
    <w:rsid w:val="004F3E92"/>
    <w:rsid w:val="004F3F74"/>
    <w:rsid w:val="004F3F8C"/>
    <w:rsid w:val="004F4154"/>
    <w:rsid w:val="004F4BFB"/>
    <w:rsid w:val="004F59D0"/>
    <w:rsid w:val="004F5A55"/>
    <w:rsid w:val="004F5FED"/>
    <w:rsid w:val="004F6FD6"/>
    <w:rsid w:val="004F73F1"/>
    <w:rsid w:val="004F7805"/>
    <w:rsid w:val="00501E78"/>
    <w:rsid w:val="005024D9"/>
    <w:rsid w:val="005038D6"/>
    <w:rsid w:val="00503D38"/>
    <w:rsid w:val="00505724"/>
    <w:rsid w:val="00505B38"/>
    <w:rsid w:val="005074F8"/>
    <w:rsid w:val="00507ADC"/>
    <w:rsid w:val="00510057"/>
    <w:rsid w:val="00510775"/>
    <w:rsid w:val="00511411"/>
    <w:rsid w:val="0051151F"/>
    <w:rsid w:val="005133FE"/>
    <w:rsid w:val="00513721"/>
    <w:rsid w:val="00513A40"/>
    <w:rsid w:val="00513B7C"/>
    <w:rsid w:val="0051603D"/>
    <w:rsid w:val="00517640"/>
    <w:rsid w:val="00520D10"/>
    <w:rsid w:val="0052118C"/>
    <w:rsid w:val="005219F4"/>
    <w:rsid w:val="00521CB9"/>
    <w:rsid w:val="00521EB1"/>
    <w:rsid w:val="00521FEC"/>
    <w:rsid w:val="00522A6C"/>
    <w:rsid w:val="00523634"/>
    <w:rsid w:val="005242AC"/>
    <w:rsid w:val="00524396"/>
    <w:rsid w:val="00525588"/>
    <w:rsid w:val="00525F14"/>
    <w:rsid w:val="005267CC"/>
    <w:rsid w:val="00527795"/>
    <w:rsid w:val="00527BB0"/>
    <w:rsid w:val="0053092F"/>
    <w:rsid w:val="00530F5C"/>
    <w:rsid w:val="00531751"/>
    <w:rsid w:val="0053182B"/>
    <w:rsid w:val="00531BF8"/>
    <w:rsid w:val="005322FC"/>
    <w:rsid w:val="005335E3"/>
    <w:rsid w:val="00533EA4"/>
    <w:rsid w:val="00534D2D"/>
    <w:rsid w:val="00534DBD"/>
    <w:rsid w:val="00534E6A"/>
    <w:rsid w:val="00535E00"/>
    <w:rsid w:val="0053723E"/>
    <w:rsid w:val="005406CF"/>
    <w:rsid w:val="00540E1E"/>
    <w:rsid w:val="00540FDF"/>
    <w:rsid w:val="00541739"/>
    <w:rsid w:val="00541793"/>
    <w:rsid w:val="005419D2"/>
    <w:rsid w:val="005423C2"/>
    <w:rsid w:val="00542926"/>
    <w:rsid w:val="00542935"/>
    <w:rsid w:val="00542EA7"/>
    <w:rsid w:val="005431A8"/>
    <w:rsid w:val="00544164"/>
    <w:rsid w:val="00544F8C"/>
    <w:rsid w:val="00545B56"/>
    <w:rsid w:val="00546F5F"/>
    <w:rsid w:val="005503ED"/>
    <w:rsid w:val="00550806"/>
    <w:rsid w:val="005514FF"/>
    <w:rsid w:val="00554C05"/>
    <w:rsid w:val="00555AFB"/>
    <w:rsid w:val="00556234"/>
    <w:rsid w:val="00556471"/>
    <w:rsid w:val="00561344"/>
    <w:rsid w:val="00561EA0"/>
    <w:rsid w:val="005635A0"/>
    <w:rsid w:val="00564375"/>
    <w:rsid w:val="0056499B"/>
    <w:rsid w:val="005653DD"/>
    <w:rsid w:val="0056549B"/>
    <w:rsid w:val="00565C20"/>
    <w:rsid w:val="00566814"/>
    <w:rsid w:val="00566AAB"/>
    <w:rsid w:val="00566B04"/>
    <w:rsid w:val="005675FA"/>
    <w:rsid w:val="00567B03"/>
    <w:rsid w:val="00567ED9"/>
    <w:rsid w:val="00570050"/>
    <w:rsid w:val="00570235"/>
    <w:rsid w:val="00571679"/>
    <w:rsid w:val="0057303E"/>
    <w:rsid w:val="005732F2"/>
    <w:rsid w:val="00573A7C"/>
    <w:rsid w:val="00573A98"/>
    <w:rsid w:val="00573C43"/>
    <w:rsid w:val="00573EFB"/>
    <w:rsid w:val="00574A7C"/>
    <w:rsid w:val="00574BA9"/>
    <w:rsid w:val="00574F10"/>
    <w:rsid w:val="0057522A"/>
    <w:rsid w:val="00575942"/>
    <w:rsid w:val="00576538"/>
    <w:rsid w:val="00576A27"/>
    <w:rsid w:val="00580241"/>
    <w:rsid w:val="005805B6"/>
    <w:rsid w:val="00580600"/>
    <w:rsid w:val="00580688"/>
    <w:rsid w:val="00580B18"/>
    <w:rsid w:val="00580E2D"/>
    <w:rsid w:val="00580E92"/>
    <w:rsid w:val="0058158B"/>
    <w:rsid w:val="00581EA1"/>
    <w:rsid w:val="005828B2"/>
    <w:rsid w:val="00584097"/>
    <w:rsid w:val="00584586"/>
    <w:rsid w:val="0058495D"/>
    <w:rsid w:val="00585657"/>
    <w:rsid w:val="00585915"/>
    <w:rsid w:val="00586A8B"/>
    <w:rsid w:val="00587F42"/>
    <w:rsid w:val="00591519"/>
    <w:rsid w:val="00592100"/>
    <w:rsid w:val="005923BA"/>
    <w:rsid w:val="00592735"/>
    <w:rsid w:val="00593353"/>
    <w:rsid w:val="0059373C"/>
    <w:rsid w:val="00593B47"/>
    <w:rsid w:val="00593B61"/>
    <w:rsid w:val="005940A4"/>
    <w:rsid w:val="00594264"/>
    <w:rsid w:val="00594330"/>
    <w:rsid w:val="00595B13"/>
    <w:rsid w:val="00595B34"/>
    <w:rsid w:val="00595B63"/>
    <w:rsid w:val="00596548"/>
    <w:rsid w:val="00596A97"/>
    <w:rsid w:val="005A0150"/>
    <w:rsid w:val="005A0652"/>
    <w:rsid w:val="005A091D"/>
    <w:rsid w:val="005A0D1B"/>
    <w:rsid w:val="005A17FE"/>
    <w:rsid w:val="005A1C50"/>
    <w:rsid w:val="005A29AA"/>
    <w:rsid w:val="005A4EC4"/>
    <w:rsid w:val="005A52E6"/>
    <w:rsid w:val="005A655B"/>
    <w:rsid w:val="005A6C92"/>
    <w:rsid w:val="005A6F1E"/>
    <w:rsid w:val="005A716A"/>
    <w:rsid w:val="005B1AC7"/>
    <w:rsid w:val="005B229F"/>
    <w:rsid w:val="005B2B57"/>
    <w:rsid w:val="005B5A61"/>
    <w:rsid w:val="005B755C"/>
    <w:rsid w:val="005C0812"/>
    <w:rsid w:val="005C0CAC"/>
    <w:rsid w:val="005C20EB"/>
    <w:rsid w:val="005C2B4E"/>
    <w:rsid w:val="005C59F2"/>
    <w:rsid w:val="005C5D29"/>
    <w:rsid w:val="005C6714"/>
    <w:rsid w:val="005C6BAF"/>
    <w:rsid w:val="005C6BFC"/>
    <w:rsid w:val="005D1B0D"/>
    <w:rsid w:val="005D2149"/>
    <w:rsid w:val="005D24D2"/>
    <w:rsid w:val="005D297E"/>
    <w:rsid w:val="005D343F"/>
    <w:rsid w:val="005D3D65"/>
    <w:rsid w:val="005D4067"/>
    <w:rsid w:val="005D4B5C"/>
    <w:rsid w:val="005D531E"/>
    <w:rsid w:val="005D5AE3"/>
    <w:rsid w:val="005D6627"/>
    <w:rsid w:val="005D7FE8"/>
    <w:rsid w:val="005E016C"/>
    <w:rsid w:val="005E0CFB"/>
    <w:rsid w:val="005E2CED"/>
    <w:rsid w:val="005E2FD5"/>
    <w:rsid w:val="005E52F5"/>
    <w:rsid w:val="005E59F4"/>
    <w:rsid w:val="005E674B"/>
    <w:rsid w:val="005E7685"/>
    <w:rsid w:val="005E7878"/>
    <w:rsid w:val="005F0335"/>
    <w:rsid w:val="005F090C"/>
    <w:rsid w:val="005F0EA8"/>
    <w:rsid w:val="005F109F"/>
    <w:rsid w:val="005F17FA"/>
    <w:rsid w:val="005F1F2D"/>
    <w:rsid w:val="005F247D"/>
    <w:rsid w:val="005F32C4"/>
    <w:rsid w:val="005F3715"/>
    <w:rsid w:val="005F3DFD"/>
    <w:rsid w:val="005F5AD5"/>
    <w:rsid w:val="005F628D"/>
    <w:rsid w:val="005F7C0A"/>
    <w:rsid w:val="005F7CF0"/>
    <w:rsid w:val="00600A0D"/>
    <w:rsid w:val="00601505"/>
    <w:rsid w:val="006020E5"/>
    <w:rsid w:val="00603841"/>
    <w:rsid w:val="0060413B"/>
    <w:rsid w:val="0060431C"/>
    <w:rsid w:val="006059A3"/>
    <w:rsid w:val="00605CB0"/>
    <w:rsid w:val="00605FC3"/>
    <w:rsid w:val="00607DEC"/>
    <w:rsid w:val="00607FBF"/>
    <w:rsid w:val="00610AF3"/>
    <w:rsid w:val="00611109"/>
    <w:rsid w:val="00613339"/>
    <w:rsid w:val="006133E4"/>
    <w:rsid w:val="00613CB5"/>
    <w:rsid w:val="00614B55"/>
    <w:rsid w:val="00615DC3"/>
    <w:rsid w:val="00616213"/>
    <w:rsid w:val="006179AE"/>
    <w:rsid w:val="00617D1C"/>
    <w:rsid w:val="00617DC1"/>
    <w:rsid w:val="006200F3"/>
    <w:rsid w:val="00620B22"/>
    <w:rsid w:val="00620BDA"/>
    <w:rsid w:val="00621635"/>
    <w:rsid w:val="006239B9"/>
    <w:rsid w:val="00623BB4"/>
    <w:rsid w:val="0062565A"/>
    <w:rsid w:val="006257F7"/>
    <w:rsid w:val="006262D4"/>
    <w:rsid w:val="006267CC"/>
    <w:rsid w:val="00626CF8"/>
    <w:rsid w:val="006300F8"/>
    <w:rsid w:val="00630B7C"/>
    <w:rsid w:val="006325E4"/>
    <w:rsid w:val="00632A3D"/>
    <w:rsid w:val="0063416C"/>
    <w:rsid w:val="006341BA"/>
    <w:rsid w:val="006346C0"/>
    <w:rsid w:val="0063498D"/>
    <w:rsid w:val="006357FE"/>
    <w:rsid w:val="00635EA4"/>
    <w:rsid w:val="00636AAF"/>
    <w:rsid w:val="00637057"/>
    <w:rsid w:val="00637290"/>
    <w:rsid w:val="00637D46"/>
    <w:rsid w:val="00637F22"/>
    <w:rsid w:val="006400AC"/>
    <w:rsid w:val="006406C6"/>
    <w:rsid w:val="00640804"/>
    <w:rsid w:val="0064128A"/>
    <w:rsid w:val="00641EF9"/>
    <w:rsid w:val="00642299"/>
    <w:rsid w:val="006423D7"/>
    <w:rsid w:val="006426E3"/>
    <w:rsid w:val="0064361E"/>
    <w:rsid w:val="00643B7A"/>
    <w:rsid w:val="006447C6"/>
    <w:rsid w:val="0064542B"/>
    <w:rsid w:val="00646B41"/>
    <w:rsid w:val="006506FE"/>
    <w:rsid w:val="00650B38"/>
    <w:rsid w:val="00651893"/>
    <w:rsid w:val="00651BE7"/>
    <w:rsid w:val="006526DC"/>
    <w:rsid w:val="00652A62"/>
    <w:rsid w:val="00652B58"/>
    <w:rsid w:val="00654A61"/>
    <w:rsid w:val="00655359"/>
    <w:rsid w:val="0065545E"/>
    <w:rsid w:val="00655767"/>
    <w:rsid w:val="00655789"/>
    <w:rsid w:val="0065646D"/>
    <w:rsid w:val="00656503"/>
    <w:rsid w:val="00657256"/>
    <w:rsid w:val="006606F9"/>
    <w:rsid w:val="0066089C"/>
    <w:rsid w:val="006616CB"/>
    <w:rsid w:val="00664267"/>
    <w:rsid w:val="00664EDF"/>
    <w:rsid w:val="00665A3B"/>
    <w:rsid w:val="0066694F"/>
    <w:rsid w:val="006701CC"/>
    <w:rsid w:val="00671E58"/>
    <w:rsid w:val="00671F28"/>
    <w:rsid w:val="00671F71"/>
    <w:rsid w:val="00672750"/>
    <w:rsid w:val="00672B87"/>
    <w:rsid w:val="0067378B"/>
    <w:rsid w:val="006737D6"/>
    <w:rsid w:val="00674469"/>
    <w:rsid w:val="0067452D"/>
    <w:rsid w:val="006747A3"/>
    <w:rsid w:val="00674EBF"/>
    <w:rsid w:val="00675304"/>
    <w:rsid w:val="00675FED"/>
    <w:rsid w:val="0067627F"/>
    <w:rsid w:val="006763D4"/>
    <w:rsid w:val="00676CA9"/>
    <w:rsid w:val="00677137"/>
    <w:rsid w:val="00677C15"/>
    <w:rsid w:val="00677E96"/>
    <w:rsid w:val="00681CD5"/>
    <w:rsid w:val="0068391D"/>
    <w:rsid w:val="006841D8"/>
    <w:rsid w:val="00684BF8"/>
    <w:rsid w:val="0068596F"/>
    <w:rsid w:val="00685DA0"/>
    <w:rsid w:val="0068716F"/>
    <w:rsid w:val="00687980"/>
    <w:rsid w:val="006879BC"/>
    <w:rsid w:val="00690297"/>
    <w:rsid w:val="00690363"/>
    <w:rsid w:val="00690833"/>
    <w:rsid w:val="00690ACF"/>
    <w:rsid w:val="00691C14"/>
    <w:rsid w:val="00692784"/>
    <w:rsid w:val="00692C73"/>
    <w:rsid w:val="0069336E"/>
    <w:rsid w:val="006937A6"/>
    <w:rsid w:val="006940EB"/>
    <w:rsid w:val="006943D2"/>
    <w:rsid w:val="00694CF1"/>
    <w:rsid w:val="006952BB"/>
    <w:rsid w:val="00695554"/>
    <w:rsid w:val="006957EE"/>
    <w:rsid w:val="00696554"/>
    <w:rsid w:val="00696750"/>
    <w:rsid w:val="006967D0"/>
    <w:rsid w:val="00696BCA"/>
    <w:rsid w:val="00697E76"/>
    <w:rsid w:val="00697FED"/>
    <w:rsid w:val="006A0B68"/>
    <w:rsid w:val="006A1499"/>
    <w:rsid w:val="006A2136"/>
    <w:rsid w:val="006A290B"/>
    <w:rsid w:val="006A31F0"/>
    <w:rsid w:val="006A390F"/>
    <w:rsid w:val="006A5185"/>
    <w:rsid w:val="006A5D35"/>
    <w:rsid w:val="006A70E3"/>
    <w:rsid w:val="006A7197"/>
    <w:rsid w:val="006A759C"/>
    <w:rsid w:val="006A7E0F"/>
    <w:rsid w:val="006B0A65"/>
    <w:rsid w:val="006B0FED"/>
    <w:rsid w:val="006B0FF0"/>
    <w:rsid w:val="006B20C4"/>
    <w:rsid w:val="006B214B"/>
    <w:rsid w:val="006B2D7A"/>
    <w:rsid w:val="006B2E9A"/>
    <w:rsid w:val="006B3648"/>
    <w:rsid w:val="006B3B2C"/>
    <w:rsid w:val="006B3FFB"/>
    <w:rsid w:val="006B60D7"/>
    <w:rsid w:val="006B7F61"/>
    <w:rsid w:val="006C0CFE"/>
    <w:rsid w:val="006C1244"/>
    <w:rsid w:val="006C1297"/>
    <w:rsid w:val="006C16B0"/>
    <w:rsid w:val="006C2542"/>
    <w:rsid w:val="006C30B9"/>
    <w:rsid w:val="006C3EE0"/>
    <w:rsid w:val="006C4A8B"/>
    <w:rsid w:val="006C58F6"/>
    <w:rsid w:val="006C5D70"/>
    <w:rsid w:val="006C6E95"/>
    <w:rsid w:val="006D1B19"/>
    <w:rsid w:val="006D267F"/>
    <w:rsid w:val="006D2C66"/>
    <w:rsid w:val="006D2F93"/>
    <w:rsid w:val="006D3A93"/>
    <w:rsid w:val="006D3E31"/>
    <w:rsid w:val="006D4BF7"/>
    <w:rsid w:val="006D627D"/>
    <w:rsid w:val="006D6C54"/>
    <w:rsid w:val="006D7057"/>
    <w:rsid w:val="006D70F2"/>
    <w:rsid w:val="006D7435"/>
    <w:rsid w:val="006D7A3B"/>
    <w:rsid w:val="006D7E39"/>
    <w:rsid w:val="006E0125"/>
    <w:rsid w:val="006E086C"/>
    <w:rsid w:val="006E1EC4"/>
    <w:rsid w:val="006E244E"/>
    <w:rsid w:val="006E290B"/>
    <w:rsid w:val="006E3367"/>
    <w:rsid w:val="006E3679"/>
    <w:rsid w:val="006E417E"/>
    <w:rsid w:val="006E4CDE"/>
    <w:rsid w:val="006E4F73"/>
    <w:rsid w:val="006E5A66"/>
    <w:rsid w:val="006E5B66"/>
    <w:rsid w:val="006E67DD"/>
    <w:rsid w:val="006E7110"/>
    <w:rsid w:val="006E7AD3"/>
    <w:rsid w:val="006F0712"/>
    <w:rsid w:val="006F1476"/>
    <w:rsid w:val="006F1826"/>
    <w:rsid w:val="006F1839"/>
    <w:rsid w:val="006F1D83"/>
    <w:rsid w:val="006F39BA"/>
    <w:rsid w:val="006F4043"/>
    <w:rsid w:val="006F5978"/>
    <w:rsid w:val="006F5C42"/>
    <w:rsid w:val="006F5E1E"/>
    <w:rsid w:val="006F6D64"/>
    <w:rsid w:val="00700284"/>
    <w:rsid w:val="00700E68"/>
    <w:rsid w:val="007015E9"/>
    <w:rsid w:val="0070227F"/>
    <w:rsid w:val="0070232C"/>
    <w:rsid w:val="00702ECB"/>
    <w:rsid w:val="0070315A"/>
    <w:rsid w:val="00703BF8"/>
    <w:rsid w:val="007049B6"/>
    <w:rsid w:val="00705D20"/>
    <w:rsid w:val="007071F8"/>
    <w:rsid w:val="00707D86"/>
    <w:rsid w:val="00710AE0"/>
    <w:rsid w:val="00711047"/>
    <w:rsid w:val="00711BEA"/>
    <w:rsid w:val="0071203A"/>
    <w:rsid w:val="00712182"/>
    <w:rsid w:val="007127C5"/>
    <w:rsid w:val="00712CE7"/>
    <w:rsid w:val="00712F21"/>
    <w:rsid w:val="007139BE"/>
    <w:rsid w:val="00714320"/>
    <w:rsid w:val="00714842"/>
    <w:rsid w:val="00714D89"/>
    <w:rsid w:val="007174F1"/>
    <w:rsid w:val="00720197"/>
    <w:rsid w:val="0072064A"/>
    <w:rsid w:val="00721CCF"/>
    <w:rsid w:val="00721F46"/>
    <w:rsid w:val="00722022"/>
    <w:rsid w:val="007224BF"/>
    <w:rsid w:val="00722D04"/>
    <w:rsid w:val="00722D34"/>
    <w:rsid w:val="00723EF7"/>
    <w:rsid w:val="00724215"/>
    <w:rsid w:val="00725F4A"/>
    <w:rsid w:val="00725FE5"/>
    <w:rsid w:val="00727490"/>
    <w:rsid w:val="00727BE5"/>
    <w:rsid w:val="00727D9D"/>
    <w:rsid w:val="00727F60"/>
    <w:rsid w:val="0073008B"/>
    <w:rsid w:val="00731A73"/>
    <w:rsid w:val="007322CF"/>
    <w:rsid w:val="00732455"/>
    <w:rsid w:val="00734564"/>
    <w:rsid w:val="007345A5"/>
    <w:rsid w:val="007361F0"/>
    <w:rsid w:val="00737351"/>
    <w:rsid w:val="007409E9"/>
    <w:rsid w:val="00740A0B"/>
    <w:rsid w:val="0074140A"/>
    <w:rsid w:val="00743171"/>
    <w:rsid w:val="00743620"/>
    <w:rsid w:val="00743790"/>
    <w:rsid w:val="00743CCB"/>
    <w:rsid w:val="00744740"/>
    <w:rsid w:val="00744A93"/>
    <w:rsid w:val="00744DF1"/>
    <w:rsid w:val="00744E10"/>
    <w:rsid w:val="00745F31"/>
    <w:rsid w:val="0074644E"/>
    <w:rsid w:val="00747EE8"/>
    <w:rsid w:val="00751A8E"/>
    <w:rsid w:val="00751C3C"/>
    <w:rsid w:val="0075228A"/>
    <w:rsid w:val="00752648"/>
    <w:rsid w:val="007538FC"/>
    <w:rsid w:val="00753D1A"/>
    <w:rsid w:val="00754542"/>
    <w:rsid w:val="00754A8E"/>
    <w:rsid w:val="007555F2"/>
    <w:rsid w:val="007562F8"/>
    <w:rsid w:val="00756408"/>
    <w:rsid w:val="007564B1"/>
    <w:rsid w:val="00757030"/>
    <w:rsid w:val="007578D3"/>
    <w:rsid w:val="0076187A"/>
    <w:rsid w:val="00761F32"/>
    <w:rsid w:val="007623EF"/>
    <w:rsid w:val="007628D5"/>
    <w:rsid w:val="0076295C"/>
    <w:rsid w:val="00763958"/>
    <w:rsid w:val="00763DCD"/>
    <w:rsid w:val="00764F88"/>
    <w:rsid w:val="007655A5"/>
    <w:rsid w:val="0076682D"/>
    <w:rsid w:val="0077147B"/>
    <w:rsid w:val="00771BFD"/>
    <w:rsid w:val="00772B2B"/>
    <w:rsid w:val="00772C97"/>
    <w:rsid w:val="0077379C"/>
    <w:rsid w:val="007740D2"/>
    <w:rsid w:val="0077490E"/>
    <w:rsid w:val="007763D3"/>
    <w:rsid w:val="00776518"/>
    <w:rsid w:val="00776E16"/>
    <w:rsid w:val="00780846"/>
    <w:rsid w:val="00780F4B"/>
    <w:rsid w:val="007828DC"/>
    <w:rsid w:val="0078315B"/>
    <w:rsid w:val="007832E0"/>
    <w:rsid w:val="0078350D"/>
    <w:rsid w:val="00783823"/>
    <w:rsid w:val="00783FA3"/>
    <w:rsid w:val="007841E0"/>
    <w:rsid w:val="0078516E"/>
    <w:rsid w:val="007854C9"/>
    <w:rsid w:val="007860DE"/>
    <w:rsid w:val="0078636A"/>
    <w:rsid w:val="00786519"/>
    <w:rsid w:val="0078729C"/>
    <w:rsid w:val="0078792D"/>
    <w:rsid w:val="00787E7D"/>
    <w:rsid w:val="00787EE3"/>
    <w:rsid w:val="00790141"/>
    <w:rsid w:val="00790AA5"/>
    <w:rsid w:val="007917BF"/>
    <w:rsid w:val="00791BC1"/>
    <w:rsid w:val="00792672"/>
    <w:rsid w:val="00792B1C"/>
    <w:rsid w:val="00792EEC"/>
    <w:rsid w:val="00794155"/>
    <w:rsid w:val="007941C2"/>
    <w:rsid w:val="007943AE"/>
    <w:rsid w:val="007945CA"/>
    <w:rsid w:val="007945E5"/>
    <w:rsid w:val="007946ED"/>
    <w:rsid w:val="00795A46"/>
    <w:rsid w:val="00795DAB"/>
    <w:rsid w:val="00796918"/>
    <w:rsid w:val="007A05BF"/>
    <w:rsid w:val="007A0C71"/>
    <w:rsid w:val="007A1469"/>
    <w:rsid w:val="007A2778"/>
    <w:rsid w:val="007A309D"/>
    <w:rsid w:val="007A347E"/>
    <w:rsid w:val="007A4123"/>
    <w:rsid w:val="007A514A"/>
    <w:rsid w:val="007A5B38"/>
    <w:rsid w:val="007A6591"/>
    <w:rsid w:val="007A6975"/>
    <w:rsid w:val="007A6E7F"/>
    <w:rsid w:val="007A6EE5"/>
    <w:rsid w:val="007A73EB"/>
    <w:rsid w:val="007A7D6D"/>
    <w:rsid w:val="007B0A3B"/>
    <w:rsid w:val="007B15CF"/>
    <w:rsid w:val="007B2655"/>
    <w:rsid w:val="007B2ABF"/>
    <w:rsid w:val="007B3ED0"/>
    <w:rsid w:val="007B500B"/>
    <w:rsid w:val="007B6F32"/>
    <w:rsid w:val="007C0242"/>
    <w:rsid w:val="007C0ACA"/>
    <w:rsid w:val="007C150F"/>
    <w:rsid w:val="007C2627"/>
    <w:rsid w:val="007C38EE"/>
    <w:rsid w:val="007C3C09"/>
    <w:rsid w:val="007C3D1C"/>
    <w:rsid w:val="007C4BE5"/>
    <w:rsid w:val="007C5036"/>
    <w:rsid w:val="007C7428"/>
    <w:rsid w:val="007C7CEF"/>
    <w:rsid w:val="007C7F4B"/>
    <w:rsid w:val="007D0280"/>
    <w:rsid w:val="007D0CCD"/>
    <w:rsid w:val="007D0FE7"/>
    <w:rsid w:val="007D1E4F"/>
    <w:rsid w:val="007D20B4"/>
    <w:rsid w:val="007D24C9"/>
    <w:rsid w:val="007D26E1"/>
    <w:rsid w:val="007D400D"/>
    <w:rsid w:val="007D41CF"/>
    <w:rsid w:val="007D4411"/>
    <w:rsid w:val="007D4425"/>
    <w:rsid w:val="007D4E3C"/>
    <w:rsid w:val="007D5090"/>
    <w:rsid w:val="007D569D"/>
    <w:rsid w:val="007D60A5"/>
    <w:rsid w:val="007D658E"/>
    <w:rsid w:val="007D66AE"/>
    <w:rsid w:val="007D6FFB"/>
    <w:rsid w:val="007D7D72"/>
    <w:rsid w:val="007E06E2"/>
    <w:rsid w:val="007E2487"/>
    <w:rsid w:val="007E429C"/>
    <w:rsid w:val="007E434D"/>
    <w:rsid w:val="007E4532"/>
    <w:rsid w:val="007E4F7F"/>
    <w:rsid w:val="007E511C"/>
    <w:rsid w:val="007E713E"/>
    <w:rsid w:val="007E7A86"/>
    <w:rsid w:val="007F0234"/>
    <w:rsid w:val="007F107C"/>
    <w:rsid w:val="007F173E"/>
    <w:rsid w:val="007F19A3"/>
    <w:rsid w:val="007F20D8"/>
    <w:rsid w:val="007F3A17"/>
    <w:rsid w:val="007F3A3E"/>
    <w:rsid w:val="007F3B41"/>
    <w:rsid w:val="007F5C8B"/>
    <w:rsid w:val="007F6032"/>
    <w:rsid w:val="007F62C5"/>
    <w:rsid w:val="007F7698"/>
    <w:rsid w:val="008001C3"/>
    <w:rsid w:val="008005C4"/>
    <w:rsid w:val="00800CCB"/>
    <w:rsid w:val="008021FF"/>
    <w:rsid w:val="00802BA1"/>
    <w:rsid w:val="00803634"/>
    <w:rsid w:val="008044AC"/>
    <w:rsid w:val="00805312"/>
    <w:rsid w:val="008078C8"/>
    <w:rsid w:val="0081031C"/>
    <w:rsid w:val="0081143E"/>
    <w:rsid w:val="00811631"/>
    <w:rsid w:val="00812A89"/>
    <w:rsid w:val="008142B9"/>
    <w:rsid w:val="008145B4"/>
    <w:rsid w:val="00815640"/>
    <w:rsid w:val="00815C12"/>
    <w:rsid w:val="00816F4E"/>
    <w:rsid w:val="008177E8"/>
    <w:rsid w:val="00817A98"/>
    <w:rsid w:val="008202E0"/>
    <w:rsid w:val="00820535"/>
    <w:rsid w:val="00820BA4"/>
    <w:rsid w:val="0082116B"/>
    <w:rsid w:val="008212D1"/>
    <w:rsid w:val="00822023"/>
    <w:rsid w:val="008223F0"/>
    <w:rsid w:val="00822BBE"/>
    <w:rsid w:val="008247CF"/>
    <w:rsid w:val="00824B0B"/>
    <w:rsid w:val="00825F20"/>
    <w:rsid w:val="008265CF"/>
    <w:rsid w:val="008267E5"/>
    <w:rsid w:val="00827912"/>
    <w:rsid w:val="00827CBA"/>
    <w:rsid w:val="00830672"/>
    <w:rsid w:val="00830848"/>
    <w:rsid w:val="008320F3"/>
    <w:rsid w:val="0083246D"/>
    <w:rsid w:val="0083247A"/>
    <w:rsid w:val="00832AAA"/>
    <w:rsid w:val="00832E68"/>
    <w:rsid w:val="0083305D"/>
    <w:rsid w:val="008332C1"/>
    <w:rsid w:val="00834FD3"/>
    <w:rsid w:val="00836D59"/>
    <w:rsid w:val="0083780B"/>
    <w:rsid w:val="00837838"/>
    <w:rsid w:val="00837CCD"/>
    <w:rsid w:val="0084071A"/>
    <w:rsid w:val="00840BFA"/>
    <w:rsid w:val="00841959"/>
    <w:rsid w:val="008419DD"/>
    <w:rsid w:val="00841B5B"/>
    <w:rsid w:val="00842419"/>
    <w:rsid w:val="008434AC"/>
    <w:rsid w:val="00844067"/>
    <w:rsid w:val="0084504F"/>
    <w:rsid w:val="00847160"/>
    <w:rsid w:val="00847B2C"/>
    <w:rsid w:val="00850344"/>
    <w:rsid w:val="008505F2"/>
    <w:rsid w:val="00850800"/>
    <w:rsid w:val="0085093E"/>
    <w:rsid w:val="00851B82"/>
    <w:rsid w:val="00852BBC"/>
    <w:rsid w:val="00852EC0"/>
    <w:rsid w:val="008549DC"/>
    <w:rsid w:val="00855770"/>
    <w:rsid w:val="008567A8"/>
    <w:rsid w:val="00857922"/>
    <w:rsid w:val="0086032E"/>
    <w:rsid w:val="00862670"/>
    <w:rsid w:val="00862E2B"/>
    <w:rsid w:val="0086317C"/>
    <w:rsid w:val="00864182"/>
    <w:rsid w:val="00864818"/>
    <w:rsid w:val="008656AC"/>
    <w:rsid w:val="00865BBA"/>
    <w:rsid w:val="00866193"/>
    <w:rsid w:val="00867678"/>
    <w:rsid w:val="0086789A"/>
    <w:rsid w:val="008678F5"/>
    <w:rsid w:val="00870AD9"/>
    <w:rsid w:val="00870F43"/>
    <w:rsid w:val="00871999"/>
    <w:rsid w:val="00871C3B"/>
    <w:rsid w:val="00872F99"/>
    <w:rsid w:val="00874585"/>
    <w:rsid w:val="008754B2"/>
    <w:rsid w:val="00875754"/>
    <w:rsid w:val="008757C7"/>
    <w:rsid w:val="008760B7"/>
    <w:rsid w:val="008760BC"/>
    <w:rsid w:val="00877315"/>
    <w:rsid w:val="00877343"/>
    <w:rsid w:val="00877D53"/>
    <w:rsid w:val="00877DC4"/>
    <w:rsid w:val="00880A84"/>
    <w:rsid w:val="00880B53"/>
    <w:rsid w:val="00880E3A"/>
    <w:rsid w:val="008817E8"/>
    <w:rsid w:val="00881825"/>
    <w:rsid w:val="00881D97"/>
    <w:rsid w:val="00881FA1"/>
    <w:rsid w:val="00883126"/>
    <w:rsid w:val="0088386C"/>
    <w:rsid w:val="00883E96"/>
    <w:rsid w:val="008848B8"/>
    <w:rsid w:val="00884D15"/>
    <w:rsid w:val="008851A2"/>
    <w:rsid w:val="008865F6"/>
    <w:rsid w:val="00887E24"/>
    <w:rsid w:val="00887E9D"/>
    <w:rsid w:val="00890565"/>
    <w:rsid w:val="00890711"/>
    <w:rsid w:val="008907A7"/>
    <w:rsid w:val="00890B9F"/>
    <w:rsid w:val="00890FB5"/>
    <w:rsid w:val="008911D1"/>
    <w:rsid w:val="0089120F"/>
    <w:rsid w:val="008915C8"/>
    <w:rsid w:val="00892107"/>
    <w:rsid w:val="00893456"/>
    <w:rsid w:val="00893B72"/>
    <w:rsid w:val="008946F4"/>
    <w:rsid w:val="00894A35"/>
    <w:rsid w:val="00894C79"/>
    <w:rsid w:val="00894DAD"/>
    <w:rsid w:val="008957A8"/>
    <w:rsid w:val="00896932"/>
    <w:rsid w:val="00896DBF"/>
    <w:rsid w:val="008A0C6B"/>
    <w:rsid w:val="008A35A3"/>
    <w:rsid w:val="008A4324"/>
    <w:rsid w:val="008A46EB"/>
    <w:rsid w:val="008A53F8"/>
    <w:rsid w:val="008A6CF2"/>
    <w:rsid w:val="008A6D45"/>
    <w:rsid w:val="008B0EEA"/>
    <w:rsid w:val="008B1B23"/>
    <w:rsid w:val="008B2239"/>
    <w:rsid w:val="008B230F"/>
    <w:rsid w:val="008B25FA"/>
    <w:rsid w:val="008B2885"/>
    <w:rsid w:val="008B2FFC"/>
    <w:rsid w:val="008B355C"/>
    <w:rsid w:val="008B3EF3"/>
    <w:rsid w:val="008B4176"/>
    <w:rsid w:val="008B4E54"/>
    <w:rsid w:val="008B6ED4"/>
    <w:rsid w:val="008B7F55"/>
    <w:rsid w:val="008C0010"/>
    <w:rsid w:val="008C014E"/>
    <w:rsid w:val="008C0219"/>
    <w:rsid w:val="008C0479"/>
    <w:rsid w:val="008C27EB"/>
    <w:rsid w:val="008C2993"/>
    <w:rsid w:val="008C2B1A"/>
    <w:rsid w:val="008C35A1"/>
    <w:rsid w:val="008C4A15"/>
    <w:rsid w:val="008C4F2D"/>
    <w:rsid w:val="008C6612"/>
    <w:rsid w:val="008C6A0E"/>
    <w:rsid w:val="008C6E0A"/>
    <w:rsid w:val="008D0776"/>
    <w:rsid w:val="008D0C92"/>
    <w:rsid w:val="008D1AF4"/>
    <w:rsid w:val="008D1B14"/>
    <w:rsid w:val="008D224F"/>
    <w:rsid w:val="008D2E39"/>
    <w:rsid w:val="008D395F"/>
    <w:rsid w:val="008D465D"/>
    <w:rsid w:val="008D59EB"/>
    <w:rsid w:val="008D5A65"/>
    <w:rsid w:val="008D5AFF"/>
    <w:rsid w:val="008D6BD9"/>
    <w:rsid w:val="008D76D0"/>
    <w:rsid w:val="008D7F01"/>
    <w:rsid w:val="008E130D"/>
    <w:rsid w:val="008E1792"/>
    <w:rsid w:val="008E2160"/>
    <w:rsid w:val="008E25BE"/>
    <w:rsid w:val="008E2BC6"/>
    <w:rsid w:val="008E37DE"/>
    <w:rsid w:val="008E3D09"/>
    <w:rsid w:val="008E40F0"/>
    <w:rsid w:val="008E4195"/>
    <w:rsid w:val="008E65AC"/>
    <w:rsid w:val="008E6BA2"/>
    <w:rsid w:val="008E6BE0"/>
    <w:rsid w:val="008E7243"/>
    <w:rsid w:val="008F016C"/>
    <w:rsid w:val="008F11A0"/>
    <w:rsid w:val="008F228D"/>
    <w:rsid w:val="008F388C"/>
    <w:rsid w:val="008F3DC0"/>
    <w:rsid w:val="008F4B55"/>
    <w:rsid w:val="008F4D15"/>
    <w:rsid w:val="009008EE"/>
    <w:rsid w:val="009009C2"/>
    <w:rsid w:val="00900A66"/>
    <w:rsid w:val="00900B1E"/>
    <w:rsid w:val="00900E5E"/>
    <w:rsid w:val="00900F8E"/>
    <w:rsid w:val="009014AB"/>
    <w:rsid w:val="00902D45"/>
    <w:rsid w:val="00903479"/>
    <w:rsid w:val="00903CBB"/>
    <w:rsid w:val="00904909"/>
    <w:rsid w:val="00904C51"/>
    <w:rsid w:val="00904F84"/>
    <w:rsid w:val="00904F85"/>
    <w:rsid w:val="00905CF8"/>
    <w:rsid w:val="009069DF"/>
    <w:rsid w:val="00906CF7"/>
    <w:rsid w:val="00907589"/>
    <w:rsid w:val="00907645"/>
    <w:rsid w:val="00912FE6"/>
    <w:rsid w:val="009130FF"/>
    <w:rsid w:val="0091358E"/>
    <w:rsid w:val="009151D0"/>
    <w:rsid w:val="00916EF3"/>
    <w:rsid w:val="00920523"/>
    <w:rsid w:val="00920A3B"/>
    <w:rsid w:val="00920F43"/>
    <w:rsid w:val="00921299"/>
    <w:rsid w:val="009213BD"/>
    <w:rsid w:val="00922589"/>
    <w:rsid w:val="0092272B"/>
    <w:rsid w:val="0092384B"/>
    <w:rsid w:val="009239DD"/>
    <w:rsid w:val="00923A12"/>
    <w:rsid w:val="00924F99"/>
    <w:rsid w:val="00925448"/>
    <w:rsid w:val="00925B75"/>
    <w:rsid w:val="00925B7A"/>
    <w:rsid w:val="0092630A"/>
    <w:rsid w:val="009264C9"/>
    <w:rsid w:val="00927816"/>
    <w:rsid w:val="0093041D"/>
    <w:rsid w:val="00930529"/>
    <w:rsid w:val="0093072C"/>
    <w:rsid w:val="00931509"/>
    <w:rsid w:val="009317F0"/>
    <w:rsid w:val="00931A2E"/>
    <w:rsid w:val="00932508"/>
    <w:rsid w:val="00936788"/>
    <w:rsid w:val="0093758D"/>
    <w:rsid w:val="0093762C"/>
    <w:rsid w:val="00937A86"/>
    <w:rsid w:val="0094070B"/>
    <w:rsid w:val="0094074F"/>
    <w:rsid w:val="00940864"/>
    <w:rsid w:val="00941133"/>
    <w:rsid w:val="009420FF"/>
    <w:rsid w:val="00942438"/>
    <w:rsid w:val="0094335D"/>
    <w:rsid w:val="009433FE"/>
    <w:rsid w:val="00944F02"/>
    <w:rsid w:val="00944F14"/>
    <w:rsid w:val="00945037"/>
    <w:rsid w:val="009452EC"/>
    <w:rsid w:val="00946C92"/>
    <w:rsid w:val="00946E6D"/>
    <w:rsid w:val="0094747E"/>
    <w:rsid w:val="00947ECF"/>
    <w:rsid w:val="0095001A"/>
    <w:rsid w:val="00950983"/>
    <w:rsid w:val="00950F10"/>
    <w:rsid w:val="00952D86"/>
    <w:rsid w:val="00952EE0"/>
    <w:rsid w:val="00953B7E"/>
    <w:rsid w:val="009540FA"/>
    <w:rsid w:val="009548D3"/>
    <w:rsid w:val="00954C24"/>
    <w:rsid w:val="0095505B"/>
    <w:rsid w:val="009553A9"/>
    <w:rsid w:val="0095618E"/>
    <w:rsid w:val="009564BA"/>
    <w:rsid w:val="009570CA"/>
    <w:rsid w:val="0095725B"/>
    <w:rsid w:val="00957366"/>
    <w:rsid w:val="0095743E"/>
    <w:rsid w:val="009575F8"/>
    <w:rsid w:val="0095765D"/>
    <w:rsid w:val="00957AFE"/>
    <w:rsid w:val="009600DF"/>
    <w:rsid w:val="00960E6B"/>
    <w:rsid w:val="009611BB"/>
    <w:rsid w:val="0096121B"/>
    <w:rsid w:val="00962611"/>
    <w:rsid w:val="009629CD"/>
    <w:rsid w:val="009636DA"/>
    <w:rsid w:val="00964BF3"/>
    <w:rsid w:val="00964F96"/>
    <w:rsid w:val="00965465"/>
    <w:rsid w:val="009661A0"/>
    <w:rsid w:val="0096694E"/>
    <w:rsid w:val="0096728F"/>
    <w:rsid w:val="0096759A"/>
    <w:rsid w:val="0097160F"/>
    <w:rsid w:val="00973262"/>
    <w:rsid w:val="00973DA8"/>
    <w:rsid w:val="009750D7"/>
    <w:rsid w:val="00975C8B"/>
    <w:rsid w:val="0097638D"/>
    <w:rsid w:val="009770AB"/>
    <w:rsid w:val="00977A1D"/>
    <w:rsid w:val="0098035A"/>
    <w:rsid w:val="00980A15"/>
    <w:rsid w:val="00980DF1"/>
    <w:rsid w:val="00981798"/>
    <w:rsid w:val="00981DF5"/>
    <w:rsid w:val="00982AE4"/>
    <w:rsid w:val="00982CEA"/>
    <w:rsid w:val="009834A2"/>
    <w:rsid w:val="009839C3"/>
    <w:rsid w:val="00983E65"/>
    <w:rsid w:val="0098519B"/>
    <w:rsid w:val="009852EC"/>
    <w:rsid w:val="0098584F"/>
    <w:rsid w:val="00986556"/>
    <w:rsid w:val="009868F4"/>
    <w:rsid w:val="00986A8E"/>
    <w:rsid w:val="00987F7F"/>
    <w:rsid w:val="00990C14"/>
    <w:rsid w:val="00991316"/>
    <w:rsid w:val="00991364"/>
    <w:rsid w:val="00991810"/>
    <w:rsid w:val="00992B51"/>
    <w:rsid w:val="00993474"/>
    <w:rsid w:val="00995E58"/>
    <w:rsid w:val="0099601B"/>
    <w:rsid w:val="00997798"/>
    <w:rsid w:val="00997F81"/>
    <w:rsid w:val="009A021B"/>
    <w:rsid w:val="009A23F3"/>
    <w:rsid w:val="009A32B9"/>
    <w:rsid w:val="009A432B"/>
    <w:rsid w:val="009A5405"/>
    <w:rsid w:val="009A58B1"/>
    <w:rsid w:val="009A5BE1"/>
    <w:rsid w:val="009A6772"/>
    <w:rsid w:val="009A7115"/>
    <w:rsid w:val="009B0090"/>
    <w:rsid w:val="009B0448"/>
    <w:rsid w:val="009B0693"/>
    <w:rsid w:val="009B1AF1"/>
    <w:rsid w:val="009B1B78"/>
    <w:rsid w:val="009B3BCF"/>
    <w:rsid w:val="009B48AB"/>
    <w:rsid w:val="009B500A"/>
    <w:rsid w:val="009B50F9"/>
    <w:rsid w:val="009B5863"/>
    <w:rsid w:val="009B609A"/>
    <w:rsid w:val="009B6ADA"/>
    <w:rsid w:val="009B7407"/>
    <w:rsid w:val="009B7EBB"/>
    <w:rsid w:val="009C2408"/>
    <w:rsid w:val="009C2DE5"/>
    <w:rsid w:val="009C2E8B"/>
    <w:rsid w:val="009C3F0F"/>
    <w:rsid w:val="009C45A8"/>
    <w:rsid w:val="009C56DB"/>
    <w:rsid w:val="009C6DBB"/>
    <w:rsid w:val="009C78CA"/>
    <w:rsid w:val="009D0BD1"/>
    <w:rsid w:val="009D0F1F"/>
    <w:rsid w:val="009D28B0"/>
    <w:rsid w:val="009D2B86"/>
    <w:rsid w:val="009D2CA4"/>
    <w:rsid w:val="009D52C9"/>
    <w:rsid w:val="009D6F52"/>
    <w:rsid w:val="009D7B94"/>
    <w:rsid w:val="009E0908"/>
    <w:rsid w:val="009E0A5C"/>
    <w:rsid w:val="009E1B0F"/>
    <w:rsid w:val="009E2B8F"/>
    <w:rsid w:val="009E2FB3"/>
    <w:rsid w:val="009E3675"/>
    <w:rsid w:val="009E3907"/>
    <w:rsid w:val="009E3AD1"/>
    <w:rsid w:val="009E3C1C"/>
    <w:rsid w:val="009E48DD"/>
    <w:rsid w:val="009E4F92"/>
    <w:rsid w:val="009E55B1"/>
    <w:rsid w:val="009E66E9"/>
    <w:rsid w:val="009E7208"/>
    <w:rsid w:val="009E7C98"/>
    <w:rsid w:val="009F01A7"/>
    <w:rsid w:val="009F0865"/>
    <w:rsid w:val="009F0EA9"/>
    <w:rsid w:val="009F1066"/>
    <w:rsid w:val="009F10C2"/>
    <w:rsid w:val="009F274B"/>
    <w:rsid w:val="009F2EBF"/>
    <w:rsid w:val="009F2EDD"/>
    <w:rsid w:val="009F3981"/>
    <w:rsid w:val="009F58D2"/>
    <w:rsid w:val="009F5F33"/>
    <w:rsid w:val="009F6658"/>
    <w:rsid w:val="009F6D1A"/>
    <w:rsid w:val="009F7DA1"/>
    <w:rsid w:val="00A005B4"/>
    <w:rsid w:val="00A0066A"/>
    <w:rsid w:val="00A01C47"/>
    <w:rsid w:val="00A02675"/>
    <w:rsid w:val="00A0281B"/>
    <w:rsid w:val="00A0289D"/>
    <w:rsid w:val="00A02F79"/>
    <w:rsid w:val="00A03A2C"/>
    <w:rsid w:val="00A03ADD"/>
    <w:rsid w:val="00A0407C"/>
    <w:rsid w:val="00A049F3"/>
    <w:rsid w:val="00A04A2A"/>
    <w:rsid w:val="00A0632E"/>
    <w:rsid w:val="00A06D96"/>
    <w:rsid w:val="00A06EF5"/>
    <w:rsid w:val="00A07438"/>
    <w:rsid w:val="00A0746C"/>
    <w:rsid w:val="00A07514"/>
    <w:rsid w:val="00A07683"/>
    <w:rsid w:val="00A07805"/>
    <w:rsid w:val="00A10A9E"/>
    <w:rsid w:val="00A13C26"/>
    <w:rsid w:val="00A14C29"/>
    <w:rsid w:val="00A150D7"/>
    <w:rsid w:val="00A15347"/>
    <w:rsid w:val="00A1559B"/>
    <w:rsid w:val="00A15C1A"/>
    <w:rsid w:val="00A16345"/>
    <w:rsid w:val="00A16534"/>
    <w:rsid w:val="00A1654D"/>
    <w:rsid w:val="00A2162A"/>
    <w:rsid w:val="00A226BF"/>
    <w:rsid w:val="00A22F4D"/>
    <w:rsid w:val="00A23FED"/>
    <w:rsid w:val="00A24969"/>
    <w:rsid w:val="00A249FE"/>
    <w:rsid w:val="00A25E6D"/>
    <w:rsid w:val="00A26286"/>
    <w:rsid w:val="00A26C79"/>
    <w:rsid w:val="00A2725D"/>
    <w:rsid w:val="00A3052C"/>
    <w:rsid w:val="00A32510"/>
    <w:rsid w:val="00A356ED"/>
    <w:rsid w:val="00A35C67"/>
    <w:rsid w:val="00A36498"/>
    <w:rsid w:val="00A367ED"/>
    <w:rsid w:val="00A36BAA"/>
    <w:rsid w:val="00A36EC6"/>
    <w:rsid w:val="00A40240"/>
    <w:rsid w:val="00A40489"/>
    <w:rsid w:val="00A41B5B"/>
    <w:rsid w:val="00A443B3"/>
    <w:rsid w:val="00A44802"/>
    <w:rsid w:val="00A45758"/>
    <w:rsid w:val="00A45B5D"/>
    <w:rsid w:val="00A46B09"/>
    <w:rsid w:val="00A46E40"/>
    <w:rsid w:val="00A474FE"/>
    <w:rsid w:val="00A5016A"/>
    <w:rsid w:val="00A510E5"/>
    <w:rsid w:val="00A51971"/>
    <w:rsid w:val="00A51A5A"/>
    <w:rsid w:val="00A54869"/>
    <w:rsid w:val="00A54A40"/>
    <w:rsid w:val="00A555D6"/>
    <w:rsid w:val="00A55773"/>
    <w:rsid w:val="00A558EE"/>
    <w:rsid w:val="00A57176"/>
    <w:rsid w:val="00A57AA2"/>
    <w:rsid w:val="00A57C63"/>
    <w:rsid w:val="00A57DB7"/>
    <w:rsid w:val="00A607F1"/>
    <w:rsid w:val="00A6150B"/>
    <w:rsid w:val="00A62790"/>
    <w:rsid w:val="00A6320E"/>
    <w:rsid w:val="00A6346E"/>
    <w:rsid w:val="00A63B04"/>
    <w:rsid w:val="00A63B4B"/>
    <w:rsid w:val="00A64DFE"/>
    <w:rsid w:val="00A66468"/>
    <w:rsid w:val="00A669D0"/>
    <w:rsid w:val="00A6708D"/>
    <w:rsid w:val="00A67B6D"/>
    <w:rsid w:val="00A67DCA"/>
    <w:rsid w:val="00A703F6"/>
    <w:rsid w:val="00A704C1"/>
    <w:rsid w:val="00A70C20"/>
    <w:rsid w:val="00A70E45"/>
    <w:rsid w:val="00A71B35"/>
    <w:rsid w:val="00A72F76"/>
    <w:rsid w:val="00A73218"/>
    <w:rsid w:val="00A743D5"/>
    <w:rsid w:val="00A74C17"/>
    <w:rsid w:val="00A80FA1"/>
    <w:rsid w:val="00A817E3"/>
    <w:rsid w:val="00A81D58"/>
    <w:rsid w:val="00A81DB6"/>
    <w:rsid w:val="00A81F30"/>
    <w:rsid w:val="00A81FA5"/>
    <w:rsid w:val="00A82BB6"/>
    <w:rsid w:val="00A82C1E"/>
    <w:rsid w:val="00A82FBB"/>
    <w:rsid w:val="00A8305B"/>
    <w:rsid w:val="00A83C23"/>
    <w:rsid w:val="00A851B5"/>
    <w:rsid w:val="00A858E9"/>
    <w:rsid w:val="00A8710B"/>
    <w:rsid w:val="00A8736E"/>
    <w:rsid w:val="00A8742A"/>
    <w:rsid w:val="00A8747A"/>
    <w:rsid w:val="00A87813"/>
    <w:rsid w:val="00A905B4"/>
    <w:rsid w:val="00A90A6F"/>
    <w:rsid w:val="00A9113B"/>
    <w:rsid w:val="00A919EE"/>
    <w:rsid w:val="00A91AE7"/>
    <w:rsid w:val="00A9292B"/>
    <w:rsid w:val="00A93486"/>
    <w:rsid w:val="00A93830"/>
    <w:rsid w:val="00A93BFB"/>
    <w:rsid w:val="00A93C75"/>
    <w:rsid w:val="00A944B1"/>
    <w:rsid w:val="00A957A1"/>
    <w:rsid w:val="00A96B0F"/>
    <w:rsid w:val="00A97D8C"/>
    <w:rsid w:val="00AA0A75"/>
    <w:rsid w:val="00AA1D5E"/>
    <w:rsid w:val="00AA200F"/>
    <w:rsid w:val="00AA22D7"/>
    <w:rsid w:val="00AA2FF8"/>
    <w:rsid w:val="00AA385B"/>
    <w:rsid w:val="00AA4E11"/>
    <w:rsid w:val="00AA625F"/>
    <w:rsid w:val="00AA67A9"/>
    <w:rsid w:val="00AA71EE"/>
    <w:rsid w:val="00AA7435"/>
    <w:rsid w:val="00AB050C"/>
    <w:rsid w:val="00AB0A6E"/>
    <w:rsid w:val="00AB143D"/>
    <w:rsid w:val="00AB1EBD"/>
    <w:rsid w:val="00AB2413"/>
    <w:rsid w:val="00AB3477"/>
    <w:rsid w:val="00AB50F8"/>
    <w:rsid w:val="00AB5343"/>
    <w:rsid w:val="00AB5F81"/>
    <w:rsid w:val="00AB5FAB"/>
    <w:rsid w:val="00AB7D9C"/>
    <w:rsid w:val="00AB7E8B"/>
    <w:rsid w:val="00AC0285"/>
    <w:rsid w:val="00AC0B7B"/>
    <w:rsid w:val="00AC3508"/>
    <w:rsid w:val="00AC4FA7"/>
    <w:rsid w:val="00AC5D7C"/>
    <w:rsid w:val="00AC5DF7"/>
    <w:rsid w:val="00AC60E6"/>
    <w:rsid w:val="00AC62BA"/>
    <w:rsid w:val="00AC6602"/>
    <w:rsid w:val="00AC6743"/>
    <w:rsid w:val="00AC7A43"/>
    <w:rsid w:val="00AD0093"/>
    <w:rsid w:val="00AD0BBC"/>
    <w:rsid w:val="00AD1339"/>
    <w:rsid w:val="00AD1C25"/>
    <w:rsid w:val="00AD2378"/>
    <w:rsid w:val="00AD3576"/>
    <w:rsid w:val="00AD40D1"/>
    <w:rsid w:val="00AD49D8"/>
    <w:rsid w:val="00AD4A64"/>
    <w:rsid w:val="00AD58DE"/>
    <w:rsid w:val="00AD69F5"/>
    <w:rsid w:val="00AD6BEB"/>
    <w:rsid w:val="00AD73F2"/>
    <w:rsid w:val="00AD746A"/>
    <w:rsid w:val="00AD79E9"/>
    <w:rsid w:val="00AD7E5F"/>
    <w:rsid w:val="00AD7EC2"/>
    <w:rsid w:val="00AE07DF"/>
    <w:rsid w:val="00AE15ED"/>
    <w:rsid w:val="00AE1984"/>
    <w:rsid w:val="00AE2C29"/>
    <w:rsid w:val="00AE2E00"/>
    <w:rsid w:val="00AE3B8F"/>
    <w:rsid w:val="00AE49E0"/>
    <w:rsid w:val="00AE4DBF"/>
    <w:rsid w:val="00AF1FCA"/>
    <w:rsid w:val="00AF23F1"/>
    <w:rsid w:val="00AF24A8"/>
    <w:rsid w:val="00AF25A2"/>
    <w:rsid w:val="00AF3806"/>
    <w:rsid w:val="00AF411F"/>
    <w:rsid w:val="00AF434B"/>
    <w:rsid w:val="00AF43BB"/>
    <w:rsid w:val="00AF46DF"/>
    <w:rsid w:val="00AF4AA5"/>
    <w:rsid w:val="00AF4D00"/>
    <w:rsid w:val="00AF5D76"/>
    <w:rsid w:val="00AF6317"/>
    <w:rsid w:val="00AF66CF"/>
    <w:rsid w:val="00AF6D87"/>
    <w:rsid w:val="00AF710F"/>
    <w:rsid w:val="00AF76B4"/>
    <w:rsid w:val="00B018B1"/>
    <w:rsid w:val="00B01BE2"/>
    <w:rsid w:val="00B01DB5"/>
    <w:rsid w:val="00B030C5"/>
    <w:rsid w:val="00B04133"/>
    <w:rsid w:val="00B04202"/>
    <w:rsid w:val="00B064EF"/>
    <w:rsid w:val="00B06ED8"/>
    <w:rsid w:val="00B0737F"/>
    <w:rsid w:val="00B07A8C"/>
    <w:rsid w:val="00B10913"/>
    <w:rsid w:val="00B10C85"/>
    <w:rsid w:val="00B111DF"/>
    <w:rsid w:val="00B11DDC"/>
    <w:rsid w:val="00B12486"/>
    <w:rsid w:val="00B1283D"/>
    <w:rsid w:val="00B14D8E"/>
    <w:rsid w:val="00B14DC7"/>
    <w:rsid w:val="00B15AAF"/>
    <w:rsid w:val="00B15DA0"/>
    <w:rsid w:val="00B175B9"/>
    <w:rsid w:val="00B204BB"/>
    <w:rsid w:val="00B20F46"/>
    <w:rsid w:val="00B213F8"/>
    <w:rsid w:val="00B21C99"/>
    <w:rsid w:val="00B21ED5"/>
    <w:rsid w:val="00B21FDB"/>
    <w:rsid w:val="00B228EF"/>
    <w:rsid w:val="00B22B39"/>
    <w:rsid w:val="00B237EE"/>
    <w:rsid w:val="00B23BEA"/>
    <w:rsid w:val="00B2449F"/>
    <w:rsid w:val="00B24D94"/>
    <w:rsid w:val="00B25658"/>
    <w:rsid w:val="00B25A15"/>
    <w:rsid w:val="00B25CEC"/>
    <w:rsid w:val="00B25E4F"/>
    <w:rsid w:val="00B262F0"/>
    <w:rsid w:val="00B27383"/>
    <w:rsid w:val="00B273B2"/>
    <w:rsid w:val="00B27D6C"/>
    <w:rsid w:val="00B30AFB"/>
    <w:rsid w:val="00B30DA3"/>
    <w:rsid w:val="00B31AAD"/>
    <w:rsid w:val="00B32A56"/>
    <w:rsid w:val="00B3353B"/>
    <w:rsid w:val="00B33D6E"/>
    <w:rsid w:val="00B35437"/>
    <w:rsid w:val="00B3612B"/>
    <w:rsid w:val="00B3684F"/>
    <w:rsid w:val="00B374B9"/>
    <w:rsid w:val="00B40078"/>
    <w:rsid w:val="00B42601"/>
    <w:rsid w:val="00B432D5"/>
    <w:rsid w:val="00B44300"/>
    <w:rsid w:val="00B44666"/>
    <w:rsid w:val="00B45126"/>
    <w:rsid w:val="00B45D8A"/>
    <w:rsid w:val="00B46346"/>
    <w:rsid w:val="00B47885"/>
    <w:rsid w:val="00B47E99"/>
    <w:rsid w:val="00B50317"/>
    <w:rsid w:val="00B5081F"/>
    <w:rsid w:val="00B511B3"/>
    <w:rsid w:val="00B519B7"/>
    <w:rsid w:val="00B521CD"/>
    <w:rsid w:val="00B53217"/>
    <w:rsid w:val="00B5331A"/>
    <w:rsid w:val="00B5493E"/>
    <w:rsid w:val="00B54A73"/>
    <w:rsid w:val="00B556C3"/>
    <w:rsid w:val="00B5601F"/>
    <w:rsid w:val="00B563BB"/>
    <w:rsid w:val="00B564CF"/>
    <w:rsid w:val="00B56A9E"/>
    <w:rsid w:val="00B56AE8"/>
    <w:rsid w:val="00B570AA"/>
    <w:rsid w:val="00B602BB"/>
    <w:rsid w:val="00B60F9D"/>
    <w:rsid w:val="00B637D8"/>
    <w:rsid w:val="00B63C1B"/>
    <w:rsid w:val="00B648E1"/>
    <w:rsid w:val="00B6584A"/>
    <w:rsid w:val="00B659A9"/>
    <w:rsid w:val="00B65D7A"/>
    <w:rsid w:val="00B65EED"/>
    <w:rsid w:val="00B6634C"/>
    <w:rsid w:val="00B663A0"/>
    <w:rsid w:val="00B667C4"/>
    <w:rsid w:val="00B67580"/>
    <w:rsid w:val="00B6774C"/>
    <w:rsid w:val="00B70D13"/>
    <w:rsid w:val="00B71711"/>
    <w:rsid w:val="00B71847"/>
    <w:rsid w:val="00B73099"/>
    <w:rsid w:val="00B7506F"/>
    <w:rsid w:val="00B752CA"/>
    <w:rsid w:val="00B75393"/>
    <w:rsid w:val="00B7555C"/>
    <w:rsid w:val="00B75F58"/>
    <w:rsid w:val="00B765A0"/>
    <w:rsid w:val="00B76B16"/>
    <w:rsid w:val="00B76C8D"/>
    <w:rsid w:val="00B77056"/>
    <w:rsid w:val="00B77EE3"/>
    <w:rsid w:val="00B8051E"/>
    <w:rsid w:val="00B8149B"/>
    <w:rsid w:val="00B81525"/>
    <w:rsid w:val="00B81D38"/>
    <w:rsid w:val="00B81DD7"/>
    <w:rsid w:val="00B82261"/>
    <w:rsid w:val="00B82A5D"/>
    <w:rsid w:val="00B82C34"/>
    <w:rsid w:val="00B83E8E"/>
    <w:rsid w:val="00B84396"/>
    <w:rsid w:val="00B845AF"/>
    <w:rsid w:val="00B84F70"/>
    <w:rsid w:val="00B85263"/>
    <w:rsid w:val="00B86114"/>
    <w:rsid w:val="00B86D87"/>
    <w:rsid w:val="00B87E5E"/>
    <w:rsid w:val="00B93055"/>
    <w:rsid w:val="00B931F2"/>
    <w:rsid w:val="00B938DE"/>
    <w:rsid w:val="00B93BAE"/>
    <w:rsid w:val="00B94BFA"/>
    <w:rsid w:val="00B94F1C"/>
    <w:rsid w:val="00B95D3F"/>
    <w:rsid w:val="00B95EFD"/>
    <w:rsid w:val="00B9610B"/>
    <w:rsid w:val="00B96278"/>
    <w:rsid w:val="00B965D7"/>
    <w:rsid w:val="00B96723"/>
    <w:rsid w:val="00B97323"/>
    <w:rsid w:val="00B97C55"/>
    <w:rsid w:val="00BA0F41"/>
    <w:rsid w:val="00BA1D93"/>
    <w:rsid w:val="00BA25BC"/>
    <w:rsid w:val="00BA26D2"/>
    <w:rsid w:val="00BA278B"/>
    <w:rsid w:val="00BA307C"/>
    <w:rsid w:val="00BA464E"/>
    <w:rsid w:val="00BA741D"/>
    <w:rsid w:val="00BA7622"/>
    <w:rsid w:val="00BB1AD9"/>
    <w:rsid w:val="00BB2180"/>
    <w:rsid w:val="00BB323A"/>
    <w:rsid w:val="00BB34B4"/>
    <w:rsid w:val="00BB4CE4"/>
    <w:rsid w:val="00BB61D3"/>
    <w:rsid w:val="00BB6C8B"/>
    <w:rsid w:val="00BB6CAF"/>
    <w:rsid w:val="00BC0281"/>
    <w:rsid w:val="00BC1880"/>
    <w:rsid w:val="00BC236A"/>
    <w:rsid w:val="00BC49C6"/>
    <w:rsid w:val="00BC4D03"/>
    <w:rsid w:val="00BC5449"/>
    <w:rsid w:val="00BC5DA9"/>
    <w:rsid w:val="00BC650D"/>
    <w:rsid w:val="00BC7581"/>
    <w:rsid w:val="00BC7A2E"/>
    <w:rsid w:val="00BD1730"/>
    <w:rsid w:val="00BD24EE"/>
    <w:rsid w:val="00BD4644"/>
    <w:rsid w:val="00BD46CA"/>
    <w:rsid w:val="00BD477F"/>
    <w:rsid w:val="00BD54AC"/>
    <w:rsid w:val="00BD7295"/>
    <w:rsid w:val="00BD7690"/>
    <w:rsid w:val="00BD7C3C"/>
    <w:rsid w:val="00BE03DE"/>
    <w:rsid w:val="00BE139F"/>
    <w:rsid w:val="00BE3437"/>
    <w:rsid w:val="00BE433A"/>
    <w:rsid w:val="00BE437C"/>
    <w:rsid w:val="00BE5965"/>
    <w:rsid w:val="00BE6B89"/>
    <w:rsid w:val="00BE6FEB"/>
    <w:rsid w:val="00BE7CAC"/>
    <w:rsid w:val="00BE7D1F"/>
    <w:rsid w:val="00BF0146"/>
    <w:rsid w:val="00BF0ACA"/>
    <w:rsid w:val="00BF0E40"/>
    <w:rsid w:val="00BF117A"/>
    <w:rsid w:val="00BF123F"/>
    <w:rsid w:val="00BF1321"/>
    <w:rsid w:val="00BF1A78"/>
    <w:rsid w:val="00BF3C0D"/>
    <w:rsid w:val="00BF46A1"/>
    <w:rsid w:val="00BF46E6"/>
    <w:rsid w:val="00BF47D3"/>
    <w:rsid w:val="00BF4A6E"/>
    <w:rsid w:val="00BF4B5F"/>
    <w:rsid w:val="00BF5661"/>
    <w:rsid w:val="00BF58C4"/>
    <w:rsid w:val="00BF6681"/>
    <w:rsid w:val="00BF69EA"/>
    <w:rsid w:val="00C01D52"/>
    <w:rsid w:val="00C026F4"/>
    <w:rsid w:val="00C02A78"/>
    <w:rsid w:val="00C02FCE"/>
    <w:rsid w:val="00C033B5"/>
    <w:rsid w:val="00C04412"/>
    <w:rsid w:val="00C04B87"/>
    <w:rsid w:val="00C04BAD"/>
    <w:rsid w:val="00C055BF"/>
    <w:rsid w:val="00C05979"/>
    <w:rsid w:val="00C068C7"/>
    <w:rsid w:val="00C06C33"/>
    <w:rsid w:val="00C075B8"/>
    <w:rsid w:val="00C07AE0"/>
    <w:rsid w:val="00C1023B"/>
    <w:rsid w:val="00C10BD6"/>
    <w:rsid w:val="00C11120"/>
    <w:rsid w:val="00C120CF"/>
    <w:rsid w:val="00C12203"/>
    <w:rsid w:val="00C122F5"/>
    <w:rsid w:val="00C1253C"/>
    <w:rsid w:val="00C12D68"/>
    <w:rsid w:val="00C13CBC"/>
    <w:rsid w:val="00C1463C"/>
    <w:rsid w:val="00C15D30"/>
    <w:rsid w:val="00C16460"/>
    <w:rsid w:val="00C1649D"/>
    <w:rsid w:val="00C2150C"/>
    <w:rsid w:val="00C215F0"/>
    <w:rsid w:val="00C21929"/>
    <w:rsid w:val="00C21E50"/>
    <w:rsid w:val="00C245D5"/>
    <w:rsid w:val="00C25339"/>
    <w:rsid w:val="00C25CC6"/>
    <w:rsid w:val="00C25E50"/>
    <w:rsid w:val="00C2667F"/>
    <w:rsid w:val="00C27008"/>
    <w:rsid w:val="00C274E5"/>
    <w:rsid w:val="00C27973"/>
    <w:rsid w:val="00C3078B"/>
    <w:rsid w:val="00C31051"/>
    <w:rsid w:val="00C31735"/>
    <w:rsid w:val="00C31D16"/>
    <w:rsid w:val="00C31E10"/>
    <w:rsid w:val="00C3398F"/>
    <w:rsid w:val="00C33A8C"/>
    <w:rsid w:val="00C33FDD"/>
    <w:rsid w:val="00C34584"/>
    <w:rsid w:val="00C360D7"/>
    <w:rsid w:val="00C36C31"/>
    <w:rsid w:val="00C37160"/>
    <w:rsid w:val="00C37D88"/>
    <w:rsid w:val="00C402F5"/>
    <w:rsid w:val="00C4133E"/>
    <w:rsid w:val="00C41539"/>
    <w:rsid w:val="00C4182B"/>
    <w:rsid w:val="00C4182D"/>
    <w:rsid w:val="00C42CE6"/>
    <w:rsid w:val="00C44C8F"/>
    <w:rsid w:val="00C45105"/>
    <w:rsid w:val="00C46084"/>
    <w:rsid w:val="00C46C9A"/>
    <w:rsid w:val="00C46D17"/>
    <w:rsid w:val="00C46EC7"/>
    <w:rsid w:val="00C475AA"/>
    <w:rsid w:val="00C475C8"/>
    <w:rsid w:val="00C51C15"/>
    <w:rsid w:val="00C51D65"/>
    <w:rsid w:val="00C524F4"/>
    <w:rsid w:val="00C52BD3"/>
    <w:rsid w:val="00C52DDA"/>
    <w:rsid w:val="00C52E4C"/>
    <w:rsid w:val="00C534FC"/>
    <w:rsid w:val="00C542C7"/>
    <w:rsid w:val="00C54A87"/>
    <w:rsid w:val="00C55D2A"/>
    <w:rsid w:val="00C56C18"/>
    <w:rsid w:val="00C56FA0"/>
    <w:rsid w:val="00C60665"/>
    <w:rsid w:val="00C60F14"/>
    <w:rsid w:val="00C620B3"/>
    <w:rsid w:val="00C62B67"/>
    <w:rsid w:val="00C63191"/>
    <w:rsid w:val="00C6370B"/>
    <w:rsid w:val="00C64596"/>
    <w:rsid w:val="00C64B3C"/>
    <w:rsid w:val="00C6526C"/>
    <w:rsid w:val="00C65EE6"/>
    <w:rsid w:val="00C66E53"/>
    <w:rsid w:val="00C67C51"/>
    <w:rsid w:val="00C67CD7"/>
    <w:rsid w:val="00C70161"/>
    <w:rsid w:val="00C701DC"/>
    <w:rsid w:val="00C7146D"/>
    <w:rsid w:val="00C71BF9"/>
    <w:rsid w:val="00C72994"/>
    <w:rsid w:val="00C729C4"/>
    <w:rsid w:val="00C73104"/>
    <w:rsid w:val="00C735F5"/>
    <w:rsid w:val="00C7363F"/>
    <w:rsid w:val="00C745A1"/>
    <w:rsid w:val="00C7481F"/>
    <w:rsid w:val="00C762BF"/>
    <w:rsid w:val="00C765C0"/>
    <w:rsid w:val="00C77124"/>
    <w:rsid w:val="00C80D13"/>
    <w:rsid w:val="00C82848"/>
    <w:rsid w:val="00C82A07"/>
    <w:rsid w:val="00C82C0C"/>
    <w:rsid w:val="00C82DE1"/>
    <w:rsid w:val="00C82E4F"/>
    <w:rsid w:val="00C83956"/>
    <w:rsid w:val="00C83D2A"/>
    <w:rsid w:val="00C83DE5"/>
    <w:rsid w:val="00C84946"/>
    <w:rsid w:val="00C84BE0"/>
    <w:rsid w:val="00C85BFF"/>
    <w:rsid w:val="00C863C3"/>
    <w:rsid w:val="00C86E7B"/>
    <w:rsid w:val="00C877E6"/>
    <w:rsid w:val="00C8781E"/>
    <w:rsid w:val="00C87F1A"/>
    <w:rsid w:val="00C92B2D"/>
    <w:rsid w:val="00C9415F"/>
    <w:rsid w:val="00C9419D"/>
    <w:rsid w:val="00C94960"/>
    <w:rsid w:val="00C95AAF"/>
    <w:rsid w:val="00C95D94"/>
    <w:rsid w:val="00C95DFA"/>
    <w:rsid w:val="00C96C1F"/>
    <w:rsid w:val="00C96D7A"/>
    <w:rsid w:val="00CA10BA"/>
    <w:rsid w:val="00CA1363"/>
    <w:rsid w:val="00CA1B96"/>
    <w:rsid w:val="00CA29C3"/>
    <w:rsid w:val="00CA52FA"/>
    <w:rsid w:val="00CA5590"/>
    <w:rsid w:val="00CB06DA"/>
    <w:rsid w:val="00CB0887"/>
    <w:rsid w:val="00CB0A2E"/>
    <w:rsid w:val="00CB0E78"/>
    <w:rsid w:val="00CB1CA3"/>
    <w:rsid w:val="00CB2017"/>
    <w:rsid w:val="00CB286B"/>
    <w:rsid w:val="00CB2F75"/>
    <w:rsid w:val="00CB3637"/>
    <w:rsid w:val="00CB4AAB"/>
    <w:rsid w:val="00CB4C1A"/>
    <w:rsid w:val="00CB4CB5"/>
    <w:rsid w:val="00CB502F"/>
    <w:rsid w:val="00CB5A2B"/>
    <w:rsid w:val="00CB6E3E"/>
    <w:rsid w:val="00CC0E7B"/>
    <w:rsid w:val="00CC140B"/>
    <w:rsid w:val="00CC1DEB"/>
    <w:rsid w:val="00CC2ACF"/>
    <w:rsid w:val="00CC422B"/>
    <w:rsid w:val="00CC4A67"/>
    <w:rsid w:val="00CC4C24"/>
    <w:rsid w:val="00CC620B"/>
    <w:rsid w:val="00CC792A"/>
    <w:rsid w:val="00CD034F"/>
    <w:rsid w:val="00CD06B9"/>
    <w:rsid w:val="00CD0831"/>
    <w:rsid w:val="00CD0B50"/>
    <w:rsid w:val="00CD2C2A"/>
    <w:rsid w:val="00CD4D4F"/>
    <w:rsid w:val="00CD55C0"/>
    <w:rsid w:val="00CD5F28"/>
    <w:rsid w:val="00CD6609"/>
    <w:rsid w:val="00CD6F61"/>
    <w:rsid w:val="00CD7FBD"/>
    <w:rsid w:val="00CE1906"/>
    <w:rsid w:val="00CE19EA"/>
    <w:rsid w:val="00CE1A87"/>
    <w:rsid w:val="00CE259A"/>
    <w:rsid w:val="00CE3CBC"/>
    <w:rsid w:val="00CE3D29"/>
    <w:rsid w:val="00CE4459"/>
    <w:rsid w:val="00CE4B3E"/>
    <w:rsid w:val="00CE5084"/>
    <w:rsid w:val="00CE62F4"/>
    <w:rsid w:val="00CE6A49"/>
    <w:rsid w:val="00CE6BBB"/>
    <w:rsid w:val="00CF03A7"/>
    <w:rsid w:val="00CF132D"/>
    <w:rsid w:val="00CF17E8"/>
    <w:rsid w:val="00CF1D09"/>
    <w:rsid w:val="00CF29D6"/>
    <w:rsid w:val="00CF32FA"/>
    <w:rsid w:val="00CF3B16"/>
    <w:rsid w:val="00CF46C1"/>
    <w:rsid w:val="00CF51A1"/>
    <w:rsid w:val="00CF588C"/>
    <w:rsid w:val="00CF5F3D"/>
    <w:rsid w:val="00CF66BC"/>
    <w:rsid w:val="00CF695B"/>
    <w:rsid w:val="00CF7621"/>
    <w:rsid w:val="00CF7BCA"/>
    <w:rsid w:val="00D00F74"/>
    <w:rsid w:val="00D01A0D"/>
    <w:rsid w:val="00D03462"/>
    <w:rsid w:val="00D03F13"/>
    <w:rsid w:val="00D03F78"/>
    <w:rsid w:val="00D04579"/>
    <w:rsid w:val="00D04AF9"/>
    <w:rsid w:val="00D05105"/>
    <w:rsid w:val="00D05445"/>
    <w:rsid w:val="00D066FD"/>
    <w:rsid w:val="00D06E2A"/>
    <w:rsid w:val="00D111BD"/>
    <w:rsid w:val="00D1195C"/>
    <w:rsid w:val="00D1208E"/>
    <w:rsid w:val="00D121DF"/>
    <w:rsid w:val="00D1375D"/>
    <w:rsid w:val="00D13832"/>
    <w:rsid w:val="00D139EE"/>
    <w:rsid w:val="00D1404A"/>
    <w:rsid w:val="00D14432"/>
    <w:rsid w:val="00D15E76"/>
    <w:rsid w:val="00D16872"/>
    <w:rsid w:val="00D16F5A"/>
    <w:rsid w:val="00D173C7"/>
    <w:rsid w:val="00D175BE"/>
    <w:rsid w:val="00D1789B"/>
    <w:rsid w:val="00D17BED"/>
    <w:rsid w:val="00D20140"/>
    <w:rsid w:val="00D20161"/>
    <w:rsid w:val="00D20F3D"/>
    <w:rsid w:val="00D229A1"/>
    <w:rsid w:val="00D24881"/>
    <w:rsid w:val="00D24C70"/>
    <w:rsid w:val="00D25456"/>
    <w:rsid w:val="00D25551"/>
    <w:rsid w:val="00D25B73"/>
    <w:rsid w:val="00D2605C"/>
    <w:rsid w:val="00D26E68"/>
    <w:rsid w:val="00D278E5"/>
    <w:rsid w:val="00D30B5D"/>
    <w:rsid w:val="00D30F6B"/>
    <w:rsid w:val="00D32F25"/>
    <w:rsid w:val="00D34E0C"/>
    <w:rsid w:val="00D35157"/>
    <w:rsid w:val="00D36CEC"/>
    <w:rsid w:val="00D36F1C"/>
    <w:rsid w:val="00D37466"/>
    <w:rsid w:val="00D37508"/>
    <w:rsid w:val="00D404CB"/>
    <w:rsid w:val="00D40A57"/>
    <w:rsid w:val="00D41CD9"/>
    <w:rsid w:val="00D4206F"/>
    <w:rsid w:val="00D43E2C"/>
    <w:rsid w:val="00D44D27"/>
    <w:rsid w:val="00D45533"/>
    <w:rsid w:val="00D45698"/>
    <w:rsid w:val="00D459AF"/>
    <w:rsid w:val="00D45B34"/>
    <w:rsid w:val="00D45EE0"/>
    <w:rsid w:val="00D4691C"/>
    <w:rsid w:val="00D46A33"/>
    <w:rsid w:val="00D4700C"/>
    <w:rsid w:val="00D470AF"/>
    <w:rsid w:val="00D474FA"/>
    <w:rsid w:val="00D47D9E"/>
    <w:rsid w:val="00D503E5"/>
    <w:rsid w:val="00D523E6"/>
    <w:rsid w:val="00D52711"/>
    <w:rsid w:val="00D52D40"/>
    <w:rsid w:val="00D53C0F"/>
    <w:rsid w:val="00D54293"/>
    <w:rsid w:val="00D54D5F"/>
    <w:rsid w:val="00D5528C"/>
    <w:rsid w:val="00D5561F"/>
    <w:rsid w:val="00D558E2"/>
    <w:rsid w:val="00D55E37"/>
    <w:rsid w:val="00D6040C"/>
    <w:rsid w:val="00D60B8A"/>
    <w:rsid w:val="00D61EF2"/>
    <w:rsid w:val="00D63042"/>
    <w:rsid w:val="00D63BEA"/>
    <w:rsid w:val="00D65F0E"/>
    <w:rsid w:val="00D660E6"/>
    <w:rsid w:val="00D666A9"/>
    <w:rsid w:val="00D666FF"/>
    <w:rsid w:val="00D66C12"/>
    <w:rsid w:val="00D679FC"/>
    <w:rsid w:val="00D70A1C"/>
    <w:rsid w:val="00D7148B"/>
    <w:rsid w:val="00D71969"/>
    <w:rsid w:val="00D71BEC"/>
    <w:rsid w:val="00D72D11"/>
    <w:rsid w:val="00D72D26"/>
    <w:rsid w:val="00D74688"/>
    <w:rsid w:val="00D7480E"/>
    <w:rsid w:val="00D75358"/>
    <w:rsid w:val="00D755DE"/>
    <w:rsid w:val="00D75D0D"/>
    <w:rsid w:val="00D7688F"/>
    <w:rsid w:val="00D77B68"/>
    <w:rsid w:val="00D810FC"/>
    <w:rsid w:val="00D82597"/>
    <w:rsid w:val="00D82C3C"/>
    <w:rsid w:val="00D830A9"/>
    <w:rsid w:val="00D84264"/>
    <w:rsid w:val="00D84372"/>
    <w:rsid w:val="00D86BC3"/>
    <w:rsid w:val="00D87CF4"/>
    <w:rsid w:val="00D90508"/>
    <w:rsid w:val="00D909DD"/>
    <w:rsid w:val="00D91540"/>
    <w:rsid w:val="00D925DD"/>
    <w:rsid w:val="00D93714"/>
    <w:rsid w:val="00D937B2"/>
    <w:rsid w:val="00D94D23"/>
    <w:rsid w:val="00D95988"/>
    <w:rsid w:val="00D96177"/>
    <w:rsid w:val="00D96D4E"/>
    <w:rsid w:val="00D971DE"/>
    <w:rsid w:val="00DA040A"/>
    <w:rsid w:val="00DA0939"/>
    <w:rsid w:val="00DA140E"/>
    <w:rsid w:val="00DA1579"/>
    <w:rsid w:val="00DA17F2"/>
    <w:rsid w:val="00DA241C"/>
    <w:rsid w:val="00DA2553"/>
    <w:rsid w:val="00DA32ED"/>
    <w:rsid w:val="00DA4479"/>
    <w:rsid w:val="00DA461A"/>
    <w:rsid w:val="00DA6250"/>
    <w:rsid w:val="00DA6479"/>
    <w:rsid w:val="00DA6573"/>
    <w:rsid w:val="00DA7749"/>
    <w:rsid w:val="00DA78CA"/>
    <w:rsid w:val="00DA7FA3"/>
    <w:rsid w:val="00DB1182"/>
    <w:rsid w:val="00DB1716"/>
    <w:rsid w:val="00DB54D1"/>
    <w:rsid w:val="00DB5578"/>
    <w:rsid w:val="00DB73B7"/>
    <w:rsid w:val="00DC072F"/>
    <w:rsid w:val="00DC0AF1"/>
    <w:rsid w:val="00DC1775"/>
    <w:rsid w:val="00DC22E4"/>
    <w:rsid w:val="00DC40F8"/>
    <w:rsid w:val="00DC47BC"/>
    <w:rsid w:val="00DC4A3B"/>
    <w:rsid w:val="00DC4BB5"/>
    <w:rsid w:val="00DC55E6"/>
    <w:rsid w:val="00DC59D6"/>
    <w:rsid w:val="00DC5A1E"/>
    <w:rsid w:val="00DC6267"/>
    <w:rsid w:val="00DD0C29"/>
    <w:rsid w:val="00DD13F0"/>
    <w:rsid w:val="00DD16C8"/>
    <w:rsid w:val="00DD18DF"/>
    <w:rsid w:val="00DD211F"/>
    <w:rsid w:val="00DD3BAA"/>
    <w:rsid w:val="00DD3D61"/>
    <w:rsid w:val="00DD4C86"/>
    <w:rsid w:val="00DD68E3"/>
    <w:rsid w:val="00DD7539"/>
    <w:rsid w:val="00DE062B"/>
    <w:rsid w:val="00DE0E95"/>
    <w:rsid w:val="00DE2263"/>
    <w:rsid w:val="00DE36CF"/>
    <w:rsid w:val="00DE3BFA"/>
    <w:rsid w:val="00DE3C88"/>
    <w:rsid w:val="00DE4188"/>
    <w:rsid w:val="00DE4468"/>
    <w:rsid w:val="00DE629F"/>
    <w:rsid w:val="00DE68AB"/>
    <w:rsid w:val="00DE7B80"/>
    <w:rsid w:val="00DF0BE2"/>
    <w:rsid w:val="00DF22A4"/>
    <w:rsid w:val="00DF241C"/>
    <w:rsid w:val="00DF2E48"/>
    <w:rsid w:val="00DF2F16"/>
    <w:rsid w:val="00DF33E9"/>
    <w:rsid w:val="00DF39B9"/>
    <w:rsid w:val="00DF4FB7"/>
    <w:rsid w:val="00DF648F"/>
    <w:rsid w:val="00DF7EB4"/>
    <w:rsid w:val="00E00A00"/>
    <w:rsid w:val="00E00D1E"/>
    <w:rsid w:val="00E00F36"/>
    <w:rsid w:val="00E018F6"/>
    <w:rsid w:val="00E01B9D"/>
    <w:rsid w:val="00E02BBA"/>
    <w:rsid w:val="00E03029"/>
    <w:rsid w:val="00E04794"/>
    <w:rsid w:val="00E049FD"/>
    <w:rsid w:val="00E05A93"/>
    <w:rsid w:val="00E06070"/>
    <w:rsid w:val="00E070A5"/>
    <w:rsid w:val="00E0748B"/>
    <w:rsid w:val="00E07C48"/>
    <w:rsid w:val="00E07E69"/>
    <w:rsid w:val="00E07ED3"/>
    <w:rsid w:val="00E07F11"/>
    <w:rsid w:val="00E11E31"/>
    <w:rsid w:val="00E122CB"/>
    <w:rsid w:val="00E151EB"/>
    <w:rsid w:val="00E153D6"/>
    <w:rsid w:val="00E154E8"/>
    <w:rsid w:val="00E155D7"/>
    <w:rsid w:val="00E15908"/>
    <w:rsid w:val="00E15DA4"/>
    <w:rsid w:val="00E1779F"/>
    <w:rsid w:val="00E178C6"/>
    <w:rsid w:val="00E211D7"/>
    <w:rsid w:val="00E2320E"/>
    <w:rsid w:val="00E23EF4"/>
    <w:rsid w:val="00E23FDA"/>
    <w:rsid w:val="00E2435E"/>
    <w:rsid w:val="00E248A2"/>
    <w:rsid w:val="00E24913"/>
    <w:rsid w:val="00E251FB"/>
    <w:rsid w:val="00E25C4C"/>
    <w:rsid w:val="00E261D4"/>
    <w:rsid w:val="00E26488"/>
    <w:rsid w:val="00E27D80"/>
    <w:rsid w:val="00E31933"/>
    <w:rsid w:val="00E31AF5"/>
    <w:rsid w:val="00E321C4"/>
    <w:rsid w:val="00E32F6D"/>
    <w:rsid w:val="00E33A95"/>
    <w:rsid w:val="00E33EC6"/>
    <w:rsid w:val="00E347C8"/>
    <w:rsid w:val="00E3489D"/>
    <w:rsid w:val="00E34A1C"/>
    <w:rsid w:val="00E36290"/>
    <w:rsid w:val="00E36F5B"/>
    <w:rsid w:val="00E37783"/>
    <w:rsid w:val="00E37CA4"/>
    <w:rsid w:val="00E40F4C"/>
    <w:rsid w:val="00E41D9C"/>
    <w:rsid w:val="00E44A39"/>
    <w:rsid w:val="00E44B3E"/>
    <w:rsid w:val="00E44B69"/>
    <w:rsid w:val="00E46983"/>
    <w:rsid w:val="00E46E7E"/>
    <w:rsid w:val="00E511E3"/>
    <w:rsid w:val="00E512CE"/>
    <w:rsid w:val="00E5194F"/>
    <w:rsid w:val="00E52B83"/>
    <w:rsid w:val="00E52FAB"/>
    <w:rsid w:val="00E544A4"/>
    <w:rsid w:val="00E54599"/>
    <w:rsid w:val="00E552E0"/>
    <w:rsid w:val="00E55349"/>
    <w:rsid w:val="00E554C1"/>
    <w:rsid w:val="00E55DD4"/>
    <w:rsid w:val="00E56B8C"/>
    <w:rsid w:val="00E56D00"/>
    <w:rsid w:val="00E56FF6"/>
    <w:rsid w:val="00E575D7"/>
    <w:rsid w:val="00E576EF"/>
    <w:rsid w:val="00E601C5"/>
    <w:rsid w:val="00E60E40"/>
    <w:rsid w:val="00E61558"/>
    <w:rsid w:val="00E615AF"/>
    <w:rsid w:val="00E61CE0"/>
    <w:rsid w:val="00E61D60"/>
    <w:rsid w:val="00E62626"/>
    <w:rsid w:val="00E62B06"/>
    <w:rsid w:val="00E62B84"/>
    <w:rsid w:val="00E62C38"/>
    <w:rsid w:val="00E62DB5"/>
    <w:rsid w:val="00E64AB8"/>
    <w:rsid w:val="00E65288"/>
    <w:rsid w:val="00E66216"/>
    <w:rsid w:val="00E666F1"/>
    <w:rsid w:val="00E67DD9"/>
    <w:rsid w:val="00E71D29"/>
    <w:rsid w:val="00E72609"/>
    <w:rsid w:val="00E72A22"/>
    <w:rsid w:val="00E72C56"/>
    <w:rsid w:val="00E72E46"/>
    <w:rsid w:val="00E7355B"/>
    <w:rsid w:val="00E740E3"/>
    <w:rsid w:val="00E7520C"/>
    <w:rsid w:val="00E75CEE"/>
    <w:rsid w:val="00E8102C"/>
    <w:rsid w:val="00E81C95"/>
    <w:rsid w:val="00E81FBF"/>
    <w:rsid w:val="00E8213C"/>
    <w:rsid w:val="00E8249F"/>
    <w:rsid w:val="00E826F1"/>
    <w:rsid w:val="00E82961"/>
    <w:rsid w:val="00E82BFD"/>
    <w:rsid w:val="00E82C70"/>
    <w:rsid w:val="00E856EF"/>
    <w:rsid w:val="00E85F91"/>
    <w:rsid w:val="00E86A71"/>
    <w:rsid w:val="00E8710C"/>
    <w:rsid w:val="00E87177"/>
    <w:rsid w:val="00E87999"/>
    <w:rsid w:val="00E87B1F"/>
    <w:rsid w:val="00E90298"/>
    <w:rsid w:val="00E908AD"/>
    <w:rsid w:val="00E91F49"/>
    <w:rsid w:val="00E93A48"/>
    <w:rsid w:val="00E93AC9"/>
    <w:rsid w:val="00E93EC5"/>
    <w:rsid w:val="00E93F90"/>
    <w:rsid w:val="00E9410B"/>
    <w:rsid w:val="00E943A6"/>
    <w:rsid w:val="00E943D2"/>
    <w:rsid w:val="00E95120"/>
    <w:rsid w:val="00E96148"/>
    <w:rsid w:val="00E96566"/>
    <w:rsid w:val="00E967E5"/>
    <w:rsid w:val="00E9771B"/>
    <w:rsid w:val="00EA0A46"/>
    <w:rsid w:val="00EA0AED"/>
    <w:rsid w:val="00EA1105"/>
    <w:rsid w:val="00EA1995"/>
    <w:rsid w:val="00EA2F6A"/>
    <w:rsid w:val="00EA39A0"/>
    <w:rsid w:val="00EA5146"/>
    <w:rsid w:val="00EA5336"/>
    <w:rsid w:val="00EA5CB0"/>
    <w:rsid w:val="00EB1F46"/>
    <w:rsid w:val="00EB1F74"/>
    <w:rsid w:val="00EB245F"/>
    <w:rsid w:val="00EB3C78"/>
    <w:rsid w:val="00EB4C9E"/>
    <w:rsid w:val="00EB58A6"/>
    <w:rsid w:val="00EB5BAC"/>
    <w:rsid w:val="00EB5DAD"/>
    <w:rsid w:val="00EB625A"/>
    <w:rsid w:val="00EB6267"/>
    <w:rsid w:val="00EB63B2"/>
    <w:rsid w:val="00EB65B9"/>
    <w:rsid w:val="00EB670C"/>
    <w:rsid w:val="00EB747C"/>
    <w:rsid w:val="00EC01E4"/>
    <w:rsid w:val="00EC02BD"/>
    <w:rsid w:val="00EC06D4"/>
    <w:rsid w:val="00EC10BC"/>
    <w:rsid w:val="00EC10F7"/>
    <w:rsid w:val="00EC1BC4"/>
    <w:rsid w:val="00EC230C"/>
    <w:rsid w:val="00EC24E2"/>
    <w:rsid w:val="00EC25A0"/>
    <w:rsid w:val="00EC4DC4"/>
    <w:rsid w:val="00EC53CA"/>
    <w:rsid w:val="00EC6200"/>
    <w:rsid w:val="00EC6319"/>
    <w:rsid w:val="00ED0F48"/>
    <w:rsid w:val="00ED1B87"/>
    <w:rsid w:val="00ED248B"/>
    <w:rsid w:val="00ED250A"/>
    <w:rsid w:val="00ED2A3C"/>
    <w:rsid w:val="00ED344B"/>
    <w:rsid w:val="00ED3622"/>
    <w:rsid w:val="00ED4FED"/>
    <w:rsid w:val="00ED556B"/>
    <w:rsid w:val="00ED6E1F"/>
    <w:rsid w:val="00ED767A"/>
    <w:rsid w:val="00EE0384"/>
    <w:rsid w:val="00EE0770"/>
    <w:rsid w:val="00EE0BF7"/>
    <w:rsid w:val="00EE2813"/>
    <w:rsid w:val="00EE2B7D"/>
    <w:rsid w:val="00EE3943"/>
    <w:rsid w:val="00EE3A13"/>
    <w:rsid w:val="00EE42F5"/>
    <w:rsid w:val="00EE4496"/>
    <w:rsid w:val="00EE594D"/>
    <w:rsid w:val="00EE6705"/>
    <w:rsid w:val="00EE6EF4"/>
    <w:rsid w:val="00EE70D5"/>
    <w:rsid w:val="00EE7BFF"/>
    <w:rsid w:val="00EF142E"/>
    <w:rsid w:val="00EF1E28"/>
    <w:rsid w:val="00EF31AF"/>
    <w:rsid w:val="00EF4180"/>
    <w:rsid w:val="00EF4290"/>
    <w:rsid w:val="00EF4E33"/>
    <w:rsid w:val="00EF7137"/>
    <w:rsid w:val="00EF740E"/>
    <w:rsid w:val="00EF799A"/>
    <w:rsid w:val="00F0029C"/>
    <w:rsid w:val="00F005FC"/>
    <w:rsid w:val="00F00878"/>
    <w:rsid w:val="00F010D6"/>
    <w:rsid w:val="00F01326"/>
    <w:rsid w:val="00F01B41"/>
    <w:rsid w:val="00F01B6A"/>
    <w:rsid w:val="00F020AD"/>
    <w:rsid w:val="00F025C0"/>
    <w:rsid w:val="00F0269D"/>
    <w:rsid w:val="00F02AFB"/>
    <w:rsid w:val="00F04DB3"/>
    <w:rsid w:val="00F05520"/>
    <w:rsid w:val="00F066BB"/>
    <w:rsid w:val="00F06F97"/>
    <w:rsid w:val="00F07020"/>
    <w:rsid w:val="00F071E3"/>
    <w:rsid w:val="00F10050"/>
    <w:rsid w:val="00F10182"/>
    <w:rsid w:val="00F10534"/>
    <w:rsid w:val="00F112FD"/>
    <w:rsid w:val="00F11AF6"/>
    <w:rsid w:val="00F1292A"/>
    <w:rsid w:val="00F129CB"/>
    <w:rsid w:val="00F145B4"/>
    <w:rsid w:val="00F15480"/>
    <w:rsid w:val="00F15498"/>
    <w:rsid w:val="00F1728F"/>
    <w:rsid w:val="00F17349"/>
    <w:rsid w:val="00F173DB"/>
    <w:rsid w:val="00F17644"/>
    <w:rsid w:val="00F17704"/>
    <w:rsid w:val="00F20909"/>
    <w:rsid w:val="00F2139B"/>
    <w:rsid w:val="00F21B44"/>
    <w:rsid w:val="00F22469"/>
    <w:rsid w:val="00F23179"/>
    <w:rsid w:val="00F23E56"/>
    <w:rsid w:val="00F2462F"/>
    <w:rsid w:val="00F24687"/>
    <w:rsid w:val="00F246A4"/>
    <w:rsid w:val="00F24B67"/>
    <w:rsid w:val="00F2515F"/>
    <w:rsid w:val="00F255EA"/>
    <w:rsid w:val="00F256B2"/>
    <w:rsid w:val="00F258EE"/>
    <w:rsid w:val="00F265EA"/>
    <w:rsid w:val="00F26823"/>
    <w:rsid w:val="00F27A76"/>
    <w:rsid w:val="00F30287"/>
    <w:rsid w:val="00F32290"/>
    <w:rsid w:val="00F326B2"/>
    <w:rsid w:val="00F32A57"/>
    <w:rsid w:val="00F32AF0"/>
    <w:rsid w:val="00F338E4"/>
    <w:rsid w:val="00F3749B"/>
    <w:rsid w:val="00F37DBD"/>
    <w:rsid w:val="00F37E49"/>
    <w:rsid w:val="00F40656"/>
    <w:rsid w:val="00F410F4"/>
    <w:rsid w:val="00F41BB2"/>
    <w:rsid w:val="00F4221C"/>
    <w:rsid w:val="00F422F6"/>
    <w:rsid w:val="00F423CD"/>
    <w:rsid w:val="00F43549"/>
    <w:rsid w:val="00F4359A"/>
    <w:rsid w:val="00F43C36"/>
    <w:rsid w:val="00F4513B"/>
    <w:rsid w:val="00F4567F"/>
    <w:rsid w:val="00F47C06"/>
    <w:rsid w:val="00F47FCA"/>
    <w:rsid w:val="00F503EF"/>
    <w:rsid w:val="00F509E1"/>
    <w:rsid w:val="00F50E03"/>
    <w:rsid w:val="00F51C1C"/>
    <w:rsid w:val="00F51E9E"/>
    <w:rsid w:val="00F524B6"/>
    <w:rsid w:val="00F525E9"/>
    <w:rsid w:val="00F5261A"/>
    <w:rsid w:val="00F52B40"/>
    <w:rsid w:val="00F52D98"/>
    <w:rsid w:val="00F52DD2"/>
    <w:rsid w:val="00F5345A"/>
    <w:rsid w:val="00F54711"/>
    <w:rsid w:val="00F547E9"/>
    <w:rsid w:val="00F5496B"/>
    <w:rsid w:val="00F54B07"/>
    <w:rsid w:val="00F57578"/>
    <w:rsid w:val="00F5759E"/>
    <w:rsid w:val="00F57FBB"/>
    <w:rsid w:val="00F61353"/>
    <w:rsid w:val="00F6372F"/>
    <w:rsid w:val="00F6593B"/>
    <w:rsid w:val="00F65C9A"/>
    <w:rsid w:val="00F661B4"/>
    <w:rsid w:val="00F67032"/>
    <w:rsid w:val="00F678E7"/>
    <w:rsid w:val="00F706B4"/>
    <w:rsid w:val="00F70FBA"/>
    <w:rsid w:val="00F7111C"/>
    <w:rsid w:val="00F71771"/>
    <w:rsid w:val="00F71829"/>
    <w:rsid w:val="00F72D97"/>
    <w:rsid w:val="00F74330"/>
    <w:rsid w:val="00F75434"/>
    <w:rsid w:val="00F75E82"/>
    <w:rsid w:val="00F76F8D"/>
    <w:rsid w:val="00F80097"/>
    <w:rsid w:val="00F80778"/>
    <w:rsid w:val="00F817D5"/>
    <w:rsid w:val="00F81A3E"/>
    <w:rsid w:val="00F81CBE"/>
    <w:rsid w:val="00F82A6C"/>
    <w:rsid w:val="00F82EF2"/>
    <w:rsid w:val="00F83839"/>
    <w:rsid w:val="00F8385F"/>
    <w:rsid w:val="00F844A5"/>
    <w:rsid w:val="00F846CB"/>
    <w:rsid w:val="00F8522C"/>
    <w:rsid w:val="00F854D9"/>
    <w:rsid w:val="00F85599"/>
    <w:rsid w:val="00F8575A"/>
    <w:rsid w:val="00F874CF"/>
    <w:rsid w:val="00F905EA"/>
    <w:rsid w:val="00F90F53"/>
    <w:rsid w:val="00F91241"/>
    <w:rsid w:val="00F918EB"/>
    <w:rsid w:val="00F91DB3"/>
    <w:rsid w:val="00F9258F"/>
    <w:rsid w:val="00F92682"/>
    <w:rsid w:val="00F92B3F"/>
    <w:rsid w:val="00F92C54"/>
    <w:rsid w:val="00F92F8A"/>
    <w:rsid w:val="00F93B5D"/>
    <w:rsid w:val="00F94AE3"/>
    <w:rsid w:val="00F94F63"/>
    <w:rsid w:val="00F9504D"/>
    <w:rsid w:val="00F96B3D"/>
    <w:rsid w:val="00F96C7C"/>
    <w:rsid w:val="00F973B6"/>
    <w:rsid w:val="00FA1DA2"/>
    <w:rsid w:val="00FA2588"/>
    <w:rsid w:val="00FA25E6"/>
    <w:rsid w:val="00FA2A91"/>
    <w:rsid w:val="00FA34E4"/>
    <w:rsid w:val="00FA3758"/>
    <w:rsid w:val="00FA495C"/>
    <w:rsid w:val="00FA4A02"/>
    <w:rsid w:val="00FA4B38"/>
    <w:rsid w:val="00FA4FB1"/>
    <w:rsid w:val="00FA622E"/>
    <w:rsid w:val="00FA69B0"/>
    <w:rsid w:val="00FA6CD0"/>
    <w:rsid w:val="00FB12FF"/>
    <w:rsid w:val="00FB1346"/>
    <w:rsid w:val="00FB144A"/>
    <w:rsid w:val="00FB2C58"/>
    <w:rsid w:val="00FB300A"/>
    <w:rsid w:val="00FB53EA"/>
    <w:rsid w:val="00FB5C08"/>
    <w:rsid w:val="00FB7E5F"/>
    <w:rsid w:val="00FC09C6"/>
    <w:rsid w:val="00FC1B1F"/>
    <w:rsid w:val="00FC1EA1"/>
    <w:rsid w:val="00FC4CB5"/>
    <w:rsid w:val="00FC4F8D"/>
    <w:rsid w:val="00FC5D63"/>
    <w:rsid w:val="00FC6423"/>
    <w:rsid w:val="00FC67EB"/>
    <w:rsid w:val="00FC717D"/>
    <w:rsid w:val="00FC7920"/>
    <w:rsid w:val="00FD009A"/>
    <w:rsid w:val="00FD0193"/>
    <w:rsid w:val="00FD05A0"/>
    <w:rsid w:val="00FD06E1"/>
    <w:rsid w:val="00FD0ECE"/>
    <w:rsid w:val="00FD134F"/>
    <w:rsid w:val="00FD19D3"/>
    <w:rsid w:val="00FD1E44"/>
    <w:rsid w:val="00FD24C8"/>
    <w:rsid w:val="00FD24F6"/>
    <w:rsid w:val="00FD272D"/>
    <w:rsid w:val="00FD4C76"/>
    <w:rsid w:val="00FD53DF"/>
    <w:rsid w:val="00FD55A9"/>
    <w:rsid w:val="00FD5FE4"/>
    <w:rsid w:val="00FD6501"/>
    <w:rsid w:val="00FD6ED5"/>
    <w:rsid w:val="00FD7BFF"/>
    <w:rsid w:val="00FE0289"/>
    <w:rsid w:val="00FE07A1"/>
    <w:rsid w:val="00FE09A3"/>
    <w:rsid w:val="00FE2DE0"/>
    <w:rsid w:val="00FE33C8"/>
    <w:rsid w:val="00FE4C20"/>
    <w:rsid w:val="00FE519E"/>
    <w:rsid w:val="00FE6CA0"/>
    <w:rsid w:val="00FF00E2"/>
    <w:rsid w:val="00FF0AAA"/>
    <w:rsid w:val="00FF38EF"/>
    <w:rsid w:val="00FF47FC"/>
    <w:rsid w:val="00FF4949"/>
    <w:rsid w:val="00FF4B7D"/>
    <w:rsid w:val="00FF7A8F"/>
    <w:rsid w:val="00FF7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08B0"/>
  <w15:docId w15:val="{F8FC8592-C41F-490A-BB91-DD0A9890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20E"/>
    <w:rPr>
      <w:lang w:val="sl-SI"/>
    </w:rPr>
  </w:style>
  <w:style w:type="paragraph" w:styleId="Naslov1">
    <w:name w:val="heading 1"/>
    <w:basedOn w:val="Navaden"/>
    <w:next w:val="Navaden"/>
    <w:link w:val="Naslov1Znak"/>
    <w:uiPriority w:val="9"/>
    <w:qFormat/>
    <w:rsid w:val="0065545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avaden"/>
    <w:next w:val="Navaden"/>
    <w:link w:val="Naslov2Znak"/>
    <w:uiPriority w:val="9"/>
    <w:unhideWhenUsed/>
    <w:qFormat/>
    <w:rsid w:val="0065545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avaden"/>
    <w:next w:val="Navaden"/>
    <w:link w:val="Naslov3Znak"/>
    <w:uiPriority w:val="9"/>
    <w:unhideWhenUsed/>
    <w:qFormat/>
    <w:rsid w:val="0065545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025C0"/>
    <w:pPr>
      <w:tabs>
        <w:tab w:val="center" w:pos="4513"/>
        <w:tab w:val="right" w:pos="9026"/>
      </w:tabs>
      <w:spacing w:after="0" w:line="240" w:lineRule="auto"/>
    </w:pPr>
  </w:style>
  <w:style w:type="character" w:customStyle="1" w:styleId="GlavaZnak">
    <w:name w:val="Glava Znak"/>
    <w:basedOn w:val="Privzetapisavaodstavka"/>
    <w:link w:val="Glava"/>
    <w:uiPriority w:val="99"/>
    <w:rsid w:val="00F025C0"/>
    <w:rPr>
      <w:lang w:val="sl-SI"/>
    </w:rPr>
  </w:style>
  <w:style w:type="paragraph" w:styleId="Noga">
    <w:name w:val="footer"/>
    <w:basedOn w:val="Navaden"/>
    <w:link w:val="NogaZnak"/>
    <w:uiPriority w:val="99"/>
    <w:unhideWhenUsed/>
    <w:rsid w:val="00F025C0"/>
    <w:pPr>
      <w:tabs>
        <w:tab w:val="center" w:pos="4513"/>
        <w:tab w:val="right" w:pos="9026"/>
      </w:tabs>
      <w:spacing w:after="0" w:line="240" w:lineRule="auto"/>
    </w:pPr>
  </w:style>
  <w:style w:type="character" w:customStyle="1" w:styleId="NogaZnak">
    <w:name w:val="Noga Znak"/>
    <w:basedOn w:val="Privzetapisavaodstavka"/>
    <w:link w:val="Noga"/>
    <w:uiPriority w:val="99"/>
    <w:rsid w:val="00F025C0"/>
    <w:rPr>
      <w:lang w:val="sl-SI"/>
    </w:rPr>
  </w:style>
  <w:style w:type="paragraph" w:styleId="Sprotnaopomba-besedilo">
    <w:name w:val="footnote text"/>
    <w:basedOn w:val="Navaden"/>
    <w:link w:val="Sprotnaopomba-besediloZnak"/>
    <w:uiPriority w:val="99"/>
    <w:semiHidden/>
    <w:unhideWhenUsed/>
    <w:rsid w:val="002C688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C6881"/>
    <w:rPr>
      <w:sz w:val="20"/>
      <w:szCs w:val="20"/>
      <w:lang w:val="sl-SI"/>
    </w:rPr>
  </w:style>
  <w:style w:type="character" w:styleId="Sprotnaopomba-sklic">
    <w:name w:val="footnote reference"/>
    <w:basedOn w:val="Privzetapisavaodstavka"/>
    <w:uiPriority w:val="99"/>
    <w:semiHidden/>
    <w:unhideWhenUsed/>
    <w:rsid w:val="002C6881"/>
    <w:rPr>
      <w:vertAlign w:val="superscript"/>
    </w:rPr>
  </w:style>
  <w:style w:type="paragraph" w:customStyle="1" w:styleId="Default">
    <w:name w:val="Default"/>
    <w:rsid w:val="009E0A5C"/>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EB1F4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1F46"/>
    <w:rPr>
      <w:rFonts w:ascii="Segoe UI" w:hAnsi="Segoe UI" w:cs="Segoe UI"/>
      <w:sz w:val="18"/>
      <w:szCs w:val="18"/>
      <w:lang w:val="sl-SI"/>
    </w:rPr>
  </w:style>
  <w:style w:type="table" w:styleId="Tabelamrea">
    <w:name w:val="Table Grid"/>
    <w:basedOn w:val="Navadnatabela"/>
    <w:uiPriority w:val="39"/>
    <w:rsid w:val="0086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872B5"/>
    <w:pPr>
      <w:ind w:left="720"/>
      <w:contextualSpacing/>
    </w:pPr>
  </w:style>
  <w:style w:type="character" w:styleId="Pripombasklic">
    <w:name w:val="annotation reference"/>
    <w:basedOn w:val="Privzetapisavaodstavka"/>
    <w:uiPriority w:val="99"/>
    <w:semiHidden/>
    <w:unhideWhenUsed/>
    <w:rsid w:val="00697FED"/>
    <w:rPr>
      <w:sz w:val="16"/>
      <w:szCs w:val="16"/>
    </w:rPr>
  </w:style>
  <w:style w:type="paragraph" w:styleId="Pripombabesedilo">
    <w:name w:val="annotation text"/>
    <w:basedOn w:val="Navaden"/>
    <w:link w:val="PripombabesediloZnak"/>
    <w:uiPriority w:val="99"/>
    <w:semiHidden/>
    <w:unhideWhenUsed/>
    <w:rsid w:val="00697F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97FED"/>
    <w:rPr>
      <w:sz w:val="20"/>
      <w:szCs w:val="20"/>
      <w:lang w:val="sl-SI"/>
    </w:rPr>
  </w:style>
  <w:style w:type="paragraph" w:styleId="Zadevapripombe">
    <w:name w:val="annotation subject"/>
    <w:basedOn w:val="Pripombabesedilo"/>
    <w:next w:val="Pripombabesedilo"/>
    <w:link w:val="ZadevapripombeZnak"/>
    <w:uiPriority w:val="99"/>
    <w:semiHidden/>
    <w:unhideWhenUsed/>
    <w:rsid w:val="00697FED"/>
    <w:rPr>
      <w:b/>
      <w:bCs/>
    </w:rPr>
  </w:style>
  <w:style w:type="character" w:customStyle="1" w:styleId="ZadevapripombeZnak">
    <w:name w:val="Zadeva pripombe Znak"/>
    <w:basedOn w:val="PripombabesediloZnak"/>
    <w:link w:val="Zadevapripombe"/>
    <w:uiPriority w:val="99"/>
    <w:semiHidden/>
    <w:rsid w:val="00697FED"/>
    <w:rPr>
      <w:b/>
      <w:bCs/>
      <w:sz w:val="20"/>
      <w:szCs w:val="20"/>
      <w:lang w:val="sl-SI"/>
    </w:rPr>
  </w:style>
  <w:style w:type="paragraph" w:customStyle="1" w:styleId="doc-ti">
    <w:name w:val="doc-ti"/>
    <w:basedOn w:val="Navaden"/>
    <w:rsid w:val="002564A0"/>
    <w:pPr>
      <w:spacing w:before="100" w:beforeAutospacing="1" w:after="100" w:afterAutospacing="1" w:line="240" w:lineRule="auto"/>
    </w:pPr>
    <w:rPr>
      <w:rFonts w:ascii="Times New Roman" w:eastAsia="Times New Roman" w:hAnsi="Times New Roman" w:cs="Times New Roman"/>
      <w:sz w:val="24"/>
      <w:szCs w:val="24"/>
    </w:rPr>
  </w:style>
  <w:style w:type="character" w:styleId="Intenzivenpoudarek">
    <w:name w:val="Intense Emphasis"/>
    <w:basedOn w:val="Privzetapisavaodstavka"/>
    <w:uiPriority w:val="21"/>
    <w:qFormat/>
    <w:rsid w:val="002E58CC"/>
    <w:rPr>
      <w:i/>
      <w:iCs/>
      <w:color w:val="4472C4" w:themeColor="accent1"/>
    </w:rPr>
  </w:style>
  <w:style w:type="paragraph" w:styleId="Navadensplet">
    <w:name w:val="Normal (Web)"/>
    <w:basedOn w:val="Navaden"/>
    <w:uiPriority w:val="99"/>
    <w:semiHidden/>
    <w:unhideWhenUsed/>
    <w:rsid w:val="002E58CC"/>
    <w:pPr>
      <w:spacing w:before="100" w:beforeAutospacing="1" w:after="120"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724215"/>
    <w:rPr>
      <w:i/>
      <w:iCs/>
    </w:rPr>
  </w:style>
  <w:style w:type="character" w:customStyle="1" w:styleId="Naslov1Znak">
    <w:name w:val="Naslov 1 Znak"/>
    <w:basedOn w:val="Privzetapisavaodstavka"/>
    <w:link w:val="Naslov1"/>
    <w:uiPriority w:val="9"/>
    <w:rsid w:val="0065545E"/>
    <w:rPr>
      <w:rFonts w:asciiTheme="majorHAnsi" w:eastAsiaTheme="majorEastAsia" w:hAnsiTheme="majorHAnsi" w:cstheme="majorBidi"/>
      <w:b/>
      <w:bCs/>
      <w:color w:val="2F5496" w:themeColor="accent1" w:themeShade="BF"/>
      <w:sz w:val="28"/>
      <w:szCs w:val="28"/>
      <w:lang w:val="sl-SI"/>
    </w:rPr>
  </w:style>
  <w:style w:type="character" w:customStyle="1" w:styleId="Naslov2Znak">
    <w:name w:val="Naslov 2 Znak"/>
    <w:basedOn w:val="Privzetapisavaodstavka"/>
    <w:link w:val="Naslov2"/>
    <w:uiPriority w:val="9"/>
    <w:rsid w:val="0065545E"/>
    <w:rPr>
      <w:rFonts w:asciiTheme="majorHAnsi" w:eastAsiaTheme="majorEastAsia" w:hAnsiTheme="majorHAnsi" w:cstheme="majorBidi"/>
      <w:b/>
      <w:bCs/>
      <w:color w:val="4472C4" w:themeColor="accent1"/>
      <w:sz w:val="26"/>
      <w:szCs w:val="26"/>
      <w:lang w:val="sl-SI"/>
    </w:rPr>
  </w:style>
  <w:style w:type="character" w:customStyle="1" w:styleId="Naslov3Znak">
    <w:name w:val="Naslov 3 Znak"/>
    <w:basedOn w:val="Privzetapisavaodstavka"/>
    <w:link w:val="Naslov3"/>
    <w:uiPriority w:val="9"/>
    <w:rsid w:val="0065545E"/>
    <w:rPr>
      <w:rFonts w:asciiTheme="majorHAnsi" w:eastAsiaTheme="majorEastAsia" w:hAnsiTheme="majorHAnsi" w:cstheme="majorBidi"/>
      <w:b/>
      <w:bCs/>
      <w:color w:val="4472C4" w:themeColor="accent1"/>
      <w:lang w:val="sl-SI"/>
    </w:rPr>
  </w:style>
  <w:style w:type="character" w:styleId="Hiperpovezava">
    <w:name w:val="Hyperlink"/>
    <w:basedOn w:val="Privzetapisavaodstavka"/>
    <w:uiPriority w:val="99"/>
    <w:unhideWhenUsed/>
    <w:rsid w:val="00EE7BFF"/>
    <w:rPr>
      <w:strike w:val="0"/>
      <w:dstrike w:val="0"/>
      <w:color w:val="337AB7"/>
      <w:u w:val="none"/>
      <w:effect w:val="none"/>
      <w:shd w:val="clear" w:color="auto" w:fill="auto"/>
    </w:rPr>
  </w:style>
  <w:style w:type="character" w:styleId="Krepko">
    <w:name w:val="Strong"/>
    <w:basedOn w:val="Privzetapisavaodstavka"/>
    <w:uiPriority w:val="22"/>
    <w:qFormat/>
    <w:rsid w:val="00EE7BFF"/>
    <w:rPr>
      <w:b/>
      <w:bCs/>
    </w:rPr>
  </w:style>
  <w:style w:type="paragraph" w:styleId="Napis">
    <w:name w:val="caption"/>
    <w:basedOn w:val="Navaden"/>
    <w:next w:val="Navaden"/>
    <w:uiPriority w:val="99"/>
    <w:unhideWhenUsed/>
    <w:qFormat/>
    <w:rsid w:val="00284C37"/>
    <w:pPr>
      <w:spacing w:after="200" w:line="247" w:lineRule="auto"/>
    </w:pPr>
    <w:rPr>
      <w:i/>
      <w:iCs/>
      <w:color w:val="44546A" w:themeColor="text2"/>
      <w:sz w:val="18"/>
      <w:szCs w:val="18"/>
    </w:rPr>
  </w:style>
  <w:style w:type="character" w:customStyle="1" w:styleId="Nerazreenaomemba1">
    <w:name w:val="Nerazrešena omemba1"/>
    <w:basedOn w:val="Privzetapisavaodstavka"/>
    <w:uiPriority w:val="99"/>
    <w:semiHidden/>
    <w:unhideWhenUsed/>
    <w:rsid w:val="009C45A8"/>
    <w:rPr>
      <w:color w:val="605E5C"/>
      <w:shd w:val="clear" w:color="auto" w:fill="E1DFDD"/>
    </w:rPr>
  </w:style>
  <w:style w:type="paragraph" w:styleId="NaslovTOC">
    <w:name w:val="TOC Heading"/>
    <w:basedOn w:val="Naslov1"/>
    <w:next w:val="Navaden"/>
    <w:uiPriority w:val="39"/>
    <w:unhideWhenUsed/>
    <w:qFormat/>
    <w:rsid w:val="00697E76"/>
    <w:pPr>
      <w:spacing w:before="240"/>
      <w:outlineLvl w:val="9"/>
    </w:pPr>
    <w:rPr>
      <w:b w:val="0"/>
      <w:bCs w:val="0"/>
      <w:sz w:val="32"/>
      <w:szCs w:val="32"/>
      <w:lang w:eastAsia="sl-SI"/>
    </w:rPr>
  </w:style>
  <w:style w:type="paragraph" w:styleId="Kazalovsebine1">
    <w:name w:val="toc 1"/>
    <w:basedOn w:val="Navaden"/>
    <w:next w:val="Navaden"/>
    <w:autoRedefine/>
    <w:uiPriority w:val="39"/>
    <w:unhideWhenUsed/>
    <w:rsid w:val="000D0CC3"/>
    <w:pPr>
      <w:tabs>
        <w:tab w:val="right" w:leader="dot" w:pos="9016"/>
      </w:tabs>
      <w:spacing w:after="100"/>
    </w:pPr>
    <w:rPr>
      <w:rFonts w:ascii="Arial" w:hAnsi="Arial" w:cs="Arial"/>
      <w:b/>
      <w:bCs/>
      <w:noProof/>
    </w:rPr>
  </w:style>
  <w:style w:type="paragraph" w:styleId="Kazalovsebine2">
    <w:name w:val="toc 2"/>
    <w:basedOn w:val="Navaden"/>
    <w:next w:val="Navaden"/>
    <w:autoRedefine/>
    <w:uiPriority w:val="39"/>
    <w:unhideWhenUsed/>
    <w:rsid w:val="00697E76"/>
    <w:pPr>
      <w:spacing w:after="100"/>
      <w:ind w:left="220"/>
    </w:pPr>
  </w:style>
  <w:style w:type="paragraph" w:styleId="Kazaloslik">
    <w:name w:val="table of figures"/>
    <w:basedOn w:val="Navaden"/>
    <w:next w:val="Navaden"/>
    <w:uiPriority w:val="99"/>
    <w:unhideWhenUsed/>
    <w:rsid w:val="00F678E7"/>
    <w:pPr>
      <w:spacing w:after="0"/>
    </w:pPr>
  </w:style>
  <w:style w:type="paragraph" w:styleId="Revizija">
    <w:name w:val="Revision"/>
    <w:hidden/>
    <w:uiPriority w:val="99"/>
    <w:semiHidden/>
    <w:rsid w:val="00205207"/>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035">
      <w:bodyDiv w:val="1"/>
      <w:marLeft w:val="0"/>
      <w:marRight w:val="0"/>
      <w:marTop w:val="0"/>
      <w:marBottom w:val="0"/>
      <w:divBdr>
        <w:top w:val="none" w:sz="0" w:space="0" w:color="auto"/>
        <w:left w:val="none" w:sz="0" w:space="0" w:color="auto"/>
        <w:bottom w:val="none" w:sz="0" w:space="0" w:color="auto"/>
        <w:right w:val="none" w:sz="0" w:space="0" w:color="auto"/>
      </w:divBdr>
    </w:div>
    <w:div w:id="319504323">
      <w:bodyDiv w:val="1"/>
      <w:marLeft w:val="0"/>
      <w:marRight w:val="0"/>
      <w:marTop w:val="0"/>
      <w:marBottom w:val="0"/>
      <w:divBdr>
        <w:top w:val="none" w:sz="0" w:space="0" w:color="auto"/>
        <w:left w:val="none" w:sz="0" w:space="0" w:color="auto"/>
        <w:bottom w:val="none" w:sz="0" w:space="0" w:color="auto"/>
        <w:right w:val="none" w:sz="0" w:space="0" w:color="auto"/>
      </w:divBdr>
    </w:div>
    <w:div w:id="891770834">
      <w:bodyDiv w:val="1"/>
      <w:marLeft w:val="0"/>
      <w:marRight w:val="0"/>
      <w:marTop w:val="0"/>
      <w:marBottom w:val="0"/>
      <w:divBdr>
        <w:top w:val="none" w:sz="0" w:space="0" w:color="auto"/>
        <w:left w:val="none" w:sz="0" w:space="0" w:color="auto"/>
        <w:bottom w:val="none" w:sz="0" w:space="0" w:color="auto"/>
        <w:right w:val="none" w:sz="0" w:space="0" w:color="auto"/>
      </w:divBdr>
    </w:div>
    <w:div w:id="917402022">
      <w:bodyDiv w:val="1"/>
      <w:marLeft w:val="0"/>
      <w:marRight w:val="0"/>
      <w:marTop w:val="0"/>
      <w:marBottom w:val="0"/>
      <w:divBdr>
        <w:top w:val="none" w:sz="0" w:space="0" w:color="auto"/>
        <w:left w:val="none" w:sz="0" w:space="0" w:color="auto"/>
        <w:bottom w:val="none" w:sz="0" w:space="0" w:color="auto"/>
        <w:right w:val="none" w:sz="0" w:space="0" w:color="auto"/>
      </w:divBdr>
    </w:div>
    <w:div w:id="999775928">
      <w:bodyDiv w:val="1"/>
      <w:marLeft w:val="0"/>
      <w:marRight w:val="0"/>
      <w:marTop w:val="0"/>
      <w:marBottom w:val="0"/>
      <w:divBdr>
        <w:top w:val="none" w:sz="0" w:space="0" w:color="auto"/>
        <w:left w:val="none" w:sz="0" w:space="0" w:color="auto"/>
        <w:bottom w:val="none" w:sz="0" w:space="0" w:color="auto"/>
        <w:right w:val="none" w:sz="0" w:space="0" w:color="auto"/>
      </w:divBdr>
      <w:divsChild>
        <w:div w:id="962617052">
          <w:marLeft w:val="0"/>
          <w:marRight w:val="0"/>
          <w:marTop w:val="0"/>
          <w:marBottom w:val="0"/>
          <w:divBdr>
            <w:top w:val="none" w:sz="0" w:space="0" w:color="auto"/>
            <w:left w:val="none" w:sz="0" w:space="0" w:color="auto"/>
            <w:bottom w:val="none" w:sz="0" w:space="0" w:color="auto"/>
            <w:right w:val="none" w:sz="0" w:space="0" w:color="auto"/>
          </w:divBdr>
          <w:divsChild>
            <w:div w:id="1411193943">
              <w:marLeft w:val="0"/>
              <w:marRight w:val="0"/>
              <w:marTop w:val="0"/>
              <w:marBottom w:val="0"/>
              <w:divBdr>
                <w:top w:val="none" w:sz="0" w:space="0" w:color="auto"/>
                <w:left w:val="none" w:sz="0" w:space="0" w:color="auto"/>
                <w:bottom w:val="none" w:sz="0" w:space="0" w:color="auto"/>
                <w:right w:val="none" w:sz="0" w:space="0" w:color="auto"/>
              </w:divBdr>
              <w:divsChild>
                <w:div w:id="1297376986">
                  <w:marLeft w:val="-225"/>
                  <w:marRight w:val="-225"/>
                  <w:marTop w:val="0"/>
                  <w:marBottom w:val="0"/>
                  <w:divBdr>
                    <w:top w:val="none" w:sz="0" w:space="0" w:color="auto"/>
                    <w:left w:val="none" w:sz="0" w:space="0" w:color="auto"/>
                    <w:bottom w:val="none" w:sz="0" w:space="0" w:color="auto"/>
                    <w:right w:val="none" w:sz="0" w:space="0" w:color="auto"/>
                  </w:divBdr>
                  <w:divsChild>
                    <w:div w:id="1123377261">
                      <w:marLeft w:val="0"/>
                      <w:marRight w:val="0"/>
                      <w:marTop w:val="0"/>
                      <w:marBottom w:val="0"/>
                      <w:divBdr>
                        <w:top w:val="none" w:sz="0" w:space="0" w:color="auto"/>
                        <w:left w:val="none" w:sz="0" w:space="0" w:color="auto"/>
                        <w:bottom w:val="none" w:sz="0" w:space="0" w:color="auto"/>
                        <w:right w:val="none" w:sz="0" w:space="0" w:color="auto"/>
                      </w:divBdr>
                      <w:divsChild>
                        <w:div w:id="1340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04381">
      <w:bodyDiv w:val="1"/>
      <w:marLeft w:val="0"/>
      <w:marRight w:val="0"/>
      <w:marTop w:val="0"/>
      <w:marBottom w:val="0"/>
      <w:divBdr>
        <w:top w:val="none" w:sz="0" w:space="0" w:color="auto"/>
        <w:left w:val="none" w:sz="0" w:space="0" w:color="auto"/>
        <w:bottom w:val="none" w:sz="0" w:space="0" w:color="auto"/>
        <w:right w:val="none" w:sz="0" w:space="0" w:color="auto"/>
      </w:divBdr>
      <w:divsChild>
        <w:div w:id="1414820407">
          <w:marLeft w:val="0"/>
          <w:marRight w:val="0"/>
          <w:marTop w:val="0"/>
          <w:marBottom w:val="0"/>
          <w:divBdr>
            <w:top w:val="none" w:sz="0" w:space="0" w:color="auto"/>
            <w:left w:val="none" w:sz="0" w:space="0" w:color="auto"/>
            <w:bottom w:val="none" w:sz="0" w:space="0" w:color="auto"/>
            <w:right w:val="none" w:sz="0" w:space="0" w:color="auto"/>
          </w:divBdr>
          <w:divsChild>
            <w:div w:id="453407583">
              <w:marLeft w:val="0"/>
              <w:marRight w:val="0"/>
              <w:marTop w:val="0"/>
              <w:marBottom w:val="0"/>
              <w:divBdr>
                <w:top w:val="none" w:sz="0" w:space="0" w:color="auto"/>
                <w:left w:val="none" w:sz="0" w:space="0" w:color="auto"/>
                <w:bottom w:val="none" w:sz="0" w:space="0" w:color="auto"/>
                <w:right w:val="none" w:sz="0" w:space="0" w:color="auto"/>
              </w:divBdr>
            </w:div>
            <w:div w:id="1038119721">
              <w:marLeft w:val="0"/>
              <w:marRight w:val="0"/>
              <w:marTop w:val="0"/>
              <w:marBottom w:val="0"/>
              <w:divBdr>
                <w:top w:val="none" w:sz="0" w:space="0" w:color="auto"/>
                <w:left w:val="none" w:sz="0" w:space="0" w:color="auto"/>
                <w:bottom w:val="none" w:sz="0" w:space="0" w:color="auto"/>
                <w:right w:val="none" w:sz="0" w:space="0" w:color="auto"/>
              </w:divBdr>
            </w:div>
            <w:div w:id="4041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245">
      <w:bodyDiv w:val="1"/>
      <w:marLeft w:val="0"/>
      <w:marRight w:val="0"/>
      <w:marTop w:val="0"/>
      <w:marBottom w:val="0"/>
      <w:divBdr>
        <w:top w:val="none" w:sz="0" w:space="0" w:color="auto"/>
        <w:left w:val="none" w:sz="0" w:space="0" w:color="auto"/>
        <w:bottom w:val="none" w:sz="0" w:space="0" w:color="auto"/>
        <w:right w:val="none" w:sz="0" w:space="0" w:color="auto"/>
      </w:divBdr>
      <w:divsChild>
        <w:div w:id="1904754014">
          <w:marLeft w:val="0"/>
          <w:marRight w:val="0"/>
          <w:marTop w:val="0"/>
          <w:marBottom w:val="0"/>
          <w:divBdr>
            <w:top w:val="none" w:sz="0" w:space="0" w:color="auto"/>
            <w:left w:val="none" w:sz="0" w:space="0" w:color="auto"/>
            <w:bottom w:val="none" w:sz="0" w:space="0" w:color="auto"/>
            <w:right w:val="none" w:sz="0" w:space="0" w:color="auto"/>
          </w:divBdr>
          <w:divsChild>
            <w:div w:id="1710571764">
              <w:marLeft w:val="0"/>
              <w:marRight w:val="0"/>
              <w:marTop w:val="0"/>
              <w:marBottom w:val="0"/>
              <w:divBdr>
                <w:top w:val="none" w:sz="0" w:space="0" w:color="auto"/>
                <w:left w:val="none" w:sz="0" w:space="0" w:color="auto"/>
                <w:bottom w:val="none" w:sz="0" w:space="0" w:color="auto"/>
                <w:right w:val="none" w:sz="0" w:space="0" w:color="auto"/>
              </w:divBdr>
              <w:divsChild>
                <w:div w:id="2039503781">
                  <w:marLeft w:val="-225"/>
                  <w:marRight w:val="-225"/>
                  <w:marTop w:val="0"/>
                  <w:marBottom w:val="0"/>
                  <w:divBdr>
                    <w:top w:val="none" w:sz="0" w:space="0" w:color="auto"/>
                    <w:left w:val="none" w:sz="0" w:space="0" w:color="auto"/>
                    <w:bottom w:val="none" w:sz="0" w:space="0" w:color="auto"/>
                    <w:right w:val="none" w:sz="0" w:space="0" w:color="auto"/>
                  </w:divBdr>
                  <w:divsChild>
                    <w:div w:id="309138960">
                      <w:marLeft w:val="0"/>
                      <w:marRight w:val="0"/>
                      <w:marTop w:val="0"/>
                      <w:marBottom w:val="0"/>
                      <w:divBdr>
                        <w:top w:val="none" w:sz="0" w:space="0" w:color="auto"/>
                        <w:left w:val="none" w:sz="0" w:space="0" w:color="auto"/>
                        <w:bottom w:val="none" w:sz="0" w:space="0" w:color="auto"/>
                        <w:right w:val="none" w:sz="0" w:space="0" w:color="auto"/>
                      </w:divBdr>
                      <w:divsChild>
                        <w:div w:id="20432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758F-B327-433E-8462-1492743F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30124</Words>
  <Characters>171710</Characters>
  <Application>Microsoft Office Word</Application>
  <DocSecurity>0</DocSecurity>
  <Lines>1430</Lines>
  <Paragraphs>402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201432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dc:creator>
  <cp:lastModifiedBy>Mateja Pitako</cp:lastModifiedBy>
  <cp:revision>2</cp:revision>
  <cp:lastPrinted>2022-08-31T10:44:00Z</cp:lastPrinted>
  <dcterms:created xsi:type="dcterms:W3CDTF">2022-12-09T06:55:00Z</dcterms:created>
  <dcterms:modified xsi:type="dcterms:W3CDTF">2022-12-09T06:55:00Z</dcterms:modified>
</cp:coreProperties>
</file>