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0197" w14:textId="77777777" w:rsidR="007A2999" w:rsidRDefault="007A2999" w:rsidP="00DC6A71">
      <w:pPr>
        <w:pStyle w:val="datumtevilka"/>
      </w:pPr>
    </w:p>
    <w:p w14:paraId="3947FDE9" w14:textId="12FA46B3" w:rsidR="007D75CF" w:rsidRPr="00202A77" w:rsidRDefault="007D75CF" w:rsidP="00DC6A71">
      <w:pPr>
        <w:pStyle w:val="datumtevilka"/>
      </w:pPr>
      <w:r w:rsidRPr="00202A77">
        <w:t xml:space="preserve">Številka: </w:t>
      </w:r>
      <w:r w:rsidRPr="00202A77">
        <w:tab/>
      </w:r>
      <w:r w:rsidR="009C6971">
        <w:t>35409-</w:t>
      </w:r>
      <w:r w:rsidR="00B60CD0">
        <w:t>77</w:t>
      </w:r>
      <w:r w:rsidR="009C6971">
        <w:t>/202</w:t>
      </w:r>
      <w:r w:rsidR="00B60CD0">
        <w:t>5</w:t>
      </w:r>
      <w:r w:rsidR="009C6971">
        <w:t>-25</w:t>
      </w:r>
      <w:r w:rsidR="00EB18C9">
        <w:t>7</w:t>
      </w:r>
      <w:r w:rsidR="009C6971">
        <w:t>0-</w:t>
      </w:r>
      <w:r w:rsidR="005B758B">
        <w:t>1</w:t>
      </w:r>
      <w:r w:rsidR="00B60CD0">
        <w:t>5</w:t>
      </w:r>
    </w:p>
    <w:p w14:paraId="19E49775" w14:textId="5107035D" w:rsidR="007D75CF" w:rsidRPr="00202A77" w:rsidRDefault="00C250D5" w:rsidP="00DC6A71">
      <w:pPr>
        <w:pStyle w:val="datumtevilka"/>
      </w:pPr>
      <w:r w:rsidRPr="00202A77">
        <w:t xml:space="preserve">Datum: </w:t>
      </w:r>
      <w:r w:rsidRPr="00202A77">
        <w:tab/>
      </w:r>
      <w:r w:rsidR="00B60CD0">
        <w:t>7</w:t>
      </w:r>
      <w:r w:rsidR="009C6971">
        <w:t xml:space="preserve">. </w:t>
      </w:r>
      <w:r w:rsidR="00B60CD0">
        <w:t>7</w:t>
      </w:r>
      <w:r w:rsidR="009C6971">
        <w:t>. 202</w:t>
      </w:r>
      <w:r w:rsidR="00B60CD0">
        <w:t>5</w:t>
      </w:r>
      <w:r w:rsidR="007D75CF" w:rsidRPr="00202A77">
        <w:t xml:space="preserve"> </w:t>
      </w:r>
    </w:p>
    <w:p w14:paraId="719325BD" w14:textId="77777777" w:rsidR="007D75CF" w:rsidRPr="00202A77" w:rsidRDefault="007D75CF" w:rsidP="007D75CF">
      <w:pPr>
        <w:rPr>
          <w:lang w:val="sl-SI"/>
        </w:rPr>
      </w:pPr>
    </w:p>
    <w:p w14:paraId="02BD637D" w14:textId="77777777" w:rsidR="007D75CF" w:rsidRPr="00202A77" w:rsidRDefault="007D75CF" w:rsidP="007D75CF">
      <w:pPr>
        <w:rPr>
          <w:lang w:val="sl-SI"/>
        </w:rPr>
      </w:pPr>
    </w:p>
    <w:p w14:paraId="05FB5DF1" w14:textId="727F9362" w:rsidR="009C6971" w:rsidRPr="008A0E5C" w:rsidRDefault="009C6971" w:rsidP="009C6971">
      <w:pPr>
        <w:jc w:val="both"/>
        <w:rPr>
          <w:bCs/>
          <w:lang w:val="sl-SI"/>
        </w:rPr>
      </w:pPr>
      <w:r w:rsidRPr="006D390D">
        <w:rPr>
          <w:bCs/>
          <w:lang w:val="sl-SI"/>
        </w:rPr>
        <w:t xml:space="preserve">Ministrstvo za </w:t>
      </w:r>
      <w:r>
        <w:rPr>
          <w:bCs/>
          <w:lang w:val="sl-SI"/>
        </w:rPr>
        <w:t xml:space="preserve">okolje, </w:t>
      </w:r>
      <w:r w:rsidRPr="00B329C8">
        <w:rPr>
          <w:bCs/>
          <w:lang w:val="sl-SI"/>
        </w:rPr>
        <w:t xml:space="preserve">podnebje in energijo izdaja na podlagi </w:t>
      </w:r>
      <w:r w:rsidR="00B329C8" w:rsidRPr="00B329C8">
        <w:rPr>
          <w:bCs/>
          <w:lang w:val="sl-SI"/>
        </w:rPr>
        <w:t>131.a</w:t>
      </w:r>
      <w:r w:rsidRPr="00B329C8">
        <w:rPr>
          <w:bCs/>
          <w:lang w:val="sl-SI"/>
        </w:rPr>
        <w:t xml:space="preserve"> člena Zakona </w:t>
      </w:r>
      <w:r w:rsidR="00B329C8" w:rsidRPr="00B329C8">
        <w:rPr>
          <w:bCs/>
          <w:lang w:val="sl-SI"/>
        </w:rPr>
        <w:t>o urejanju prostora (</w:t>
      </w:r>
      <w:r w:rsidR="00B329C8" w:rsidRPr="00B329C8">
        <w:rPr>
          <w:lang w:val="sl-SI"/>
        </w:rPr>
        <w:t xml:space="preserve">Uradni list RS, št. </w:t>
      </w:r>
      <w:hyperlink r:id="rId10" w:tgtFrame="_blank" w:tooltip="Zakon o urejanju prostora (ZUreP-3)" w:history="1">
        <w:r w:rsidR="00B329C8" w:rsidRPr="00B329C8">
          <w:t>199/21</w:t>
        </w:r>
      </w:hyperlink>
      <w:r w:rsidR="00B329C8" w:rsidRPr="00B329C8">
        <w:t xml:space="preserve">, </w:t>
      </w:r>
      <w:hyperlink r:id="rId11" w:tgtFrame="_blank" w:tooltip="Zakon o spremembah in dopolnitvah Zakona o državni upravi (ZDU-1O)" w:history="1">
        <w:r w:rsidR="00B329C8" w:rsidRPr="00B329C8">
          <w:t>18/23</w:t>
        </w:r>
      </w:hyperlink>
      <w:r w:rsidR="00B329C8" w:rsidRPr="00B329C8">
        <w:t xml:space="preserve"> – ZDU-1O, </w:t>
      </w:r>
      <w:hyperlink r:id="rId12" w:tgtFrame="_blank" w:tooltip="Zakon o uvajanju naprav za proizvodnjo električne energije iz obnovljivih virov energije (ZUNPEOVE)" w:history="1">
        <w:r w:rsidR="00B329C8" w:rsidRPr="00B329C8">
          <w:t>78/23</w:t>
        </w:r>
      </w:hyperlink>
      <w:r w:rsidR="00B329C8" w:rsidRPr="00B329C8">
        <w:t xml:space="preserve"> – ZUNPEOVE, </w:t>
      </w:r>
      <w:hyperlink r:id="rId13" w:tgtFrame="_blank" w:tooltip="Zakon o interventnih ukrepih za odpravo posledic poplav in zemeljskih plazov iz avgusta 2023 (ZIUOPZP)" w:history="1">
        <w:r w:rsidR="00B329C8" w:rsidRPr="00B329C8">
          <w:t>95/23</w:t>
        </w:r>
      </w:hyperlink>
      <w:r w:rsidR="00B329C8" w:rsidRPr="00B329C8">
        <w:t xml:space="preserve"> – ZIUOPZP in </w:t>
      </w:r>
      <w:hyperlink r:id="rId14" w:tgtFrame="_blank" w:tooltip="Zakon o spremembah in dopolnitvi Zakona o urejanju prostora (ZUreP-3A)" w:history="1">
        <w:r w:rsidR="00B329C8" w:rsidRPr="00B329C8">
          <w:t>23/24</w:t>
        </w:r>
      </w:hyperlink>
      <w:r w:rsidR="00B329C8" w:rsidRPr="00B329C8">
        <w:rPr>
          <w:bCs/>
        </w:rPr>
        <w:t>)</w:t>
      </w:r>
      <w:r w:rsidR="00B329C8" w:rsidRPr="00B329C8">
        <w:rPr>
          <w:bCs/>
          <w:lang w:val="sl-SI"/>
        </w:rPr>
        <w:t xml:space="preserve"> </w:t>
      </w:r>
      <w:r w:rsidRPr="00B329C8">
        <w:rPr>
          <w:bCs/>
          <w:lang w:val="sl-SI"/>
        </w:rPr>
        <w:t xml:space="preserve">v upravni zadevi </w:t>
      </w:r>
      <w:r w:rsidR="00B329C8">
        <w:rPr>
          <w:bCs/>
          <w:lang w:val="sl-SI"/>
        </w:rPr>
        <w:t xml:space="preserve">odločanja o potrebnosti izvedbe celovite presoje vplivov plana na okolje za plan OPPN za obnovo </w:t>
      </w:r>
      <w:r w:rsidR="00C9314F">
        <w:rPr>
          <w:bCs/>
          <w:lang w:val="sl-SI"/>
        </w:rPr>
        <w:t>za območje IPC Loke</w:t>
      </w:r>
      <w:r w:rsidR="00B329C8">
        <w:rPr>
          <w:bCs/>
          <w:lang w:val="sl-SI"/>
        </w:rPr>
        <w:t xml:space="preserve">, pripravljavcu plana Občini </w:t>
      </w:r>
      <w:r w:rsidR="00C9314F">
        <w:rPr>
          <w:bCs/>
          <w:lang w:val="sl-SI"/>
        </w:rPr>
        <w:t>Ljubno, Cesta v Rastke 12. 3333 Ljubno ob Savinji</w:t>
      </w:r>
      <w:r w:rsidR="00B329C8">
        <w:rPr>
          <w:bCs/>
          <w:lang w:val="sl-SI"/>
        </w:rPr>
        <w:t>, naslednjo</w:t>
      </w:r>
    </w:p>
    <w:p w14:paraId="174F91B6" w14:textId="77777777" w:rsidR="009C6971" w:rsidRPr="008A0E5C" w:rsidRDefault="009C6971" w:rsidP="009C6971">
      <w:pPr>
        <w:jc w:val="both"/>
        <w:rPr>
          <w:lang w:val="sl-SI"/>
        </w:rPr>
      </w:pPr>
    </w:p>
    <w:p w14:paraId="6295BE91" w14:textId="77777777" w:rsidR="009C6971" w:rsidRPr="008A0E5C" w:rsidRDefault="009C6971" w:rsidP="009C6971">
      <w:pPr>
        <w:pStyle w:val="Naslov1"/>
      </w:pPr>
      <w:r w:rsidRPr="008A0E5C">
        <w:t>ODLOČBO</w:t>
      </w:r>
    </w:p>
    <w:p w14:paraId="25BCBD82" w14:textId="77777777" w:rsidR="009C6971" w:rsidRPr="008A0E5C" w:rsidRDefault="009C6971" w:rsidP="009C6971">
      <w:pPr>
        <w:jc w:val="both"/>
        <w:rPr>
          <w:lang w:val="sl-SI"/>
        </w:rPr>
      </w:pPr>
    </w:p>
    <w:p w14:paraId="54BEEF3B" w14:textId="745CF7BD" w:rsidR="009C6971" w:rsidRPr="008A0E5C" w:rsidRDefault="009C6971" w:rsidP="009C6971">
      <w:pPr>
        <w:numPr>
          <w:ilvl w:val="0"/>
          <w:numId w:val="6"/>
        </w:numPr>
        <w:spacing w:line="260" w:lineRule="exact"/>
        <w:jc w:val="both"/>
        <w:rPr>
          <w:lang w:val="sl-SI"/>
        </w:rPr>
      </w:pPr>
      <w:r w:rsidRPr="008A0E5C">
        <w:rPr>
          <w:lang w:val="sl-SI"/>
        </w:rPr>
        <w:t xml:space="preserve">V postopku priprave </w:t>
      </w:r>
      <w:r w:rsidR="00B329C8">
        <w:rPr>
          <w:lang w:val="sl-SI"/>
        </w:rPr>
        <w:t xml:space="preserve">plana </w:t>
      </w:r>
      <w:r w:rsidR="00B329C8">
        <w:rPr>
          <w:bCs/>
          <w:lang w:val="sl-SI"/>
        </w:rPr>
        <w:t xml:space="preserve">OPPN za obnovo </w:t>
      </w:r>
      <w:r w:rsidR="00246E57">
        <w:rPr>
          <w:bCs/>
          <w:lang w:val="sl-SI"/>
        </w:rPr>
        <w:t>za območje IPC Loke v občini Ljubno</w:t>
      </w:r>
      <w:r w:rsidR="008564E9">
        <w:rPr>
          <w:bCs/>
          <w:lang w:val="sl-SI"/>
        </w:rPr>
        <w:t>,</w:t>
      </w:r>
      <w:r w:rsidR="00B329C8">
        <w:rPr>
          <w:lang w:val="sl-SI"/>
        </w:rPr>
        <w:t xml:space="preserve"> </w:t>
      </w:r>
      <w:r w:rsidR="00EE4119" w:rsidRPr="008A0E5C">
        <w:rPr>
          <w:bCs/>
          <w:lang w:val="sl-SI"/>
        </w:rPr>
        <w:t>je</w:t>
      </w:r>
      <w:r w:rsidRPr="008A0E5C">
        <w:rPr>
          <w:lang w:val="sl-SI"/>
        </w:rPr>
        <w:t xml:space="preserve"> </w:t>
      </w:r>
      <w:r w:rsidRPr="008A0E5C">
        <w:rPr>
          <w:bCs/>
          <w:lang w:val="sl-SI"/>
        </w:rPr>
        <w:t>treba izvesti</w:t>
      </w:r>
      <w:r w:rsidRPr="008A0E5C">
        <w:rPr>
          <w:lang w:val="sl-SI"/>
        </w:rPr>
        <w:t xml:space="preserve"> celovit</w:t>
      </w:r>
      <w:r w:rsidR="00EE4119" w:rsidRPr="008A0E5C">
        <w:rPr>
          <w:lang w:val="sl-SI"/>
        </w:rPr>
        <w:t>o</w:t>
      </w:r>
      <w:r w:rsidRPr="008A0E5C">
        <w:rPr>
          <w:lang w:val="sl-SI"/>
        </w:rPr>
        <w:t xml:space="preserve"> presoj</w:t>
      </w:r>
      <w:r w:rsidR="00EE4119" w:rsidRPr="008A0E5C">
        <w:rPr>
          <w:lang w:val="sl-SI"/>
        </w:rPr>
        <w:t>o</w:t>
      </w:r>
      <w:r w:rsidRPr="008A0E5C">
        <w:rPr>
          <w:lang w:val="sl-SI"/>
        </w:rPr>
        <w:t xml:space="preserve"> vplivov na okolje. </w:t>
      </w:r>
    </w:p>
    <w:p w14:paraId="3BEC7D74" w14:textId="2932CDBF" w:rsidR="009C6971" w:rsidRPr="00711AC8" w:rsidRDefault="009C6971" w:rsidP="009C6971">
      <w:pPr>
        <w:numPr>
          <w:ilvl w:val="0"/>
          <w:numId w:val="6"/>
        </w:numPr>
        <w:spacing w:line="260" w:lineRule="exact"/>
        <w:jc w:val="both"/>
        <w:rPr>
          <w:lang w:val="sl-SI"/>
        </w:rPr>
      </w:pPr>
      <w:r w:rsidRPr="008A0E5C">
        <w:rPr>
          <w:lang w:val="sl-SI"/>
        </w:rPr>
        <w:t xml:space="preserve">V postopku priprave </w:t>
      </w:r>
      <w:r w:rsidR="008564E9">
        <w:rPr>
          <w:lang w:val="sl-SI"/>
        </w:rPr>
        <w:t xml:space="preserve">plana </w:t>
      </w:r>
      <w:bookmarkStart w:id="0" w:name="_Hlk166830434"/>
      <w:r w:rsidR="008564E9">
        <w:rPr>
          <w:bCs/>
          <w:lang w:val="sl-SI"/>
        </w:rPr>
        <w:t xml:space="preserve">OPPN za obnovo </w:t>
      </w:r>
      <w:bookmarkEnd w:id="0"/>
      <w:r w:rsidR="00246E57">
        <w:rPr>
          <w:bCs/>
          <w:lang w:val="sl-SI"/>
        </w:rPr>
        <w:t>za območje IPC Loke v občini Ljubno</w:t>
      </w:r>
      <w:r w:rsidR="00FF44B5">
        <w:rPr>
          <w:bCs/>
          <w:lang w:val="sl-SI"/>
        </w:rPr>
        <w:t>,</w:t>
      </w:r>
      <w:r w:rsidR="008A0E5C" w:rsidRPr="00711AC8">
        <w:rPr>
          <w:bCs/>
          <w:lang w:val="sl-SI"/>
        </w:rPr>
        <w:t xml:space="preserve"> </w:t>
      </w:r>
      <w:r w:rsidRPr="00711AC8">
        <w:rPr>
          <w:bCs/>
          <w:lang w:val="sl-SI"/>
        </w:rPr>
        <w:t xml:space="preserve">ni treba </w:t>
      </w:r>
      <w:r w:rsidRPr="00711AC8">
        <w:rPr>
          <w:lang w:val="sl-SI"/>
        </w:rPr>
        <w:t>izvesti presoje sprejemljivosti vplivov izvedbe plana v naravo na varovana območja.</w:t>
      </w:r>
    </w:p>
    <w:p w14:paraId="7A95AEDE" w14:textId="77777777" w:rsidR="009C6971" w:rsidRPr="00711AC8" w:rsidRDefault="009C6971" w:rsidP="009C6971">
      <w:pPr>
        <w:numPr>
          <w:ilvl w:val="0"/>
          <w:numId w:val="6"/>
        </w:numPr>
        <w:spacing w:line="260" w:lineRule="exact"/>
        <w:jc w:val="both"/>
        <w:rPr>
          <w:lang w:val="sl-SI"/>
        </w:rPr>
      </w:pPr>
      <w:r w:rsidRPr="00711AC8">
        <w:rPr>
          <w:lang w:val="sl-SI"/>
        </w:rPr>
        <w:t>V tem postopku ni bilo stroškov.</w:t>
      </w:r>
    </w:p>
    <w:p w14:paraId="5B6271C8" w14:textId="77777777" w:rsidR="009C6971" w:rsidRDefault="009C6971" w:rsidP="009C6971">
      <w:pPr>
        <w:jc w:val="both"/>
        <w:rPr>
          <w:lang w:val="sl-SI"/>
        </w:rPr>
      </w:pPr>
    </w:p>
    <w:p w14:paraId="6AB3FEAA" w14:textId="77777777" w:rsidR="009C6971" w:rsidRPr="00D86D2F" w:rsidRDefault="009C6971" w:rsidP="009C6971">
      <w:pPr>
        <w:pStyle w:val="Naslov1"/>
      </w:pPr>
      <w:r w:rsidRPr="00D86D2F">
        <w:t>Obrazložitev</w:t>
      </w:r>
    </w:p>
    <w:p w14:paraId="163DA703" w14:textId="77777777" w:rsidR="009C6971" w:rsidRPr="00D86D2F" w:rsidRDefault="009C6971" w:rsidP="009C6971">
      <w:pPr>
        <w:jc w:val="both"/>
        <w:rPr>
          <w:lang w:val="sl-SI"/>
        </w:rPr>
      </w:pPr>
    </w:p>
    <w:p w14:paraId="563CDD1A" w14:textId="3136F88A" w:rsidR="009C6971" w:rsidRPr="00EF19A6" w:rsidRDefault="009C6971" w:rsidP="009C6971">
      <w:pPr>
        <w:jc w:val="both"/>
        <w:rPr>
          <w:lang w:val="sl-SI"/>
        </w:rPr>
      </w:pPr>
      <w:r w:rsidRPr="00EF19A6">
        <w:rPr>
          <w:lang w:val="sl-SI"/>
        </w:rPr>
        <w:t>Priprav</w:t>
      </w:r>
      <w:r w:rsidR="00EF19A6" w:rsidRPr="00EF19A6">
        <w:rPr>
          <w:lang w:val="sl-SI"/>
        </w:rPr>
        <w:t>ljavka</w:t>
      </w:r>
      <w:r w:rsidRPr="00EF19A6">
        <w:rPr>
          <w:lang w:val="sl-SI"/>
        </w:rPr>
        <w:t xml:space="preserve"> plana, </w:t>
      </w:r>
      <w:r w:rsidR="00EF19A6" w:rsidRPr="00EF19A6">
        <w:rPr>
          <w:lang w:val="sl-SI"/>
        </w:rPr>
        <w:t xml:space="preserve">Občina </w:t>
      </w:r>
      <w:r w:rsidR="00F10861">
        <w:rPr>
          <w:lang w:val="sl-SI"/>
        </w:rPr>
        <w:t xml:space="preserve">Ljubno </w:t>
      </w:r>
      <w:r w:rsidR="00EF19A6" w:rsidRPr="00EF19A6">
        <w:rPr>
          <w:lang w:val="sl-SI"/>
        </w:rPr>
        <w:t>(v nadaljevanju stranka)</w:t>
      </w:r>
      <w:r w:rsidRPr="00EF19A6">
        <w:rPr>
          <w:bCs/>
          <w:szCs w:val="20"/>
          <w:lang w:val="sl-SI"/>
        </w:rPr>
        <w:t xml:space="preserve">, je na </w:t>
      </w:r>
      <w:r w:rsidRPr="00EF19A6">
        <w:rPr>
          <w:lang w:val="sl-SI"/>
        </w:rPr>
        <w:t>Ministrstvo za okolje</w:t>
      </w:r>
      <w:r w:rsidR="003A1D99" w:rsidRPr="00EF19A6">
        <w:rPr>
          <w:lang w:val="sl-SI"/>
        </w:rPr>
        <w:t>, podnebje</w:t>
      </w:r>
      <w:r w:rsidRPr="00EF19A6">
        <w:rPr>
          <w:lang w:val="sl-SI"/>
        </w:rPr>
        <w:t xml:space="preserve"> in </w:t>
      </w:r>
      <w:r w:rsidR="003A1D99" w:rsidRPr="00EF19A6">
        <w:rPr>
          <w:lang w:val="sl-SI"/>
        </w:rPr>
        <w:t>energijo</w:t>
      </w:r>
      <w:r w:rsidR="00962FEA" w:rsidRPr="00EF19A6">
        <w:rPr>
          <w:lang w:val="sl-SI"/>
        </w:rPr>
        <w:t xml:space="preserve"> (v nadaljnjem besedilu ministrstvo)</w:t>
      </w:r>
      <w:r w:rsidRPr="00EF19A6">
        <w:rPr>
          <w:lang w:val="sl-SI"/>
        </w:rPr>
        <w:t xml:space="preserve"> podal</w:t>
      </w:r>
      <w:r w:rsidR="00EF19A6" w:rsidRPr="00EF19A6">
        <w:rPr>
          <w:lang w:val="sl-SI"/>
        </w:rPr>
        <w:t>a</w:t>
      </w:r>
      <w:r w:rsidRPr="00EF19A6">
        <w:rPr>
          <w:lang w:val="sl-SI"/>
        </w:rPr>
        <w:t xml:space="preserve"> vlogo, št. </w:t>
      </w:r>
      <w:r w:rsidR="00DF4E03">
        <w:rPr>
          <w:lang w:val="sl-SI"/>
        </w:rPr>
        <w:t>350-0001/2025-19</w:t>
      </w:r>
      <w:r w:rsidR="00EF19A6" w:rsidRPr="00EF19A6">
        <w:rPr>
          <w:lang w:val="sl-SI"/>
        </w:rPr>
        <w:t xml:space="preserve">, z datumom </w:t>
      </w:r>
      <w:r w:rsidR="00DF4E03">
        <w:rPr>
          <w:lang w:val="sl-SI"/>
        </w:rPr>
        <w:t>13</w:t>
      </w:r>
      <w:r w:rsidR="00EF19A6" w:rsidRPr="00EF19A6">
        <w:rPr>
          <w:lang w:val="sl-SI"/>
        </w:rPr>
        <w:t xml:space="preserve">. </w:t>
      </w:r>
      <w:r w:rsidR="00DF4E03">
        <w:rPr>
          <w:lang w:val="sl-SI"/>
        </w:rPr>
        <w:t>6</w:t>
      </w:r>
      <w:r w:rsidR="00EF19A6" w:rsidRPr="00EF19A6">
        <w:rPr>
          <w:lang w:val="sl-SI"/>
        </w:rPr>
        <w:t>. 202</w:t>
      </w:r>
      <w:r w:rsidR="00DF4E03">
        <w:rPr>
          <w:lang w:val="sl-SI"/>
        </w:rPr>
        <w:t>5</w:t>
      </w:r>
      <w:r w:rsidRPr="00EF19A6">
        <w:rPr>
          <w:szCs w:val="22"/>
          <w:lang w:val="sl-SI" w:eastAsia="sl-SI"/>
        </w:rPr>
        <w:t xml:space="preserve">, </w:t>
      </w:r>
      <w:r w:rsidRPr="00EF19A6">
        <w:rPr>
          <w:szCs w:val="22"/>
          <w:lang w:val="sl-SI"/>
        </w:rPr>
        <w:t xml:space="preserve">za izdajo </w:t>
      </w:r>
      <w:r w:rsidR="00EF19A6" w:rsidRPr="00EF19A6">
        <w:rPr>
          <w:szCs w:val="22"/>
          <w:lang w:val="sl-SI"/>
        </w:rPr>
        <w:t>odločbe</w:t>
      </w:r>
      <w:r w:rsidR="009039F2">
        <w:rPr>
          <w:szCs w:val="22"/>
          <w:lang w:val="sl-SI"/>
        </w:rPr>
        <w:t>,</w:t>
      </w:r>
      <w:r w:rsidR="00EF19A6" w:rsidRPr="00EF19A6">
        <w:rPr>
          <w:szCs w:val="22"/>
          <w:lang w:val="sl-SI"/>
        </w:rPr>
        <w:t xml:space="preserve"> po 131.a čl</w:t>
      </w:r>
      <w:r w:rsidR="00EF19A6">
        <w:rPr>
          <w:szCs w:val="22"/>
          <w:lang w:val="sl-SI"/>
        </w:rPr>
        <w:t>enu</w:t>
      </w:r>
      <w:r w:rsidR="00EF19A6" w:rsidRPr="00EF19A6">
        <w:rPr>
          <w:szCs w:val="22"/>
          <w:lang w:val="sl-SI"/>
        </w:rPr>
        <w:t xml:space="preserve"> ZUreP-3</w:t>
      </w:r>
      <w:r w:rsidR="009039F2">
        <w:rPr>
          <w:szCs w:val="22"/>
          <w:lang w:val="sl-SI"/>
        </w:rPr>
        <w:t>,</w:t>
      </w:r>
      <w:r w:rsidR="00DF4E03">
        <w:rPr>
          <w:szCs w:val="22"/>
          <w:lang w:val="sl-SI"/>
        </w:rPr>
        <w:t xml:space="preserve"> </w:t>
      </w:r>
      <w:r w:rsidRPr="00EF19A6">
        <w:rPr>
          <w:szCs w:val="22"/>
          <w:lang w:val="sl-SI"/>
        </w:rPr>
        <w:t xml:space="preserve">o obveznosti izvedbe celovite presoje vplivov na okolje za </w:t>
      </w:r>
      <w:r w:rsidR="00EF19A6" w:rsidRPr="00EF19A6">
        <w:rPr>
          <w:szCs w:val="22"/>
          <w:lang w:val="sl-SI"/>
        </w:rPr>
        <w:t xml:space="preserve">plan </w:t>
      </w:r>
      <w:r w:rsidR="00EF19A6" w:rsidRPr="00EF19A6">
        <w:rPr>
          <w:bCs/>
          <w:lang w:val="sl-SI"/>
        </w:rPr>
        <w:t xml:space="preserve">OPPN za obnovo </w:t>
      </w:r>
      <w:r w:rsidR="00DF4E03">
        <w:rPr>
          <w:bCs/>
          <w:lang w:val="sl-SI"/>
        </w:rPr>
        <w:t>za območje IPC Loke v občini Ljubno</w:t>
      </w:r>
      <w:r w:rsidR="00EF19A6" w:rsidRPr="00EF19A6">
        <w:rPr>
          <w:szCs w:val="22"/>
          <w:lang w:val="sl-SI"/>
        </w:rPr>
        <w:t xml:space="preserve"> </w:t>
      </w:r>
      <w:r w:rsidRPr="00EF19A6">
        <w:rPr>
          <w:lang w:val="sl-SI"/>
        </w:rPr>
        <w:t xml:space="preserve">(v nadaljnjem besedilu OPPN). </w:t>
      </w:r>
    </w:p>
    <w:p w14:paraId="77FB256E" w14:textId="77777777" w:rsidR="009C6971" w:rsidRPr="005D3FA5" w:rsidRDefault="009C6971" w:rsidP="009C6971">
      <w:pPr>
        <w:jc w:val="both"/>
        <w:rPr>
          <w:highlight w:val="yellow"/>
          <w:lang w:val="sl-SI"/>
        </w:rPr>
      </w:pPr>
    </w:p>
    <w:p w14:paraId="78D7D7E1" w14:textId="7378EA67" w:rsidR="009C6971" w:rsidRPr="0005661C" w:rsidRDefault="009C6971" w:rsidP="009C6971">
      <w:pPr>
        <w:jc w:val="both"/>
        <w:rPr>
          <w:szCs w:val="22"/>
          <w:lang w:val="sl-SI"/>
        </w:rPr>
      </w:pPr>
      <w:r w:rsidRPr="0005661C">
        <w:rPr>
          <w:szCs w:val="22"/>
          <w:lang w:val="sl-SI"/>
        </w:rPr>
        <w:t xml:space="preserve">Vlogi </w:t>
      </w:r>
      <w:r w:rsidR="00EE4119">
        <w:rPr>
          <w:szCs w:val="22"/>
          <w:lang w:val="sl-SI"/>
        </w:rPr>
        <w:t>je</w:t>
      </w:r>
      <w:r w:rsidRPr="0005661C">
        <w:rPr>
          <w:szCs w:val="22"/>
          <w:lang w:val="sl-SI"/>
        </w:rPr>
        <w:t xml:space="preserve"> bil</w:t>
      </w:r>
      <w:r w:rsidR="001C62E1">
        <w:rPr>
          <w:szCs w:val="22"/>
          <w:lang w:val="sl-SI"/>
        </w:rPr>
        <w:t>a</w:t>
      </w:r>
      <w:r w:rsidRPr="0005661C">
        <w:rPr>
          <w:szCs w:val="22"/>
          <w:lang w:val="sl-SI"/>
        </w:rPr>
        <w:t xml:space="preserve"> priložen</w:t>
      </w:r>
      <w:r w:rsidR="001C62E1">
        <w:rPr>
          <w:szCs w:val="22"/>
          <w:lang w:val="sl-SI"/>
        </w:rPr>
        <w:t>a</w:t>
      </w:r>
      <w:r w:rsidRPr="0005661C">
        <w:rPr>
          <w:szCs w:val="22"/>
          <w:lang w:val="sl-SI"/>
        </w:rPr>
        <w:t xml:space="preserve"> </w:t>
      </w:r>
      <w:r w:rsidR="00DF4E03">
        <w:rPr>
          <w:szCs w:val="22"/>
          <w:lang w:val="sl-SI"/>
        </w:rPr>
        <w:t xml:space="preserve">in tekom postopka pridobljena </w:t>
      </w:r>
      <w:r w:rsidR="00EE4119">
        <w:rPr>
          <w:szCs w:val="22"/>
          <w:lang w:val="sl-SI"/>
        </w:rPr>
        <w:t>naslednja dokumentacija</w:t>
      </w:r>
      <w:r w:rsidRPr="0005661C">
        <w:rPr>
          <w:szCs w:val="22"/>
          <w:lang w:val="sl-SI"/>
        </w:rPr>
        <w:t>:</w:t>
      </w:r>
    </w:p>
    <w:p w14:paraId="1E649C09" w14:textId="19D92590" w:rsidR="00134A12" w:rsidRDefault="00DF4E03" w:rsidP="00DF4E03">
      <w:pPr>
        <w:pStyle w:val="Odstavekseznama"/>
        <w:numPr>
          <w:ilvl w:val="0"/>
          <w:numId w:val="7"/>
        </w:numPr>
        <w:tabs>
          <w:tab w:val="left" w:pos="960"/>
        </w:tabs>
        <w:jc w:val="both"/>
        <w:rPr>
          <w:szCs w:val="22"/>
          <w:lang w:val="sl-SI"/>
        </w:rPr>
      </w:pPr>
      <w:r>
        <w:rPr>
          <w:szCs w:val="22"/>
          <w:lang w:val="sl-SI"/>
        </w:rPr>
        <w:t>Vloga št. 350-0001/2025-19, 13. 6. 2025, Občina Ljubno,</w:t>
      </w:r>
    </w:p>
    <w:p w14:paraId="45342C55" w14:textId="44E2242B" w:rsidR="00DF4E03" w:rsidRDefault="00DF4E03" w:rsidP="00DF4E03">
      <w:pPr>
        <w:pStyle w:val="Odstavekseznama"/>
        <w:numPr>
          <w:ilvl w:val="0"/>
          <w:numId w:val="7"/>
        </w:numPr>
        <w:tabs>
          <w:tab w:val="left" w:pos="960"/>
        </w:tabs>
        <w:jc w:val="both"/>
        <w:rPr>
          <w:szCs w:val="22"/>
          <w:lang w:val="sl-SI"/>
        </w:rPr>
      </w:pPr>
      <w:r>
        <w:rPr>
          <w:szCs w:val="22"/>
          <w:lang w:val="sl-SI"/>
        </w:rPr>
        <w:t>Pobuda za OPPN za obnovo za območje IPC Loke, št. projekta 13/25, RC Planiranje d. o. o., Celje, maj 2025,</w:t>
      </w:r>
    </w:p>
    <w:p w14:paraId="344E0493" w14:textId="2E782147" w:rsidR="00DF4E03" w:rsidRDefault="00DF4E03" w:rsidP="00DF4E03">
      <w:pPr>
        <w:pStyle w:val="Odstavekseznama"/>
        <w:numPr>
          <w:ilvl w:val="0"/>
          <w:numId w:val="7"/>
        </w:numPr>
        <w:tabs>
          <w:tab w:val="left" w:pos="960"/>
        </w:tabs>
        <w:jc w:val="both"/>
        <w:rPr>
          <w:szCs w:val="22"/>
          <w:lang w:val="sl-SI"/>
        </w:rPr>
      </w:pPr>
      <w:r>
        <w:rPr>
          <w:szCs w:val="22"/>
          <w:lang w:val="sl-SI"/>
        </w:rPr>
        <w:t>Mnenje Ministrstva za kmetijstvo, gozdarstvo in prehrano št. 350-3/2025/146, 19. 6. 2025,</w:t>
      </w:r>
    </w:p>
    <w:p w14:paraId="3ADEEB0B" w14:textId="4824FE0A" w:rsidR="00DF4E03" w:rsidRDefault="00DF4E03" w:rsidP="00DF4E03">
      <w:pPr>
        <w:pStyle w:val="Odstavekseznama"/>
        <w:numPr>
          <w:ilvl w:val="0"/>
          <w:numId w:val="7"/>
        </w:numPr>
        <w:tabs>
          <w:tab w:val="left" w:pos="960"/>
        </w:tabs>
        <w:jc w:val="both"/>
        <w:rPr>
          <w:szCs w:val="22"/>
          <w:lang w:val="sl-SI"/>
        </w:rPr>
      </w:pPr>
      <w:r>
        <w:rPr>
          <w:szCs w:val="22"/>
          <w:lang w:val="sl-SI"/>
        </w:rPr>
        <w:t>Mnenje Zavoda za ribištvo Slovenije št. 4201-79/2025-2, 18. 6. 2025,</w:t>
      </w:r>
    </w:p>
    <w:p w14:paraId="240D9075" w14:textId="2AB85182" w:rsidR="00DF4E03" w:rsidRDefault="00DF4E03" w:rsidP="00DF4E03">
      <w:pPr>
        <w:pStyle w:val="Odstavekseznama"/>
        <w:numPr>
          <w:ilvl w:val="0"/>
          <w:numId w:val="7"/>
        </w:numPr>
        <w:tabs>
          <w:tab w:val="left" w:pos="960"/>
        </w:tabs>
        <w:jc w:val="both"/>
        <w:rPr>
          <w:szCs w:val="22"/>
          <w:lang w:val="sl-SI"/>
        </w:rPr>
      </w:pPr>
      <w:r>
        <w:rPr>
          <w:szCs w:val="22"/>
          <w:lang w:val="sl-SI"/>
        </w:rPr>
        <w:t>Mnenje Ministrstva za naravne vire in prostor št. 35629-140/2025-2560-6, 19. 6. 2025,</w:t>
      </w:r>
    </w:p>
    <w:p w14:paraId="2A35CEF5" w14:textId="317737A5" w:rsidR="00DF4E03" w:rsidRDefault="00DF4E03" w:rsidP="00DF4E03">
      <w:pPr>
        <w:pStyle w:val="Odstavekseznama"/>
        <w:numPr>
          <w:ilvl w:val="0"/>
          <w:numId w:val="7"/>
        </w:numPr>
        <w:tabs>
          <w:tab w:val="left" w:pos="960"/>
        </w:tabs>
        <w:jc w:val="both"/>
        <w:rPr>
          <w:szCs w:val="22"/>
          <w:lang w:val="sl-SI"/>
        </w:rPr>
      </w:pPr>
      <w:r>
        <w:rPr>
          <w:szCs w:val="22"/>
          <w:lang w:val="sl-SI"/>
        </w:rPr>
        <w:t>Mnenje Zavoda RS za varstvo narave št. 3563-0276/2025-2, 19. 6. 2025,</w:t>
      </w:r>
    </w:p>
    <w:p w14:paraId="6A51F472" w14:textId="4F258BDD" w:rsidR="00DF4E03" w:rsidRDefault="00DF4E03" w:rsidP="00DF4E03">
      <w:pPr>
        <w:pStyle w:val="Odstavekseznama"/>
        <w:numPr>
          <w:ilvl w:val="0"/>
          <w:numId w:val="7"/>
        </w:numPr>
        <w:tabs>
          <w:tab w:val="left" w:pos="960"/>
        </w:tabs>
        <w:jc w:val="both"/>
        <w:rPr>
          <w:szCs w:val="22"/>
          <w:lang w:val="sl-SI"/>
        </w:rPr>
      </w:pPr>
      <w:r>
        <w:rPr>
          <w:szCs w:val="22"/>
          <w:lang w:val="sl-SI"/>
        </w:rPr>
        <w:t>Mnenje Ministrstva za zdravje št. 354-73/2025-2711-4, 19. 6. 2025,</w:t>
      </w:r>
    </w:p>
    <w:p w14:paraId="5E7CFA7E" w14:textId="66BED780" w:rsidR="00DF4E03" w:rsidRDefault="0099224D" w:rsidP="00DF4E03">
      <w:pPr>
        <w:pStyle w:val="Odstavekseznama"/>
        <w:numPr>
          <w:ilvl w:val="0"/>
          <w:numId w:val="7"/>
        </w:numPr>
        <w:tabs>
          <w:tab w:val="left" w:pos="960"/>
        </w:tabs>
        <w:jc w:val="both"/>
        <w:rPr>
          <w:szCs w:val="22"/>
          <w:lang w:val="sl-SI"/>
        </w:rPr>
      </w:pPr>
      <w:r>
        <w:rPr>
          <w:szCs w:val="22"/>
          <w:lang w:val="sl-SI"/>
        </w:rPr>
        <w:t>Mnenje Nacionalnega laboratorija za zdravje, okolje in hrano št. 2940-09/1649-25/NP-5651107, 17. 6. 2025,</w:t>
      </w:r>
    </w:p>
    <w:p w14:paraId="3380EF9E" w14:textId="7D943960" w:rsidR="0099224D" w:rsidRDefault="0099224D" w:rsidP="00DF4E03">
      <w:pPr>
        <w:pStyle w:val="Odstavekseznama"/>
        <w:numPr>
          <w:ilvl w:val="0"/>
          <w:numId w:val="7"/>
        </w:numPr>
        <w:tabs>
          <w:tab w:val="left" w:pos="960"/>
        </w:tabs>
        <w:jc w:val="both"/>
        <w:rPr>
          <w:szCs w:val="22"/>
          <w:lang w:val="sl-SI"/>
        </w:rPr>
      </w:pPr>
      <w:r>
        <w:rPr>
          <w:szCs w:val="22"/>
          <w:lang w:val="sl-SI"/>
        </w:rPr>
        <w:t>Mnenje Ministrstva za kulturo št. 35012-75/2025-3340-4, 23. 6. 2025,</w:t>
      </w:r>
    </w:p>
    <w:p w14:paraId="11AC3A4A" w14:textId="40995485" w:rsidR="0099224D" w:rsidRPr="00DF4E03" w:rsidRDefault="0099224D" w:rsidP="00DF4E03">
      <w:pPr>
        <w:pStyle w:val="Odstavekseznama"/>
        <w:numPr>
          <w:ilvl w:val="0"/>
          <w:numId w:val="7"/>
        </w:numPr>
        <w:tabs>
          <w:tab w:val="left" w:pos="960"/>
        </w:tabs>
        <w:jc w:val="both"/>
        <w:rPr>
          <w:szCs w:val="22"/>
          <w:lang w:val="sl-SI"/>
        </w:rPr>
      </w:pPr>
      <w:r>
        <w:rPr>
          <w:szCs w:val="22"/>
          <w:lang w:val="sl-SI"/>
        </w:rPr>
        <w:t xml:space="preserve">Mnenje Ministrstva za okolje, podnebje in energijo št. 35416-2/2025-2570-17, 27. 6. 2025. </w:t>
      </w:r>
    </w:p>
    <w:p w14:paraId="1A1D8D48" w14:textId="77777777" w:rsidR="009C6971" w:rsidRDefault="009C6971" w:rsidP="009C6971">
      <w:pPr>
        <w:jc w:val="both"/>
        <w:rPr>
          <w:szCs w:val="22"/>
          <w:lang w:val="sl-SI"/>
        </w:rPr>
      </w:pPr>
    </w:p>
    <w:p w14:paraId="28AC2855" w14:textId="6F942097" w:rsidR="00FE5EFF" w:rsidRDefault="001662DA" w:rsidP="009C6971">
      <w:pPr>
        <w:jc w:val="both"/>
        <w:rPr>
          <w:szCs w:val="22"/>
          <w:lang w:val="sl-SI"/>
        </w:rPr>
      </w:pPr>
      <w:r w:rsidRPr="00846049">
        <w:rPr>
          <w:szCs w:val="22"/>
          <w:lang w:val="sl-SI"/>
        </w:rPr>
        <w:t xml:space="preserve">Zakona o urejanju prostora (v nadaljnjem besedilu ZUreP-3) </w:t>
      </w:r>
      <w:r w:rsidR="006D2C53">
        <w:rPr>
          <w:szCs w:val="22"/>
          <w:lang w:val="sl-SI"/>
        </w:rPr>
        <w:t xml:space="preserve">v </w:t>
      </w:r>
      <w:r w:rsidR="00134A12">
        <w:rPr>
          <w:szCs w:val="22"/>
          <w:lang w:val="sl-SI"/>
        </w:rPr>
        <w:t xml:space="preserve">131.a členu, v 9. odstavku, določa, da ministrstvo, pristojno za celovito presojo vplivov na okolje v 15 dneh po prejemu obvestila o nameri priprave OPPN odloči o tem ali je treba za OPPN za obnovo izvesti celovito presojo vplivov na okolje. Pri tem se ministrstvo predhodno posvetuje tudi z ministrstvi in organizacijami, </w:t>
      </w:r>
      <w:r w:rsidR="00134A12">
        <w:rPr>
          <w:szCs w:val="22"/>
          <w:lang w:val="sl-SI"/>
        </w:rPr>
        <w:lastRenderedPageBreak/>
        <w:t xml:space="preserve">pristojnimi za področja, na katera bi OPPN za obnovo lahko pomembno vplival. </w:t>
      </w:r>
      <w:r w:rsidR="00CF6EEA">
        <w:rPr>
          <w:szCs w:val="22"/>
          <w:lang w:val="sl-SI"/>
        </w:rPr>
        <w:t xml:space="preserve">Po določilu drugega odstavka tega člena območja, za katera se lahko sprejme OPPN za obnovo, določi vlada. </w:t>
      </w:r>
    </w:p>
    <w:p w14:paraId="13F6DAB0" w14:textId="77777777" w:rsidR="00FE5EFF" w:rsidRDefault="00FE5EFF" w:rsidP="009C6971">
      <w:pPr>
        <w:jc w:val="both"/>
        <w:rPr>
          <w:szCs w:val="22"/>
          <w:lang w:val="sl-SI"/>
        </w:rPr>
      </w:pPr>
    </w:p>
    <w:p w14:paraId="5798DD08" w14:textId="1B3CC531" w:rsidR="00FE5EFF" w:rsidRDefault="00FE5EFF" w:rsidP="009C6971">
      <w:pPr>
        <w:jc w:val="both"/>
        <w:rPr>
          <w:szCs w:val="22"/>
          <w:lang w:val="sl-SI"/>
        </w:rPr>
      </w:pPr>
      <w:r>
        <w:rPr>
          <w:szCs w:val="22"/>
          <w:lang w:val="sl-SI"/>
        </w:rPr>
        <w:t xml:space="preserve">Ministrstvo je pregledalo poslano dokumentacijo in ugotovilo, da obravnavani OPPN za obnovo vključuje površine v velikosti </w:t>
      </w:r>
      <w:r w:rsidR="0099224D">
        <w:rPr>
          <w:szCs w:val="22"/>
          <w:lang w:val="sl-SI"/>
        </w:rPr>
        <w:t>3,9</w:t>
      </w:r>
      <w:r>
        <w:rPr>
          <w:szCs w:val="22"/>
          <w:lang w:val="sl-SI"/>
        </w:rPr>
        <w:t xml:space="preserve"> ha (območje kamor bi se prestavil </w:t>
      </w:r>
      <w:r w:rsidR="003443C3">
        <w:rPr>
          <w:szCs w:val="22"/>
          <w:lang w:val="sl-SI"/>
        </w:rPr>
        <w:t>proizvodni del</w:t>
      </w:r>
      <w:r>
        <w:rPr>
          <w:szCs w:val="22"/>
          <w:lang w:val="sl-SI"/>
        </w:rPr>
        <w:t xml:space="preserve"> podjetja </w:t>
      </w:r>
      <w:r w:rsidR="0099224D">
        <w:rPr>
          <w:szCs w:val="22"/>
          <w:lang w:val="sl-SI"/>
        </w:rPr>
        <w:t>KLS d. o. o.</w:t>
      </w:r>
      <w:r>
        <w:rPr>
          <w:szCs w:val="22"/>
          <w:lang w:val="sl-SI"/>
        </w:rPr>
        <w:t>)</w:t>
      </w:r>
      <w:r w:rsidR="0099224D">
        <w:rPr>
          <w:szCs w:val="22"/>
          <w:lang w:val="sl-SI"/>
        </w:rPr>
        <w:t>. Z OPPN za obnovo se spremeni namenska raba prostora. Območje meji na vodotok Savinja in v naravi predstavlja K1 zemljišče. Območje prav tako meji na industrijski cono velikosti 10,8 ha</w:t>
      </w:r>
      <w:r w:rsidR="000D36C8">
        <w:rPr>
          <w:szCs w:val="22"/>
          <w:lang w:val="sl-SI"/>
        </w:rPr>
        <w:t xml:space="preserve"> in bo skupaj predstavljalo industrijski kompleks ob reki. Reka Savinja je zaščiteno območje, zemljišča plana pa so najboljša kmetijska zemlja. </w:t>
      </w:r>
    </w:p>
    <w:p w14:paraId="06BF1F0F" w14:textId="77777777" w:rsidR="00734421" w:rsidRDefault="00734421" w:rsidP="009C6971">
      <w:pPr>
        <w:jc w:val="both"/>
        <w:rPr>
          <w:szCs w:val="22"/>
          <w:lang w:val="sl-SI"/>
        </w:rPr>
      </w:pPr>
    </w:p>
    <w:p w14:paraId="308D7EFA" w14:textId="47B4851B" w:rsidR="00734421" w:rsidRDefault="001312A9" w:rsidP="009C6971">
      <w:pPr>
        <w:jc w:val="both"/>
        <w:rPr>
          <w:szCs w:val="22"/>
          <w:lang w:val="sl-SI"/>
        </w:rPr>
      </w:pPr>
      <w:r>
        <w:rPr>
          <w:szCs w:val="22"/>
          <w:lang w:val="sl-SI"/>
        </w:rPr>
        <w:t xml:space="preserve">Ministrstvo je ugotovilo, da obravnavani OPPN lahko kumulativno vpliva na druge plane, predvsem na plane, ki urejajo izvedbo ukrepov na Savinji, kar je razlog, da ministrstvo meni, da je potrebno izvesti celovito presojo vplivov na okolje. </w:t>
      </w:r>
      <w:r w:rsidR="000D36C8">
        <w:rPr>
          <w:szCs w:val="22"/>
          <w:lang w:val="sl-SI"/>
        </w:rPr>
        <w:t xml:space="preserve">Nadaljnji razlog za uvedbo postopka celovite presoje vplivov na okolje pa je, da se bo z izvedbo plana uničila najboljša kmetijska zemlja. </w:t>
      </w:r>
    </w:p>
    <w:p w14:paraId="3CD97521" w14:textId="77777777" w:rsidR="003A1D99" w:rsidRDefault="003A1D99" w:rsidP="009C6971">
      <w:pPr>
        <w:jc w:val="both"/>
        <w:rPr>
          <w:szCs w:val="22"/>
          <w:lang w:val="sl-SI"/>
        </w:rPr>
      </w:pPr>
    </w:p>
    <w:p w14:paraId="3A7D7546" w14:textId="7D916195" w:rsidR="00ED38E0" w:rsidRDefault="00ED38E0" w:rsidP="009C6971">
      <w:pPr>
        <w:jc w:val="both"/>
        <w:rPr>
          <w:szCs w:val="22"/>
          <w:lang w:val="sl-SI"/>
        </w:rPr>
      </w:pPr>
      <w:r>
        <w:rPr>
          <w:szCs w:val="22"/>
          <w:lang w:val="sl-SI"/>
        </w:rPr>
        <w:t>Ministrstvo se je v tem upravnem postopku posvetovalo tudi z ministrstvi in organizacijami pristojnimi za področja, na katera bi OPPN za obnovo lahko pomembno vplival</w:t>
      </w:r>
      <w:r w:rsidR="000D36C8">
        <w:rPr>
          <w:szCs w:val="22"/>
          <w:lang w:val="sl-SI"/>
        </w:rPr>
        <w:t>, mnenja so navedena na prvi strani te odločbe.</w:t>
      </w:r>
    </w:p>
    <w:p w14:paraId="30C93747" w14:textId="77777777" w:rsidR="003114BF" w:rsidRDefault="003114BF" w:rsidP="009C6971">
      <w:pPr>
        <w:jc w:val="both"/>
        <w:rPr>
          <w:szCs w:val="22"/>
          <w:lang w:val="sl-SI"/>
        </w:rPr>
      </w:pPr>
    </w:p>
    <w:p w14:paraId="51ECE661" w14:textId="2BC9BF12" w:rsidR="003114BF" w:rsidRDefault="003114BF" w:rsidP="009C6971">
      <w:pPr>
        <w:jc w:val="both"/>
        <w:rPr>
          <w:szCs w:val="22"/>
          <w:lang w:val="sl-SI"/>
        </w:rPr>
      </w:pPr>
      <w:r>
        <w:rPr>
          <w:szCs w:val="22"/>
          <w:lang w:val="sl-SI"/>
        </w:rPr>
        <w:t xml:space="preserve">Ministrstvo je </w:t>
      </w:r>
      <w:r w:rsidR="00AD5B3C">
        <w:rPr>
          <w:szCs w:val="22"/>
          <w:lang w:val="sl-SI"/>
        </w:rPr>
        <w:t>2</w:t>
      </w:r>
      <w:r>
        <w:rPr>
          <w:szCs w:val="22"/>
          <w:lang w:val="sl-SI"/>
        </w:rPr>
        <w:t xml:space="preserve">. </w:t>
      </w:r>
      <w:r w:rsidR="00AD5B3C">
        <w:rPr>
          <w:szCs w:val="22"/>
          <w:lang w:val="sl-SI"/>
        </w:rPr>
        <w:t>7</w:t>
      </w:r>
      <w:r>
        <w:rPr>
          <w:szCs w:val="22"/>
          <w:lang w:val="sl-SI"/>
        </w:rPr>
        <w:t>. 202</w:t>
      </w:r>
      <w:r w:rsidR="00AD5B3C">
        <w:rPr>
          <w:szCs w:val="22"/>
          <w:lang w:val="sl-SI"/>
        </w:rPr>
        <w:t>5</w:t>
      </w:r>
      <w:r>
        <w:rPr>
          <w:szCs w:val="22"/>
          <w:lang w:val="sl-SI"/>
        </w:rPr>
        <w:t xml:space="preserve"> pozvalo stranko, da se izjasni o dejstvih in okoliščinah, ki so pomembn</w:t>
      </w:r>
      <w:r w:rsidR="00F24B0A">
        <w:rPr>
          <w:szCs w:val="22"/>
          <w:lang w:val="sl-SI"/>
        </w:rPr>
        <w:t>e</w:t>
      </w:r>
      <w:r>
        <w:rPr>
          <w:szCs w:val="22"/>
          <w:lang w:val="sl-SI"/>
        </w:rPr>
        <w:t xml:space="preserve"> za odločitev, stranka pa do izdaje odločbe ni navedla novih dejstev.</w:t>
      </w:r>
    </w:p>
    <w:p w14:paraId="06F03686" w14:textId="77777777" w:rsidR="009C6971" w:rsidRPr="008D5A95" w:rsidRDefault="009C6971" w:rsidP="009C6971">
      <w:pPr>
        <w:jc w:val="both"/>
        <w:rPr>
          <w:szCs w:val="22"/>
          <w:lang w:val="sl-SI"/>
        </w:rPr>
      </w:pPr>
    </w:p>
    <w:p w14:paraId="48686089" w14:textId="77777777" w:rsidR="009C6971" w:rsidRPr="00B76646" w:rsidRDefault="009C6971" w:rsidP="009C6971">
      <w:pPr>
        <w:jc w:val="both"/>
        <w:rPr>
          <w:lang w:val="sl-SI"/>
        </w:rPr>
      </w:pPr>
      <w:r w:rsidRPr="00B76646">
        <w:rPr>
          <w:lang w:val="sl-SI"/>
        </w:rPr>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746F447A" w14:textId="77777777" w:rsidR="009C6971" w:rsidRPr="008D5A95" w:rsidRDefault="009C6971" w:rsidP="009C6971">
      <w:pPr>
        <w:jc w:val="both"/>
        <w:rPr>
          <w:lang w:val="sl-SI"/>
        </w:rPr>
      </w:pPr>
    </w:p>
    <w:p w14:paraId="6BA2FB2C" w14:textId="7C0A0911" w:rsidR="009C6971" w:rsidRPr="008D5A95" w:rsidRDefault="009C6971" w:rsidP="009C6971">
      <w:pPr>
        <w:jc w:val="both"/>
        <w:rPr>
          <w:lang w:val="sl-SI"/>
        </w:rPr>
      </w:pPr>
      <w:r w:rsidRPr="008D5A95">
        <w:rPr>
          <w:lang w:val="sl-SI"/>
        </w:rPr>
        <w:t>Postopek vodil:</w:t>
      </w:r>
    </w:p>
    <w:p w14:paraId="668AB4C1" w14:textId="77777777" w:rsidR="009C6971" w:rsidRPr="008D5A95" w:rsidRDefault="009C6971" w:rsidP="009C6971">
      <w:pPr>
        <w:jc w:val="both"/>
        <w:rPr>
          <w:lang w:val="sl-SI"/>
        </w:rPr>
      </w:pPr>
    </w:p>
    <w:p w14:paraId="72452DFF" w14:textId="793A35E5" w:rsidR="009C6971" w:rsidRPr="008D5A95" w:rsidRDefault="002D26AA" w:rsidP="009C6971">
      <w:pPr>
        <w:tabs>
          <w:tab w:val="center" w:pos="6237"/>
        </w:tabs>
        <w:jc w:val="both"/>
        <w:rPr>
          <w:lang w:val="sl-SI"/>
        </w:rPr>
      </w:pPr>
      <w:r>
        <w:rPr>
          <w:lang w:val="sl-SI"/>
        </w:rPr>
        <w:t xml:space="preserve"> Jernej Per</w:t>
      </w:r>
      <w:r w:rsidR="009C6971" w:rsidRPr="008D5A95">
        <w:rPr>
          <w:lang w:val="sl-SI"/>
        </w:rPr>
        <w:tab/>
      </w:r>
      <w:r w:rsidR="00802E5C">
        <w:rPr>
          <w:lang w:val="sl-SI"/>
        </w:rPr>
        <w:t>dr</w:t>
      </w:r>
      <w:r w:rsidR="009C6971" w:rsidRPr="008D5A95">
        <w:rPr>
          <w:lang w:val="sl-SI"/>
        </w:rPr>
        <w:t xml:space="preserve">. </w:t>
      </w:r>
      <w:r>
        <w:rPr>
          <w:lang w:val="sl-SI"/>
        </w:rPr>
        <w:t xml:space="preserve">Tanja </w:t>
      </w:r>
      <w:r w:rsidR="00802E5C">
        <w:rPr>
          <w:lang w:val="sl-SI"/>
        </w:rPr>
        <w:t>Pucelj Vidović</w:t>
      </w:r>
    </w:p>
    <w:p w14:paraId="63028054" w14:textId="188052A0" w:rsidR="009C6971" w:rsidRPr="008D5A95" w:rsidRDefault="002D26AA" w:rsidP="009C6971">
      <w:pPr>
        <w:tabs>
          <w:tab w:val="center" w:pos="6237"/>
        </w:tabs>
        <w:jc w:val="both"/>
        <w:rPr>
          <w:lang w:val="sl-SI"/>
        </w:rPr>
      </w:pPr>
      <w:r>
        <w:rPr>
          <w:lang w:val="sl-SI"/>
        </w:rPr>
        <w:t>p</w:t>
      </w:r>
      <w:r w:rsidR="009C6971" w:rsidRPr="008D5A95">
        <w:rPr>
          <w:lang w:val="sl-SI"/>
        </w:rPr>
        <w:t>odsekretar</w:t>
      </w:r>
      <w:r w:rsidR="009C6971" w:rsidRPr="008D5A95">
        <w:rPr>
          <w:lang w:val="sl-SI"/>
        </w:rPr>
        <w:tab/>
      </w:r>
      <w:r w:rsidR="00802E5C">
        <w:rPr>
          <w:lang w:val="sl-SI"/>
        </w:rPr>
        <w:t>vodja Sektorja za okoljske presoje</w:t>
      </w:r>
    </w:p>
    <w:p w14:paraId="2FA2D896" w14:textId="77777777" w:rsidR="009C6971" w:rsidRPr="00AA33D2" w:rsidRDefault="009C6971" w:rsidP="009C6971">
      <w:pPr>
        <w:jc w:val="both"/>
        <w:rPr>
          <w:lang w:val="sl-SI"/>
        </w:rPr>
      </w:pPr>
    </w:p>
    <w:p w14:paraId="155BBD33" w14:textId="11F4775A" w:rsidR="009C6971" w:rsidRPr="00AA33D2" w:rsidRDefault="009C6971" w:rsidP="009C6971">
      <w:pPr>
        <w:jc w:val="both"/>
        <w:rPr>
          <w:b/>
          <w:lang w:val="sl-SI"/>
        </w:rPr>
      </w:pPr>
      <w:r w:rsidRPr="00AA33D2">
        <w:rPr>
          <w:lang w:val="sl-SI"/>
        </w:rPr>
        <w:t>Vročiti</w:t>
      </w:r>
      <w:r w:rsidR="008A0E5C">
        <w:rPr>
          <w:lang w:val="sl-SI"/>
        </w:rPr>
        <w:t xml:space="preserve"> (</w:t>
      </w:r>
      <w:r w:rsidR="002D26AA">
        <w:rPr>
          <w:lang w:val="sl-SI"/>
        </w:rPr>
        <w:t>elektronsko</w:t>
      </w:r>
      <w:r w:rsidR="008A0E5C">
        <w:rPr>
          <w:lang w:val="sl-SI"/>
        </w:rPr>
        <w:t xml:space="preserve"> ZUP)</w:t>
      </w:r>
      <w:r w:rsidRPr="00AA33D2">
        <w:rPr>
          <w:lang w:val="sl-SI"/>
        </w:rPr>
        <w:t>:</w:t>
      </w:r>
    </w:p>
    <w:p w14:paraId="799E2EB2" w14:textId="21996CCA" w:rsidR="009C6971" w:rsidRPr="00AA33D2" w:rsidRDefault="009C6971" w:rsidP="009C6971">
      <w:pPr>
        <w:spacing w:line="260" w:lineRule="exact"/>
        <w:rPr>
          <w:lang w:val="sl-SI"/>
        </w:rPr>
      </w:pPr>
      <w:r w:rsidRPr="00AA33D2">
        <w:rPr>
          <w:rFonts w:cs="Arial"/>
          <w:szCs w:val="20"/>
          <w:lang w:val="sl-SI"/>
        </w:rPr>
        <w:t>-</w:t>
      </w:r>
      <w:r w:rsidRPr="00AA33D2">
        <w:rPr>
          <w:lang w:val="sl-SI"/>
        </w:rPr>
        <w:t xml:space="preserve"> </w:t>
      </w:r>
      <w:r w:rsidR="00802E5C">
        <w:rPr>
          <w:lang w:val="sl-SI"/>
        </w:rPr>
        <w:t xml:space="preserve">Občina </w:t>
      </w:r>
      <w:r w:rsidR="00C9314F">
        <w:rPr>
          <w:lang w:val="sl-SI"/>
        </w:rPr>
        <w:t xml:space="preserve">Ljubno, Cesta v Rastke 12, 3333 Ljubno ob Savinji, </w:t>
      </w:r>
      <w:hyperlink r:id="rId15" w:history="1">
        <w:r w:rsidR="00C9314F" w:rsidRPr="00745A76">
          <w:rPr>
            <w:rStyle w:val="Hiperpovezava"/>
            <w:lang w:val="sl-SI"/>
          </w:rPr>
          <w:t>obcina</w:t>
        </w:r>
        <w:r w:rsidR="00C9314F" w:rsidRPr="00745A76">
          <w:rPr>
            <w:rStyle w:val="Hiperpovezava"/>
            <w:rFonts w:cs="Arial"/>
            <w:lang w:val="sl-SI"/>
          </w:rPr>
          <w:t>@</w:t>
        </w:r>
        <w:r w:rsidR="00C9314F" w:rsidRPr="00745A76">
          <w:rPr>
            <w:rStyle w:val="Hiperpovezava"/>
            <w:lang w:val="sl-SI"/>
          </w:rPr>
          <w:t>ljubno.si</w:t>
        </w:r>
      </w:hyperlink>
      <w:r w:rsidR="00C9314F">
        <w:rPr>
          <w:lang w:val="sl-SI"/>
        </w:rPr>
        <w:t xml:space="preserve"> </w:t>
      </w:r>
    </w:p>
    <w:p w14:paraId="11A43829" w14:textId="493E7318" w:rsidR="00B121EF" w:rsidRPr="002D26AA" w:rsidRDefault="00B121EF" w:rsidP="002D26AA">
      <w:pPr>
        <w:spacing w:line="260" w:lineRule="exact"/>
        <w:rPr>
          <w:rStyle w:val="Hiperpovezava"/>
          <w:color w:val="auto"/>
          <w:u w:val="none"/>
          <w:lang w:val="sl-SI"/>
        </w:rPr>
      </w:pPr>
    </w:p>
    <w:p w14:paraId="44BE87C8" w14:textId="5924CBB7" w:rsidR="00467BAF" w:rsidRDefault="00467BAF" w:rsidP="00B121EF">
      <w:pPr>
        <w:rPr>
          <w:lang w:val="sl-SI"/>
        </w:rPr>
      </w:pPr>
    </w:p>
    <w:sectPr w:rsidR="00467BAF" w:rsidSect="008F7564">
      <w:headerReference w:type="default" r:id="rId16"/>
      <w:footerReference w:type="default" r:id="rId17"/>
      <w:headerReference w:type="first" r:id="rId1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075B" w14:textId="77777777" w:rsidR="00F30D8B" w:rsidRDefault="00F30D8B">
      <w:r>
        <w:separator/>
      </w:r>
    </w:p>
  </w:endnote>
  <w:endnote w:type="continuationSeparator" w:id="0">
    <w:p w14:paraId="4211509B" w14:textId="77777777" w:rsidR="00F30D8B" w:rsidRDefault="00F3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544233"/>
      <w:docPartObj>
        <w:docPartGallery w:val="Page Numbers (Bottom of Page)"/>
        <w:docPartUnique/>
      </w:docPartObj>
    </w:sdtPr>
    <w:sdtEndPr/>
    <w:sdtContent>
      <w:p w14:paraId="5DFC35A5" w14:textId="6E430F9D" w:rsidR="000D36C8" w:rsidRDefault="000D36C8">
        <w:pPr>
          <w:pStyle w:val="Noga"/>
          <w:jc w:val="center"/>
        </w:pPr>
        <w:r>
          <w:fldChar w:fldCharType="begin"/>
        </w:r>
        <w:r>
          <w:instrText>PAGE   \* MERGEFORMAT</w:instrText>
        </w:r>
        <w:r>
          <w:fldChar w:fldCharType="separate"/>
        </w:r>
        <w:r>
          <w:rPr>
            <w:lang w:val="sl-SI"/>
          </w:rPr>
          <w:t>2</w:t>
        </w:r>
        <w:r>
          <w:fldChar w:fldCharType="end"/>
        </w:r>
      </w:p>
    </w:sdtContent>
  </w:sdt>
  <w:p w14:paraId="71478494"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D3F9" w14:textId="77777777" w:rsidR="00F30D8B" w:rsidRDefault="00F30D8B">
      <w:r>
        <w:separator/>
      </w:r>
    </w:p>
  </w:footnote>
  <w:footnote w:type="continuationSeparator" w:id="0">
    <w:p w14:paraId="5C5867A8" w14:textId="77777777" w:rsidR="00F30D8B" w:rsidRDefault="00F3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77C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CD4"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03F87896" wp14:editId="279575DE">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7861E86A"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5F1E1DD2"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216AF01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8A2E7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3624C82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num w:numId="1" w16cid:durableId="1036976262">
    <w:abstractNumId w:val="5"/>
  </w:num>
  <w:num w:numId="2" w16cid:durableId="1979452251">
    <w:abstractNumId w:val="3"/>
  </w:num>
  <w:num w:numId="3" w16cid:durableId="1457917546">
    <w:abstractNumId w:val="4"/>
  </w:num>
  <w:num w:numId="4" w16cid:durableId="448479497">
    <w:abstractNumId w:val="0"/>
  </w:num>
  <w:num w:numId="5" w16cid:durableId="137771626">
    <w:abstractNumId w:val="1"/>
  </w:num>
  <w:num w:numId="6" w16cid:durableId="996803930">
    <w:abstractNumId w:val="6"/>
  </w:num>
  <w:num w:numId="7" w16cid:durableId="40345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71"/>
    <w:rsid w:val="00023A5D"/>
    <w:rsid w:val="00023A88"/>
    <w:rsid w:val="00035711"/>
    <w:rsid w:val="00036C4F"/>
    <w:rsid w:val="0005661C"/>
    <w:rsid w:val="00085FE5"/>
    <w:rsid w:val="00090359"/>
    <w:rsid w:val="000A7238"/>
    <w:rsid w:val="000A7F67"/>
    <w:rsid w:val="000B2E7E"/>
    <w:rsid w:val="000B4B38"/>
    <w:rsid w:val="000B503E"/>
    <w:rsid w:val="000D36C8"/>
    <w:rsid w:val="000F366D"/>
    <w:rsid w:val="001312A9"/>
    <w:rsid w:val="00134596"/>
    <w:rsid w:val="00134A12"/>
    <w:rsid w:val="001357B2"/>
    <w:rsid w:val="0013629D"/>
    <w:rsid w:val="00164C0A"/>
    <w:rsid w:val="001662DA"/>
    <w:rsid w:val="0017478F"/>
    <w:rsid w:val="00194B48"/>
    <w:rsid w:val="001B06B3"/>
    <w:rsid w:val="001C62E1"/>
    <w:rsid w:val="001F6002"/>
    <w:rsid w:val="00202A77"/>
    <w:rsid w:val="00203E61"/>
    <w:rsid w:val="00223DA1"/>
    <w:rsid w:val="00246E57"/>
    <w:rsid w:val="00263B01"/>
    <w:rsid w:val="00271CE5"/>
    <w:rsid w:val="00282020"/>
    <w:rsid w:val="002A2B69"/>
    <w:rsid w:val="002A4426"/>
    <w:rsid w:val="002D26AA"/>
    <w:rsid w:val="002E7F51"/>
    <w:rsid w:val="002F64A7"/>
    <w:rsid w:val="00300ABE"/>
    <w:rsid w:val="003114BF"/>
    <w:rsid w:val="00313B33"/>
    <w:rsid w:val="003249A1"/>
    <w:rsid w:val="0032669D"/>
    <w:rsid w:val="00333A77"/>
    <w:rsid w:val="003443C3"/>
    <w:rsid w:val="003636BF"/>
    <w:rsid w:val="00371442"/>
    <w:rsid w:val="003845B4"/>
    <w:rsid w:val="003864C5"/>
    <w:rsid w:val="00387B1A"/>
    <w:rsid w:val="003A1D99"/>
    <w:rsid w:val="003B5E9B"/>
    <w:rsid w:val="003C30C3"/>
    <w:rsid w:val="003C5EE5"/>
    <w:rsid w:val="003D6BCD"/>
    <w:rsid w:val="003E1C74"/>
    <w:rsid w:val="0040748D"/>
    <w:rsid w:val="00431110"/>
    <w:rsid w:val="004360CD"/>
    <w:rsid w:val="004640A7"/>
    <w:rsid w:val="004657EE"/>
    <w:rsid w:val="00467BAF"/>
    <w:rsid w:val="004731C2"/>
    <w:rsid w:val="004915D3"/>
    <w:rsid w:val="004E5DBB"/>
    <w:rsid w:val="004F3AFF"/>
    <w:rsid w:val="004F5BBA"/>
    <w:rsid w:val="005004BD"/>
    <w:rsid w:val="005078D5"/>
    <w:rsid w:val="00520AC0"/>
    <w:rsid w:val="00521A74"/>
    <w:rsid w:val="00526246"/>
    <w:rsid w:val="0056333E"/>
    <w:rsid w:val="00564C5E"/>
    <w:rsid w:val="005659D1"/>
    <w:rsid w:val="00567106"/>
    <w:rsid w:val="00567237"/>
    <w:rsid w:val="005B4FE1"/>
    <w:rsid w:val="005B758B"/>
    <w:rsid w:val="005E1D3C"/>
    <w:rsid w:val="0061772C"/>
    <w:rsid w:val="00625AE6"/>
    <w:rsid w:val="00632253"/>
    <w:rsid w:val="00641D0C"/>
    <w:rsid w:val="00642714"/>
    <w:rsid w:val="006455CE"/>
    <w:rsid w:val="00655841"/>
    <w:rsid w:val="006770B0"/>
    <w:rsid w:val="006906A2"/>
    <w:rsid w:val="006A0E14"/>
    <w:rsid w:val="006C6156"/>
    <w:rsid w:val="006D2C53"/>
    <w:rsid w:val="006D3A6E"/>
    <w:rsid w:val="006D6B90"/>
    <w:rsid w:val="006F56F8"/>
    <w:rsid w:val="00700C8D"/>
    <w:rsid w:val="00733017"/>
    <w:rsid w:val="00734421"/>
    <w:rsid w:val="00754A96"/>
    <w:rsid w:val="00783310"/>
    <w:rsid w:val="00792021"/>
    <w:rsid w:val="00792537"/>
    <w:rsid w:val="00792892"/>
    <w:rsid w:val="007936CD"/>
    <w:rsid w:val="007A2999"/>
    <w:rsid w:val="007A4A6D"/>
    <w:rsid w:val="007D1B85"/>
    <w:rsid w:val="007D1BCF"/>
    <w:rsid w:val="007D75CF"/>
    <w:rsid w:val="007E0440"/>
    <w:rsid w:val="007E6DC5"/>
    <w:rsid w:val="00802BB5"/>
    <w:rsid w:val="00802E5C"/>
    <w:rsid w:val="008273D9"/>
    <w:rsid w:val="008564E9"/>
    <w:rsid w:val="00874924"/>
    <w:rsid w:val="0088043C"/>
    <w:rsid w:val="00884889"/>
    <w:rsid w:val="008906C9"/>
    <w:rsid w:val="008A0E5C"/>
    <w:rsid w:val="008B1143"/>
    <w:rsid w:val="008C5738"/>
    <w:rsid w:val="008D04F0"/>
    <w:rsid w:val="008F3500"/>
    <w:rsid w:val="008F7564"/>
    <w:rsid w:val="00902DB1"/>
    <w:rsid w:val="009039F2"/>
    <w:rsid w:val="00924E3C"/>
    <w:rsid w:val="009545A7"/>
    <w:rsid w:val="00956614"/>
    <w:rsid w:val="009612BB"/>
    <w:rsid w:val="00962FEA"/>
    <w:rsid w:val="00970797"/>
    <w:rsid w:val="00971E3D"/>
    <w:rsid w:val="00985264"/>
    <w:rsid w:val="0099224D"/>
    <w:rsid w:val="009C411B"/>
    <w:rsid w:val="009C4FC2"/>
    <w:rsid w:val="009C6971"/>
    <w:rsid w:val="009C740A"/>
    <w:rsid w:val="009F2FCF"/>
    <w:rsid w:val="00A125C5"/>
    <w:rsid w:val="00A2451C"/>
    <w:rsid w:val="00A34985"/>
    <w:rsid w:val="00A41EEB"/>
    <w:rsid w:val="00A65EE7"/>
    <w:rsid w:val="00A70133"/>
    <w:rsid w:val="00A770A6"/>
    <w:rsid w:val="00A779B0"/>
    <w:rsid w:val="00A813B1"/>
    <w:rsid w:val="00A85E37"/>
    <w:rsid w:val="00A872B7"/>
    <w:rsid w:val="00A87C50"/>
    <w:rsid w:val="00AA1972"/>
    <w:rsid w:val="00AA33D2"/>
    <w:rsid w:val="00AB36C4"/>
    <w:rsid w:val="00AC32B2"/>
    <w:rsid w:val="00AD4881"/>
    <w:rsid w:val="00AD5B3C"/>
    <w:rsid w:val="00AE0570"/>
    <w:rsid w:val="00B121EF"/>
    <w:rsid w:val="00B1443B"/>
    <w:rsid w:val="00B17141"/>
    <w:rsid w:val="00B20E88"/>
    <w:rsid w:val="00B23503"/>
    <w:rsid w:val="00B31575"/>
    <w:rsid w:val="00B329C8"/>
    <w:rsid w:val="00B57B90"/>
    <w:rsid w:val="00B57E49"/>
    <w:rsid w:val="00B60CD0"/>
    <w:rsid w:val="00B76646"/>
    <w:rsid w:val="00B7732A"/>
    <w:rsid w:val="00B8547D"/>
    <w:rsid w:val="00BA33B9"/>
    <w:rsid w:val="00C17F09"/>
    <w:rsid w:val="00C21598"/>
    <w:rsid w:val="00C250D5"/>
    <w:rsid w:val="00C33F11"/>
    <w:rsid w:val="00C35666"/>
    <w:rsid w:val="00C46D9B"/>
    <w:rsid w:val="00C50039"/>
    <w:rsid w:val="00C852F3"/>
    <w:rsid w:val="00C92898"/>
    <w:rsid w:val="00C9314F"/>
    <w:rsid w:val="00C96A71"/>
    <w:rsid w:val="00CA4340"/>
    <w:rsid w:val="00CC111C"/>
    <w:rsid w:val="00CC40F4"/>
    <w:rsid w:val="00CE5238"/>
    <w:rsid w:val="00CE7514"/>
    <w:rsid w:val="00CF6EEA"/>
    <w:rsid w:val="00D200A7"/>
    <w:rsid w:val="00D248DE"/>
    <w:rsid w:val="00D46080"/>
    <w:rsid w:val="00D80C0B"/>
    <w:rsid w:val="00D8542D"/>
    <w:rsid w:val="00DC6A71"/>
    <w:rsid w:val="00DD64B1"/>
    <w:rsid w:val="00DE6547"/>
    <w:rsid w:val="00DF1FC1"/>
    <w:rsid w:val="00DF4DE2"/>
    <w:rsid w:val="00DF4E03"/>
    <w:rsid w:val="00E0357D"/>
    <w:rsid w:val="00E20189"/>
    <w:rsid w:val="00E47195"/>
    <w:rsid w:val="00E47E2D"/>
    <w:rsid w:val="00E65037"/>
    <w:rsid w:val="00EB16D3"/>
    <w:rsid w:val="00EB18C9"/>
    <w:rsid w:val="00ED1C3E"/>
    <w:rsid w:val="00ED38E0"/>
    <w:rsid w:val="00ED4D4C"/>
    <w:rsid w:val="00EE4119"/>
    <w:rsid w:val="00EF19A6"/>
    <w:rsid w:val="00F10861"/>
    <w:rsid w:val="00F240BB"/>
    <w:rsid w:val="00F24B0A"/>
    <w:rsid w:val="00F30D8B"/>
    <w:rsid w:val="00F321B4"/>
    <w:rsid w:val="00F57FED"/>
    <w:rsid w:val="00F60A2F"/>
    <w:rsid w:val="00FB428E"/>
    <w:rsid w:val="00FD2603"/>
    <w:rsid w:val="00FE5EFF"/>
    <w:rsid w:val="00FF44B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D39F00"/>
  <w15:chartTrackingRefBased/>
  <w15:docId w15:val="{52A43550-366B-4696-A05A-F86E615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9C6971"/>
    <w:pPr>
      <w:keepNext/>
      <w:spacing w:before="240" w:after="60"/>
      <w:jc w:val="center"/>
      <w:outlineLvl w:val="0"/>
    </w:pPr>
    <w:rPr>
      <w:bCs/>
      <w:spacing w:val="40"/>
      <w:kern w:val="32"/>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basedOn w:val="Privzetapisavaodstavka"/>
    <w:link w:val="Naslov1"/>
    <w:rsid w:val="009C6971"/>
    <w:rPr>
      <w:rFonts w:ascii="Arial" w:hAnsi="Arial"/>
      <w:bCs/>
      <w:spacing w:val="40"/>
      <w:kern w:val="32"/>
      <w:sz w:val="22"/>
      <w:szCs w:val="22"/>
    </w:rPr>
  </w:style>
  <w:style w:type="paragraph" w:styleId="Odstavekseznama">
    <w:name w:val="List Paragraph"/>
    <w:basedOn w:val="Navaden"/>
    <w:uiPriority w:val="34"/>
    <w:qFormat/>
    <w:rsid w:val="009C6971"/>
    <w:pPr>
      <w:ind w:left="720"/>
      <w:contextualSpacing/>
    </w:pPr>
  </w:style>
  <w:style w:type="character" w:styleId="Nerazreenaomemba">
    <w:name w:val="Unresolved Mention"/>
    <w:basedOn w:val="Privzetapisavaodstavka"/>
    <w:uiPriority w:val="99"/>
    <w:semiHidden/>
    <w:unhideWhenUsed/>
    <w:rsid w:val="00467BAF"/>
    <w:rPr>
      <w:color w:val="605E5C"/>
      <w:shd w:val="clear" w:color="auto" w:fill="E1DFDD"/>
    </w:rPr>
  </w:style>
  <w:style w:type="character" w:customStyle="1" w:styleId="NogaZnak">
    <w:name w:val="Noga Znak"/>
    <w:basedOn w:val="Privzetapisavaodstavka"/>
    <w:link w:val="Noga"/>
    <w:uiPriority w:val="99"/>
    <w:rsid w:val="00EB16D3"/>
    <w:rPr>
      <w:rFonts w:ascii="Arial" w:hAnsi="Arial"/>
      <w:szCs w:val="24"/>
      <w:lang w:val="en-US" w:eastAsia="en-US"/>
    </w:rPr>
  </w:style>
  <w:style w:type="character" w:customStyle="1" w:styleId="GlavaZnak">
    <w:name w:val="Glava Znak"/>
    <w:basedOn w:val="Privzetapisavaodstavka"/>
    <w:link w:val="Glava"/>
    <w:uiPriority w:val="99"/>
    <w:rsid w:val="000D36C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23-01-267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radni-list.si/glasilo-uradni-list-rs/vsebina/2023-01-24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3-01-0348" TargetMode="External"/><Relationship Id="rId5" Type="http://schemas.openxmlformats.org/officeDocument/2006/relationships/styles" Target="styles.xml"/><Relationship Id="rId15" Type="http://schemas.openxmlformats.org/officeDocument/2006/relationships/hyperlink" Target="mailto:obcina@ljubno.si" TargetMode="External"/><Relationship Id="rId10" Type="http://schemas.openxmlformats.org/officeDocument/2006/relationships/hyperlink" Target="https://www.uradni-list.si/glasilo-uradni-list-rs/vsebina/2021-01-397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24-01-06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purl.org/dc/elements/1.1/"/>
    <ds:schemaRef ds:uri="http://schemas.microsoft.com/office/2006/metadata/properties"/>
    <ds:schemaRef ds:uri="http://schemas.microsoft.com/office/2006/documentManagement/types"/>
    <ds:schemaRef ds:uri="c692225b-96e9-4b86-aa9e-be5af81d02ac"/>
    <ds:schemaRef ds:uri="http://schemas.microsoft.com/office/infopath/2007/PartnerControls"/>
    <ds:schemaRef ds:uri="http://purl.org/dc/terms/"/>
    <ds:schemaRef ds:uri="http://purl.org/dc/dcmitype/"/>
    <ds:schemaRef ds:uri="http://schemas.openxmlformats.org/package/2006/metadata/core-properties"/>
    <ds:schemaRef ds:uri="6174e623-3132-4682-8312-93ae023b49b3"/>
    <ds:schemaRef ds:uri="http://www.w3.org/XML/1998/namespace"/>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Template>
  <TotalTime>45</TotalTime>
  <Pages>2</Pages>
  <Words>690</Words>
  <Characters>4716</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10</cp:revision>
  <cp:lastPrinted>2023-06-14T13:22:00Z</cp:lastPrinted>
  <dcterms:created xsi:type="dcterms:W3CDTF">2025-07-07T07:09:00Z</dcterms:created>
  <dcterms:modified xsi:type="dcterms:W3CDTF">2025-07-28T07:37:00Z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