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4795" w14:textId="25E393D5" w:rsidR="000A6F5E" w:rsidRPr="000A6F5E" w:rsidRDefault="000A6F5E" w:rsidP="000A6F5E">
      <w:pPr>
        <w:tabs>
          <w:tab w:val="left" w:pos="1701"/>
        </w:tabs>
        <w:rPr>
          <w:szCs w:val="20"/>
          <w:lang w:eastAsia="sl-SI"/>
        </w:rPr>
      </w:pPr>
      <w:r w:rsidRPr="000A6F5E">
        <w:rPr>
          <w:noProof/>
          <w:szCs w:val="20"/>
          <w:lang w:eastAsia="sl-SI"/>
        </w:rPr>
        <mc:AlternateContent>
          <mc:Choice Requires="wps">
            <w:drawing>
              <wp:anchor distT="360045" distB="540385" distL="0" distR="0" simplePos="0" relativeHeight="251659264" behindDoc="0" locked="0" layoutInCell="1" allowOverlap="0" wp14:anchorId="6021EF52" wp14:editId="10E70B3D">
                <wp:simplePos x="0" y="0"/>
                <wp:positionH relativeFrom="margin">
                  <wp:align>left</wp:align>
                </wp:positionH>
                <wp:positionV relativeFrom="page">
                  <wp:posOffset>1621155</wp:posOffset>
                </wp:positionV>
                <wp:extent cx="2520315" cy="45085"/>
                <wp:effectExtent l="0" t="0" r="13335" b="12065"/>
                <wp:wrapTopAndBottom/>
                <wp:docPr id="4"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A3B78" w14:textId="77777777" w:rsidR="000A6F5E" w:rsidRDefault="000A6F5E" w:rsidP="000A6F5E"/>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1EF52" id="_x0000_t202" coordsize="21600,21600" o:spt="202" path="m,l,21600r21600,l21600,xe">
                <v:stroke joinstyle="miter"/>
                <v:path gradientshapeok="t" o:connecttype="rect"/>
              </v:shapetype>
              <v:shape id="Text Box 3" o:spid="_x0000_s1026" type="#_x0000_t202" alt="Prostor za vnos naslovnika&#10;" style="position:absolute;margin-left:0;margin-top:127.65pt;width:198.45pt;height:3.55pt;z-index:251659264;visibility:visible;mso-wrap-style:square;mso-width-percent:0;mso-height-percent:0;mso-wrap-distance-left:0;mso-wrap-distance-top:28.35pt;mso-wrap-distance-right:0;mso-wrap-distance-bottom:42.55pt;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" o:allowoverlap="f" filled="f" stroked="f">
                <v:textbox inset="0,0,0,0">
                  <w:txbxContent>
                    <w:p w14:paraId="3C8A3B78" w14:textId="77777777" w:rsidR="000A6F5E" w:rsidRDefault="000A6F5E" w:rsidP="000A6F5E"/>
                  </w:txbxContent>
                </v:textbox>
                <w10:wrap type="topAndBottom" anchorx="margin" anchory="page"/>
              </v:shape>
            </w:pict>
          </mc:Fallback>
        </mc:AlternateContent>
      </w:r>
      <w:r w:rsidRPr="000A6F5E">
        <w:rPr>
          <w:szCs w:val="20"/>
          <w:lang w:eastAsia="sl-SI"/>
        </w:rPr>
        <w:t xml:space="preserve">Številka: </w:t>
      </w:r>
      <w:r w:rsidRPr="000A6F5E">
        <w:rPr>
          <w:szCs w:val="20"/>
          <w:lang w:eastAsia="sl-SI"/>
        </w:rPr>
        <w:tab/>
        <w:t>35409-</w:t>
      </w:r>
      <w:r w:rsidR="004D070C">
        <w:rPr>
          <w:szCs w:val="20"/>
          <w:lang w:eastAsia="sl-SI"/>
        </w:rPr>
        <w:t>113</w:t>
      </w:r>
      <w:r w:rsidRPr="000A6F5E">
        <w:rPr>
          <w:szCs w:val="20"/>
          <w:lang w:eastAsia="sl-SI"/>
        </w:rPr>
        <w:t>/202</w:t>
      </w:r>
      <w:r w:rsidR="00567EAA">
        <w:rPr>
          <w:szCs w:val="20"/>
          <w:lang w:eastAsia="sl-SI"/>
        </w:rPr>
        <w:t>4</w:t>
      </w:r>
      <w:r w:rsidRPr="000A6F5E">
        <w:rPr>
          <w:szCs w:val="20"/>
          <w:lang w:eastAsia="sl-SI"/>
        </w:rPr>
        <w:t>-25</w:t>
      </w:r>
      <w:r w:rsidR="00567EAA">
        <w:rPr>
          <w:szCs w:val="20"/>
          <w:lang w:eastAsia="sl-SI"/>
        </w:rPr>
        <w:t>7</w:t>
      </w:r>
      <w:r w:rsidRPr="000A6F5E">
        <w:rPr>
          <w:szCs w:val="20"/>
          <w:lang w:eastAsia="sl-SI"/>
        </w:rPr>
        <w:t>0-</w:t>
      </w:r>
      <w:r w:rsidR="004D070C">
        <w:rPr>
          <w:szCs w:val="20"/>
          <w:lang w:eastAsia="sl-SI"/>
        </w:rPr>
        <w:t>13</w:t>
      </w:r>
    </w:p>
    <w:p w14:paraId="247EE291" w14:textId="34580D85" w:rsidR="000A6F5E" w:rsidRPr="000A6F5E" w:rsidRDefault="000A6F5E" w:rsidP="000A6F5E">
      <w:pPr>
        <w:tabs>
          <w:tab w:val="left" w:pos="1701"/>
        </w:tabs>
        <w:rPr>
          <w:szCs w:val="20"/>
          <w:lang w:eastAsia="sl-SI"/>
        </w:rPr>
      </w:pPr>
      <w:r w:rsidRPr="000A6F5E">
        <w:rPr>
          <w:szCs w:val="20"/>
          <w:lang w:eastAsia="sl-SI"/>
        </w:rPr>
        <w:t xml:space="preserve">Datum: </w:t>
      </w:r>
      <w:r w:rsidRPr="000A6F5E">
        <w:rPr>
          <w:szCs w:val="20"/>
          <w:lang w:eastAsia="sl-SI"/>
        </w:rPr>
        <w:tab/>
      </w:r>
      <w:r w:rsidR="00FC0F72">
        <w:rPr>
          <w:szCs w:val="20"/>
          <w:lang w:eastAsia="sl-SI"/>
        </w:rPr>
        <w:t>2</w:t>
      </w:r>
      <w:r w:rsidR="005F281B">
        <w:rPr>
          <w:szCs w:val="20"/>
          <w:lang w:eastAsia="sl-SI"/>
        </w:rPr>
        <w:t>4</w:t>
      </w:r>
      <w:r w:rsidRPr="000A6F5E">
        <w:rPr>
          <w:szCs w:val="20"/>
          <w:lang w:eastAsia="sl-SI"/>
        </w:rPr>
        <w:t xml:space="preserve">. </w:t>
      </w:r>
      <w:r w:rsidR="00567EAA">
        <w:rPr>
          <w:szCs w:val="20"/>
          <w:lang w:eastAsia="sl-SI"/>
        </w:rPr>
        <w:t>9</w:t>
      </w:r>
      <w:r w:rsidRPr="000A6F5E">
        <w:rPr>
          <w:szCs w:val="20"/>
          <w:lang w:eastAsia="sl-SI"/>
        </w:rPr>
        <w:t>. 202</w:t>
      </w:r>
      <w:r w:rsidR="00567EAA">
        <w:rPr>
          <w:szCs w:val="20"/>
          <w:lang w:eastAsia="sl-SI"/>
        </w:rPr>
        <w:t>4</w:t>
      </w:r>
      <w:r w:rsidRPr="000A6F5E">
        <w:rPr>
          <w:szCs w:val="20"/>
          <w:lang w:eastAsia="sl-SI"/>
        </w:rPr>
        <w:t xml:space="preserve"> </w:t>
      </w:r>
    </w:p>
    <w:p w14:paraId="32C69A6F" w14:textId="77777777" w:rsidR="000A6F5E" w:rsidRPr="000A6F5E" w:rsidRDefault="000A6F5E" w:rsidP="000A6F5E"/>
    <w:p w14:paraId="1F4DCDD7" w14:textId="42A4350C" w:rsidR="000A6F5E" w:rsidRPr="007E3C39" w:rsidRDefault="000A6F5E" w:rsidP="000A6F5E">
      <w:pPr>
        <w:jc w:val="both"/>
        <w:rPr>
          <w:bCs/>
        </w:rPr>
      </w:pPr>
      <w:r w:rsidRPr="000A6F5E">
        <w:rPr>
          <w:bCs/>
        </w:rPr>
        <w:t xml:space="preserve">Ministrstvo za </w:t>
      </w:r>
      <w:r w:rsidR="00512167">
        <w:rPr>
          <w:bCs/>
        </w:rPr>
        <w:t>okolje, podnebje in energijo</w:t>
      </w:r>
      <w:r w:rsidRPr="000A6F5E">
        <w:rPr>
          <w:bCs/>
        </w:rPr>
        <w:t xml:space="preserve"> izdaja na podlagi 77. člena Zakona o varstvu okolja (</w:t>
      </w:r>
      <w:r w:rsidR="00567EAA" w:rsidRPr="00567EAA">
        <w:rPr>
          <w:color w:val="000000" w:themeColor="text1"/>
        </w:rPr>
        <w:t xml:space="preserve">Uradni list RS, št. </w:t>
      </w:r>
      <w:hyperlink r:id="rId10" w:tgtFrame="_blank" w:tooltip="Zakon o varstvu okolja (ZVO-2)" w:history="1">
        <w:r w:rsidR="00567EAA" w:rsidRPr="00750E7E">
          <w:rPr>
            <w:color w:val="000000" w:themeColor="text1"/>
          </w:rPr>
          <w:t>44/22</w:t>
        </w:r>
      </w:hyperlink>
      <w:r w:rsidR="00567EAA" w:rsidRPr="00750E7E">
        <w:rPr>
          <w:color w:val="000000" w:themeColor="text1"/>
        </w:rPr>
        <w:t xml:space="preserve">, </w:t>
      </w:r>
      <w:hyperlink r:id="rId11" w:tgtFrame="_blank" w:tooltip="Zakon o spremembah in dopolnitvah Zakona o državni upravi (ZDU-1O)" w:history="1">
        <w:r w:rsidR="00567EAA" w:rsidRPr="00750E7E">
          <w:rPr>
            <w:color w:val="000000" w:themeColor="text1"/>
          </w:rPr>
          <w:t>18/23</w:t>
        </w:r>
      </w:hyperlink>
      <w:r w:rsidR="00567EAA" w:rsidRPr="00750E7E">
        <w:rPr>
          <w:color w:val="000000" w:themeColor="text1"/>
        </w:rPr>
        <w:t xml:space="preserve"> – ZDU-1O, </w:t>
      </w:r>
      <w:hyperlink r:id="rId12" w:tgtFrame="_blank" w:tooltip="Zakon o uvajanju naprav za proizvodnjo električne energije iz obnovljivih virov energije (ZUNPEOVE)" w:history="1">
        <w:r w:rsidR="00567EAA" w:rsidRPr="00750E7E">
          <w:rPr>
            <w:color w:val="000000" w:themeColor="text1"/>
          </w:rPr>
          <w:t>78/23</w:t>
        </w:r>
      </w:hyperlink>
      <w:r w:rsidR="00567EAA" w:rsidRPr="00750E7E">
        <w:rPr>
          <w:color w:val="000000" w:themeColor="text1"/>
        </w:rPr>
        <w:t xml:space="preserve"> – ZUNPEOVE in </w:t>
      </w:r>
      <w:hyperlink r:id="rId13" w:tgtFrame="_blank" w:tooltip="Zakon o spremembah in dopolnitvah Zakona o varstvu okolja (ZVO-2A)" w:history="1">
        <w:r w:rsidR="00567EAA" w:rsidRPr="00750E7E">
          <w:rPr>
            <w:color w:val="000000" w:themeColor="text1"/>
          </w:rPr>
          <w:t>23/24</w:t>
        </w:r>
      </w:hyperlink>
      <w:r w:rsidRPr="00567EAA">
        <w:rPr>
          <w:color w:val="000000" w:themeColor="text1"/>
        </w:rPr>
        <w:t>)</w:t>
      </w:r>
      <w:r w:rsidRPr="000A6F5E">
        <w:rPr>
          <w:bCs/>
        </w:rPr>
        <w:t xml:space="preserve">, v upravni zadevi določitve </w:t>
      </w:r>
      <w:r w:rsidR="00750E7E">
        <w:rPr>
          <w:bCs/>
        </w:rPr>
        <w:t>načrtov</w:t>
      </w:r>
      <w:r w:rsidRPr="000A6F5E">
        <w:rPr>
          <w:bCs/>
        </w:rPr>
        <w:t xml:space="preserve">, za katere je treba izvesti postopek celovite presoje njihovih vplivov na okolje, za </w:t>
      </w:r>
      <w:r w:rsidR="00750E7E">
        <w:rPr>
          <w:bCs/>
        </w:rPr>
        <w:t xml:space="preserve">Načrt za izvajanje SPRS do leta </w:t>
      </w:r>
      <w:r w:rsidR="000D2BDC">
        <w:rPr>
          <w:bCs/>
        </w:rPr>
        <w:t>2034</w:t>
      </w:r>
      <w:r w:rsidRPr="000A6F5E">
        <w:rPr>
          <w:szCs w:val="20"/>
        </w:rPr>
        <w:t>,</w:t>
      </w:r>
      <w:r w:rsidRPr="000A6F5E">
        <w:rPr>
          <w:bCs/>
        </w:rPr>
        <w:t xml:space="preserve"> pripravljavcu </w:t>
      </w:r>
      <w:r w:rsidR="000D2BDC">
        <w:rPr>
          <w:bCs/>
        </w:rPr>
        <w:t>načrta Ministrstvu za naravne vire in prostor, Dunajska cesta 48, 1000 Ljubljana,</w:t>
      </w:r>
      <w:r w:rsidRPr="000A6F5E">
        <w:rPr>
          <w:bCs/>
          <w:szCs w:val="20"/>
        </w:rPr>
        <w:t xml:space="preserve"> </w:t>
      </w:r>
      <w:r w:rsidRPr="000A6F5E">
        <w:rPr>
          <w:bCs/>
        </w:rPr>
        <w:t>naslednjo</w:t>
      </w:r>
    </w:p>
    <w:p w14:paraId="06DE6D94" w14:textId="77777777" w:rsidR="000A6F5E" w:rsidRPr="000A6F5E" w:rsidRDefault="000A6F5E" w:rsidP="000A6F5E">
      <w:pPr>
        <w:keepNext/>
        <w:spacing w:before="240" w:after="60"/>
        <w:jc w:val="center"/>
        <w:outlineLvl w:val="0"/>
        <w:rPr>
          <w:bCs/>
          <w:spacing w:val="30"/>
          <w:kern w:val="32"/>
          <w:sz w:val="22"/>
          <w:szCs w:val="22"/>
          <w:lang w:eastAsia="sl-SI"/>
        </w:rPr>
      </w:pPr>
      <w:r w:rsidRPr="000A6F5E">
        <w:rPr>
          <w:bCs/>
          <w:spacing w:val="30"/>
          <w:kern w:val="32"/>
          <w:sz w:val="22"/>
          <w:szCs w:val="22"/>
          <w:lang w:eastAsia="sl-SI"/>
        </w:rPr>
        <w:t>ODLOČBO</w:t>
      </w:r>
    </w:p>
    <w:p w14:paraId="1E1E6A49" w14:textId="77777777" w:rsidR="000A6F5E" w:rsidRPr="0067088F" w:rsidRDefault="000A6F5E" w:rsidP="000A6F5E">
      <w:pPr>
        <w:jc w:val="both"/>
      </w:pPr>
    </w:p>
    <w:p w14:paraId="0FE029BF" w14:textId="12243D85" w:rsidR="000A6F5E" w:rsidRPr="0067088F" w:rsidRDefault="000A6F5E" w:rsidP="000A6F5E">
      <w:pPr>
        <w:numPr>
          <w:ilvl w:val="0"/>
          <w:numId w:val="6"/>
        </w:numPr>
        <w:spacing w:line="260" w:lineRule="exact"/>
        <w:jc w:val="both"/>
      </w:pPr>
      <w:r w:rsidRPr="0067088F">
        <w:t xml:space="preserve">V postopku priprave </w:t>
      </w:r>
      <w:r w:rsidR="00543963">
        <w:t>Načrta za izvajanje SPRS do leta 2034</w:t>
      </w:r>
      <w:r w:rsidR="007972FE" w:rsidRPr="0067088F">
        <w:rPr>
          <w:bCs/>
        </w:rPr>
        <w:t>,</w:t>
      </w:r>
      <w:r w:rsidRPr="0067088F">
        <w:rPr>
          <w:bCs/>
        </w:rPr>
        <w:t xml:space="preserve"> </w:t>
      </w:r>
      <w:r w:rsidR="007133D5">
        <w:rPr>
          <w:bCs/>
        </w:rPr>
        <w:t>ni</w:t>
      </w:r>
      <w:r w:rsidRPr="0067088F">
        <w:t xml:space="preserve"> </w:t>
      </w:r>
      <w:r w:rsidRPr="0067088F">
        <w:rPr>
          <w:bCs/>
        </w:rPr>
        <w:t>treba izvesti</w:t>
      </w:r>
      <w:r w:rsidRPr="0067088F">
        <w:t xml:space="preserve"> celovit</w:t>
      </w:r>
      <w:r w:rsidR="007133D5">
        <w:t>e</w:t>
      </w:r>
      <w:r w:rsidRPr="0067088F">
        <w:t xml:space="preserve"> presoj</w:t>
      </w:r>
      <w:r w:rsidR="007133D5">
        <w:t>e</w:t>
      </w:r>
      <w:r w:rsidRPr="0067088F">
        <w:t xml:space="preserve"> vplivov na okolje. </w:t>
      </w:r>
    </w:p>
    <w:p w14:paraId="25AE32D8" w14:textId="16094E05" w:rsidR="000A6F5E" w:rsidRPr="000A6F5E" w:rsidRDefault="000A6F5E" w:rsidP="000A6F5E">
      <w:pPr>
        <w:numPr>
          <w:ilvl w:val="0"/>
          <w:numId w:val="6"/>
        </w:numPr>
        <w:spacing w:line="260" w:lineRule="exact"/>
        <w:jc w:val="both"/>
      </w:pPr>
      <w:r w:rsidRPr="0067088F">
        <w:t xml:space="preserve">V postopku priprave </w:t>
      </w:r>
      <w:r w:rsidR="00543963">
        <w:t>Načrta za izvajanje SPRS do leta 2034,</w:t>
      </w:r>
      <w:r w:rsidRPr="000A6F5E">
        <w:rPr>
          <w:bCs/>
        </w:rPr>
        <w:t xml:space="preserve"> </w:t>
      </w:r>
      <w:r w:rsidR="002A5D6D">
        <w:rPr>
          <w:bCs/>
        </w:rPr>
        <w:t>ni</w:t>
      </w:r>
      <w:r w:rsidRPr="000A6F5E">
        <w:rPr>
          <w:bCs/>
        </w:rPr>
        <w:t xml:space="preserve"> treba </w:t>
      </w:r>
      <w:r w:rsidRPr="000A6F5E">
        <w:t>izvesti presoj</w:t>
      </w:r>
      <w:r w:rsidR="00E955AF">
        <w:t>e</w:t>
      </w:r>
      <w:r w:rsidRPr="000A6F5E">
        <w:t xml:space="preserve"> sprejemljivosti vplivov izvedbe plana v naravo na varovana območja.</w:t>
      </w:r>
    </w:p>
    <w:p w14:paraId="2D51DBB8" w14:textId="6C4BEA1F" w:rsidR="000A6F5E" w:rsidRPr="007E3C39" w:rsidRDefault="000A6F5E" w:rsidP="000A6F5E">
      <w:pPr>
        <w:numPr>
          <w:ilvl w:val="0"/>
          <w:numId w:val="6"/>
        </w:numPr>
        <w:spacing w:line="260" w:lineRule="exact"/>
        <w:jc w:val="both"/>
      </w:pPr>
      <w:r w:rsidRPr="000A6F5E">
        <w:t>V tem postopku ni bilo stroškov.</w:t>
      </w:r>
    </w:p>
    <w:p w14:paraId="3866FD55" w14:textId="77777777" w:rsidR="000A6F5E" w:rsidRPr="000A6F5E" w:rsidRDefault="000A6F5E" w:rsidP="000A6F5E">
      <w:pPr>
        <w:keepNext/>
        <w:spacing w:before="240" w:after="60"/>
        <w:jc w:val="center"/>
        <w:outlineLvl w:val="0"/>
        <w:rPr>
          <w:bCs/>
          <w:spacing w:val="30"/>
          <w:kern w:val="32"/>
          <w:sz w:val="22"/>
          <w:szCs w:val="22"/>
          <w:lang w:eastAsia="sl-SI"/>
        </w:rPr>
      </w:pPr>
      <w:r w:rsidRPr="000A6F5E">
        <w:rPr>
          <w:bCs/>
          <w:spacing w:val="30"/>
          <w:kern w:val="32"/>
          <w:sz w:val="22"/>
          <w:szCs w:val="22"/>
          <w:lang w:eastAsia="sl-SI"/>
        </w:rPr>
        <w:t>Obrazložitev</w:t>
      </w:r>
    </w:p>
    <w:p w14:paraId="62117766" w14:textId="77777777" w:rsidR="000A6F5E" w:rsidRPr="000A6F5E" w:rsidRDefault="000A6F5E" w:rsidP="000A6F5E">
      <w:pPr>
        <w:jc w:val="both"/>
      </w:pPr>
    </w:p>
    <w:p w14:paraId="531E75DF" w14:textId="539E10DA" w:rsidR="000A6F5E" w:rsidRPr="000A6F5E" w:rsidRDefault="00F243F7" w:rsidP="000A6F5E">
      <w:pPr>
        <w:jc w:val="both"/>
      </w:pPr>
      <w:r>
        <w:rPr>
          <w:color w:val="000000" w:themeColor="text1"/>
        </w:rPr>
        <w:t>Stranka Ministrstvo za naravne vire in prostor, Dunajska cesta 48, 1000 Ljubljana, ki jo zastopa minister Jože Novak, je kot pripravljavec Načrta za izvajanje SPRS do leta 2034,</w:t>
      </w:r>
      <w:r w:rsidR="000A6F5E" w:rsidRPr="00E955AF">
        <w:rPr>
          <w:bCs/>
          <w:color w:val="000000" w:themeColor="text1"/>
          <w:szCs w:val="20"/>
        </w:rPr>
        <w:t xml:space="preserve"> na</w:t>
      </w:r>
      <w:r w:rsidR="00E955AF">
        <w:rPr>
          <w:bCs/>
          <w:color w:val="000000" w:themeColor="text1"/>
          <w:szCs w:val="20"/>
        </w:rPr>
        <w:t xml:space="preserve"> </w:t>
      </w:r>
      <w:r w:rsidR="009F57C4" w:rsidRPr="00E955AF">
        <w:rPr>
          <w:color w:val="000000" w:themeColor="text1"/>
        </w:rPr>
        <w:t>Ministrstvo za okolje, podnebje in energijo</w:t>
      </w:r>
      <w:r w:rsidR="00E955AF">
        <w:rPr>
          <w:color w:val="000000" w:themeColor="text1"/>
        </w:rPr>
        <w:t xml:space="preserve"> (</w:t>
      </w:r>
      <w:r w:rsidR="009F57C4" w:rsidRPr="00E955AF">
        <w:rPr>
          <w:color w:val="000000" w:themeColor="text1"/>
        </w:rPr>
        <w:t>v nadaljevanju ministrstvo</w:t>
      </w:r>
      <w:r w:rsidR="000A6F5E" w:rsidRPr="00E955AF">
        <w:rPr>
          <w:color w:val="000000" w:themeColor="text1"/>
        </w:rPr>
        <w:t>)</w:t>
      </w:r>
      <w:r w:rsidR="005A5E2B" w:rsidRPr="00E955AF">
        <w:rPr>
          <w:color w:val="000000" w:themeColor="text1"/>
        </w:rPr>
        <w:t xml:space="preserve"> </w:t>
      </w:r>
      <w:r w:rsidR="000A6F5E" w:rsidRPr="00E955AF">
        <w:rPr>
          <w:color w:val="000000" w:themeColor="text1"/>
        </w:rPr>
        <w:t>podal</w:t>
      </w:r>
      <w:r>
        <w:rPr>
          <w:color w:val="000000" w:themeColor="text1"/>
        </w:rPr>
        <w:t>a</w:t>
      </w:r>
      <w:r w:rsidR="000A6F5E" w:rsidRPr="00E955AF">
        <w:rPr>
          <w:color w:val="000000" w:themeColor="text1"/>
        </w:rPr>
        <w:t xml:space="preserve"> vlogo</w:t>
      </w:r>
      <w:r>
        <w:rPr>
          <w:color w:val="000000" w:themeColor="text1"/>
        </w:rPr>
        <w:t xml:space="preserve"> št. 4301-68/2023-2560/141</w:t>
      </w:r>
      <w:r w:rsidR="000A6F5E" w:rsidRPr="00E955AF">
        <w:rPr>
          <w:color w:val="000000" w:themeColor="text1"/>
          <w:szCs w:val="22"/>
        </w:rPr>
        <w:t xml:space="preserve">, </w:t>
      </w:r>
      <w:r w:rsidR="000A6F5E" w:rsidRPr="00E955AF">
        <w:rPr>
          <w:color w:val="000000" w:themeColor="text1"/>
          <w:szCs w:val="22"/>
          <w:lang w:eastAsia="sl-SI"/>
        </w:rPr>
        <w:t xml:space="preserve">z dne </w:t>
      </w:r>
      <w:r>
        <w:rPr>
          <w:color w:val="000000" w:themeColor="text1"/>
          <w:szCs w:val="22"/>
          <w:lang w:eastAsia="sl-SI"/>
        </w:rPr>
        <w:t>3</w:t>
      </w:r>
      <w:r w:rsidR="000A6F5E" w:rsidRPr="00E955AF">
        <w:rPr>
          <w:color w:val="000000" w:themeColor="text1"/>
          <w:szCs w:val="22"/>
          <w:lang w:eastAsia="sl-SI"/>
        </w:rPr>
        <w:t xml:space="preserve">. </w:t>
      </w:r>
      <w:r>
        <w:rPr>
          <w:color w:val="000000" w:themeColor="text1"/>
          <w:szCs w:val="22"/>
          <w:lang w:eastAsia="sl-SI"/>
        </w:rPr>
        <w:t>7</w:t>
      </w:r>
      <w:r w:rsidR="000A6F5E" w:rsidRPr="00E955AF">
        <w:rPr>
          <w:color w:val="000000" w:themeColor="text1"/>
          <w:szCs w:val="22"/>
          <w:lang w:eastAsia="sl-SI"/>
        </w:rPr>
        <w:t>. 202</w:t>
      </w:r>
      <w:r w:rsidR="00E955AF">
        <w:rPr>
          <w:color w:val="000000" w:themeColor="text1"/>
          <w:szCs w:val="22"/>
          <w:lang w:eastAsia="sl-SI"/>
        </w:rPr>
        <w:t>4</w:t>
      </w:r>
      <w:r w:rsidR="000A6F5E" w:rsidRPr="00E955AF">
        <w:rPr>
          <w:color w:val="000000" w:themeColor="text1"/>
          <w:szCs w:val="22"/>
          <w:lang w:eastAsia="sl-SI"/>
        </w:rPr>
        <w:t xml:space="preserve">, </w:t>
      </w:r>
      <w:r w:rsidR="000A6F5E" w:rsidRPr="00E955AF">
        <w:rPr>
          <w:color w:val="000000" w:themeColor="text1"/>
          <w:szCs w:val="22"/>
        </w:rPr>
        <w:t xml:space="preserve">za izdajo </w:t>
      </w:r>
      <w:r w:rsidR="005A5E2B" w:rsidRPr="00E955AF">
        <w:rPr>
          <w:color w:val="000000" w:themeColor="text1"/>
          <w:szCs w:val="22"/>
        </w:rPr>
        <w:t>odločbe</w:t>
      </w:r>
      <w:r w:rsidR="000A6F5E" w:rsidRPr="00E955AF">
        <w:rPr>
          <w:color w:val="000000" w:themeColor="text1"/>
          <w:szCs w:val="22"/>
        </w:rPr>
        <w:t xml:space="preserve"> o obveznosti izvedbe celovite presoje vplivov na okolje za </w:t>
      </w:r>
      <w:r w:rsidR="00423961">
        <w:rPr>
          <w:color w:val="000000" w:themeColor="text1"/>
          <w:szCs w:val="22"/>
        </w:rPr>
        <w:t>Načrt za izvajanje SPRS do leta 2034</w:t>
      </w:r>
      <w:r w:rsidR="000A6F5E" w:rsidRPr="000A6F5E">
        <w:t xml:space="preserve">. </w:t>
      </w:r>
    </w:p>
    <w:p w14:paraId="529CC27A" w14:textId="77777777" w:rsidR="000A6F5E" w:rsidRPr="000A6F5E" w:rsidRDefault="000A6F5E" w:rsidP="000A6F5E">
      <w:pPr>
        <w:jc w:val="both"/>
        <w:rPr>
          <w:highlight w:val="yellow"/>
        </w:rPr>
      </w:pPr>
    </w:p>
    <w:p w14:paraId="62DDB3AF" w14:textId="4900074F" w:rsidR="000A6F5E" w:rsidRPr="000A6F5E" w:rsidRDefault="00E955AF" w:rsidP="000A6F5E">
      <w:pPr>
        <w:jc w:val="both"/>
        <w:rPr>
          <w:szCs w:val="22"/>
        </w:rPr>
      </w:pPr>
      <w:r>
        <w:rPr>
          <w:szCs w:val="22"/>
        </w:rPr>
        <w:t>Vlogi je bilo priloženo in tekom postopka pridobljeno</w:t>
      </w:r>
      <w:r w:rsidR="000A6F5E" w:rsidRPr="000A6F5E">
        <w:rPr>
          <w:szCs w:val="22"/>
        </w:rPr>
        <w:t xml:space="preserve"> naslednje gradivo:</w:t>
      </w:r>
    </w:p>
    <w:p w14:paraId="1E13759D" w14:textId="01C017F2" w:rsidR="00DD5BF1" w:rsidRDefault="000A6F5E" w:rsidP="00423961">
      <w:pPr>
        <w:jc w:val="both"/>
        <w:rPr>
          <w:szCs w:val="22"/>
        </w:rPr>
      </w:pPr>
      <w:r w:rsidRPr="000A6F5E">
        <w:rPr>
          <w:szCs w:val="22"/>
        </w:rPr>
        <w:t xml:space="preserve">- </w:t>
      </w:r>
      <w:r w:rsidR="00EF7777">
        <w:rPr>
          <w:szCs w:val="22"/>
        </w:rPr>
        <w:tab/>
      </w:r>
      <w:r w:rsidR="001E4310">
        <w:rPr>
          <w:szCs w:val="22"/>
        </w:rPr>
        <w:t>Vloga</w:t>
      </w:r>
      <w:r w:rsidR="00EF7777">
        <w:rPr>
          <w:szCs w:val="22"/>
        </w:rPr>
        <w:t xml:space="preserve"> </w:t>
      </w:r>
      <w:r w:rsidR="00423961">
        <w:rPr>
          <w:szCs w:val="22"/>
        </w:rPr>
        <w:t>MNVP št. 4301-68/2023-2560/141, 3. 7. 2024,</w:t>
      </w:r>
    </w:p>
    <w:p w14:paraId="1AB2D420" w14:textId="5C2CC7DD" w:rsidR="00423961" w:rsidRDefault="00423961" w:rsidP="005A1161">
      <w:pPr>
        <w:ind w:left="720" w:hanging="720"/>
        <w:jc w:val="both"/>
        <w:rPr>
          <w:szCs w:val="22"/>
        </w:rPr>
      </w:pPr>
      <w:r>
        <w:rPr>
          <w:szCs w:val="22"/>
        </w:rPr>
        <w:t xml:space="preserve">- </w:t>
      </w:r>
      <w:r>
        <w:rPr>
          <w:szCs w:val="22"/>
        </w:rPr>
        <w:tab/>
        <w:t>Predlog Načrta za izvajanje SPRS do leta 2034, št. projekta 380, 20. 5. 2024, Zavita , svetovanje d. o. o.,</w:t>
      </w:r>
    </w:p>
    <w:p w14:paraId="391D20F5" w14:textId="65480296" w:rsidR="00423961" w:rsidRDefault="00423961" w:rsidP="00423961">
      <w:pPr>
        <w:jc w:val="both"/>
        <w:rPr>
          <w:szCs w:val="22"/>
        </w:rPr>
      </w:pPr>
      <w:r>
        <w:rPr>
          <w:szCs w:val="22"/>
        </w:rPr>
        <w:t xml:space="preserve">- </w:t>
      </w:r>
      <w:r>
        <w:rPr>
          <w:szCs w:val="22"/>
        </w:rPr>
        <w:tab/>
        <w:t>Mnenje MKGP št. 350-4/2015/99, 23. 7. 2024,</w:t>
      </w:r>
    </w:p>
    <w:p w14:paraId="660B1AC7" w14:textId="00834339" w:rsidR="00423961" w:rsidRDefault="00423961" w:rsidP="00423961">
      <w:pPr>
        <w:jc w:val="both"/>
        <w:rPr>
          <w:szCs w:val="22"/>
        </w:rPr>
      </w:pPr>
      <w:r>
        <w:rPr>
          <w:szCs w:val="22"/>
        </w:rPr>
        <w:t xml:space="preserve">- </w:t>
      </w:r>
      <w:r>
        <w:rPr>
          <w:szCs w:val="22"/>
        </w:rPr>
        <w:tab/>
        <w:t>Mnenje DRSV št. 35025-23/2024-2, 12. 8. 2024,</w:t>
      </w:r>
    </w:p>
    <w:p w14:paraId="6682F25D" w14:textId="1B856817" w:rsidR="00423961" w:rsidRDefault="00423961" w:rsidP="00423961">
      <w:pPr>
        <w:jc w:val="both"/>
        <w:rPr>
          <w:szCs w:val="22"/>
        </w:rPr>
      </w:pPr>
      <w:r>
        <w:rPr>
          <w:szCs w:val="22"/>
        </w:rPr>
        <w:t xml:space="preserve">- </w:t>
      </w:r>
      <w:r>
        <w:rPr>
          <w:szCs w:val="22"/>
        </w:rPr>
        <w:tab/>
        <w:t>Dopis Izjasnitev o dejstvih in okoliščinah MNVP št. 4301-68/2023-2560/150, 3. 9. 2024,</w:t>
      </w:r>
    </w:p>
    <w:p w14:paraId="0B618444" w14:textId="5D70812D" w:rsidR="00423961" w:rsidRDefault="00423961" w:rsidP="00423961">
      <w:pPr>
        <w:jc w:val="both"/>
        <w:rPr>
          <w:szCs w:val="22"/>
        </w:rPr>
      </w:pPr>
      <w:r>
        <w:rPr>
          <w:szCs w:val="22"/>
        </w:rPr>
        <w:t>-</w:t>
      </w:r>
      <w:r>
        <w:rPr>
          <w:szCs w:val="22"/>
        </w:rPr>
        <w:tab/>
        <w:t>Mnenje MKGP št. 354-11/2024/4, 30. 8. 2024,</w:t>
      </w:r>
    </w:p>
    <w:p w14:paraId="0537C568" w14:textId="2B6D87B9" w:rsidR="00423961" w:rsidRDefault="00423961" w:rsidP="00423961">
      <w:pPr>
        <w:ind w:left="720" w:hanging="720"/>
        <w:jc w:val="both"/>
        <w:rPr>
          <w:szCs w:val="22"/>
        </w:rPr>
      </w:pPr>
      <w:r>
        <w:rPr>
          <w:szCs w:val="22"/>
        </w:rPr>
        <w:t xml:space="preserve">- </w:t>
      </w:r>
      <w:r>
        <w:rPr>
          <w:szCs w:val="22"/>
        </w:rPr>
        <w:tab/>
        <w:t>Mnenje MZ št. 350-28/2024-12, 19. 9. 2024 in mnenje NIJZ št. 350-19/2024-4 (256), 19. 9. 2024,</w:t>
      </w:r>
    </w:p>
    <w:p w14:paraId="160F1E2C" w14:textId="25DAFAFD" w:rsidR="00423961" w:rsidRDefault="00423961" w:rsidP="00423961">
      <w:pPr>
        <w:ind w:left="720" w:hanging="720"/>
        <w:jc w:val="both"/>
        <w:rPr>
          <w:color w:val="000000" w:themeColor="text1"/>
          <w:szCs w:val="22"/>
        </w:rPr>
      </w:pPr>
      <w:r>
        <w:rPr>
          <w:szCs w:val="22"/>
        </w:rPr>
        <w:t xml:space="preserve">- </w:t>
      </w:r>
      <w:r>
        <w:rPr>
          <w:szCs w:val="22"/>
        </w:rPr>
        <w:tab/>
      </w:r>
      <w:r w:rsidR="005A1161">
        <w:rPr>
          <w:szCs w:val="22"/>
        </w:rPr>
        <w:t>Predlog Načrta za izvajanje SPRS do leta 2034, št. projekta 380, 2. 9. 2024, Zavita, svetovanje d. o. o..</w:t>
      </w:r>
    </w:p>
    <w:p w14:paraId="0830171E" w14:textId="77777777" w:rsidR="00AF00EA" w:rsidRPr="00AF00EA" w:rsidRDefault="00AF00EA" w:rsidP="00EF7777">
      <w:pPr>
        <w:ind w:left="720" w:hanging="720"/>
        <w:jc w:val="both"/>
        <w:rPr>
          <w:color w:val="000000" w:themeColor="text1"/>
          <w:szCs w:val="22"/>
        </w:rPr>
      </w:pPr>
    </w:p>
    <w:p w14:paraId="4CFA1AC6" w14:textId="69D7E1BA" w:rsidR="000A6F5E" w:rsidRPr="000A6F5E" w:rsidRDefault="000A6F5E" w:rsidP="000A6F5E">
      <w:pPr>
        <w:jc w:val="both"/>
        <w:rPr>
          <w:szCs w:val="22"/>
        </w:rPr>
      </w:pPr>
      <w:r w:rsidRPr="00CA34CD">
        <w:rPr>
          <w:szCs w:val="22"/>
        </w:rPr>
        <w:t>Po 77. členu Zakona o varstvu okolja (v nadaljevanju ZVO-2) je treba v postopku priprave plana, programa, načrta ali drugega splošnega akta (v nadaljnjem besedilu: plan), katerega izvedba lahko pomembno vpliva na okolje, izvesti celovito presojo vplivov na okolje, s katero se ugotovijo in ocenijo vplivi na okolje in vključenost zahtev varstva okolja, ohranjanja narave</w:t>
      </w:r>
      <w:r w:rsidR="00155643">
        <w:rPr>
          <w:szCs w:val="22"/>
        </w:rPr>
        <w:t>,</w:t>
      </w:r>
      <w:r w:rsidRPr="00CA34CD">
        <w:rPr>
          <w:szCs w:val="22"/>
        </w:rPr>
        <w:t xml:space="preserve"> varstva človekovega zdravja in kulturne dediščine v plan ter pridobiti potrdilo ministrstva o sprejemljivosti njegove izvedbe na okolje. ZVO-2 v drugem odstavku 77. člena določa, da se za plan izvede celovita presoja vplivov na okolje, če se s planom določa ali načrtuje poseg v okolje, za katerega </w:t>
      </w:r>
      <w:r w:rsidRPr="00CA34CD">
        <w:rPr>
          <w:szCs w:val="22"/>
        </w:rPr>
        <w:lastRenderedPageBreak/>
        <w:t>je treba izvesti presojo vplivov na okolje skladno z določbami 89. člena ZVO-2, ali če je zanj zahtevana presoja sprejemljivosti po predpisih o ohranjanju narave. Na podlagi tretjega odstavka 77. člena ZVO-2 se celovita presoja vplivov na okolje izvede tudi za plan</w:t>
      </w:r>
      <w:r w:rsidRPr="000A6F5E">
        <w:rPr>
          <w:szCs w:val="22"/>
        </w:rPr>
        <w:t>, če ministrstvo oceni, da bi lahko njegova izvedba pomembneje vplivala na okolje.</w:t>
      </w:r>
      <w:r w:rsidR="009F65EB">
        <w:rPr>
          <w:szCs w:val="22"/>
        </w:rPr>
        <w:t xml:space="preserve"> </w:t>
      </w:r>
    </w:p>
    <w:p w14:paraId="30495ECA" w14:textId="77777777" w:rsidR="000A6F5E" w:rsidRPr="000A6F5E" w:rsidRDefault="000A6F5E" w:rsidP="000A6F5E">
      <w:pPr>
        <w:jc w:val="both"/>
        <w:rPr>
          <w:szCs w:val="22"/>
        </w:rPr>
      </w:pPr>
    </w:p>
    <w:p w14:paraId="09C645D3" w14:textId="77777777" w:rsidR="000A6F5E" w:rsidRDefault="000A6F5E" w:rsidP="000A6F5E">
      <w:pPr>
        <w:jc w:val="both"/>
      </w:pPr>
      <w:r w:rsidRPr="000A6F5E">
        <w:rPr>
          <w:szCs w:val="22"/>
        </w:rPr>
        <w:t>Po določilu četrtega odstavka 89. člena ZVO-2 Vlada RS predpiše vrste posegov, za katere je treba izvesti presojo vplivov na okolje, na podlagi njihovih značilnosti, lokacije in možnih vplivov na okolje. Obveznost te presoje se ugotavlja po Uredbi o posegih v okolje, za katere je treba izvesti presojo vplivov na okolje (Uradni list RS, št. 51/14, 57/15, 26/17, 105/20 in 44/22; v nadaljnjem besedilu: Uredba o PVO).</w:t>
      </w:r>
      <w:r w:rsidRPr="000A6F5E">
        <w:t xml:space="preserve"> </w:t>
      </w:r>
    </w:p>
    <w:p w14:paraId="33EAB00B" w14:textId="77777777" w:rsidR="009B5014" w:rsidRDefault="009B5014" w:rsidP="000A6F5E">
      <w:pPr>
        <w:jc w:val="both"/>
      </w:pPr>
    </w:p>
    <w:p w14:paraId="6EC127ED" w14:textId="7922BDAE" w:rsidR="009B5014" w:rsidRPr="00073DFA" w:rsidRDefault="009B5014" w:rsidP="000A6F5E">
      <w:pPr>
        <w:jc w:val="both"/>
      </w:pPr>
      <w:r>
        <w:t xml:space="preserve">Ministrstvo, pristojno za okolje, mora v skladu s predpisi, ki urejajo postopek celovite presoje vplivov na okolje, za vsak plan oceniti ali je verjetno, da bo plan pomembneje vplival na okolje, pri čemer mora upoštevati značilnost vplivov in območij, ki bodo verjetno prizadeta, ter pomen in ranljivost območij. Glede na določila Uredbe o merilih za ocenjevanje verjetnosti pomembnejših vplivov izvedbe plana, programa, načrta ali drugega splošnega akta in njegovih sprememb na okolje v postopku celovite presoje vplivov na okolje </w:t>
      </w:r>
      <w:r w:rsidRPr="009B5014">
        <w:t xml:space="preserve">(Uradni list RS, št. </w:t>
      </w:r>
      <w:r w:rsidRPr="004D070C">
        <w:t xml:space="preserve">Uradni list RS, št. </w:t>
      </w:r>
      <w:hyperlink r:id="rId14" w:tgtFrame="_blank" w:tooltip="Uredba o merilih za ocenjevanje verjetnosti pomembnejših vplivov izvedbe plana, programa, načrta ali drugega splošnega akta in njegovih sprememb na okolje v postopku celovite presoje vplivov na okolje" w:history="1">
        <w:r w:rsidRPr="00073DFA">
          <w:t>9/09</w:t>
        </w:r>
      </w:hyperlink>
      <w:r w:rsidRPr="00073DFA">
        <w:t xml:space="preserve"> in </w:t>
      </w:r>
      <w:hyperlink r:id="rId15" w:tgtFrame="_blank" w:tooltip="Zakon o varstvu okolja (ZVO-2)" w:history="1">
        <w:r w:rsidRPr="00073DFA">
          <w:t>44/22</w:t>
        </w:r>
      </w:hyperlink>
      <w:r w:rsidRPr="00073DFA">
        <w:t xml:space="preserve"> – ZVO-2) mora ministrstvo v postopku ocenjevanja verjetnosti pomembnejših vplivov planov na </w:t>
      </w:r>
      <w:r w:rsidR="00073DFA" w:rsidRPr="00073DFA">
        <w:t>okolje</w:t>
      </w:r>
      <w:r w:rsidRPr="00073DFA">
        <w:t xml:space="preserve"> </w:t>
      </w:r>
      <w:r w:rsidR="00073DFA">
        <w:t xml:space="preserve">od ministrstev in organizacij iz predpisov, ki urejajo postopek celovite presoje vplivov na okolje, pridobiti mnenje o verjetnosti pomembnejših vplivov planov na okolje z vidika njihove pristojnosti. </w:t>
      </w:r>
    </w:p>
    <w:p w14:paraId="16716C59" w14:textId="77777777" w:rsidR="000A6F5E" w:rsidRPr="000A6F5E" w:rsidRDefault="000A6F5E" w:rsidP="000A6F5E">
      <w:pPr>
        <w:jc w:val="both"/>
      </w:pPr>
    </w:p>
    <w:p w14:paraId="417E9F56" w14:textId="747CC812" w:rsidR="000A6F5E" w:rsidRPr="00626357" w:rsidRDefault="000A6F5E" w:rsidP="000A6F5E">
      <w:pPr>
        <w:jc w:val="both"/>
      </w:pPr>
      <w:r w:rsidRPr="000A6F5E">
        <w:t>Ministrstvo je gradivo preučilo in ugotovilo, da</w:t>
      </w:r>
      <w:r w:rsidR="00073DFA">
        <w:t xml:space="preserve"> </w:t>
      </w:r>
      <w:r w:rsidR="004B5EF3">
        <w:t xml:space="preserve">je Načrt za izvajanje SPRS do leta 2034 (v nadaljevanju načrt) pripravljen na podlagi 73. člena Zakona o urejanju prostora (Ur. l. RS, 199/21 s spremembami). V načrtu se za desetletno obdobje opredelijo prednostne naloge in odgovorni organi za izvajanje SPRS. Načrt podaja poimenski seznam aktivnosti z odgovornimi nosilci (resorji) in predvideno časovnico za izvedbo posameznih aktivnosti do leta 2034. V načrtu ne gre za konkretne posege v prostor, niso opredeljene konkretne rešitve in ni opredeljenih območij. Določene aktivnosti načrta spadajo v kategorijo strokovnih podlag za pripravo regionalnih prostorskih planov, prostorskih analiz, pripravo metodoloških priročnikov, pripravo smernic, pravil za prostorsko načrtovanje itd. </w:t>
      </w:r>
      <w:r w:rsidR="000B58E3">
        <w:t xml:space="preserve">Ministrstvo je za Strategijo prostorskega razvoja Slovenije 2050 izvedbo postopek celovite presoje vplivov na okolje in v aprilu 2022 izdalo odločbo, da so vplivi izvedbe Strategije na okolje sprejemljivi. </w:t>
      </w:r>
    </w:p>
    <w:p w14:paraId="31B37C30" w14:textId="77777777" w:rsidR="000A6F5E" w:rsidRPr="000A6F5E" w:rsidRDefault="000A6F5E" w:rsidP="000A6F5E">
      <w:pPr>
        <w:jc w:val="both"/>
      </w:pPr>
    </w:p>
    <w:p w14:paraId="4DAFFE06" w14:textId="77777777" w:rsidR="000A6F5E" w:rsidRPr="000B58E3" w:rsidRDefault="000A6F5E" w:rsidP="000A6F5E">
      <w:pPr>
        <w:jc w:val="both"/>
      </w:pPr>
      <w:r w:rsidRPr="000B58E3">
        <w:t>Na podlagi 101. člena Zakona o ohranjanju narave (Uradni list RS, št. 96/04-ZON-UPB2, 61/06- ZDru-1, 8/10 ZSKZ-B, 46/14, 21/18-ZNOrg, 31/18, 82/20 in 3/22-ZDeb; v nadaljevanju ZON) se celovita presoja vplivov na okolje izvede za plane, ki bi lahko pomembno vplivali na zavarovano območje, posebno varstveno območje ali potencialno posebno ohranitveno območje sami po sebi ali v povezavi z drugimi plani.</w:t>
      </w:r>
    </w:p>
    <w:p w14:paraId="73B11C0B" w14:textId="77777777" w:rsidR="000A6F5E" w:rsidRDefault="000A6F5E" w:rsidP="000A6F5E">
      <w:pPr>
        <w:jc w:val="both"/>
      </w:pPr>
    </w:p>
    <w:p w14:paraId="0FE3AA31" w14:textId="24370D7D" w:rsidR="000B58E3" w:rsidRPr="000A6F5E" w:rsidRDefault="000B58E3" w:rsidP="000A6F5E">
      <w:pPr>
        <w:jc w:val="both"/>
      </w:pPr>
      <w:r>
        <w:t xml:space="preserve">Ministrstvo je dne 8. 7. 2024 z dopisom št. 35409-113/2024-2570-4 pozvalo ministrstva in organizacije, ki so varstveni resorji za posamezne dele okolja, da v 15 dnevnem roku podajo mnenje z njihovega delovnega področja ali je načrt tak, da bi lahko pomembneje vplival na okolje. Ministrstvo je pozvalo Ministrstvo za kmetijstvo, gozdarstvo in prehrano (z področja kmetijstva, gozdarstva, lovstva), Ministrstvo za zdravje, Zavod za ribištvo Slovenije, Direkcijo RS za vode, Ministrstvo za kulturo in Zavod RS za varstvo narave. </w:t>
      </w:r>
    </w:p>
    <w:p w14:paraId="5DC62A1D" w14:textId="164A7E91" w:rsidR="00455BEE" w:rsidRDefault="00455BEE" w:rsidP="000A6F5E">
      <w:pPr>
        <w:jc w:val="both"/>
      </w:pPr>
    </w:p>
    <w:p w14:paraId="42E646F5" w14:textId="4D3C8388" w:rsidR="00455BEE" w:rsidRPr="00113C97" w:rsidRDefault="00455BEE" w:rsidP="000A6F5E">
      <w:pPr>
        <w:jc w:val="both"/>
        <w:rPr>
          <w:color w:val="000000" w:themeColor="text1"/>
        </w:rPr>
      </w:pPr>
      <w:r w:rsidRPr="00113C97">
        <w:rPr>
          <w:color w:val="000000" w:themeColor="text1"/>
        </w:rPr>
        <w:t xml:space="preserve">Iz mnenja Ministrstva za kmetijstvo, gozdarstvo in prehrano št. </w:t>
      </w:r>
      <w:r w:rsidR="00113C97">
        <w:rPr>
          <w:color w:val="000000" w:themeColor="text1"/>
        </w:rPr>
        <w:t>350-4/2015/99</w:t>
      </w:r>
      <w:r w:rsidRPr="00113C97">
        <w:rPr>
          <w:color w:val="000000" w:themeColor="text1"/>
        </w:rPr>
        <w:t xml:space="preserve"> z dne </w:t>
      </w:r>
      <w:r w:rsidR="00387289" w:rsidRPr="00113C97">
        <w:rPr>
          <w:color w:val="000000" w:themeColor="text1"/>
        </w:rPr>
        <w:t>2</w:t>
      </w:r>
      <w:r w:rsidR="00113C97">
        <w:rPr>
          <w:color w:val="000000" w:themeColor="text1"/>
        </w:rPr>
        <w:t>3</w:t>
      </w:r>
      <w:r w:rsidRPr="00113C97">
        <w:rPr>
          <w:color w:val="000000" w:themeColor="text1"/>
        </w:rPr>
        <w:t xml:space="preserve">. </w:t>
      </w:r>
      <w:r w:rsidR="00113C97">
        <w:rPr>
          <w:color w:val="000000" w:themeColor="text1"/>
        </w:rPr>
        <w:t>7</w:t>
      </w:r>
      <w:r w:rsidRPr="00113C97">
        <w:rPr>
          <w:color w:val="000000" w:themeColor="text1"/>
        </w:rPr>
        <w:t>. 202</w:t>
      </w:r>
      <w:r w:rsidR="00113C97">
        <w:rPr>
          <w:color w:val="000000" w:themeColor="text1"/>
        </w:rPr>
        <w:t>4</w:t>
      </w:r>
      <w:r w:rsidRPr="00113C97">
        <w:rPr>
          <w:color w:val="000000" w:themeColor="text1"/>
        </w:rPr>
        <w:t xml:space="preserve"> izhaja</w:t>
      </w:r>
      <w:r w:rsidR="00387289" w:rsidRPr="00113C97">
        <w:rPr>
          <w:color w:val="000000" w:themeColor="text1"/>
        </w:rPr>
        <w:t xml:space="preserve">, da </w:t>
      </w:r>
      <w:r w:rsidR="00113C97">
        <w:rPr>
          <w:color w:val="000000" w:themeColor="text1"/>
        </w:rPr>
        <w:t xml:space="preserve">izvedba predlaganega načrta predvidoma ne bo pomembno vplivala na varstvo kmetijskih zemljišč. </w:t>
      </w:r>
      <w:r w:rsidR="00387289" w:rsidRPr="00113C97">
        <w:rPr>
          <w:color w:val="000000" w:themeColor="text1"/>
        </w:rPr>
        <w:t xml:space="preserve"> </w:t>
      </w:r>
    </w:p>
    <w:p w14:paraId="67BFCF50" w14:textId="448126F9" w:rsidR="00455BEE" w:rsidRPr="000B58E3" w:rsidRDefault="00455BEE" w:rsidP="000A6F5E">
      <w:pPr>
        <w:jc w:val="both"/>
        <w:rPr>
          <w:color w:val="FF0000"/>
        </w:rPr>
      </w:pPr>
    </w:p>
    <w:p w14:paraId="43F2455F" w14:textId="405C1AB0" w:rsidR="00BD0CB7" w:rsidRDefault="00455BEE" w:rsidP="000A6F5E">
      <w:pPr>
        <w:jc w:val="both"/>
        <w:rPr>
          <w:color w:val="000000" w:themeColor="text1"/>
        </w:rPr>
      </w:pPr>
      <w:r w:rsidRPr="008163F2">
        <w:rPr>
          <w:color w:val="000000" w:themeColor="text1"/>
        </w:rPr>
        <w:t>Iz mnenja Ministrstva za zdravje št. 35</w:t>
      </w:r>
      <w:r w:rsidR="008163F2">
        <w:rPr>
          <w:color w:val="000000" w:themeColor="text1"/>
        </w:rPr>
        <w:t>0</w:t>
      </w:r>
      <w:r w:rsidRPr="008163F2">
        <w:rPr>
          <w:color w:val="000000" w:themeColor="text1"/>
        </w:rPr>
        <w:t>-</w:t>
      </w:r>
      <w:r w:rsidR="008163F2">
        <w:rPr>
          <w:color w:val="000000" w:themeColor="text1"/>
        </w:rPr>
        <w:t>28</w:t>
      </w:r>
      <w:r w:rsidRPr="008163F2">
        <w:rPr>
          <w:color w:val="000000" w:themeColor="text1"/>
        </w:rPr>
        <w:t>/202</w:t>
      </w:r>
      <w:r w:rsidR="008163F2">
        <w:rPr>
          <w:color w:val="000000" w:themeColor="text1"/>
        </w:rPr>
        <w:t>4</w:t>
      </w:r>
      <w:r w:rsidRPr="008163F2">
        <w:rPr>
          <w:color w:val="000000" w:themeColor="text1"/>
        </w:rPr>
        <w:t>-</w:t>
      </w:r>
      <w:r w:rsidR="008163F2">
        <w:rPr>
          <w:color w:val="000000" w:themeColor="text1"/>
        </w:rPr>
        <w:t>12</w:t>
      </w:r>
      <w:r w:rsidRPr="008163F2">
        <w:rPr>
          <w:color w:val="000000" w:themeColor="text1"/>
        </w:rPr>
        <w:t xml:space="preserve"> z dne </w:t>
      </w:r>
      <w:r w:rsidR="008163F2">
        <w:rPr>
          <w:color w:val="000000" w:themeColor="text1"/>
        </w:rPr>
        <w:t>19</w:t>
      </w:r>
      <w:r w:rsidRPr="008163F2">
        <w:rPr>
          <w:color w:val="000000" w:themeColor="text1"/>
        </w:rPr>
        <w:t xml:space="preserve">. </w:t>
      </w:r>
      <w:r w:rsidR="008163F2">
        <w:rPr>
          <w:color w:val="000000" w:themeColor="text1"/>
        </w:rPr>
        <w:t>9</w:t>
      </w:r>
      <w:r w:rsidRPr="008163F2">
        <w:rPr>
          <w:color w:val="000000" w:themeColor="text1"/>
        </w:rPr>
        <w:t>. 202</w:t>
      </w:r>
      <w:r w:rsidR="008163F2">
        <w:rPr>
          <w:color w:val="000000" w:themeColor="text1"/>
        </w:rPr>
        <w:t>4</w:t>
      </w:r>
      <w:r w:rsidRPr="008163F2">
        <w:rPr>
          <w:color w:val="000000" w:themeColor="text1"/>
        </w:rPr>
        <w:t xml:space="preserve"> izhaja, da soglašajo z mnenjem Nacionalnega</w:t>
      </w:r>
      <w:r w:rsidR="008163F2">
        <w:rPr>
          <w:color w:val="000000" w:themeColor="text1"/>
        </w:rPr>
        <w:t xml:space="preserve"> inštituta za javno zdravje št. 350-19/2024-4 (256) z dne 19. 9. 2024. V tem mnenju je NIJZ ocenil, da ob izvedbi načrta, v obliki in obsegu kot je opisano v predloženi dokumentaciji, verjetno pomembnih vplivov na zdravje in počutje ljudi, ni pričakovati. </w:t>
      </w:r>
      <w:r w:rsidR="009F1725" w:rsidRPr="008163F2">
        <w:rPr>
          <w:color w:val="000000" w:themeColor="text1"/>
        </w:rPr>
        <w:t xml:space="preserve"> </w:t>
      </w:r>
      <w:r w:rsidRPr="008163F2">
        <w:rPr>
          <w:color w:val="000000" w:themeColor="text1"/>
        </w:rPr>
        <w:t xml:space="preserve"> </w:t>
      </w:r>
    </w:p>
    <w:p w14:paraId="38E6FD04" w14:textId="77777777" w:rsidR="00BD0CB7" w:rsidRDefault="00BD0CB7" w:rsidP="000A6F5E">
      <w:pPr>
        <w:jc w:val="both"/>
        <w:rPr>
          <w:color w:val="000000" w:themeColor="text1"/>
        </w:rPr>
      </w:pPr>
    </w:p>
    <w:p w14:paraId="677777D0" w14:textId="4924C671" w:rsidR="00BD0CB7" w:rsidRDefault="00BD0CB7" w:rsidP="000A6F5E">
      <w:pPr>
        <w:jc w:val="both"/>
        <w:rPr>
          <w:color w:val="000000" w:themeColor="text1"/>
        </w:rPr>
      </w:pPr>
      <w:r>
        <w:rPr>
          <w:color w:val="000000" w:themeColor="text1"/>
        </w:rPr>
        <w:t xml:space="preserve">Iz mnenja Direkcije RS za vode št. 35025-23/2024-2 z dne 12. 8. 2024 izhaja, da je načrt, z vidika vplivov na vode, ob upoštevanju v njihovem mnenju navedenih usmeritev, sprejemljiv. </w:t>
      </w:r>
    </w:p>
    <w:p w14:paraId="2F311554" w14:textId="77777777" w:rsidR="00BD0CB7" w:rsidRDefault="00BD0CB7" w:rsidP="000A6F5E">
      <w:pPr>
        <w:jc w:val="both"/>
        <w:rPr>
          <w:color w:val="000000" w:themeColor="text1"/>
        </w:rPr>
      </w:pPr>
    </w:p>
    <w:p w14:paraId="2D3C762A" w14:textId="1EA3E727" w:rsidR="00BD0CB7" w:rsidRDefault="00BD0CB7" w:rsidP="000A6F5E">
      <w:pPr>
        <w:jc w:val="both"/>
        <w:rPr>
          <w:color w:val="000000" w:themeColor="text1"/>
        </w:rPr>
      </w:pPr>
      <w:r>
        <w:rPr>
          <w:color w:val="000000" w:themeColor="text1"/>
        </w:rPr>
        <w:t xml:space="preserve">Iz mnenja Ministrstva za kmetijstvo, gozdarstvo in prehrano št. 354-11/2024/4 z dne 30. 8. 2024 izhaja, da načrt verjetno ne bo pomembno vplival na okolje z vidika pristojnosti MKGP, če bodo upoštevane usmeritve iz njihovega mnenja. </w:t>
      </w:r>
    </w:p>
    <w:p w14:paraId="34715261" w14:textId="77777777" w:rsidR="00014FFE" w:rsidRDefault="00014FFE" w:rsidP="000A6F5E">
      <w:pPr>
        <w:jc w:val="both"/>
        <w:rPr>
          <w:color w:val="000000" w:themeColor="text1"/>
        </w:rPr>
      </w:pPr>
    </w:p>
    <w:p w14:paraId="05BD1208" w14:textId="22CF3C9F" w:rsidR="00014FFE" w:rsidRPr="008163F2" w:rsidRDefault="00014FFE" w:rsidP="000A6F5E">
      <w:pPr>
        <w:jc w:val="both"/>
        <w:rPr>
          <w:color w:val="000000" w:themeColor="text1"/>
        </w:rPr>
      </w:pPr>
      <w:r>
        <w:rPr>
          <w:color w:val="000000" w:themeColor="text1"/>
        </w:rPr>
        <w:t xml:space="preserve">Ministrstvo ugotavlja, da se ostala ministrstva in organizacije, ki so bila pozvana, da podajo svoje mnenje, niso odzvali v 15 dnevnem roku in tudi ne do dneva izdaje te odločbe, zato je ministrstvo odločilo brez njihovega mnenja. </w:t>
      </w:r>
    </w:p>
    <w:p w14:paraId="421644FB" w14:textId="6B611B6F" w:rsidR="00455BEE" w:rsidRDefault="00455BEE" w:rsidP="000A6F5E">
      <w:pPr>
        <w:jc w:val="both"/>
      </w:pPr>
    </w:p>
    <w:p w14:paraId="1727FF7C" w14:textId="0969C1D7" w:rsidR="00921F3F" w:rsidRPr="008C712A" w:rsidRDefault="000A6F5E" w:rsidP="008C712A">
      <w:pPr>
        <w:jc w:val="both"/>
      </w:pPr>
      <w:r w:rsidRPr="000A6F5E">
        <w:rPr>
          <w:szCs w:val="22"/>
        </w:rPr>
        <w:t xml:space="preserve">Ministrstvo je v postopku preučilo tudi obstoj drugih okoljskih razlogov za uvedbo celovite presoje vplivov na okolje po določilih tretjega odstavka 77. člena ZVO-2 in </w:t>
      </w:r>
      <w:r w:rsidRPr="000A6F5E">
        <w:t xml:space="preserve">skladno z 2. členom </w:t>
      </w:r>
      <w:r w:rsidRPr="000A6F5E">
        <w:rPr>
          <w:szCs w:val="22"/>
        </w:rPr>
        <w:t>Uredbe o merilih za ocenjevanje verjetnosti pomembnejših vplivov izvedbe plana, programa, načrta ali drugega splošnega akta in njegovih sprememb na okolje v postopku celovite presoje vplivov na okolje (</w:t>
      </w:r>
      <w:r w:rsidRPr="000A6F5E">
        <w:t>Uradni list RS, št. 9/09 in 44/22 - ZVO-2; v nadaljnjem besedilu Uredba o merilih</w:t>
      </w:r>
      <w:r w:rsidRPr="000A6F5E">
        <w:rPr>
          <w:szCs w:val="22"/>
        </w:rPr>
        <w:t xml:space="preserve">). </w:t>
      </w:r>
      <w:r w:rsidR="00D8445F">
        <w:rPr>
          <w:szCs w:val="22"/>
        </w:rPr>
        <w:t xml:space="preserve">Ministrstvo je ugotovilo, da načrt ne bo pomembneje vplival na okolje, saj je načrt skupek aktivnosti za izvajanje SPRS 2050 do leta 2034. Prav SPRS je bila celovito presojana, določeni so bili ustrezni omilitveni ukrepi in izdana odločba o potrditvi vplivov izvedbe SPRS. Ministrstvo je ugotovilo, da sedaj obravnavani načrt ne prinaša nobenih novih posegov v prostor, ne gre za novo prostorsko načrtovanje, zato je odločilo, da celovite presoje vplivov na okolje in presoje sprejemljivosti na varovana območja ni treba izvesti. </w:t>
      </w:r>
    </w:p>
    <w:p w14:paraId="4E0ED8A6" w14:textId="77777777" w:rsidR="000A6F5E" w:rsidRPr="009F0C0F" w:rsidRDefault="000A6F5E" w:rsidP="000A6F5E">
      <w:pPr>
        <w:jc w:val="both"/>
        <w:rPr>
          <w:bCs/>
          <w:color w:val="FF0000"/>
        </w:rPr>
      </w:pPr>
    </w:p>
    <w:p w14:paraId="2A9A3943" w14:textId="4443D70B" w:rsidR="000A6F5E" w:rsidRPr="004872FE" w:rsidRDefault="000A6F5E" w:rsidP="000A6F5E">
      <w:pPr>
        <w:jc w:val="both"/>
        <w:rPr>
          <w:color w:val="000000" w:themeColor="text1"/>
          <w:szCs w:val="22"/>
        </w:rPr>
      </w:pPr>
      <w:r w:rsidRPr="004872FE">
        <w:rPr>
          <w:color w:val="000000" w:themeColor="text1"/>
        </w:rPr>
        <w:t>Na podlagi ugotovljenih dejstev in okoliščin v postopku</w:t>
      </w:r>
      <w:r w:rsidR="008C712A">
        <w:rPr>
          <w:color w:val="000000" w:themeColor="text1"/>
        </w:rPr>
        <w:t>,</w:t>
      </w:r>
      <w:r w:rsidRPr="004872FE">
        <w:rPr>
          <w:color w:val="000000" w:themeColor="text1"/>
        </w:rPr>
        <w:t xml:space="preserve"> je ministrstvo</w:t>
      </w:r>
      <w:r w:rsidR="004872FE" w:rsidRPr="004872FE">
        <w:rPr>
          <w:color w:val="000000" w:themeColor="text1"/>
        </w:rPr>
        <w:t>,</w:t>
      </w:r>
      <w:r w:rsidRPr="004872FE">
        <w:rPr>
          <w:color w:val="000000" w:themeColor="text1"/>
        </w:rPr>
        <w:t xml:space="preserve"> po določilih 77. člena ZVO-2 odločilo, da za </w:t>
      </w:r>
      <w:r w:rsidR="00766018" w:rsidRPr="004872FE">
        <w:rPr>
          <w:color w:val="000000" w:themeColor="text1"/>
        </w:rPr>
        <w:t>ta</w:t>
      </w:r>
      <w:r w:rsidRPr="004872FE">
        <w:rPr>
          <w:color w:val="000000" w:themeColor="text1"/>
        </w:rPr>
        <w:t xml:space="preserve"> načrt </w:t>
      </w:r>
      <w:r w:rsidR="004872FE" w:rsidRPr="004872FE">
        <w:rPr>
          <w:color w:val="000000" w:themeColor="text1"/>
        </w:rPr>
        <w:t xml:space="preserve">ni </w:t>
      </w:r>
      <w:r w:rsidRPr="004872FE">
        <w:rPr>
          <w:bCs/>
          <w:color w:val="000000" w:themeColor="text1"/>
        </w:rPr>
        <w:t>treba izvesti celovit</w:t>
      </w:r>
      <w:r w:rsidR="004872FE" w:rsidRPr="004872FE">
        <w:rPr>
          <w:bCs/>
          <w:color w:val="000000" w:themeColor="text1"/>
        </w:rPr>
        <w:t>e</w:t>
      </w:r>
      <w:r w:rsidRPr="004872FE">
        <w:rPr>
          <w:bCs/>
          <w:color w:val="000000" w:themeColor="text1"/>
        </w:rPr>
        <w:t xml:space="preserve"> presoj</w:t>
      </w:r>
      <w:r w:rsidR="004872FE" w:rsidRPr="004872FE">
        <w:rPr>
          <w:bCs/>
          <w:color w:val="000000" w:themeColor="text1"/>
        </w:rPr>
        <w:t>e</w:t>
      </w:r>
      <w:r w:rsidRPr="004872FE">
        <w:rPr>
          <w:bCs/>
          <w:color w:val="000000" w:themeColor="text1"/>
        </w:rPr>
        <w:t xml:space="preserve"> vplivov na okolje</w:t>
      </w:r>
      <w:r w:rsidR="008C712A">
        <w:rPr>
          <w:bCs/>
          <w:color w:val="000000" w:themeColor="text1"/>
        </w:rPr>
        <w:t>,</w:t>
      </w:r>
      <w:r w:rsidRPr="004872FE">
        <w:rPr>
          <w:bCs/>
          <w:color w:val="000000" w:themeColor="text1"/>
        </w:rPr>
        <w:t xml:space="preserve"> </w:t>
      </w:r>
      <w:r w:rsidR="008C712A">
        <w:rPr>
          <w:bCs/>
          <w:color w:val="000000" w:themeColor="text1"/>
        </w:rPr>
        <w:t>p</w:t>
      </w:r>
      <w:r w:rsidR="004872FE" w:rsidRPr="004872FE">
        <w:rPr>
          <w:bCs/>
          <w:color w:val="000000" w:themeColor="text1"/>
        </w:rPr>
        <w:t xml:space="preserve">rav tako </w:t>
      </w:r>
      <w:r w:rsidR="00766018" w:rsidRPr="004872FE">
        <w:rPr>
          <w:color w:val="000000" w:themeColor="text1"/>
        </w:rPr>
        <w:t>ni</w:t>
      </w:r>
      <w:r w:rsidRPr="004872FE">
        <w:rPr>
          <w:color w:val="000000" w:themeColor="text1"/>
        </w:rPr>
        <w:t xml:space="preserve"> treba izvesti presoj</w:t>
      </w:r>
      <w:r w:rsidR="00766018" w:rsidRPr="004872FE">
        <w:rPr>
          <w:color w:val="000000" w:themeColor="text1"/>
        </w:rPr>
        <w:t>e</w:t>
      </w:r>
      <w:r w:rsidRPr="004872FE">
        <w:rPr>
          <w:color w:val="000000" w:themeColor="text1"/>
        </w:rPr>
        <w:t xml:space="preserve"> sprejemljivosti vplivov izvedbe plana na varovana območja narave</w:t>
      </w:r>
      <w:r w:rsidR="008C712A">
        <w:rPr>
          <w:color w:val="000000" w:themeColor="text1"/>
        </w:rPr>
        <w:t xml:space="preserve"> in je odločilo, kot izhaja iz točk 1. in 2. izreka te odločbe. V tem postopku stroški niso nastali, zato je ministrstvo odločilo kot izhaja iz 3. točke izreka te odločbe</w:t>
      </w:r>
      <w:r w:rsidR="004872FE">
        <w:rPr>
          <w:color w:val="000000" w:themeColor="text1"/>
        </w:rPr>
        <w:t xml:space="preserve">. </w:t>
      </w:r>
    </w:p>
    <w:p w14:paraId="2EA7888A" w14:textId="77777777" w:rsidR="000A6F5E" w:rsidRPr="004872FE" w:rsidRDefault="000A6F5E" w:rsidP="000A6F5E">
      <w:pPr>
        <w:jc w:val="both"/>
        <w:rPr>
          <w:color w:val="000000" w:themeColor="text1"/>
          <w:szCs w:val="22"/>
        </w:rPr>
      </w:pPr>
    </w:p>
    <w:p w14:paraId="6C2DE195" w14:textId="77777777" w:rsidR="000A6F5E" w:rsidRPr="000A6F5E" w:rsidRDefault="000A6F5E" w:rsidP="000A6F5E">
      <w:pPr>
        <w:jc w:val="both"/>
      </w:pPr>
      <w:r w:rsidRPr="000A6F5E">
        <w:t>Pouk o pravnem sredstvu: Zoper to odločbo ni pritožbe, pač pa se lahko sproži upravni spor in sicer z vložitvijo tožbe, ki se vloži v roku 30 dni po vročitvi te odločbe na Upravno sodišče Republike Slovenije, Fajfarjeva 33, Ljubljana. Tožba se lahko vloži pisno pri navedenem sodišču.</w:t>
      </w:r>
    </w:p>
    <w:p w14:paraId="63086185" w14:textId="77777777" w:rsidR="000A6F5E" w:rsidRPr="000A6F5E" w:rsidRDefault="000A6F5E" w:rsidP="000A6F5E">
      <w:pPr>
        <w:jc w:val="both"/>
      </w:pPr>
    </w:p>
    <w:p w14:paraId="53920C46" w14:textId="357834F4" w:rsidR="000A6F5E" w:rsidRPr="000A6F5E" w:rsidRDefault="000A6F5E" w:rsidP="000A6F5E">
      <w:pPr>
        <w:jc w:val="both"/>
      </w:pPr>
      <w:r w:rsidRPr="000A6F5E">
        <w:t>Postopek vodil:</w:t>
      </w:r>
    </w:p>
    <w:p w14:paraId="24EDB4EB" w14:textId="77777777" w:rsidR="000A6F5E" w:rsidRPr="000A6F5E" w:rsidRDefault="000A6F5E" w:rsidP="000A6F5E">
      <w:pPr>
        <w:jc w:val="both"/>
      </w:pPr>
    </w:p>
    <w:p w14:paraId="4E426CE4" w14:textId="214D2784" w:rsidR="000A6F5E" w:rsidRPr="000A6F5E" w:rsidRDefault="00F14CD1" w:rsidP="000A6F5E">
      <w:pPr>
        <w:tabs>
          <w:tab w:val="center" w:pos="6237"/>
        </w:tabs>
        <w:jc w:val="both"/>
      </w:pPr>
      <w:r>
        <w:t xml:space="preserve"> </w:t>
      </w:r>
      <w:r w:rsidR="00140F47">
        <w:t>Jernej Per</w:t>
      </w:r>
      <w:r w:rsidR="000A6F5E" w:rsidRPr="000A6F5E">
        <w:tab/>
      </w:r>
      <w:r w:rsidR="002A5D6D">
        <w:t xml:space="preserve"> </w:t>
      </w:r>
      <w:r w:rsidR="000A6F5E" w:rsidRPr="000A6F5E">
        <w:t xml:space="preserve">mag. </w:t>
      </w:r>
      <w:r w:rsidR="00134DCD">
        <w:t>Tanja Bolte</w:t>
      </w:r>
      <w:r w:rsidR="000A6F5E" w:rsidRPr="000A6F5E">
        <w:t xml:space="preserve"> </w:t>
      </w:r>
    </w:p>
    <w:p w14:paraId="655858A4" w14:textId="6DF32BCC" w:rsidR="000A6F5E" w:rsidRPr="000A6F5E" w:rsidRDefault="00140F47" w:rsidP="000A6F5E">
      <w:pPr>
        <w:tabs>
          <w:tab w:val="center" w:pos="6237"/>
        </w:tabs>
        <w:jc w:val="both"/>
      </w:pPr>
      <w:r>
        <w:t>p</w:t>
      </w:r>
      <w:r w:rsidR="000A6F5E" w:rsidRPr="000A6F5E">
        <w:t>odsekretar</w:t>
      </w:r>
      <w:r w:rsidR="000A6F5E" w:rsidRPr="000A6F5E">
        <w:tab/>
      </w:r>
      <w:r w:rsidR="00134DCD">
        <w:t xml:space="preserve"> generaln</w:t>
      </w:r>
      <w:r w:rsidR="002A5D6D">
        <w:t>a</w:t>
      </w:r>
      <w:r w:rsidR="00134DCD">
        <w:t xml:space="preserve"> direktoric</w:t>
      </w:r>
      <w:r w:rsidR="002A5D6D">
        <w:t>a</w:t>
      </w:r>
      <w:r w:rsidR="00134DCD">
        <w:t xml:space="preserve"> Direktorata za okolje</w:t>
      </w:r>
    </w:p>
    <w:p w14:paraId="1B531D62" w14:textId="77777777" w:rsidR="000A6F5E" w:rsidRPr="000A6F5E" w:rsidRDefault="000A6F5E" w:rsidP="000A6F5E">
      <w:pPr>
        <w:tabs>
          <w:tab w:val="center" w:pos="6237"/>
        </w:tabs>
        <w:jc w:val="both"/>
      </w:pPr>
    </w:p>
    <w:p w14:paraId="5E9B095F" w14:textId="55A9448E" w:rsidR="000A6F5E" w:rsidRPr="000A6F5E" w:rsidRDefault="000A6F5E" w:rsidP="000A6F5E">
      <w:pPr>
        <w:jc w:val="both"/>
        <w:rPr>
          <w:b/>
        </w:rPr>
      </w:pPr>
      <w:r w:rsidRPr="000A6F5E">
        <w:t>Vročiti (elektronsko</w:t>
      </w:r>
      <w:r w:rsidR="002A5D6D">
        <w:t xml:space="preserve"> ZUP</w:t>
      </w:r>
      <w:r w:rsidRPr="000A6F5E">
        <w:t>):</w:t>
      </w:r>
    </w:p>
    <w:p w14:paraId="7B80D3E8" w14:textId="3FB9A329" w:rsidR="002A5D6D" w:rsidRPr="002A5D6D" w:rsidRDefault="000A6F5E" w:rsidP="006612A3">
      <w:pPr>
        <w:spacing w:line="260" w:lineRule="exact"/>
        <w:rPr>
          <w:color w:val="000000" w:themeColor="text1"/>
        </w:rPr>
      </w:pPr>
      <w:r w:rsidRPr="002A5D6D">
        <w:rPr>
          <w:rFonts w:cs="Arial"/>
          <w:color w:val="000000" w:themeColor="text1"/>
          <w:szCs w:val="20"/>
        </w:rPr>
        <w:t>-</w:t>
      </w:r>
      <w:r w:rsidRPr="002A5D6D">
        <w:rPr>
          <w:color w:val="000000" w:themeColor="text1"/>
        </w:rPr>
        <w:t xml:space="preserve"> </w:t>
      </w:r>
      <w:r w:rsidR="001D7555">
        <w:rPr>
          <w:color w:val="000000" w:themeColor="text1"/>
        </w:rPr>
        <w:t xml:space="preserve">Ministrstvo za naravne vire in prostor, Dunajska cesta 48, 1000 Ljubljana, </w:t>
      </w:r>
      <w:hyperlink r:id="rId16" w:history="1">
        <w:r w:rsidR="001D7555" w:rsidRPr="004B1178">
          <w:rPr>
            <w:rStyle w:val="Hiperpovezava"/>
          </w:rPr>
          <w:t>gp.mnvp</w:t>
        </w:r>
        <w:r w:rsidR="001D7555" w:rsidRPr="004B1178">
          <w:rPr>
            <w:rStyle w:val="Hiperpovezava"/>
            <w:rFonts w:cs="Arial"/>
          </w:rPr>
          <w:t>@</w:t>
        </w:r>
        <w:r w:rsidR="001D7555" w:rsidRPr="004B1178">
          <w:rPr>
            <w:rStyle w:val="Hiperpovezava"/>
          </w:rPr>
          <w:t>gov.si</w:t>
        </w:r>
      </w:hyperlink>
      <w:r w:rsidR="001D7555">
        <w:rPr>
          <w:color w:val="000000" w:themeColor="text1"/>
        </w:rPr>
        <w:t xml:space="preserve"> </w:t>
      </w:r>
    </w:p>
    <w:p w14:paraId="370F008C" w14:textId="342B17DC" w:rsidR="007A23E6" w:rsidRPr="007A23E6" w:rsidRDefault="007A23E6" w:rsidP="007A23E6">
      <w:pPr>
        <w:spacing w:line="260" w:lineRule="exact"/>
      </w:pPr>
    </w:p>
    <w:sectPr w:rsidR="007A23E6" w:rsidRPr="007A23E6" w:rsidSect="008F7564">
      <w:headerReference w:type="default" r:id="rId17"/>
      <w:footerReference w:type="default" r:id="rId18"/>
      <w:headerReference w:type="first" r:id="rId19"/>
      <w:footerReference w:type="first" r:id="rId2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DD663" w14:textId="77777777" w:rsidR="006F37E5" w:rsidRDefault="006F37E5">
      <w:r>
        <w:separator/>
      </w:r>
    </w:p>
  </w:endnote>
  <w:endnote w:type="continuationSeparator" w:id="0">
    <w:p w14:paraId="3E8DF9BB" w14:textId="77777777" w:rsidR="006F37E5" w:rsidRDefault="006F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369738"/>
      <w:docPartObj>
        <w:docPartGallery w:val="Page Numbers (Bottom of Page)"/>
        <w:docPartUnique/>
      </w:docPartObj>
    </w:sdtPr>
    <w:sdtContent>
      <w:p w14:paraId="1E1C384E" w14:textId="26A40AC7" w:rsidR="00140F47" w:rsidRDefault="00140F47">
        <w:pPr>
          <w:pStyle w:val="Noga"/>
          <w:jc w:val="center"/>
        </w:pPr>
        <w:r>
          <w:fldChar w:fldCharType="begin"/>
        </w:r>
        <w:r>
          <w:instrText>PAGE   \* MERGEFORMAT</w:instrText>
        </w:r>
        <w:r>
          <w:fldChar w:fldCharType="separate"/>
        </w:r>
        <w:r>
          <w:t>2</w:t>
        </w:r>
        <w:r>
          <w:fldChar w:fldCharType="end"/>
        </w:r>
      </w:p>
    </w:sdtContent>
  </w:sdt>
  <w:p w14:paraId="3128642E" w14:textId="77777777" w:rsidR="006770B0" w:rsidRDefault="006770B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127893"/>
      <w:docPartObj>
        <w:docPartGallery w:val="Page Numbers (Bottom of Page)"/>
        <w:docPartUnique/>
      </w:docPartObj>
    </w:sdtPr>
    <w:sdtContent>
      <w:p w14:paraId="3CB70EBC" w14:textId="1FFC96B4" w:rsidR="000D3992" w:rsidRDefault="000D3992">
        <w:pPr>
          <w:pStyle w:val="Noga"/>
          <w:jc w:val="center"/>
        </w:pPr>
        <w:r>
          <w:fldChar w:fldCharType="begin"/>
        </w:r>
        <w:r>
          <w:instrText>PAGE   \* MERGEFORMAT</w:instrText>
        </w:r>
        <w:r>
          <w:fldChar w:fldCharType="separate"/>
        </w:r>
        <w:r>
          <w:t>2</w:t>
        </w:r>
        <w:r>
          <w:fldChar w:fldCharType="end"/>
        </w:r>
      </w:p>
    </w:sdtContent>
  </w:sdt>
  <w:p w14:paraId="27888DDD" w14:textId="77777777" w:rsidR="000D3992" w:rsidRDefault="000D399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6F39F" w14:textId="77777777" w:rsidR="006F37E5" w:rsidRDefault="006F37E5">
      <w:r>
        <w:separator/>
      </w:r>
    </w:p>
  </w:footnote>
  <w:footnote w:type="continuationSeparator" w:id="0">
    <w:p w14:paraId="0BFE93DB" w14:textId="77777777" w:rsidR="006F37E5" w:rsidRDefault="006F3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C8EF8"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164C" w14:textId="77777777" w:rsidR="008F7564" w:rsidRDefault="004731C2"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60288" behindDoc="0" locked="0" layoutInCell="1" allowOverlap="1" wp14:anchorId="495BC658" wp14:editId="60D50B8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00274F15" w14:textId="77777777" w:rsidR="009545A7" w:rsidRDefault="009545A7" w:rsidP="00CE5238">
    <w:pPr>
      <w:pStyle w:val="Glava"/>
      <w:tabs>
        <w:tab w:val="clear" w:pos="4320"/>
        <w:tab w:val="clear" w:pos="8640"/>
        <w:tab w:val="left" w:pos="5112"/>
      </w:tabs>
      <w:spacing w:before="120" w:line="240" w:lineRule="exact"/>
      <w:rPr>
        <w:rFonts w:cs="Arial"/>
        <w:sz w:val="16"/>
      </w:rPr>
    </w:pPr>
  </w:p>
  <w:p w14:paraId="7F119A90" w14:textId="77777777" w:rsidR="00A770A6" w:rsidRPr="008F3500" w:rsidRDefault="00C96A71" w:rsidP="008F7564">
    <w:pPr>
      <w:pStyle w:val="Glava"/>
      <w:tabs>
        <w:tab w:val="clear" w:pos="4320"/>
        <w:tab w:val="clear" w:pos="8640"/>
        <w:tab w:val="left" w:pos="5112"/>
      </w:tabs>
      <w:spacing w:line="240" w:lineRule="exact"/>
      <w:rPr>
        <w:rFonts w:cs="Arial"/>
        <w:sz w:val="16"/>
      </w:rPr>
    </w:pPr>
    <w:r>
      <w:rPr>
        <w:rFonts w:cs="Arial"/>
        <w:sz w:val="16"/>
      </w:rPr>
      <w:t>Langusova ulica 4</w:t>
    </w:r>
    <w:r w:rsidR="00A770A6" w:rsidRPr="008F3500">
      <w:rPr>
        <w:rFonts w:cs="Arial"/>
        <w:sz w:val="16"/>
      </w:rPr>
      <w:t xml:space="preserve">, </w:t>
    </w:r>
    <w:r>
      <w:rPr>
        <w:rFonts w:cs="Arial"/>
        <w:sz w:val="16"/>
      </w:rPr>
      <w:t>1535 Ljubljana</w:t>
    </w:r>
    <w:r w:rsidR="00A770A6" w:rsidRPr="008F3500">
      <w:rPr>
        <w:rFonts w:cs="Arial"/>
        <w:sz w:val="16"/>
      </w:rPr>
      <w:tab/>
      <w:t xml:space="preserve">T: </w:t>
    </w:r>
    <w:r>
      <w:rPr>
        <w:rFonts w:cs="Arial"/>
        <w:sz w:val="16"/>
      </w:rPr>
      <w:t>01 478 8</w:t>
    </w:r>
    <w:r w:rsidR="00DF4DE2">
      <w:rPr>
        <w:rFonts w:cs="Arial"/>
        <w:sz w:val="16"/>
      </w:rPr>
      <w:t>2</w:t>
    </w:r>
    <w:r>
      <w:rPr>
        <w:rFonts w:cs="Arial"/>
        <w:sz w:val="16"/>
      </w:rPr>
      <w:t xml:space="preserve"> 00</w:t>
    </w:r>
  </w:p>
  <w:p w14:paraId="61638085"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C96A71">
      <w:rPr>
        <w:rFonts w:cs="Arial"/>
        <w:sz w:val="16"/>
      </w:rPr>
      <w:t>gp.m</w:t>
    </w:r>
    <w:r w:rsidR="007A2999">
      <w:rPr>
        <w:rFonts w:cs="Arial"/>
        <w:sz w:val="16"/>
      </w:rPr>
      <w:t>ope</w:t>
    </w:r>
    <w:r w:rsidR="00C96A71">
      <w:rPr>
        <w:rFonts w:cs="Arial"/>
        <w:sz w:val="16"/>
      </w:rPr>
      <w:t>@gov.si</w:t>
    </w:r>
  </w:p>
  <w:p w14:paraId="4146606F"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C96A71">
      <w:rPr>
        <w:rFonts w:cs="Arial"/>
        <w:sz w:val="16"/>
      </w:rPr>
      <w:t>www.m</w:t>
    </w:r>
    <w:r w:rsidR="007A2999">
      <w:rPr>
        <w:rFonts w:cs="Arial"/>
        <w:sz w:val="16"/>
      </w:rPr>
      <w:t>ope</w:t>
    </w:r>
    <w:r w:rsidR="00C96A71">
      <w:rPr>
        <w:rFonts w:cs="Arial"/>
        <w:sz w:val="16"/>
      </w:rPr>
      <w:t>.gov.si</w:t>
    </w:r>
  </w:p>
  <w:p w14:paraId="43EE4E4D"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7341"/>
    <w:multiLevelType w:val="hybridMultilevel"/>
    <w:tmpl w:val="F28805BC"/>
    <w:lvl w:ilvl="0" w:tplc="9794715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362A4D"/>
    <w:multiLevelType w:val="hybridMultilevel"/>
    <w:tmpl w:val="40625E26"/>
    <w:lvl w:ilvl="0" w:tplc="8E5872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DB515D"/>
    <w:multiLevelType w:val="hybridMultilevel"/>
    <w:tmpl w:val="D878F6D4"/>
    <w:lvl w:ilvl="0" w:tplc="979A76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1125EF7"/>
    <w:multiLevelType w:val="hybridMultilevel"/>
    <w:tmpl w:val="4816D7DA"/>
    <w:lvl w:ilvl="0" w:tplc="D7882C9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69274817"/>
    <w:multiLevelType w:val="hybridMultilevel"/>
    <w:tmpl w:val="7602A420"/>
    <w:lvl w:ilvl="0" w:tplc="E1DA0228">
      <w:start w:val="1"/>
      <w:numFmt w:val="decimal"/>
      <w:lvlText w:val="%1."/>
      <w:lvlJc w:val="left"/>
      <w:pPr>
        <w:tabs>
          <w:tab w:val="num" w:pos="786"/>
        </w:tabs>
        <w:ind w:left="786" w:hanging="360"/>
      </w:pPr>
      <w:rPr>
        <w:b w:val="0"/>
        <w:i w:val="0"/>
      </w:rPr>
    </w:lvl>
    <w:lvl w:ilvl="1" w:tplc="04240019">
      <w:start w:val="1"/>
      <w:numFmt w:val="lowerLetter"/>
      <w:lvlText w:val="%2."/>
      <w:lvlJc w:val="left"/>
      <w:pPr>
        <w:tabs>
          <w:tab w:val="num" w:pos="1506"/>
        </w:tabs>
        <w:ind w:left="1506" w:hanging="360"/>
      </w:pPr>
    </w:lvl>
    <w:lvl w:ilvl="2" w:tplc="0424001B">
      <w:start w:val="1"/>
      <w:numFmt w:val="lowerRoman"/>
      <w:lvlText w:val="%3."/>
      <w:lvlJc w:val="right"/>
      <w:pPr>
        <w:tabs>
          <w:tab w:val="num" w:pos="2226"/>
        </w:tabs>
        <w:ind w:left="2226" w:hanging="180"/>
      </w:pPr>
    </w:lvl>
    <w:lvl w:ilvl="3" w:tplc="0424000F">
      <w:start w:val="1"/>
      <w:numFmt w:val="decimal"/>
      <w:lvlText w:val="%4."/>
      <w:lvlJc w:val="left"/>
      <w:pPr>
        <w:tabs>
          <w:tab w:val="num" w:pos="2946"/>
        </w:tabs>
        <w:ind w:left="2946" w:hanging="360"/>
      </w:pPr>
    </w:lvl>
    <w:lvl w:ilvl="4" w:tplc="04240019">
      <w:start w:val="1"/>
      <w:numFmt w:val="lowerLetter"/>
      <w:lvlText w:val="%5."/>
      <w:lvlJc w:val="left"/>
      <w:pPr>
        <w:tabs>
          <w:tab w:val="num" w:pos="3666"/>
        </w:tabs>
        <w:ind w:left="3666" w:hanging="360"/>
      </w:pPr>
    </w:lvl>
    <w:lvl w:ilvl="5" w:tplc="0424001B">
      <w:start w:val="1"/>
      <w:numFmt w:val="lowerRoman"/>
      <w:lvlText w:val="%6."/>
      <w:lvlJc w:val="right"/>
      <w:pPr>
        <w:tabs>
          <w:tab w:val="num" w:pos="4386"/>
        </w:tabs>
        <w:ind w:left="4386" w:hanging="180"/>
      </w:pPr>
    </w:lvl>
    <w:lvl w:ilvl="6" w:tplc="0424000F">
      <w:start w:val="1"/>
      <w:numFmt w:val="decimal"/>
      <w:lvlText w:val="%7."/>
      <w:lvlJc w:val="left"/>
      <w:pPr>
        <w:tabs>
          <w:tab w:val="num" w:pos="5106"/>
        </w:tabs>
        <w:ind w:left="5106" w:hanging="360"/>
      </w:pPr>
    </w:lvl>
    <w:lvl w:ilvl="7" w:tplc="04240019">
      <w:start w:val="1"/>
      <w:numFmt w:val="lowerLetter"/>
      <w:lvlText w:val="%8."/>
      <w:lvlJc w:val="left"/>
      <w:pPr>
        <w:tabs>
          <w:tab w:val="num" w:pos="5826"/>
        </w:tabs>
        <w:ind w:left="5826" w:hanging="360"/>
      </w:pPr>
    </w:lvl>
    <w:lvl w:ilvl="8" w:tplc="0424001B">
      <w:start w:val="1"/>
      <w:numFmt w:val="lowerRoman"/>
      <w:lvlText w:val="%9."/>
      <w:lvlJc w:val="right"/>
      <w:pPr>
        <w:tabs>
          <w:tab w:val="num" w:pos="6546"/>
        </w:tabs>
        <w:ind w:left="6546" w:hanging="180"/>
      </w:pPr>
    </w:lvl>
  </w:abstractNum>
  <w:num w:numId="1" w16cid:durableId="547646161">
    <w:abstractNumId w:val="8"/>
  </w:num>
  <w:num w:numId="2" w16cid:durableId="1118329795">
    <w:abstractNumId w:val="6"/>
  </w:num>
  <w:num w:numId="3" w16cid:durableId="1541896788">
    <w:abstractNumId w:val="7"/>
  </w:num>
  <w:num w:numId="4" w16cid:durableId="1310670844">
    <w:abstractNumId w:val="3"/>
  </w:num>
  <w:num w:numId="5" w16cid:durableId="1468008631">
    <w:abstractNumId w:val="4"/>
  </w:num>
  <w:num w:numId="6" w16cid:durableId="15933180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0859489">
    <w:abstractNumId w:val="5"/>
  </w:num>
  <w:num w:numId="8" w16cid:durableId="25258436">
    <w:abstractNumId w:val="0"/>
  </w:num>
  <w:num w:numId="9" w16cid:durableId="190075670">
    <w:abstractNumId w:val="1"/>
  </w:num>
  <w:num w:numId="10" w16cid:durableId="723722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5E"/>
    <w:rsid w:val="00014FFE"/>
    <w:rsid w:val="00017F4B"/>
    <w:rsid w:val="00023A88"/>
    <w:rsid w:val="000243A2"/>
    <w:rsid w:val="00035711"/>
    <w:rsid w:val="00051AE4"/>
    <w:rsid w:val="00073DFA"/>
    <w:rsid w:val="00085FE5"/>
    <w:rsid w:val="00096DA3"/>
    <w:rsid w:val="000A6F5E"/>
    <w:rsid w:val="000A7238"/>
    <w:rsid w:val="000B2E7E"/>
    <w:rsid w:val="000B58E3"/>
    <w:rsid w:val="000D2BDC"/>
    <w:rsid w:val="000D3992"/>
    <w:rsid w:val="000D40FD"/>
    <w:rsid w:val="000D54BD"/>
    <w:rsid w:val="000D57DD"/>
    <w:rsid w:val="00110726"/>
    <w:rsid w:val="00113C97"/>
    <w:rsid w:val="00116CDE"/>
    <w:rsid w:val="00134DCD"/>
    <w:rsid w:val="001357B2"/>
    <w:rsid w:val="00140F47"/>
    <w:rsid w:val="00142729"/>
    <w:rsid w:val="00155643"/>
    <w:rsid w:val="0017401C"/>
    <w:rsid w:val="0017478F"/>
    <w:rsid w:val="001761BF"/>
    <w:rsid w:val="001A1A26"/>
    <w:rsid w:val="001D7555"/>
    <w:rsid w:val="001E0F2A"/>
    <w:rsid w:val="001E4310"/>
    <w:rsid w:val="001E4CB1"/>
    <w:rsid w:val="001F6E34"/>
    <w:rsid w:val="00202A77"/>
    <w:rsid w:val="00204AB4"/>
    <w:rsid w:val="00243E79"/>
    <w:rsid w:val="00261E1E"/>
    <w:rsid w:val="00270481"/>
    <w:rsid w:val="00271CE5"/>
    <w:rsid w:val="00282020"/>
    <w:rsid w:val="00290F2E"/>
    <w:rsid w:val="002A2B69"/>
    <w:rsid w:val="002A5D6D"/>
    <w:rsid w:val="002B1DC6"/>
    <w:rsid w:val="002B668E"/>
    <w:rsid w:val="002D2274"/>
    <w:rsid w:val="002E6057"/>
    <w:rsid w:val="002E7F51"/>
    <w:rsid w:val="00313B33"/>
    <w:rsid w:val="00336EF9"/>
    <w:rsid w:val="003636BF"/>
    <w:rsid w:val="00371442"/>
    <w:rsid w:val="003845B4"/>
    <w:rsid w:val="00387289"/>
    <w:rsid w:val="00387B1A"/>
    <w:rsid w:val="003B509F"/>
    <w:rsid w:val="003B5E9B"/>
    <w:rsid w:val="003C5EE5"/>
    <w:rsid w:val="003E1C74"/>
    <w:rsid w:val="003E57D9"/>
    <w:rsid w:val="00423961"/>
    <w:rsid w:val="00431110"/>
    <w:rsid w:val="004360CD"/>
    <w:rsid w:val="004443A6"/>
    <w:rsid w:val="00445253"/>
    <w:rsid w:val="00455BEE"/>
    <w:rsid w:val="004657EE"/>
    <w:rsid w:val="004731C2"/>
    <w:rsid w:val="004872FE"/>
    <w:rsid w:val="004915D3"/>
    <w:rsid w:val="004B57AD"/>
    <w:rsid w:val="004B5EF3"/>
    <w:rsid w:val="004B607E"/>
    <w:rsid w:val="004B7D49"/>
    <w:rsid w:val="004D070C"/>
    <w:rsid w:val="004D0E28"/>
    <w:rsid w:val="004E142E"/>
    <w:rsid w:val="004E5DBB"/>
    <w:rsid w:val="004F230B"/>
    <w:rsid w:val="005026F5"/>
    <w:rsid w:val="005078D5"/>
    <w:rsid w:val="00512167"/>
    <w:rsid w:val="00521CE1"/>
    <w:rsid w:val="00521E66"/>
    <w:rsid w:val="00526246"/>
    <w:rsid w:val="00543963"/>
    <w:rsid w:val="0056333E"/>
    <w:rsid w:val="00564C5E"/>
    <w:rsid w:val="00567106"/>
    <w:rsid w:val="00567EAA"/>
    <w:rsid w:val="0058745C"/>
    <w:rsid w:val="00595854"/>
    <w:rsid w:val="005A1161"/>
    <w:rsid w:val="005A5E2B"/>
    <w:rsid w:val="005B1072"/>
    <w:rsid w:val="005C1CD4"/>
    <w:rsid w:val="005E1D3C"/>
    <w:rsid w:val="005F281B"/>
    <w:rsid w:val="00614B5A"/>
    <w:rsid w:val="00616DAD"/>
    <w:rsid w:val="0061772C"/>
    <w:rsid w:val="00625AE6"/>
    <w:rsid w:val="00626357"/>
    <w:rsid w:val="00632253"/>
    <w:rsid w:val="006336BF"/>
    <w:rsid w:val="00642714"/>
    <w:rsid w:val="00644443"/>
    <w:rsid w:val="006455CE"/>
    <w:rsid w:val="00655841"/>
    <w:rsid w:val="006612A3"/>
    <w:rsid w:val="0067088F"/>
    <w:rsid w:val="006770B0"/>
    <w:rsid w:val="006D6B90"/>
    <w:rsid w:val="006F37E5"/>
    <w:rsid w:val="006F4DFE"/>
    <w:rsid w:val="007133D5"/>
    <w:rsid w:val="0071470F"/>
    <w:rsid w:val="00733017"/>
    <w:rsid w:val="00737A35"/>
    <w:rsid w:val="007462C2"/>
    <w:rsid w:val="00750E7E"/>
    <w:rsid w:val="00766018"/>
    <w:rsid w:val="00783310"/>
    <w:rsid w:val="00792537"/>
    <w:rsid w:val="007936CD"/>
    <w:rsid w:val="007972FE"/>
    <w:rsid w:val="007A23E6"/>
    <w:rsid w:val="007A2999"/>
    <w:rsid w:val="007A4A6D"/>
    <w:rsid w:val="007C0E5D"/>
    <w:rsid w:val="007C4819"/>
    <w:rsid w:val="007D1BCF"/>
    <w:rsid w:val="007D75CF"/>
    <w:rsid w:val="007E0440"/>
    <w:rsid w:val="007E3C39"/>
    <w:rsid w:val="007E6DC5"/>
    <w:rsid w:val="007F4352"/>
    <w:rsid w:val="00802BB5"/>
    <w:rsid w:val="008163F2"/>
    <w:rsid w:val="00817D4E"/>
    <w:rsid w:val="00831A0D"/>
    <w:rsid w:val="00852728"/>
    <w:rsid w:val="00853762"/>
    <w:rsid w:val="0088043C"/>
    <w:rsid w:val="00883F37"/>
    <w:rsid w:val="00884889"/>
    <w:rsid w:val="00885911"/>
    <w:rsid w:val="008906C9"/>
    <w:rsid w:val="008C5738"/>
    <w:rsid w:val="008C712A"/>
    <w:rsid w:val="008D04F0"/>
    <w:rsid w:val="008D34FC"/>
    <w:rsid w:val="008E169D"/>
    <w:rsid w:val="008E6D47"/>
    <w:rsid w:val="008F3500"/>
    <w:rsid w:val="008F7564"/>
    <w:rsid w:val="00921F3F"/>
    <w:rsid w:val="00924E3C"/>
    <w:rsid w:val="009313BA"/>
    <w:rsid w:val="009545A7"/>
    <w:rsid w:val="009612BB"/>
    <w:rsid w:val="009935BA"/>
    <w:rsid w:val="00997BA5"/>
    <w:rsid w:val="009B5014"/>
    <w:rsid w:val="009C3333"/>
    <w:rsid w:val="009C411B"/>
    <w:rsid w:val="009C740A"/>
    <w:rsid w:val="009F0C0F"/>
    <w:rsid w:val="009F1725"/>
    <w:rsid w:val="009F57C4"/>
    <w:rsid w:val="009F65EB"/>
    <w:rsid w:val="00A04CCF"/>
    <w:rsid w:val="00A06A00"/>
    <w:rsid w:val="00A125C5"/>
    <w:rsid w:val="00A22CFA"/>
    <w:rsid w:val="00A2451C"/>
    <w:rsid w:val="00A273D7"/>
    <w:rsid w:val="00A303B2"/>
    <w:rsid w:val="00A44C64"/>
    <w:rsid w:val="00A65A42"/>
    <w:rsid w:val="00A65EE7"/>
    <w:rsid w:val="00A70133"/>
    <w:rsid w:val="00A770A6"/>
    <w:rsid w:val="00A813B1"/>
    <w:rsid w:val="00A872B7"/>
    <w:rsid w:val="00A87C50"/>
    <w:rsid w:val="00AB02D6"/>
    <w:rsid w:val="00AB36C4"/>
    <w:rsid w:val="00AB6F5A"/>
    <w:rsid w:val="00AC32B2"/>
    <w:rsid w:val="00AE0416"/>
    <w:rsid w:val="00AF00EA"/>
    <w:rsid w:val="00B04D67"/>
    <w:rsid w:val="00B1443B"/>
    <w:rsid w:val="00B17141"/>
    <w:rsid w:val="00B20E88"/>
    <w:rsid w:val="00B31575"/>
    <w:rsid w:val="00B544E0"/>
    <w:rsid w:val="00B57B90"/>
    <w:rsid w:val="00B7732A"/>
    <w:rsid w:val="00B8547D"/>
    <w:rsid w:val="00B97468"/>
    <w:rsid w:val="00B97A85"/>
    <w:rsid w:val="00BC0CD9"/>
    <w:rsid w:val="00BD0CB7"/>
    <w:rsid w:val="00C17F09"/>
    <w:rsid w:val="00C250D5"/>
    <w:rsid w:val="00C33F11"/>
    <w:rsid w:val="00C35666"/>
    <w:rsid w:val="00C46D9B"/>
    <w:rsid w:val="00C70008"/>
    <w:rsid w:val="00C92898"/>
    <w:rsid w:val="00C96A71"/>
    <w:rsid w:val="00CA34CD"/>
    <w:rsid w:val="00CA4340"/>
    <w:rsid w:val="00CC62DF"/>
    <w:rsid w:val="00CE5238"/>
    <w:rsid w:val="00CE7514"/>
    <w:rsid w:val="00D05389"/>
    <w:rsid w:val="00D200A7"/>
    <w:rsid w:val="00D248DE"/>
    <w:rsid w:val="00D3203D"/>
    <w:rsid w:val="00D8445F"/>
    <w:rsid w:val="00D8542D"/>
    <w:rsid w:val="00DC5DEB"/>
    <w:rsid w:val="00DC6A71"/>
    <w:rsid w:val="00DD5BF1"/>
    <w:rsid w:val="00DD64B1"/>
    <w:rsid w:val="00DE24D6"/>
    <w:rsid w:val="00DE6547"/>
    <w:rsid w:val="00DF1FC1"/>
    <w:rsid w:val="00DF4DE2"/>
    <w:rsid w:val="00E0357D"/>
    <w:rsid w:val="00E210F8"/>
    <w:rsid w:val="00E955AF"/>
    <w:rsid w:val="00ED1C3E"/>
    <w:rsid w:val="00EE7C08"/>
    <w:rsid w:val="00EF7777"/>
    <w:rsid w:val="00F12C47"/>
    <w:rsid w:val="00F14CD1"/>
    <w:rsid w:val="00F15E78"/>
    <w:rsid w:val="00F240BB"/>
    <w:rsid w:val="00F243F7"/>
    <w:rsid w:val="00F27367"/>
    <w:rsid w:val="00F27EA1"/>
    <w:rsid w:val="00F57FED"/>
    <w:rsid w:val="00F60A2F"/>
    <w:rsid w:val="00F815CF"/>
    <w:rsid w:val="00F91AD2"/>
    <w:rsid w:val="00F95006"/>
    <w:rsid w:val="00FB4F34"/>
    <w:rsid w:val="00FC0F7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4742202F"/>
  <w15:chartTrackingRefBased/>
  <w15:docId w15:val="{DE047EA6-75A7-4473-B6DB-2D531E8F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Nerazreenaomemba">
    <w:name w:val="Unresolved Mention"/>
    <w:basedOn w:val="Privzetapisavaodstavka"/>
    <w:uiPriority w:val="99"/>
    <w:semiHidden/>
    <w:unhideWhenUsed/>
    <w:rsid w:val="00140F47"/>
    <w:rPr>
      <w:color w:val="605E5C"/>
      <w:shd w:val="clear" w:color="auto" w:fill="E1DFDD"/>
    </w:rPr>
  </w:style>
  <w:style w:type="character" w:customStyle="1" w:styleId="NogaZnak">
    <w:name w:val="Noga Znak"/>
    <w:basedOn w:val="Privzetapisavaodstavka"/>
    <w:link w:val="Noga"/>
    <w:uiPriority w:val="99"/>
    <w:rsid w:val="00140F47"/>
    <w:rPr>
      <w:rFonts w:ascii="Arial" w:hAnsi="Arial"/>
      <w:szCs w:val="24"/>
      <w:lang w:val="en-US" w:eastAsia="en-US"/>
    </w:rPr>
  </w:style>
  <w:style w:type="paragraph" w:styleId="Odstavekseznama">
    <w:name w:val="List Paragraph"/>
    <w:basedOn w:val="Navaden"/>
    <w:uiPriority w:val="34"/>
    <w:qFormat/>
    <w:rsid w:val="007A23E6"/>
    <w:pPr>
      <w:ind w:left="720"/>
      <w:contextualSpacing/>
    </w:pPr>
  </w:style>
  <w:style w:type="character" w:styleId="SledenaHiperpovezava">
    <w:name w:val="FollowedHyperlink"/>
    <w:basedOn w:val="Privzetapisavaodstavka"/>
    <w:rsid w:val="00EF77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68265">
      <w:bodyDiv w:val="1"/>
      <w:marLeft w:val="0"/>
      <w:marRight w:val="0"/>
      <w:marTop w:val="0"/>
      <w:marBottom w:val="0"/>
      <w:divBdr>
        <w:top w:val="none" w:sz="0" w:space="0" w:color="auto"/>
        <w:left w:val="none" w:sz="0" w:space="0" w:color="auto"/>
        <w:bottom w:val="none" w:sz="0" w:space="0" w:color="auto"/>
        <w:right w:val="none" w:sz="0" w:space="0" w:color="auto"/>
      </w:divBdr>
    </w:div>
    <w:div w:id="19833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24-01-069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uradni-list.si/glasilo-uradni-list-rs/vsebina/2023-01-247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p.mnvp@gov.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radni-list.si/glasilo-uradni-list-rs/vsebina/2023-01-0348" TargetMode="External"/><Relationship Id="rId5" Type="http://schemas.openxmlformats.org/officeDocument/2006/relationships/styles" Target="styles.xml"/><Relationship Id="rId15" Type="http://schemas.openxmlformats.org/officeDocument/2006/relationships/hyperlink" Target="https://www.uradni-list.si/glasilo-uradni-list-rs/vsebina/2022-01-0873" TargetMode="External"/><Relationship Id="rId10" Type="http://schemas.openxmlformats.org/officeDocument/2006/relationships/hyperlink" Target="https://www.uradni-list.si/glasilo-uradni-list-rs/vsebina/2022-01-0873"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09-01-024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Nove%20predloge\MOPE_predlog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2023-01-25T13:58:53+00:00</Datum_x0020_objave>
    <TaxCatchAll xmlns="c692225b-96e9-4b86-aa9e-be5af81d02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5" ma:contentTypeDescription="Ustvari nov dokument." ma:contentTypeScope="" ma:versionID="88a28afa74361f252d23e3021ed27f0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890626e89e518fd58f715591a0b150b2"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64CE95-D450-46E4-8E19-F358C28ADDFF}">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2.xml><?xml version="1.0" encoding="utf-8"?>
<ds:datastoreItem xmlns:ds="http://schemas.openxmlformats.org/officeDocument/2006/customXml" ds:itemID="{C32235B1-EE16-4B49-ABE9-E2DF43367A93}">
  <ds:schemaRefs>
    <ds:schemaRef ds:uri="http://schemas.microsoft.com/sharepoint/v3/contenttype/forms"/>
  </ds:schemaRefs>
</ds:datastoreItem>
</file>

<file path=customXml/itemProps3.xml><?xml version="1.0" encoding="utf-8"?>
<ds:datastoreItem xmlns:ds="http://schemas.openxmlformats.org/officeDocument/2006/customXml" ds:itemID="{4B8217A0-A7F8-4C20-9F0A-E0230BA5C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MOPE_predloga.dotx</Template>
  <TotalTime>22</TotalTime>
  <Pages>3</Pages>
  <Words>1570</Words>
  <Characters>8955</Characters>
  <Application>Microsoft Office Word</Application>
  <DocSecurity>0</DocSecurity>
  <Lines>74</Lines>
  <Paragraphs>21</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Lenardič</dc:creator>
  <cp:keywords/>
  <cp:lastModifiedBy>Jernej Per</cp:lastModifiedBy>
  <cp:revision>6</cp:revision>
  <cp:lastPrinted>2010-07-16T07:41:00Z</cp:lastPrinted>
  <dcterms:created xsi:type="dcterms:W3CDTF">2024-09-24T08:56:00Z</dcterms:created>
  <dcterms:modified xsi:type="dcterms:W3CDTF">2024-09-24T09:17:00Z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