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C021" w14:textId="77777777" w:rsidR="007D75CF" w:rsidRPr="001D139C" w:rsidRDefault="007D75CF" w:rsidP="003B1E28">
      <w:pPr>
        <w:rPr>
          <w:rFonts w:cs="Arial"/>
          <w:szCs w:val="20"/>
        </w:rPr>
      </w:pPr>
    </w:p>
    <w:p w14:paraId="2EC1A4C8" w14:textId="77777777" w:rsidR="003B1E28" w:rsidRPr="001D139C" w:rsidRDefault="003B1E28" w:rsidP="003B1E28">
      <w:pPr>
        <w:rPr>
          <w:rFonts w:cs="Arial"/>
          <w:szCs w:val="20"/>
        </w:rPr>
      </w:pPr>
    </w:p>
    <w:p w14:paraId="55DB4A9F" w14:textId="77777777" w:rsidR="001D139C" w:rsidRPr="00B533D6" w:rsidRDefault="001D139C" w:rsidP="001D139C">
      <w:pPr>
        <w:widowControl w:val="0"/>
        <w:spacing w:line="240" w:lineRule="auto"/>
        <w:jc w:val="both"/>
        <w:rPr>
          <w:rFonts w:cs="Arial"/>
          <w:szCs w:val="20"/>
          <w:lang w:val="sl-SI" w:eastAsia="sl-SI"/>
        </w:rPr>
      </w:pPr>
    </w:p>
    <w:p w14:paraId="58CA97EB" w14:textId="77777777" w:rsidR="003B1E28" w:rsidRDefault="003B1E28" w:rsidP="003B1E28">
      <w:pPr>
        <w:jc w:val="both"/>
        <w:rPr>
          <w:rFonts w:cs="Arial"/>
          <w:szCs w:val="20"/>
          <w:lang w:val="sl-SI"/>
        </w:rPr>
      </w:pPr>
    </w:p>
    <w:p w14:paraId="6F32EA42" w14:textId="77777777" w:rsidR="001D139C" w:rsidRPr="001D139C" w:rsidRDefault="001D139C" w:rsidP="003B1E28">
      <w:pPr>
        <w:jc w:val="both"/>
        <w:rPr>
          <w:rFonts w:cs="Arial"/>
          <w:szCs w:val="20"/>
          <w:lang w:val="sl-SI"/>
        </w:rPr>
      </w:pPr>
    </w:p>
    <w:p w14:paraId="0F51E8A8" w14:textId="77777777" w:rsidR="003B1E28" w:rsidRPr="001D139C" w:rsidRDefault="003B1E28" w:rsidP="003B1E28">
      <w:pPr>
        <w:widowControl w:val="0"/>
        <w:spacing w:line="240" w:lineRule="auto"/>
        <w:jc w:val="both"/>
        <w:rPr>
          <w:rFonts w:cs="Arial"/>
          <w:b/>
          <w:szCs w:val="20"/>
          <w:lang w:val="sl-SI" w:eastAsia="sl-SI"/>
        </w:rPr>
      </w:pPr>
    </w:p>
    <w:p w14:paraId="5457201D" w14:textId="77777777" w:rsidR="001D139C" w:rsidRPr="001D139C" w:rsidRDefault="001D139C" w:rsidP="001D139C">
      <w:pPr>
        <w:spacing w:line="240" w:lineRule="auto"/>
        <w:jc w:val="center"/>
        <w:rPr>
          <w:rFonts w:cs="Arial"/>
          <w:b/>
          <w:bCs/>
          <w:szCs w:val="20"/>
          <w:lang w:val="sl-SI" w:eastAsia="sl-SI"/>
        </w:rPr>
      </w:pPr>
      <w:r>
        <w:rPr>
          <w:rFonts w:cs="Arial"/>
          <w:b/>
          <w:bCs/>
          <w:szCs w:val="20"/>
          <w:lang w:val="sl-SI" w:eastAsia="sl-SI"/>
        </w:rPr>
        <w:t>RAZPISNA DOKUMENTACIJA</w:t>
      </w:r>
    </w:p>
    <w:p w14:paraId="2D77E362" w14:textId="77777777" w:rsidR="001D139C" w:rsidRPr="001D139C" w:rsidRDefault="001D139C" w:rsidP="001D139C">
      <w:pPr>
        <w:spacing w:line="240" w:lineRule="auto"/>
        <w:jc w:val="center"/>
        <w:rPr>
          <w:rFonts w:cs="Arial"/>
          <w:bCs/>
          <w:i/>
          <w:szCs w:val="20"/>
          <w:lang w:val="sl-SI" w:eastAsia="sl-SI"/>
        </w:rPr>
      </w:pPr>
    </w:p>
    <w:p w14:paraId="6B5B0130" w14:textId="77777777" w:rsidR="001D139C" w:rsidRPr="001D139C" w:rsidRDefault="001D139C" w:rsidP="001D139C">
      <w:pPr>
        <w:spacing w:line="240" w:lineRule="auto"/>
        <w:jc w:val="center"/>
        <w:rPr>
          <w:rFonts w:cs="Arial"/>
          <w:i/>
          <w:szCs w:val="20"/>
          <w:lang w:val="sl-SI" w:eastAsia="sl-SI"/>
        </w:rPr>
      </w:pPr>
    </w:p>
    <w:p w14:paraId="1D497F6F" w14:textId="77777777" w:rsidR="001D139C" w:rsidRPr="001D139C" w:rsidRDefault="001D139C" w:rsidP="001D139C">
      <w:pPr>
        <w:spacing w:line="240" w:lineRule="auto"/>
        <w:jc w:val="center"/>
        <w:rPr>
          <w:rFonts w:cs="Arial"/>
          <w:i/>
          <w:szCs w:val="20"/>
          <w:lang w:val="sl-SI" w:eastAsia="sl-SI"/>
        </w:rPr>
      </w:pPr>
    </w:p>
    <w:p w14:paraId="27AA7581" w14:textId="50F2D7DD" w:rsidR="001D139C" w:rsidRPr="001D139C" w:rsidRDefault="001D139C" w:rsidP="001D139C">
      <w:pPr>
        <w:spacing w:line="240" w:lineRule="auto"/>
        <w:jc w:val="center"/>
        <w:rPr>
          <w:rFonts w:cs="Arial"/>
          <w:b/>
          <w:caps/>
          <w:szCs w:val="20"/>
          <w:lang w:val="sl-SI" w:eastAsia="sl-SI"/>
        </w:rPr>
      </w:pPr>
      <w:r w:rsidRPr="001D139C">
        <w:rPr>
          <w:rFonts w:cs="Arial"/>
          <w:b/>
          <w:bCs/>
          <w:iCs/>
          <w:caps/>
          <w:szCs w:val="20"/>
          <w:lang w:val="sl-SI" w:eastAsia="sl-SI"/>
        </w:rPr>
        <w:t xml:space="preserve">ZA  </w:t>
      </w:r>
      <w:r w:rsidRPr="001D139C">
        <w:rPr>
          <w:rFonts w:cs="Arial"/>
          <w:b/>
          <w:caps/>
          <w:szCs w:val="20"/>
          <w:lang w:val="sl-SI" w:eastAsia="sl-SI"/>
        </w:rPr>
        <w:t>izdajo javnega pooblastila za ANAnaliziraje in testiranje odvzetih vzorcev, razvoj analitičnih in testnih metod ter druge naloge, povezane s kontrolo določanja g</w:t>
      </w:r>
      <w:r w:rsidR="00E83EC3">
        <w:rPr>
          <w:rFonts w:cs="Arial"/>
          <w:b/>
          <w:caps/>
          <w:szCs w:val="20"/>
          <w:lang w:val="sl-SI" w:eastAsia="sl-SI"/>
        </w:rPr>
        <w:t>ENSKO SPREMENJENIH ORGANIZMOV</w:t>
      </w:r>
      <w:r w:rsidRPr="001D139C">
        <w:rPr>
          <w:rFonts w:cs="Arial"/>
          <w:b/>
          <w:caps/>
          <w:szCs w:val="20"/>
          <w:lang w:val="sl-SI" w:eastAsia="sl-SI"/>
        </w:rPr>
        <w:t xml:space="preserve"> </w:t>
      </w:r>
    </w:p>
    <w:p w14:paraId="516AA7D6" w14:textId="77777777" w:rsidR="001D139C" w:rsidRPr="001D139C" w:rsidRDefault="001D139C" w:rsidP="001D139C">
      <w:pPr>
        <w:spacing w:line="240" w:lineRule="auto"/>
        <w:jc w:val="center"/>
        <w:rPr>
          <w:rFonts w:cs="Arial"/>
          <w:b/>
          <w:caps/>
          <w:szCs w:val="20"/>
          <w:lang w:val="sl-SI" w:eastAsia="sl-SI"/>
        </w:rPr>
      </w:pPr>
    </w:p>
    <w:p w14:paraId="03B58BA5" w14:textId="77777777" w:rsidR="001D139C" w:rsidRPr="001D139C" w:rsidRDefault="001D139C" w:rsidP="001D139C">
      <w:pPr>
        <w:spacing w:line="240" w:lineRule="auto"/>
        <w:jc w:val="center"/>
        <w:rPr>
          <w:rFonts w:cs="Arial"/>
          <w:b/>
          <w:szCs w:val="20"/>
          <w:lang w:val="sl-SI" w:eastAsia="sl-SI"/>
        </w:rPr>
      </w:pPr>
    </w:p>
    <w:p w14:paraId="66BAF6AE" w14:textId="77777777" w:rsidR="001D139C" w:rsidRPr="001D139C" w:rsidRDefault="001D139C" w:rsidP="001D139C">
      <w:pPr>
        <w:spacing w:line="240" w:lineRule="auto"/>
        <w:jc w:val="center"/>
        <w:rPr>
          <w:rFonts w:cs="Arial"/>
          <w:b/>
          <w:bCs/>
          <w:i/>
          <w:iCs/>
          <w:szCs w:val="20"/>
          <w:lang w:val="sl-SI" w:eastAsia="sl-SI"/>
        </w:rPr>
      </w:pPr>
    </w:p>
    <w:p w14:paraId="2D9664D4" w14:textId="77777777" w:rsidR="001D139C" w:rsidRPr="001D139C" w:rsidRDefault="001D139C" w:rsidP="001D139C">
      <w:pPr>
        <w:spacing w:line="240" w:lineRule="auto"/>
        <w:jc w:val="center"/>
        <w:rPr>
          <w:rFonts w:cs="Arial"/>
          <w:b/>
          <w:bCs/>
          <w:szCs w:val="20"/>
          <w:lang w:val="sl-SI" w:eastAsia="sl-SI"/>
        </w:rPr>
      </w:pPr>
    </w:p>
    <w:p w14:paraId="7DA6D6E7" w14:textId="77777777" w:rsidR="001D139C" w:rsidRPr="001D139C" w:rsidRDefault="001D139C" w:rsidP="001D139C">
      <w:pPr>
        <w:spacing w:line="240" w:lineRule="auto"/>
        <w:jc w:val="center"/>
        <w:rPr>
          <w:rFonts w:cs="Arial"/>
          <w:b/>
          <w:bCs/>
          <w:szCs w:val="20"/>
          <w:lang w:val="sl-SI" w:eastAsia="sl-SI"/>
        </w:rPr>
      </w:pPr>
    </w:p>
    <w:p w14:paraId="048F5D79" w14:textId="77777777" w:rsidR="001D139C" w:rsidRPr="001D139C" w:rsidRDefault="001D139C" w:rsidP="001D139C">
      <w:pPr>
        <w:spacing w:line="240" w:lineRule="auto"/>
        <w:jc w:val="center"/>
        <w:rPr>
          <w:rFonts w:cs="Arial"/>
          <w:b/>
          <w:bCs/>
          <w:szCs w:val="20"/>
          <w:lang w:val="sl-SI" w:eastAsia="sl-SI"/>
        </w:rPr>
      </w:pPr>
    </w:p>
    <w:p w14:paraId="0B01A0AF" w14:textId="77777777" w:rsidR="001D139C" w:rsidRPr="001D139C" w:rsidRDefault="001D139C" w:rsidP="001D139C">
      <w:pPr>
        <w:spacing w:line="240" w:lineRule="auto"/>
        <w:jc w:val="center"/>
        <w:rPr>
          <w:rFonts w:cs="Arial"/>
          <w:b/>
          <w:bCs/>
          <w:szCs w:val="20"/>
          <w:lang w:val="sl-SI" w:eastAsia="sl-SI"/>
        </w:rPr>
      </w:pPr>
    </w:p>
    <w:p w14:paraId="587E161D" w14:textId="77777777" w:rsidR="001D139C" w:rsidRPr="001D139C" w:rsidRDefault="001D139C" w:rsidP="001D139C">
      <w:pPr>
        <w:spacing w:line="240" w:lineRule="auto"/>
        <w:jc w:val="center"/>
        <w:rPr>
          <w:rFonts w:cs="Arial"/>
          <w:b/>
          <w:bCs/>
          <w:szCs w:val="20"/>
          <w:lang w:val="sl-SI" w:eastAsia="sl-SI"/>
        </w:rPr>
      </w:pPr>
    </w:p>
    <w:p w14:paraId="78234DBE" w14:textId="77777777" w:rsidR="001D139C" w:rsidRPr="001D139C" w:rsidRDefault="001D139C" w:rsidP="001D139C">
      <w:pPr>
        <w:spacing w:line="240" w:lineRule="auto"/>
        <w:jc w:val="center"/>
        <w:rPr>
          <w:rFonts w:cs="Arial"/>
          <w:b/>
          <w:bCs/>
          <w:szCs w:val="20"/>
          <w:lang w:val="sl-SI" w:eastAsia="sl-SI"/>
        </w:rPr>
      </w:pPr>
    </w:p>
    <w:p w14:paraId="7D6A71D9" w14:textId="77777777" w:rsidR="001D139C" w:rsidRPr="001D139C" w:rsidRDefault="001D139C" w:rsidP="001D139C">
      <w:pPr>
        <w:spacing w:line="240" w:lineRule="auto"/>
        <w:jc w:val="center"/>
        <w:rPr>
          <w:rFonts w:cs="Arial"/>
          <w:b/>
          <w:bCs/>
          <w:szCs w:val="20"/>
          <w:lang w:val="sl-SI" w:eastAsia="sl-SI"/>
        </w:rPr>
      </w:pPr>
    </w:p>
    <w:p w14:paraId="779E8D89" w14:textId="77777777" w:rsidR="001D139C" w:rsidRPr="001D139C" w:rsidRDefault="001D139C" w:rsidP="001D139C">
      <w:pPr>
        <w:spacing w:line="240" w:lineRule="auto"/>
        <w:jc w:val="center"/>
        <w:rPr>
          <w:rFonts w:cs="Arial"/>
          <w:b/>
          <w:bCs/>
          <w:szCs w:val="20"/>
          <w:lang w:val="sl-SI" w:eastAsia="sl-SI"/>
        </w:rPr>
      </w:pPr>
    </w:p>
    <w:p w14:paraId="18A8BCC7" w14:textId="77777777" w:rsidR="001D139C" w:rsidRPr="001D139C" w:rsidRDefault="001D139C" w:rsidP="001D139C">
      <w:pPr>
        <w:spacing w:line="240" w:lineRule="auto"/>
        <w:jc w:val="center"/>
        <w:rPr>
          <w:rFonts w:cs="Arial"/>
          <w:b/>
          <w:bCs/>
          <w:szCs w:val="20"/>
          <w:lang w:val="sl-SI" w:eastAsia="sl-SI"/>
        </w:rPr>
      </w:pPr>
    </w:p>
    <w:p w14:paraId="1C5EE973" w14:textId="77777777" w:rsidR="001D139C" w:rsidRPr="001D139C" w:rsidRDefault="001D139C" w:rsidP="001D139C">
      <w:pPr>
        <w:spacing w:line="240" w:lineRule="auto"/>
        <w:jc w:val="center"/>
        <w:rPr>
          <w:rFonts w:cs="Arial"/>
          <w:b/>
          <w:bCs/>
          <w:szCs w:val="20"/>
          <w:lang w:val="sl-SI" w:eastAsia="sl-SI"/>
        </w:rPr>
      </w:pPr>
    </w:p>
    <w:p w14:paraId="002E9B60" w14:textId="77777777" w:rsidR="001D139C" w:rsidRPr="001D139C" w:rsidRDefault="001D139C" w:rsidP="001D139C">
      <w:pPr>
        <w:spacing w:line="240" w:lineRule="auto"/>
        <w:jc w:val="center"/>
        <w:rPr>
          <w:rFonts w:cs="Arial"/>
          <w:b/>
          <w:bCs/>
          <w:szCs w:val="20"/>
          <w:lang w:val="sl-SI" w:eastAsia="sl-SI"/>
        </w:rPr>
      </w:pPr>
    </w:p>
    <w:p w14:paraId="170B6701" w14:textId="77777777" w:rsidR="001D139C" w:rsidRPr="001D139C" w:rsidRDefault="001D139C" w:rsidP="001D139C">
      <w:pPr>
        <w:spacing w:line="240" w:lineRule="auto"/>
        <w:jc w:val="center"/>
        <w:rPr>
          <w:rFonts w:cs="Arial"/>
          <w:b/>
          <w:bCs/>
          <w:szCs w:val="20"/>
          <w:lang w:val="sl-SI" w:eastAsia="sl-SI"/>
        </w:rPr>
      </w:pPr>
    </w:p>
    <w:p w14:paraId="2B7B3C86" w14:textId="77777777" w:rsidR="001D139C" w:rsidRPr="001D139C" w:rsidRDefault="001D139C" w:rsidP="001D139C">
      <w:pPr>
        <w:spacing w:line="240" w:lineRule="auto"/>
        <w:jc w:val="center"/>
        <w:rPr>
          <w:rFonts w:cs="Arial"/>
          <w:b/>
          <w:bCs/>
          <w:szCs w:val="20"/>
          <w:lang w:val="sl-SI" w:eastAsia="sl-SI"/>
        </w:rPr>
      </w:pPr>
    </w:p>
    <w:p w14:paraId="31CDBA80" w14:textId="77777777" w:rsidR="001D139C" w:rsidRPr="001D139C" w:rsidRDefault="001D139C" w:rsidP="001D139C">
      <w:pPr>
        <w:spacing w:line="240" w:lineRule="auto"/>
        <w:jc w:val="center"/>
        <w:rPr>
          <w:rFonts w:cs="Arial"/>
          <w:b/>
          <w:bCs/>
          <w:szCs w:val="20"/>
          <w:lang w:val="sl-SI" w:eastAsia="sl-SI"/>
        </w:rPr>
      </w:pPr>
    </w:p>
    <w:p w14:paraId="3C789A0A" w14:textId="77777777" w:rsidR="001D139C" w:rsidRPr="001D139C" w:rsidRDefault="001D139C" w:rsidP="001D139C">
      <w:pPr>
        <w:spacing w:line="240" w:lineRule="auto"/>
        <w:jc w:val="center"/>
        <w:rPr>
          <w:rFonts w:cs="Arial"/>
          <w:b/>
          <w:bCs/>
          <w:szCs w:val="20"/>
          <w:lang w:val="sl-SI" w:eastAsia="sl-SI"/>
        </w:rPr>
      </w:pPr>
    </w:p>
    <w:p w14:paraId="79BA4DCB" w14:textId="77777777" w:rsidR="001D139C" w:rsidRPr="001D139C" w:rsidRDefault="001D139C" w:rsidP="001D139C">
      <w:pPr>
        <w:spacing w:line="240" w:lineRule="auto"/>
        <w:jc w:val="center"/>
        <w:rPr>
          <w:rFonts w:cs="Arial"/>
          <w:b/>
          <w:bCs/>
          <w:szCs w:val="20"/>
          <w:lang w:val="sl-SI" w:eastAsia="sl-SI"/>
        </w:rPr>
      </w:pPr>
    </w:p>
    <w:p w14:paraId="7B474E9E" w14:textId="77777777" w:rsidR="001D139C" w:rsidRPr="001D139C" w:rsidRDefault="001D139C" w:rsidP="001D139C">
      <w:pPr>
        <w:spacing w:line="240" w:lineRule="auto"/>
        <w:jc w:val="center"/>
        <w:rPr>
          <w:rFonts w:cs="Arial"/>
          <w:b/>
          <w:bCs/>
          <w:szCs w:val="20"/>
          <w:lang w:val="sl-SI" w:eastAsia="sl-SI"/>
        </w:rPr>
      </w:pPr>
    </w:p>
    <w:p w14:paraId="799FF68F" w14:textId="77777777" w:rsidR="001D139C" w:rsidRDefault="001D139C" w:rsidP="001D139C">
      <w:pPr>
        <w:spacing w:line="240" w:lineRule="auto"/>
        <w:jc w:val="center"/>
        <w:rPr>
          <w:rFonts w:cs="Arial"/>
          <w:b/>
          <w:bCs/>
          <w:szCs w:val="20"/>
          <w:lang w:val="sl-SI" w:eastAsia="sl-SI"/>
        </w:rPr>
      </w:pPr>
    </w:p>
    <w:p w14:paraId="08C2D333" w14:textId="77777777" w:rsidR="001D139C" w:rsidRDefault="001D139C" w:rsidP="001D139C">
      <w:pPr>
        <w:spacing w:line="240" w:lineRule="auto"/>
        <w:jc w:val="center"/>
        <w:rPr>
          <w:rFonts w:cs="Arial"/>
          <w:b/>
          <w:bCs/>
          <w:szCs w:val="20"/>
          <w:lang w:val="sl-SI" w:eastAsia="sl-SI"/>
        </w:rPr>
      </w:pPr>
    </w:p>
    <w:p w14:paraId="352CF9C2" w14:textId="77777777" w:rsidR="001D139C" w:rsidRDefault="001D139C" w:rsidP="001D139C">
      <w:pPr>
        <w:spacing w:line="240" w:lineRule="auto"/>
        <w:jc w:val="center"/>
        <w:rPr>
          <w:rFonts w:cs="Arial"/>
          <w:b/>
          <w:bCs/>
          <w:szCs w:val="20"/>
          <w:lang w:val="sl-SI" w:eastAsia="sl-SI"/>
        </w:rPr>
      </w:pPr>
    </w:p>
    <w:p w14:paraId="19766417" w14:textId="77777777" w:rsidR="001D139C" w:rsidRDefault="001D139C" w:rsidP="001D139C">
      <w:pPr>
        <w:spacing w:line="240" w:lineRule="auto"/>
        <w:jc w:val="center"/>
        <w:rPr>
          <w:rFonts w:cs="Arial"/>
          <w:b/>
          <w:bCs/>
          <w:szCs w:val="20"/>
          <w:lang w:val="sl-SI" w:eastAsia="sl-SI"/>
        </w:rPr>
      </w:pPr>
    </w:p>
    <w:p w14:paraId="6DEA8D4F" w14:textId="77777777" w:rsidR="001D139C" w:rsidRDefault="001D139C" w:rsidP="001D139C">
      <w:pPr>
        <w:spacing w:line="240" w:lineRule="auto"/>
        <w:jc w:val="center"/>
        <w:rPr>
          <w:rFonts w:cs="Arial"/>
          <w:b/>
          <w:bCs/>
          <w:szCs w:val="20"/>
          <w:lang w:val="sl-SI" w:eastAsia="sl-SI"/>
        </w:rPr>
      </w:pPr>
    </w:p>
    <w:p w14:paraId="5A3C106D" w14:textId="77777777" w:rsidR="001D139C" w:rsidRDefault="001D139C" w:rsidP="001D139C">
      <w:pPr>
        <w:spacing w:line="240" w:lineRule="auto"/>
        <w:jc w:val="center"/>
        <w:rPr>
          <w:rFonts w:cs="Arial"/>
          <w:b/>
          <w:bCs/>
          <w:szCs w:val="20"/>
          <w:lang w:val="sl-SI" w:eastAsia="sl-SI"/>
        </w:rPr>
      </w:pPr>
    </w:p>
    <w:p w14:paraId="4D4F01D5" w14:textId="77777777" w:rsidR="001D139C" w:rsidRDefault="001D139C" w:rsidP="001D139C">
      <w:pPr>
        <w:spacing w:line="240" w:lineRule="auto"/>
        <w:jc w:val="center"/>
        <w:rPr>
          <w:rFonts w:cs="Arial"/>
          <w:b/>
          <w:bCs/>
          <w:szCs w:val="20"/>
          <w:lang w:val="sl-SI" w:eastAsia="sl-SI"/>
        </w:rPr>
      </w:pPr>
    </w:p>
    <w:p w14:paraId="6B063938" w14:textId="77777777" w:rsidR="001D139C" w:rsidRDefault="001D139C" w:rsidP="001D139C">
      <w:pPr>
        <w:spacing w:line="240" w:lineRule="auto"/>
        <w:jc w:val="center"/>
        <w:rPr>
          <w:rFonts w:cs="Arial"/>
          <w:b/>
          <w:bCs/>
          <w:szCs w:val="20"/>
          <w:lang w:val="sl-SI" w:eastAsia="sl-SI"/>
        </w:rPr>
      </w:pPr>
    </w:p>
    <w:p w14:paraId="68CE084F" w14:textId="77777777" w:rsidR="001D139C" w:rsidRDefault="001D139C" w:rsidP="001D139C">
      <w:pPr>
        <w:spacing w:line="240" w:lineRule="auto"/>
        <w:jc w:val="center"/>
        <w:rPr>
          <w:rFonts w:cs="Arial"/>
          <w:b/>
          <w:bCs/>
          <w:szCs w:val="20"/>
          <w:lang w:val="sl-SI" w:eastAsia="sl-SI"/>
        </w:rPr>
      </w:pPr>
    </w:p>
    <w:p w14:paraId="4321BF5A" w14:textId="77777777" w:rsidR="001D139C" w:rsidRDefault="001D139C" w:rsidP="001D139C">
      <w:pPr>
        <w:spacing w:line="240" w:lineRule="auto"/>
        <w:jc w:val="center"/>
        <w:rPr>
          <w:rFonts w:cs="Arial"/>
          <w:b/>
          <w:bCs/>
          <w:szCs w:val="20"/>
          <w:lang w:val="sl-SI" w:eastAsia="sl-SI"/>
        </w:rPr>
      </w:pPr>
    </w:p>
    <w:p w14:paraId="00B6B4D1" w14:textId="77777777" w:rsidR="001D139C" w:rsidRDefault="001D139C" w:rsidP="001D139C">
      <w:pPr>
        <w:spacing w:line="240" w:lineRule="auto"/>
        <w:jc w:val="center"/>
        <w:rPr>
          <w:rFonts w:cs="Arial"/>
          <w:b/>
          <w:bCs/>
          <w:szCs w:val="20"/>
          <w:lang w:val="sl-SI" w:eastAsia="sl-SI"/>
        </w:rPr>
      </w:pPr>
    </w:p>
    <w:p w14:paraId="7C437696" w14:textId="77777777" w:rsidR="001D139C" w:rsidRDefault="001D139C" w:rsidP="001D139C">
      <w:pPr>
        <w:spacing w:line="240" w:lineRule="auto"/>
        <w:jc w:val="center"/>
        <w:rPr>
          <w:rFonts w:cs="Arial"/>
          <w:b/>
          <w:bCs/>
          <w:szCs w:val="20"/>
          <w:lang w:val="sl-SI" w:eastAsia="sl-SI"/>
        </w:rPr>
      </w:pPr>
    </w:p>
    <w:p w14:paraId="43294F54" w14:textId="77777777" w:rsidR="001D139C" w:rsidRPr="001D139C" w:rsidRDefault="001D139C" w:rsidP="001D139C">
      <w:pPr>
        <w:spacing w:line="240" w:lineRule="auto"/>
        <w:jc w:val="center"/>
        <w:rPr>
          <w:rFonts w:cs="Arial"/>
          <w:b/>
          <w:bCs/>
          <w:szCs w:val="20"/>
          <w:lang w:val="sl-SI" w:eastAsia="sl-SI"/>
        </w:rPr>
      </w:pPr>
    </w:p>
    <w:p w14:paraId="22D5320B" w14:textId="77777777" w:rsidR="001D139C" w:rsidRDefault="001D139C" w:rsidP="001D139C">
      <w:pPr>
        <w:spacing w:line="240" w:lineRule="auto"/>
        <w:jc w:val="center"/>
        <w:rPr>
          <w:rFonts w:cs="Arial"/>
          <w:b/>
          <w:bCs/>
          <w:szCs w:val="20"/>
          <w:lang w:val="sl-SI" w:eastAsia="sl-SI"/>
        </w:rPr>
      </w:pPr>
    </w:p>
    <w:p w14:paraId="67ED9261" w14:textId="77777777" w:rsidR="001D139C" w:rsidRPr="001D139C" w:rsidRDefault="001D139C" w:rsidP="001D139C">
      <w:pPr>
        <w:spacing w:line="240" w:lineRule="auto"/>
        <w:jc w:val="center"/>
        <w:rPr>
          <w:rFonts w:cs="Arial"/>
          <w:b/>
          <w:bCs/>
          <w:szCs w:val="20"/>
          <w:lang w:val="sl-SI" w:eastAsia="sl-SI"/>
        </w:rPr>
      </w:pPr>
    </w:p>
    <w:p w14:paraId="201590E5" w14:textId="77777777" w:rsidR="001D139C" w:rsidRPr="001D139C" w:rsidRDefault="001D139C" w:rsidP="001D139C">
      <w:pPr>
        <w:spacing w:line="240" w:lineRule="auto"/>
        <w:jc w:val="center"/>
        <w:rPr>
          <w:rFonts w:cs="Arial"/>
          <w:b/>
          <w:bCs/>
          <w:szCs w:val="20"/>
          <w:lang w:val="sl-SI" w:eastAsia="sl-SI"/>
        </w:rPr>
      </w:pPr>
    </w:p>
    <w:p w14:paraId="76646C1E" w14:textId="77777777" w:rsidR="001D139C" w:rsidRPr="001D139C" w:rsidRDefault="001D139C" w:rsidP="001D139C">
      <w:pPr>
        <w:spacing w:line="240" w:lineRule="auto"/>
        <w:jc w:val="center"/>
        <w:rPr>
          <w:rFonts w:cs="Arial"/>
          <w:b/>
          <w:bCs/>
          <w:szCs w:val="20"/>
          <w:lang w:val="sl-SI" w:eastAsia="sl-SI"/>
        </w:rPr>
      </w:pPr>
    </w:p>
    <w:p w14:paraId="0594AD51" w14:textId="77777777" w:rsidR="001D139C" w:rsidRPr="001D139C" w:rsidRDefault="001D139C" w:rsidP="001D139C">
      <w:pPr>
        <w:spacing w:line="240" w:lineRule="auto"/>
        <w:rPr>
          <w:rFonts w:cs="Arial"/>
          <w:b/>
          <w:bCs/>
          <w:szCs w:val="20"/>
          <w:lang w:val="sl-SI" w:eastAsia="sl-SI"/>
        </w:rPr>
      </w:pPr>
    </w:p>
    <w:p w14:paraId="33C9BDFD" w14:textId="77777777" w:rsidR="001D139C" w:rsidRPr="001D139C" w:rsidRDefault="001D139C" w:rsidP="001D139C">
      <w:pPr>
        <w:spacing w:line="240" w:lineRule="auto"/>
        <w:jc w:val="center"/>
        <w:rPr>
          <w:rFonts w:cs="Arial"/>
          <w:b/>
          <w:bCs/>
          <w:szCs w:val="20"/>
          <w:lang w:val="sl-SI" w:eastAsia="sl-SI"/>
        </w:rPr>
      </w:pPr>
    </w:p>
    <w:p w14:paraId="5D8A6A46" w14:textId="77777777" w:rsidR="001D139C" w:rsidRPr="001D139C" w:rsidRDefault="001D139C" w:rsidP="001D139C">
      <w:pPr>
        <w:spacing w:line="240" w:lineRule="auto"/>
        <w:jc w:val="both"/>
        <w:rPr>
          <w:rFonts w:cs="Arial"/>
          <w:b/>
          <w:bCs/>
          <w:szCs w:val="20"/>
          <w:lang w:val="sl-SI" w:eastAsia="sl-SI"/>
        </w:rPr>
      </w:pPr>
    </w:p>
    <w:p w14:paraId="221BF7B1" w14:textId="77777777" w:rsidR="001D139C" w:rsidRPr="001D139C" w:rsidRDefault="001D139C" w:rsidP="001D139C">
      <w:pPr>
        <w:spacing w:line="240" w:lineRule="auto"/>
        <w:jc w:val="center"/>
        <w:rPr>
          <w:rFonts w:cs="Arial"/>
          <w:b/>
          <w:bCs/>
          <w:szCs w:val="20"/>
          <w:lang w:val="sl-SI" w:eastAsia="sl-SI"/>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1D139C" w:rsidRPr="00D00E76" w14:paraId="044104AA" w14:textId="77777777" w:rsidTr="00946362">
        <w:trPr>
          <w:trHeight w:val="444"/>
        </w:trPr>
        <w:tc>
          <w:tcPr>
            <w:tcW w:w="8928" w:type="dxa"/>
            <w:tcBorders>
              <w:top w:val="nil"/>
              <w:left w:val="nil"/>
              <w:bottom w:val="double" w:sz="18" w:space="0" w:color="auto"/>
              <w:right w:val="nil"/>
            </w:tcBorders>
          </w:tcPr>
          <w:p w14:paraId="25FA093C" w14:textId="77777777" w:rsidR="001D139C" w:rsidRPr="001D139C" w:rsidRDefault="001D139C" w:rsidP="001D139C">
            <w:pPr>
              <w:spacing w:line="240" w:lineRule="auto"/>
              <w:jc w:val="both"/>
              <w:rPr>
                <w:rFonts w:cs="Arial"/>
                <w:b/>
                <w:bCs/>
                <w:szCs w:val="20"/>
                <w:lang w:val="sl-SI" w:eastAsia="sl-SI"/>
              </w:rPr>
            </w:pPr>
            <w:r w:rsidRPr="001D139C">
              <w:rPr>
                <w:rFonts w:cs="Arial"/>
                <w:b/>
                <w:bCs/>
                <w:szCs w:val="20"/>
                <w:lang w:val="sl-SI" w:eastAsia="sl-SI"/>
              </w:rPr>
              <w:lastRenderedPageBreak/>
              <w:t>I.</w:t>
            </w:r>
            <w:r w:rsidRPr="001D139C">
              <w:rPr>
                <w:rFonts w:cs="Arial"/>
                <w:b/>
                <w:bCs/>
                <w:szCs w:val="20"/>
                <w:lang w:val="sl-SI" w:eastAsia="sl-SI"/>
              </w:rPr>
              <w:tab/>
              <w:t>POVABILO K ODDAJI VLOGE</w:t>
            </w:r>
          </w:p>
        </w:tc>
      </w:tr>
    </w:tbl>
    <w:p w14:paraId="4D5C9445"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73B102D7" w14:textId="77777777" w:rsidR="001D139C" w:rsidRPr="001D139C" w:rsidRDefault="001D139C" w:rsidP="001D139C">
      <w:pPr>
        <w:spacing w:line="240" w:lineRule="auto"/>
        <w:jc w:val="both"/>
        <w:rPr>
          <w:rFonts w:cs="Arial"/>
          <w:b/>
          <w:bCs/>
          <w:szCs w:val="20"/>
          <w:lang w:val="sl-SI" w:eastAsia="sl-SI"/>
        </w:rPr>
      </w:pPr>
    </w:p>
    <w:p w14:paraId="68C6E1E5" w14:textId="77777777" w:rsidR="001D139C" w:rsidRPr="001D139C" w:rsidRDefault="001D139C" w:rsidP="001D139C">
      <w:pPr>
        <w:spacing w:line="240" w:lineRule="auto"/>
        <w:jc w:val="both"/>
        <w:rPr>
          <w:rFonts w:cs="Arial"/>
          <w:b/>
          <w:bCs/>
          <w:szCs w:val="20"/>
          <w:lang w:val="sl-SI" w:eastAsia="sl-SI"/>
        </w:rPr>
      </w:pPr>
    </w:p>
    <w:p w14:paraId="30D50EB2" w14:textId="368DC9EE" w:rsidR="001D139C" w:rsidRPr="001D139C" w:rsidRDefault="001D139C" w:rsidP="001D139C">
      <w:pPr>
        <w:spacing w:line="240" w:lineRule="auto"/>
        <w:jc w:val="both"/>
        <w:rPr>
          <w:rFonts w:cs="Arial"/>
          <w:b/>
          <w:szCs w:val="20"/>
          <w:lang w:val="sl-SI" w:eastAsia="sl-SI"/>
        </w:rPr>
      </w:pPr>
      <w:r w:rsidRPr="001D139C">
        <w:rPr>
          <w:rFonts w:cs="Arial"/>
          <w:bCs/>
          <w:szCs w:val="20"/>
          <w:lang w:val="sl-SI" w:eastAsia="sl-SI"/>
        </w:rPr>
        <w:t>Republika Slovenija, Ministrstvo za okolje</w:t>
      </w:r>
      <w:r>
        <w:rPr>
          <w:rFonts w:cs="Arial"/>
          <w:bCs/>
          <w:szCs w:val="20"/>
          <w:lang w:val="sl-SI" w:eastAsia="sl-SI"/>
        </w:rPr>
        <w:t xml:space="preserve">, podnebje in energijo, Langusova ulica 4, </w:t>
      </w:r>
      <w:r w:rsidRPr="001D139C">
        <w:rPr>
          <w:rFonts w:cs="Arial"/>
          <w:bCs/>
          <w:szCs w:val="20"/>
          <w:lang w:val="sl-SI" w:eastAsia="sl-SI"/>
        </w:rPr>
        <w:t>1000 Ljubljana</w:t>
      </w:r>
      <w:r w:rsidRPr="001D139C">
        <w:rPr>
          <w:rFonts w:cs="Arial"/>
          <w:b/>
          <w:bCs/>
          <w:szCs w:val="20"/>
          <w:lang w:val="sl-SI" w:eastAsia="sl-SI"/>
        </w:rPr>
        <w:t xml:space="preserve"> </w:t>
      </w:r>
      <w:r w:rsidRPr="001D139C">
        <w:rPr>
          <w:rFonts w:cs="Arial"/>
          <w:szCs w:val="20"/>
          <w:lang w:val="sl-SI" w:eastAsia="sl-SI"/>
        </w:rPr>
        <w:t xml:space="preserve">(v nadaljevanju: </w:t>
      </w:r>
      <w:r w:rsidR="00E53346">
        <w:rPr>
          <w:rFonts w:cs="Arial"/>
          <w:szCs w:val="20"/>
          <w:lang w:val="sl-SI" w:eastAsia="sl-SI"/>
        </w:rPr>
        <w:t>MOPE</w:t>
      </w:r>
      <w:r w:rsidRPr="001D139C">
        <w:rPr>
          <w:rFonts w:cs="Arial"/>
          <w:szCs w:val="20"/>
          <w:lang w:val="sl-SI" w:eastAsia="sl-SI"/>
        </w:rPr>
        <w:t xml:space="preserve">), vabi vse upravičence, da v skladu z javnim natečajem </w:t>
      </w:r>
      <w:r w:rsidRPr="001D139C">
        <w:rPr>
          <w:rFonts w:cs="Arial"/>
          <w:i/>
          <w:iCs/>
          <w:szCs w:val="20"/>
          <w:lang w:val="sl-SI" w:eastAsia="sl-SI"/>
        </w:rPr>
        <w:t xml:space="preserve"> </w:t>
      </w:r>
      <w:r w:rsidRPr="001D139C">
        <w:rPr>
          <w:rFonts w:cs="Arial"/>
          <w:iCs/>
          <w:szCs w:val="20"/>
          <w:lang w:val="sl-SI" w:eastAsia="sl-SI"/>
        </w:rPr>
        <w:t xml:space="preserve">in </w:t>
      </w:r>
      <w:r w:rsidRPr="001D139C">
        <w:rPr>
          <w:rFonts w:cs="Arial"/>
          <w:szCs w:val="20"/>
          <w:lang w:val="sl-SI" w:eastAsia="sl-SI"/>
        </w:rPr>
        <w:t xml:space="preserve">razpisno dokumentacijo, oddajo vlogo za pridobitev javnega pooblastila za: </w:t>
      </w:r>
      <w:r w:rsidRPr="001D139C">
        <w:rPr>
          <w:rFonts w:cs="Arial"/>
          <w:b/>
          <w:szCs w:val="20"/>
          <w:lang w:val="sl-SI" w:eastAsia="sl-SI"/>
        </w:rPr>
        <w:t>A</w:t>
      </w:r>
      <w:r w:rsidRPr="001D139C">
        <w:rPr>
          <w:rFonts w:cs="Arial"/>
          <w:b/>
          <w:color w:val="000000"/>
          <w:szCs w:val="20"/>
          <w:lang w:val="sl-SI" w:eastAsia="sl-SI"/>
        </w:rPr>
        <w:t>naliziranje in testiranje odvzetih vzorcev, razvoj analitičnih in testnih metod ter druge naloge, povezane s kontrolo določanja gensko spremenjenih organizmov.</w:t>
      </w:r>
    </w:p>
    <w:p w14:paraId="78A189D8" w14:textId="77777777" w:rsidR="001D139C" w:rsidRPr="001D139C" w:rsidRDefault="001D139C" w:rsidP="001D139C">
      <w:pPr>
        <w:spacing w:line="240" w:lineRule="auto"/>
        <w:jc w:val="both"/>
        <w:rPr>
          <w:rFonts w:cs="Arial"/>
          <w:szCs w:val="20"/>
          <w:lang w:val="sl-SI" w:eastAsia="sl-SI"/>
        </w:rPr>
      </w:pPr>
    </w:p>
    <w:p w14:paraId="683212BC" w14:textId="77777777" w:rsidR="001D139C" w:rsidRPr="001D139C" w:rsidRDefault="001D139C" w:rsidP="001D139C">
      <w:pPr>
        <w:tabs>
          <w:tab w:val="left" w:pos="360"/>
        </w:tabs>
        <w:spacing w:line="240" w:lineRule="auto"/>
        <w:jc w:val="both"/>
        <w:rPr>
          <w:rFonts w:cs="Arial"/>
          <w:szCs w:val="20"/>
          <w:lang w:val="sl-SI" w:eastAsia="sl-SI"/>
        </w:rPr>
      </w:pPr>
      <w:r w:rsidRPr="001D139C">
        <w:rPr>
          <w:rFonts w:cs="Arial"/>
          <w:szCs w:val="20"/>
          <w:lang w:val="sl-SI" w:eastAsia="sl-SI"/>
        </w:rPr>
        <w:t xml:space="preserve">Upravičenci do podelitve javnega pooblastila so javni zavodi, ki delujejo, so ocenjeni  in akreditirani v skladu s standardom SIST EN ISO/IEC 17025 in ki izpolnjujejo pogoje za podelitev javnega pooblastila. </w:t>
      </w:r>
    </w:p>
    <w:p w14:paraId="6405AC75" w14:textId="77777777" w:rsidR="001D139C" w:rsidRPr="001D139C" w:rsidRDefault="001D139C" w:rsidP="001D139C">
      <w:pPr>
        <w:rPr>
          <w:rFonts w:cs="Arial"/>
          <w:b/>
          <w:szCs w:val="20"/>
          <w:lang w:val="sl-SI"/>
        </w:rPr>
      </w:pPr>
    </w:p>
    <w:p w14:paraId="48B5EF80" w14:textId="77777777" w:rsidR="001D139C" w:rsidRPr="001D139C" w:rsidRDefault="001D139C" w:rsidP="001D139C">
      <w:pPr>
        <w:rPr>
          <w:rFonts w:cs="Arial"/>
          <w:b/>
          <w:szCs w:val="20"/>
          <w:lang w:val="sl-SI"/>
        </w:rPr>
      </w:pPr>
      <w:r w:rsidRPr="001D139C">
        <w:rPr>
          <w:rFonts w:cs="Arial"/>
          <w:b/>
          <w:szCs w:val="20"/>
          <w:lang w:val="sl-SI"/>
        </w:rPr>
        <w:t>I.1 Izhodišča</w:t>
      </w:r>
    </w:p>
    <w:p w14:paraId="06B1EA07" w14:textId="77777777" w:rsidR="001D139C" w:rsidRPr="001D139C" w:rsidRDefault="001D139C" w:rsidP="001D139C">
      <w:pPr>
        <w:numPr>
          <w:ilvl w:val="12"/>
          <w:numId w:val="0"/>
        </w:numPr>
        <w:jc w:val="both"/>
        <w:rPr>
          <w:rFonts w:cs="Arial"/>
          <w:szCs w:val="20"/>
          <w:lang w:val="sl-SI"/>
        </w:rPr>
      </w:pPr>
    </w:p>
    <w:p w14:paraId="726BD0ED" w14:textId="77777777" w:rsidR="001D139C" w:rsidRPr="001D139C" w:rsidRDefault="001D139C" w:rsidP="001D139C">
      <w:pPr>
        <w:numPr>
          <w:ilvl w:val="12"/>
          <w:numId w:val="0"/>
        </w:numPr>
        <w:jc w:val="both"/>
        <w:rPr>
          <w:rFonts w:cs="Arial"/>
          <w:szCs w:val="20"/>
          <w:lang w:val="sl-SI"/>
        </w:rPr>
      </w:pPr>
      <w:r w:rsidRPr="001D139C">
        <w:rPr>
          <w:rFonts w:cs="Arial"/>
          <w:szCs w:val="20"/>
          <w:lang w:val="sl-SI"/>
        </w:rPr>
        <w:t>Republika Slovenija mora za potrebe izvajanja Zakona o ravnanju z gensko spremenjenimi organizmi (v nadaljevanju: ZRGSO) (Uradni list RS, št. 23/05 – uradno prečiščeno besedilo, 21/10 in 90/12 – ZdZPVHVVR) zagotavljati kontrolne ukrepe za katere izvajanje je na osnovi 55.a člena zadolženo Ministrstvo za okolje</w:t>
      </w:r>
      <w:r>
        <w:rPr>
          <w:rFonts w:cs="Arial"/>
          <w:szCs w:val="20"/>
          <w:lang w:val="sl-SI"/>
        </w:rPr>
        <w:t>, podnebje in energijo</w:t>
      </w:r>
      <w:r w:rsidRPr="001D139C">
        <w:rPr>
          <w:rFonts w:cs="Arial"/>
          <w:szCs w:val="20"/>
          <w:lang w:val="sl-SI"/>
        </w:rPr>
        <w:t xml:space="preserve"> (v nadaljevanju: MOP</w:t>
      </w:r>
      <w:r>
        <w:rPr>
          <w:rFonts w:cs="Arial"/>
          <w:szCs w:val="20"/>
          <w:lang w:val="sl-SI"/>
        </w:rPr>
        <w:t>E</w:t>
      </w:r>
      <w:r w:rsidRPr="001D139C">
        <w:rPr>
          <w:rFonts w:cs="Arial"/>
          <w:szCs w:val="20"/>
          <w:lang w:val="sl-SI"/>
        </w:rPr>
        <w:t>). Za izvajanje ukrepov iz 55.a člena lahko MOP</w:t>
      </w:r>
      <w:r>
        <w:rPr>
          <w:rFonts w:cs="Arial"/>
          <w:szCs w:val="20"/>
          <w:lang w:val="sl-SI"/>
        </w:rPr>
        <w:t>E</w:t>
      </w:r>
      <w:r w:rsidRPr="001D139C">
        <w:rPr>
          <w:rFonts w:cs="Arial"/>
          <w:szCs w:val="20"/>
          <w:lang w:val="sl-SI"/>
        </w:rPr>
        <w:t xml:space="preserve"> na podlagi javnega natečaja za kontrolni ukrep analiziranja in testiranja odvzetih vzorcev, razvoj analitičnih in testnih metod ter drugih nalog, povezanih s kontrolo določanja gensko spremenjenih organizmov (v nadaljevanju: GSO) podeli javno pooblastilo javnim zavodom, ki delujejo, so ocenjeni in akreditirani v skladu s standardom SIST EN ISO/IEC 17025.</w:t>
      </w:r>
    </w:p>
    <w:p w14:paraId="2D3B11C1" w14:textId="77777777" w:rsidR="001D139C" w:rsidRPr="001D139C" w:rsidRDefault="001D139C" w:rsidP="001D139C">
      <w:pPr>
        <w:numPr>
          <w:ilvl w:val="12"/>
          <w:numId w:val="0"/>
        </w:numPr>
        <w:jc w:val="both"/>
        <w:rPr>
          <w:rFonts w:cs="Arial"/>
          <w:szCs w:val="20"/>
          <w:lang w:val="sl-SI"/>
        </w:rPr>
      </w:pPr>
    </w:p>
    <w:p w14:paraId="4E24E41E" w14:textId="77777777" w:rsidR="001D139C" w:rsidRPr="001D139C" w:rsidRDefault="001D139C" w:rsidP="001D139C">
      <w:pPr>
        <w:numPr>
          <w:ilvl w:val="12"/>
          <w:numId w:val="0"/>
        </w:numPr>
        <w:jc w:val="both"/>
        <w:rPr>
          <w:rFonts w:cs="Arial"/>
          <w:szCs w:val="20"/>
          <w:lang w:val="sl-SI"/>
        </w:rPr>
      </w:pPr>
      <w:r w:rsidRPr="001D139C">
        <w:rPr>
          <w:rFonts w:cs="Arial"/>
          <w:szCs w:val="20"/>
          <w:lang w:val="sl-SI"/>
        </w:rPr>
        <w:t>Javni zavodi – referenčni preskusni laboratoriji, ki izvajajo analiziranje in testiranje odvzetih vzorcev, razvoj analitičnih in testnih metod ter drugih nalog, povezanih s kontrolo določanja GSO morajo izpolnjevati zahtevane pogoje, ki jih določa tudi zakonodaja EU kot zahteve za laboratorije na področju kvalitativnega in kvantitativnega določanja GSO (</w:t>
      </w:r>
      <w:r w:rsidRPr="001D139C">
        <w:rPr>
          <w:rFonts w:eastAsia="EUAlbertina-Bold-Identity-H" w:cs="Arial"/>
          <w:iCs/>
          <w:color w:val="000000"/>
          <w:szCs w:val="20"/>
          <w:lang w:val="sl-SI"/>
        </w:rPr>
        <w:t xml:space="preserve">Priporočilo ES 787/2004 o tehničnih vodilih za vzorčenje in določanje GSO in materiala, ki izhaja iz GSO v okviru Uredbe (ES) št. 1830/2003; </w:t>
      </w:r>
      <w:r w:rsidRPr="001D139C">
        <w:rPr>
          <w:rFonts w:cs="Arial"/>
          <w:szCs w:val="20"/>
          <w:lang w:val="sl-SI"/>
        </w:rPr>
        <w:t>Izvedbena uredba Komisije (EU) št. 120/2014</w:t>
      </w:r>
      <w:r w:rsidRPr="001D139C">
        <w:rPr>
          <w:rFonts w:eastAsia="EUAlbertina-Bold-Identity-H" w:cs="Arial"/>
          <w:iCs/>
          <w:color w:val="000000"/>
          <w:szCs w:val="20"/>
          <w:lang w:val="sl-SI"/>
        </w:rPr>
        <w:t xml:space="preserve"> z dne 7. februarja 2014 o spremembi Uredbe (ES) št. 1981/2006 o podrobnih pravilih za izvajanje člena 32 Uredbe (ES) št. 1829/2003 Evropskega Parlamenta in Sveta glede referenčnega laboratorija Skupnosti za gensko spremenjene organizme)</w:t>
      </w:r>
      <w:r w:rsidRPr="001D139C">
        <w:rPr>
          <w:rFonts w:cs="Arial"/>
          <w:szCs w:val="20"/>
          <w:lang w:val="sl-SI"/>
        </w:rPr>
        <w:t xml:space="preserve">. Sodelovati morajo z referenčnim laboratorijem EU in biti član </w:t>
      </w:r>
      <w:r w:rsidRPr="001D139C">
        <w:rPr>
          <w:rFonts w:cs="Arial"/>
          <w:color w:val="000000"/>
          <w:szCs w:val="20"/>
          <w:lang w:val="sl-SI"/>
        </w:rPr>
        <w:t>evropske mreže laboratorijev, ki določajo GSO</w:t>
      </w:r>
      <w:r w:rsidRPr="001D139C">
        <w:rPr>
          <w:rFonts w:cs="Arial"/>
          <w:szCs w:val="20"/>
          <w:lang w:val="sl-SI"/>
        </w:rPr>
        <w:t xml:space="preserve"> ter vpisani tudi v register zaprtih sistemov za delo z GSO v skladu s slovensko zakonodajo s področja GSO. </w:t>
      </w:r>
    </w:p>
    <w:p w14:paraId="785025EA" w14:textId="77777777" w:rsidR="001D139C" w:rsidRPr="001D139C" w:rsidRDefault="001D139C" w:rsidP="001D139C">
      <w:pPr>
        <w:numPr>
          <w:ilvl w:val="12"/>
          <w:numId w:val="0"/>
        </w:numPr>
        <w:jc w:val="both"/>
        <w:rPr>
          <w:rFonts w:cs="Arial"/>
          <w:szCs w:val="20"/>
          <w:lang w:val="sl-SI"/>
        </w:rPr>
      </w:pPr>
    </w:p>
    <w:p w14:paraId="35CB8C1A" w14:textId="77777777" w:rsidR="001D139C" w:rsidRPr="001D139C" w:rsidRDefault="001D139C" w:rsidP="001D139C">
      <w:pPr>
        <w:tabs>
          <w:tab w:val="num" w:pos="360"/>
        </w:tabs>
        <w:rPr>
          <w:rFonts w:cs="Arial"/>
          <w:b/>
          <w:szCs w:val="20"/>
          <w:lang w:val="sl-SI"/>
        </w:rPr>
      </w:pPr>
      <w:bookmarkStart w:id="0" w:name="_Hlk207273279"/>
      <w:r w:rsidRPr="001D139C">
        <w:rPr>
          <w:rFonts w:cs="Arial"/>
          <w:b/>
          <w:szCs w:val="20"/>
          <w:lang w:val="sl-SI"/>
        </w:rPr>
        <w:t>I.2 Pravne osnove</w:t>
      </w:r>
    </w:p>
    <w:p w14:paraId="5CCA924B" w14:textId="77777777" w:rsidR="001D139C" w:rsidRPr="001D139C" w:rsidRDefault="001D139C" w:rsidP="001D139C">
      <w:pPr>
        <w:jc w:val="both"/>
        <w:rPr>
          <w:rFonts w:cs="Arial"/>
          <w:szCs w:val="20"/>
          <w:lang w:val="sl-SI"/>
        </w:rPr>
      </w:pPr>
    </w:p>
    <w:p w14:paraId="625B20B5" w14:textId="77777777" w:rsidR="001D139C" w:rsidRPr="001D139C" w:rsidRDefault="001D139C" w:rsidP="001D139C">
      <w:pPr>
        <w:jc w:val="both"/>
        <w:rPr>
          <w:rFonts w:cs="Arial"/>
          <w:szCs w:val="20"/>
          <w:lang w:val="sl-SI"/>
        </w:rPr>
      </w:pPr>
      <w:r w:rsidRPr="001D139C">
        <w:rPr>
          <w:rFonts w:cs="Arial"/>
          <w:szCs w:val="20"/>
          <w:lang w:val="sl-SI"/>
        </w:rPr>
        <w:t>Zagotavljanje kontrolnih ukrepov iz obveznosti MOP</w:t>
      </w:r>
      <w:r w:rsidR="009772E1">
        <w:rPr>
          <w:rFonts w:cs="Arial"/>
          <w:szCs w:val="20"/>
          <w:lang w:val="sl-SI"/>
        </w:rPr>
        <w:t>E</w:t>
      </w:r>
      <w:r w:rsidRPr="001D139C">
        <w:rPr>
          <w:rFonts w:cs="Arial"/>
          <w:szCs w:val="20"/>
          <w:lang w:val="sl-SI"/>
        </w:rPr>
        <w:t xml:space="preserve"> izhajajo iz:</w:t>
      </w:r>
    </w:p>
    <w:p w14:paraId="5D02BB4F" w14:textId="77777777" w:rsidR="001D139C" w:rsidRPr="001D139C" w:rsidRDefault="001D139C" w:rsidP="001D139C">
      <w:pPr>
        <w:numPr>
          <w:ilvl w:val="0"/>
          <w:numId w:val="17"/>
        </w:numPr>
        <w:spacing w:line="240" w:lineRule="auto"/>
        <w:jc w:val="both"/>
        <w:rPr>
          <w:rFonts w:cs="Arial"/>
          <w:szCs w:val="20"/>
          <w:lang w:val="sl-SI"/>
        </w:rPr>
      </w:pPr>
      <w:r w:rsidRPr="001D139C">
        <w:rPr>
          <w:rFonts w:cs="Arial"/>
          <w:szCs w:val="20"/>
          <w:lang w:val="sl-SI"/>
        </w:rPr>
        <w:t>Zakona o ravnanju z gensko spremenjenimi organizmi (ZRGSO, Uradni list RS, št. 23/05 – uradno prečiščeno besedilo, 21/10 in 90/12 – ZdZPVHVVR), 55.a člen;</w:t>
      </w:r>
    </w:p>
    <w:p w14:paraId="4CD8B3B2" w14:textId="77777777" w:rsidR="001D139C" w:rsidRPr="001D139C" w:rsidRDefault="001D139C" w:rsidP="001D139C">
      <w:pPr>
        <w:numPr>
          <w:ilvl w:val="0"/>
          <w:numId w:val="17"/>
        </w:numPr>
        <w:spacing w:line="240" w:lineRule="auto"/>
        <w:jc w:val="both"/>
        <w:rPr>
          <w:rFonts w:cs="Arial"/>
          <w:szCs w:val="20"/>
          <w:lang w:val="sl-SI"/>
        </w:rPr>
      </w:pPr>
      <w:r w:rsidRPr="001D139C">
        <w:rPr>
          <w:rFonts w:cs="Arial"/>
          <w:szCs w:val="20"/>
          <w:lang w:val="sl-SI"/>
        </w:rPr>
        <w:t xml:space="preserve">Direktive 2001/18/ES  evropskega Parlamenta in Sveta o sproščanju gensko spremenjenih organizmov v okolje in razveljavitvi Direktive Sveta 90/220/EGS, 4.(5) člen; </w:t>
      </w:r>
    </w:p>
    <w:p w14:paraId="30728004" w14:textId="77777777" w:rsidR="001D139C" w:rsidRPr="001D139C" w:rsidRDefault="001D139C" w:rsidP="001D139C">
      <w:pPr>
        <w:numPr>
          <w:ilvl w:val="0"/>
          <w:numId w:val="17"/>
        </w:numPr>
        <w:autoSpaceDE w:val="0"/>
        <w:autoSpaceDN w:val="0"/>
        <w:adjustRightInd w:val="0"/>
        <w:spacing w:before="60" w:after="60" w:line="240" w:lineRule="auto"/>
        <w:jc w:val="both"/>
        <w:rPr>
          <w:rFonts w:cs="Arial"/>
          <w:szCs w:val="20"/>
          <w:lang w:val="sl-SI" w:eastAsia="sl-SI"/>
        </w:rPr>
      </w:pPr>
      <w:r w:rsidRPr="001D139C">
        <w:rPr>
          <w:rFonts w:cs="Arial"/>
          <w:bCs/>
          <w:color w:val="000000"/>
          <w:szCs w:val="20"/>
          <w:lang w:val="sl-SI" w:eastAsia="sl-SI"/>
        </w:rPr>
        <w:t>Direktive 2009/41/ES evropskega Parlamenta in Sveta</w:t>
      </w:r>
      <w:r w:rsidRPr="001D139C">
        <w:rPr>
          <w:rFonts w:cs="Arial"/>
          <w:b/>
          <w:bCs/>
          <w:color w:val="000000"/>
          <w:szCs w:val="20"/>
          <w:lang w:val="sl-SI" w:eastAsia="sl-SI"/>
        </w:rPr>
        <w:t xml:space="preserve"> </w:t>
      </w:r>
      <w:r w:rsidRPr="001D139C">
        <w:rPr>
          <w:rFonts w:cs="Arial"/>
          <w:bCs/>
          <w:color w:val="000000"/>
          <w:szCs w:val="20"/>
          <w:lang w:val="sl-SI" w:eastAsia="sl-SI"/>
        </w:rPr>
        <w:t>z dne</w:t>
      </w:r>
      <w:r w:rsidRPr="001D139C">
        <w:rPr>
          <w:rFonts w:cs="Arial"/>
          <w:szCs w:val="20"/>
          <w:lang w:val="sl-SI" w:eastAsia="sl-SI"/>
        </w:rPr>
        <w:t xml:space="preserve"> 6. maj 2009 o uporabi gensko spremenjenih mikro-organizmov v zaprtih sistemih;</w:t>
      </w:r>
    </w:p>
    <w:p w14:paraId="33A5F6D1" w14:textId="49F904E9" w:rsidR="001D139C" w:rsidRPr="001D139C" w:rsidRDefault="001D139C" w:rsidP="001D139C">
      <w:pPr>
        <w:numPr>
          <w:ilvl w:val="0"/>
          <w:numId w:val="17"/>
        </w:numPr>
        <w:spacing w:line="240" w:lineRule="auto"/>
        <w:jc w:val="both"/>
        <w:rPr>
          <w:rFonts w:cs="Arial"/>
          <w:szCs w:val="20"/>
          <w:lang w:val="sl-SI"/>
        </w:rPr>
      </w:pPr>
      <w:hyperlink r:id="rId10" w:history="1">
        <w:r w:rsidRPr="001D139C">
          <w:rPr>
            <w:rFonts w:cs="Arial"/>
            <w:bCs/>
            <w:caps/>
            <w:color w:val="000000"/>
            <w:szCs w:val="20"/>
            <w:lang w:val="sl-SI"/>
          </w:rPr>
          <w:t>U</w:t>
        </w:r>
        <w:r w:rsidRPr="001D139C">
          <w:rPr>
            <w:rFonts w:cs="Arial"/>
            <w:bCs/>
            <w:color w:val="000000"/>
            <w:szCs w:val="20"/>
            <w:lang w:val="sl-SI"/>
          </w:rPr>
          <w:t>redbe (ES) št. 1830/2003 evropskega Parlamenta in Sveta o sledljivosti in označevanju GSO in sledljivosti hrane in krme proizvedene iz GSO in dopolnitvi Direktive 2001/18/ES</w:t>
        </w:r>
      </w:hyperlink>
      <w:r w:rsidRPr="001D139C">
        <w:rPr>
          <w:rFonts w:cs="Arial"/>
          <w:caps/>
          <w:szCs w:val="20"/>
          <w:lang w:val="sl-SI"/>
        </w:rPr>
        <w:t>;</w:t>
      </w:r>
    </w:p>
    <w:p w14:paraId="00FA6FD8" w14:textId="77777777" w:rsidR="001D139C" w:rsidRPr="001D139C" w:rsidRDefault="001D139C" w:rsidP="001D139C">
      <w:pPr>
        <w:numPr>
          <w:ilvl w:val="0"/>
          <w:numId w:val="17"/>
        </w:numPr>
        <w:spacing w:line="240" w:lineRule="auto"/>
        <w:jc w:val="both"/>
        <w:rPr>
          <w:rFonts w:cs="Arial"/>
          <w:szCs w:val="20"/>
          <w:lang w:val="sl-SI"/>
        </w:rPr>
      </w:pPr>
      <w:r w:rsidRPr="001D139C">
        <w:rPr>
          <w:rFonts w:cs="Arial"/>
          <w:color w:val="000000"/>
          <w:szCs w:val="20"/>
          <w:lang w:val="sl-SI"/>
        </w:rPr>
        <w:t>Uredbe (ES) št. 1946/2003 o čezmejnem gibanju GSO;</w:t>
      </w:r>
    </w:p>
    <w:p w14:paraId="22A162A0" w14:textId="77777777" w:rsidR="0025434D" w:rsidRPr="00E53346" w:rsidRDefault="001D139C" w:rsidP="0025434D">
      <w:pPr>
        <w:numPr>
          <w:ilvl w:val="0"/>
          <w:numId w:val="17"/>
        </w:numPr>
        <w:spacing w:line="240" w:lineRule="auto"/>
        <w:jc w:val="both"/>
        <w:rPr>
          <w:rFonts w:cs="Arial"/>
          <w:color w:val="000000"/>
          <w:szCs w:val="20"/>
          <w:lang w:val="sl-SI"/>
        </w:rPr>
      </w:pPr>
      <w:r w:rsidRPr="00E53346">
        <w:rPr>
          <w:rFonts w:cs="Arial"/>
          <w:color w:val="000000"/>
          <w:szCs w:val="20"/>
          <w:lang w:val="sl-SI"/>
        </w:rPr>
        <w:t>Uredbe Komisije (ES) št. 641/2004 z dne 6. aprila 2004 o podrobnih pravilih za izvajanje Uredbe (ES) št. 1829/2003 Evropskega parlamenta in Sveta v zvezi z vlogo za odobritev novih gensko spremenjenih živil in krme, uradnim obvestilom o obstoječih proizvodih in naključni ali tehnično neizogibni navzočnosti gensko spremenjene snovi, ki je prejela ugodno oceno tveganja</w:t>
      </w:r>
      <w:r w:rsidR="0025434D" w:rsidRPr="00E53346">
        <w:rPr>
          <w:lang w:val="sl-SI"/>
        </w:rPr>
        <w:t xml:space="preserve"> </w:t>
      </w:r>
      <w:r w:rsidR="0025434D" w:rsidRPr="00E53346">
        <w:rPr>
          <w:rFonts w:cs="Arial"/>
          <w:color w:val="000000"/>
          <w:szCs w:val="20"/>
          <w:lang w:val="sl-SI"/>
        </w:rPr>
        <w:t xml:space="preserve">ki jo predstavlja: Regulation (EC) No 503/2013, of 3 April 2013, on applications for authorisation of genetically modified food and feed in accordance with </w:t>
      </w:r>
      <w:r w:rsidR="0025434D" w:rsidRPr="00E53346">
        <w:rPr>
          <w:rFonts w:cs="Arial"/>
          <w:color w:val="000000"/>
          <w:szCs w:val="20"/>
          <w:lang w:val="sl-SI"/>
        </w:rPr>
        <w:lastRenderedPageBreak/>
        <w:t>Regulation (EC) No 1829/2003 of the European Parliament and of the Council and amending Commission Regulations (EC) No 641/2004 and (EC) No 1981/2006;</w:t>
      </w:r>
    </w:p>
    <w:p w14:paraId="24514D99" w14:textId="77777777" w:rsidR="001D139C" w:rsidRPr="001D139C" w:rsidRDefault="001D139C" w:rsidP="001D139C">
      <w:pPr>
        <w:numPr>
          <w:ilvl w:val="0"/>
          <w:numId w:val="17"/>
        </w:numPr>
        <w:spacing w:line="240" w:lineRule="auto"/>
        <w:jc w:val="both"/>
        <w:rPr>
          <w:rFonts w:cs="Arial"/>
          <w:color w:val="000000"/>
          <w:szCs w:val="20"/>
          <w:lang w:val="sl-SI"/>
        </w:rPr>
      </w:pPr>
      <w:r w:rsidRPr="001D139C">
        <w:rPr>
          <w:rFonts w:cs="Arial"/>
          <w:color w:val="000000"/>
          <w:szCs w:val="20"/>
          <w:lang w:val="sl-SI"/>
        </w:rPr>
        <w:t>Direktive (EU) 2015/412 Evropskega parlamenta in Sveta z dne 11. marca 2015 o spremembi Direktive 2001/18/ES glede možnosti držav članic, da omejijo ali prepovejo gojenje gensko spremenjenih organizmov (GSO) na svojem ozemlju;</w:t>
      </w:r>
    </w:p>
    <w:p w14:paraId="5E1AB1C5" w14:textId="77777777" w:rsidR="001D139C" w:rsidRPr="001D139C" w:rsidRDefault="001D139C" w:rsidP="001D139C">
      <w:pPr>
        <w:numPr>
          <w:ilvl w:val="0"/>
          <w:numId w:val="17"/>
        </w:numPr>
        <w:spacing w:line="240" w:lineRule="auto"/>
        <w:jc w:val="both"/>
        <w:rPr>
          <w:rFonts w:cs="Arial"/>
          <w:color w:val="000000"/>
          <w:szCs w:val="20"/>
          <w:lang w:val="sl-SI"/>
        </w:rPr>
      </w:pPr>
      <w:r w:rsidRPr="001D139C">
        <w:rPr>
          <w:rFonts w:cs="Arial"/>
          <w:color w:val="000000"/>
          <w:szCs w:val="20"/>
          <w:lang w:val="sl-SI"/>
        </w:rPr>
        <w:t xml:space="preserve">Izvedbenega sklepa komisije (EU) 2018/1790 z dne 16. novembra 2018 o razveljavitvi Odločbe 2002/623/ES o navodilih za oceno tveganja gensko spremenjenih organizmov za okolje; </w:t>
      </w:r>
    </w:p>
    <w:p w14:paraId="4122CA31" w14:textId="77777777" w:rsidR="001D139C" w:rsidRPr="001D139C" w:rsidRDefault="001D139C" w:rsidP="001D139C">
      <w:pPr>
        <w:numPr>
          <w:ilvl w:val="0"/>
          <w:numId w:val="17"/>
        </w:numPr>
        <w:spacing w:line="240" w:lineRule="auto"/>
        <w:jc w:val="both"/>
        <w:rPr>
          <w:rFonts w:cs="Arial"/>
          <w:color w:val="000000"/>
          <w:szCs w:val="20"/>
          <w:lang w:val="sl-SI"/>
        </w:rPr>
      </w:pPr>
      <w:r w:rsidRPr="001D139C">
        <w:rPr>
          <w:rFonts w:cs="Arial"/>
          <w:color w:val="000000"/>
          <w:szCs w:val="20"/>
          <w:lang w:val="sl-SI"/>
        </w:rPr>
        <w:t>2004/787/ES: Priporočila Komisije z dne 4. oktobra o tehničnih navodilih za vzorčenje in odkrivanje GSO in materialov, proizvedenih iz GSO, v obliki proizvodov ali vsebovanih v proizvodih v okviru  Uredbe (ES) št. 1830/2003;</w:t>
      </w:r>
    </w:p>
    <w:p w14:paraId="6EB38015" w14:textId="77777777" w:rsidR="001D139C" w:rsidRPr="001D139C" w:rsidRDefault="001D139C" w:rsidP="001D139C">
      <w:pPr>
        <w:numPr>
          <w:ilvl w:val="0"/>
          <w:numId w:val="17"/>
        </w:numPr>
        <w:spacing w:line="240" w:lineRule="auto"/>
        <w:jc w:val="both"/>
        <w:rPr>
          <w:rFonts w:cs="Arial"/>
          <w:color w:val="000000"/>
          <w:szCs w:val="20"/>
          <w:lang w:val="sl-SI"/>
        </w:rPr>
      </w:pPr>
      <w:r w:rsidRPr="001D139C">
        <w:rPr>
          <w:rFonts w:cs="Arial"/>
          <w:color w:val="000000"/>
          <w:szCs w:val="20"/>
          <w:lang w:val="sl-SI"/>
        </w:rPr>
        <w:t>Direktive Komisije (EU) 2018/350 z dne 8. marca 2018 o spremembi Direktive 2001/18/ES Evropskega parlamenta in Sveta v zvezi z oceno tveganja gensko spremenjenih organizmov za okolje.</w:t>
      </w:r>
    </w:p>
    <w:p w14:paraId="77458E00" w14:textId="77777777" w:rsidR="001D139C" w:rsidRPr="001D139C" w:rsidRDefault="001D139C" w:rsidP="001D139C">
      <w:pPr>
        <w:jc w:val="both"/>
        <w:rPr>
          <w:rFonts w:cs="Arial"/>
          <w:szCs w:val="20"/>
          <w:lang w:val="sl-SI"/>
        </w:rPr>
      </w:pPr>
    </w:p>
    <w:bookmarkEnd w:id="0"/>
    <w:p w14:paraId="42659740" w14:textId="77777777" w:rsidR="001D139C" w:rsidRPr="001D139C" w:rsidRDefault="001D139C" w:rsidP="001D139C">
      <w:pPr>
        <w:jc w:val="both"/>
        <w:rPr>
          <w:rFonts w:cs="Arial"/>
          <w:szCs w:val="20"/>
          <w:lang w:val="sl-SI"/>
        </w:rPr>
      </w:pPr>
    </w:p>
    <w:p w14:paraId="4E6858D4" w14:textId="77777777" w:rsidR="001D139C" w:rsidRPr="001D139C" w:rsidRDefault="001D139C" w:rsidP="001D139C">
      <w:pPr>
        <w:rPr>
          <w:rFonts w:cs="Arial"/>
          <w:b/>
          <w:szCs w:val="20"/>
          <w:lang w:val="sl-SI"/>
        </w:rPr>
      </w:pPr>
      <w:r w:rsidRPr="00E53346">
        <w:rPr>
          <w:rFonts w:cs="Arial"/>
          <w:b/>
          <w:szCs w:val="20"/>
          <w:lang w:val="sl-SI"/>
        </w:rPr>
        <w:t>I.3 Stanje</w:t>
      </w:r>
      <w:r w:rsidR="009772E1">
        <w:rPr>
          <w:rFonts w:cs="Arial"/>
          <w:b/>
          <w:szCs w:val="20"/>
          <w:lang w:val="sl-SI"/>
        </w:rPr>
        <w:t xml:space="preserve"> </w:t>
      </w:r>
    </w:p>
    <w:p w14:paraId="14248A0B" w14:textId="77777777" w:rsidR="001D139C" w:rsidRPr="001D139C" w:rsidRDefault="001D139C" w:rsidP="001D139C">
      <w:pPr>
        <w:numPr>
          <w:ilvl w:val="12"/>
          <w:numId w:val="0"/>
        </w:numPr>
        <w:jc w:val="both"/>
        <w:rPr>
          <w:rFonts w:cs="Arial"/>
          <w:szCs w:val="20"/>
          <w:lang w:val="sl-SI"/>
        </w:rPr>
      </w:pPr>
    </w:p>
    <w:p w14:paraId="58D09758" w14:textId="77777777" w:rsidR="001D139C" w:rsidRPr="001D139C" w:rsidRDefault="001D139C" w:rsidP="001D139C">
      <w:pPr>
        <w:jc w:val="both"/>
        <w:rPr>
          <w:rFonts w:cs="Arial"/>
          <w:color w:val="000000"/>
          <w:szCs w:val="20"/>
          <w:lang w:val="sl-SI"/>
        </w:rPr>
      </w:pPr>
      <w:r w:rsidRPr="001D139C">
        <w:rPr>
          <w:rFonts w:cs="Arial"/>
          <w:szCs w:val="20"/>
          <w:lang w:val="sl-SI"/>
        </w:rPr>
        <w:t xml:space="preserve">Na področju GSO potekajo v državah članicah EU </w:t>
      </w:r>
      <w:r w:rsidRPr="001D139C">
        <w:rPr>
          <w:rFonts w:cs="Arial"/>
          <w:color w:val="000000"/>
          <w:szCs w:val="20"/>
          <w:lang w:val="sl-SI"/>
        </w:rPr>
        <w:t xml:space="preserve">prijave novih GSO na področju dela v zaprtih sistemih, sproščanju v okolje in dajanju GSO na trg. Predvsem v okviru prijav dajanja GSO na trg, kjer je postopek odobritve zastavljen tako, da poteka na nivoju celotne EU je potrebno zagotoviti učinkovito metodologijo določanja in sledljivosti. To morajo zagotavljati države članice na svojem področju, kar zahteva vzpostavitev referenčnih preskusnih laboratorijev in laboratorijev, ki so usposobljeni izvajati analizo in testiranje vzorcev GSO. Pomembni sestavni del metodologije določanja GSO je tudi razvoj novih in validiranih metod na tem področju. Problematika, ki spremlja to področje je povezana s specifično metodologijo za posamezni GSO, ki jo mora vsak laboratorij vzpostaviti za svoj sistem določanja GSO. Referenčni materiali so pri tem sestavni del analiz s katerimi se primerja preiskovani vzorec. </w:t>
      </w:r>
    </w:p>
    <w:p w14:paraId="554AF285" w14:textId="77777777" w:rsidR="001D139C" w:rsidRPr="001D139C" w:rsidRDefault="001D139C" w:rsidP="001D139C">
      <w:pPr>
        <w:jc w:val="both"/>
        <w:rPr>
          <w:rFonts w:cs="Arial"/>
          <w:color w:val="000000"/>
          <w:szCs w:val="20"/>
          <w:lang w:val="sl-SI"/>
        </w:rPr>
      </w:pPr>
    </w:p>
    <w:p w14:paraId="3746B335" w14:textId="77777777" w:rsidR="001D139C" w:rsidRPr="00E53346" w:rsidRDefault="001D139C" w:rsidP="001D139C">
      <w:pPr>
        <w:jc w:val="both"/>
        <w:rPr>
          <w:rFonts w:cs="Arial"/>
          <w:color w:val="000000" w:themeColor="text1"/>
          <w:szCs w:val="20"/>
          <w:lang w:val="sl-SI"/>
        </w:rPr>
      </w:pPr>
      <w:r w:rsidRPr="001D139C">
        <w:rPr>
          <w:rFonts w:cs="Arial"/>
          <w:color w:val="000000"/>
          <w:szCs w:val="20"/>
          <w:lang w:val="sl-SI"/>
        </w:rPr>
        <w:t xml:space="preserve">Z EU zakonodajo na področju GSO je z Uredbo (ES) št. 1829/2003 zagotovljeno, da mora prijavitelj zagotoviti metodo in referenčni material. Za validacijo primernosti metode, ki jo predlaga prijavitelj je imenovan osrednji Evropski referenčni laboratorij v okviru DG Environment, Joint Research Center (JRC) v Ispri, Italija. Ta skupaj z evropsko mrežo laboratorijev, ki določajo GSO (ENGL) metodo validira in tako ugotovi njeno primernost. V ENGL mreži evropskih laboratorijev pa sodelujejo le laboratoriji, ki imajo izkazano ustrezno kakovost dela. Na osnovi Uredbe (ES) št. 1829/2003 je tudi obvezno imenovanje nacionalnih referenčnih laboratorijev v vseh članicah EU. </w:t>
      </w:r>
      <w:r w:rsidRPr="00E53346">
        <w:rPr>
          <w:rFonts w:cs="Arial"/>
          <w:color w:val="000000"/>
          <w:szCs w:val="20"/>
          <w:lang w:val="sl-SI"/>
        </w:rPr>
        <w:t xml:space="preserve">Validirane metode za posamezne GSO JRC javno objavi na spletni strani: </w:t>
      </w:r>
      <w:hyperlink r:id="rId11" w:history="1">
        <w:r w:rsidRPr="00E53346">
          <w:rPr>
            <w:rFonts w:cs="Arial"/>
            <w:color w:val="000000" w:themeColor="text1"/>
            <w:szCs w:val="20"/>
            <w:lang w:val="sl-SI"/>
          </w:rPr>
          <w:t>http://gmo-crl.jrc.ec.europa.eu/statusofdoss.htm</w:t>
        </w:r>
      </w:hyperlink>
      <w:r w:rsidRPr="00E53346">
        <w:rPr>
          <w:rFonts w:cs="Arial"/>
          <w:color w:val="000000" w:themeColor="text1"/>
          <w:szCs w:val="20"/>
          <w:lang w:val="sl-SI"/>
        </w:rPr>
        <w:t>.</w:t>
      </w:r>
    </w:p>
    <w:p w14:paraId="2E55B865" w14:textId="77777777" w:rsidR="001D139C" w:rsidRPr="001D139C" w:rsidRDefault="001D139C" w:rsidP="001D139C">
      <w:pPr>
        <w:jc w:val="both"/>
        <w:rPr>
          <w:rFonts w:cs="Arial"/>
          <w:color w:val="000000"/>
          <w:szCs w:val="20"/>
          <w:lang w:val="sl-SI"/>
        </w:rPr>
      </w:pPr>
    </w:p>
    <w:p w14:paraId="298FC0C0" w14:textId="77777777" w:rsidR="001D139C" w:rsidRPr="001D139C" w:rsidRDefault="001D139C" w:rsidP="001D139C">
      <w:pPr>
        <w:jc w:val="both"/>
        <w:rPr>
          <w:rFonts w:cs="Arial"/>
          <w:color w:val="000000"/>
          <w:szCs w:val="20"/>
          <w:lang w:val="sl-SI"/>
        </w:rPr>
      </w:pPr>
      <w:r w:rsidRPr="001D139C">
        <w:rPr>
          <w:rFonts w:cs="Arial"/>
          <w:color w:val="000000"/>
          <w:szCs w:val="20"/>
          <w:lang w:val="sl-SI"/>
        </w:rPr>
        <w:t>S prvim aprilom 2004 sta začeli veljati Uredbi (ES) št. 1829/2003 in št. 1830/2003, ki predpisujeta označevanje hrane in krme, ki vsebuje več kot 0,9 % v EU dovoljenih GSO, katerih prisotnost je dokazljivo naključna ali tehnično neizogibna, metode njihovega določanja pa so že javno dostopne. Ta odstotek se določa od posamezne sestavine (npr. od količine koruze v izdelku), kar pomeni, da je prisotnost  lahko izredno nizka. Zato so potrebne izredno natančne molekularne metode, ki se zato v zadnjih letih tudi intenzivno razvijajo. Za področje semen meja za označevanje na nivoju EU še ni bila določena, zato trenutno velja meja označevanja teoretična »0«, oziroma je označevanje potrebno že pri najmanjši prisotnosti GSO, ki jo z metodo določanja še lahko zaznamo (»&lt;0,1%«).</w:t>
      </w:r>
    </w:p>
    <w:p w14:paraId="0AE25939" w14:textId="77777777" w:rsidR="001D139C" w:rsidRPr="001D139C" w:rsidRDefault="001D139C" w:rsidP="001D139C">
      <w:pPr>
        <w:jc w:val="both"/>
        <w:rPr>
          <w:rFonts w:cs="Arial"/>
          <w:color w:val="000000"/>
          <w:szCs w:val="20"/>
          <w:lang w:val="sl-SI"/>
        </w:rPr>
      </w:pPr>
    </w:p>
    <w:p w14:paraId="2885A086" w14:textId="77777777" w:rsidR="001D139C" w:rsidRPr="001D139C" w:rsidRDefault="001D139C" w:rsidP="001D139C">
      <w:pPr>
        <w:jc w:val="both"/>
        <w:rPr>
          <w:rFonts w:cs="Arial"/>
          <w:color w:val="000000"/>
          <w:szCs w:val="20"/>
          <w:lang w:val="sl-SI"/>
        </w:rPr>
      </w:pPr>
      <w:r w:rsidRPr="001D139C">
        <w:rPr>
          <w:rFonts w:cs="Arial"/>
          <w:color w:val="000000"/>
          <w:szCs w:val="20"/>
          <w:lang w:val="sl-SI"/>
        </w:rPr>
        <w:t>Monitoring in določanje GSO sta pomembna tudi zaradi izvajanja ukrepov pri čezmejnem gibanju GSO, ki ga ureja Uredba (ES) št. 1946/2003 in možnosti soobstoja GSO s konvencionalnim in ekološkim kmetovanjem, kjer omogoča kontrolo postavljenih zahtev za posamezne kategorije kmetovanja.</w:t>
      </w:r>
    </w:p>
    <w:p w14:paraId="296BECBA" w14:textId="77777777" w:rsidR="001D139C" w:rsidRPr="001D139C" w:rsidRDefault="001D139C" w:rsidP="001D139C">
      <w:pPr>
        <w:jc w:val="both"/>
        <w:rPr>
          <w:rFonts w:cs="Arial"/>
          <w:color w:val="000000"/>
          <w:szCs w:val="20"/>
          <w:lang w:val="sl-SI"/>
        </w:rPr>
      </w:pPr>
    </w:p>
    <w:p w14:paraId="2C657051" w14:textId="77777777" w:rsidR="001D139C" w:rsidRPr="001D139C" w:rsidRDefault="001D139C" w:rsidP="001D139C">
      <w:pPr>
        <w:jc w:val="both"/>
        <w:rPr>
          <w:rFonts w:cs="Arial"/>
          <w:color w:val="000000"/>
          <w:szCs w:val="20"/>
          <w:lang w:val="sl-SI"/>
        </w:rPr>
      </w:pPr>
      <w:r w:rsidRPr="001D139C">
        <w:rPr>
          <w:rFonts w:cs="Arial"/>
          <w:color w:val="000000"/>
          <w:szCs w:val="20"/>
          <w:lang w:val="sl-SI"/>
        </w:rPr>
        <w:t xml:space="preserve">V procese odločanja se na področju GSO aktivno vključuje tudi javnost. V ta okvir sodita tudi označevanje in sledljivost GSO. Predvsem označevanje omogoča potrošniku izbiro med GSO in </w:t>
      </w:r>
      <w:r w:rsidRPr="001D139C">
        <w:rPr>
          <w:rFonts w:cs="Arial"/>
          <w:color w:val="000000"/>
          <w:szCs w:val="20"/>
          <w:lang w:val="sl-SI"/>
        </w:rPr>
        <w:lastRenderedPageBreak/>
        <w:t xml:space="preserve">ne-GSO izdelki. Zato je metodologija določanja GSO pomemben sestavni del kontrolnih ukrepov, ki omogočajo kontrolo posevkov in izdelkov GSO, ki se sproščajo v okolje in so na trgu. </w:t>
      </w:r>
    </w:p>
    <w:p w14:paraId="4A92979C" w14:textId="77777777" w:rsidR="001D139C" w:rsidRPr="001D139C" w:rsidRDefault="001D139C" w:rsidP="001D139C">
      <w:pPr>
        <w:jc w:val="both"/>
        <w:rPr>
          <w:rFonts w:cs="Arial"/>
          <w:color w:val="000000"/>
          <w:szCs w:val="20"/>
          <w:lang w:val="sl-SI"/>
        </w:rPr>
      </w:pPr>
    </w:p>
    <w:p w14:paraId="74CF20BF" w14:textId="77777777" w:rsidR="001D139C" w:rsidRPr="001D139C" w:rsidRDefault="001D139C" w:rsidP="001D139C">
      <w:pPr>
        <w:jc w:val="both"/>
        <w:rPr>
          <w:rFonts w:cs="Arial"/>
          <w:color w:val="000000"/>
          <w:szCs w:val="20"/>
          <w:lang w:val="sl-SI"/>
        </w:rPr>
      </w:pPr>
      <w:r w:rsidRPr="001D139C">
        <w:rPr>
          <w:rFonts w:cs="Arial"/>
          <w:color w:val="000000"/>
          <w:szCs w:val="20"/>
          <w:lang w:val="sl-SI"/>
        </w:rPr>
        <w:t>Metodologije določanja GSO so še vedno v intenzivnem razvoju, vsak nov GSO zahteva novo metodo in njeno validacijo, prav tako je pomembno posamezne metode prilagajati za vsako vrsto vzorca posebej (npr. seme in procesirani produkti), saj prijavitelj predlaga metodo določanja GSO za eno vrsto vzorca. Standardi se pripravljajo na osnovi stalnega kooperativnega sodelovanje vseh laboratorijev v EU. To poteka v okviru ENGL mreže, tako za razvoj metod, kot odločanje o njihovih rezultatih.</w:t>
      </w:r>
    </w:p>
    <w:p w14:paraId="492840DD" w14:textId="77777777" w:rsidR="001D139C" w:rsidRPr="001D139C" w:rsidRDefault="001D139C" w:rsidP="001D139C">
      <w:pPr>
        <w:jc w:val="both"/>
        <w:rPr>
          <w:rFonts w:cs="Arial"/>
          <w:color w:val="000000"/>
          <w:szCs w:val="20"/>
          <w:lang w:val="sl-SI"/>
        </w:rPr>
      </w:pPr>
    </w:p>
    <w:p w14:paraId="284D3355" w14:textId="77777777" w:rsidR="001D139C" w:rsidRPr="001D139C" w:rsidRDefault="001D139C" w:rsidP="001D139C">
      <w:pPr>
        <w:jc w:val="both"/>
        <w:rPr>
          <w:rFonts w:cs="Arial"/>
          <w:color w:val="000000"/>
          <w:szCs w:val="20"/>
          <w:lang w:val="sl-SI"/>
        </w:rPr>
      </w:pPr>
      <w:r w:rsidRPr="001D139C">
        <w:rPr>
          <w:rFonts w:cs="Arial"/>
          <w:color w:val="000000"/>
          <w:szCs w:val="20"/>
          <w:lang w:val="sl-SI"/>
        </w:rPr>
        <w:t>Slovenija mora na področju GSO zagotavljati kontrolne ukrepe za preverjanje skladnosti ravnanja z GSO z ZRGSO</w:t>
      </w:r>
      <w:r w:rsidRPr="001D139C">
        <w:rPr>
          <w:rFonts w:cs="Arial"/>
          <w:szCs w:val="20"/>
          <w:lang w:val="sl-SI"/>
        </w:rPr>
        <w:t>, ki poleg ostalih nalog vključuje tudi strokovna opravila analiziranja in testiranja odvzetih vzorcev ter razvoja analitičnih in testnih metod, ter drugih nalog povezanih s kontrolo določanja GSO, ki so ena od podlag za izvajanje kontrolnih ukrepov na tem področju. Za ta strokovna opravila, ki jih MOP ne more sam izvajati, lahko na osnovi javnega natečaja z odločbo podeli javno pooblastilo tistim javnim zavodom, ki izpolnjujejo pogoje tako, da so akreditirani v skladu s standardom SIST EN ISO/IEC 17025 in dokazujejo redno udeležbo v programih preizkušanja usposobljenosti, ki jih organizirajo in usklajujejo nacionalno ali mednarodno priznani laboratoriji oziroma nacionalne ali mednarodne organizacije.</w:t>
      </w:r>
    </w:p>
    <w:p w14:paraId="34B6FD93" w14:textId="77777777" w:rsidR="001D139C" w:rsidRPr="001D139C" w:rsidRDefault="001D139C" w:rsidP="001D139C">
      <w:pPr>
        <w:jc w:val="both"/>
        <w:rPr>
          <w:rFonts w:cs="Arial"/>
          <w:szCs w:val="20"/>
          <w:lang w:val="sl-SI"/>
        </w:rPr>
      </w:pPr>
    </w:p>
    <w:p w14:paraId="6B2AC4FE" w14:textId="77777777" w:rsidR="001D139C" w:rsidRPr="001D139C" w:rsidRDefault="001D139C" w:rsidP="001D139C">
      <w:pPr>
        <w:rPr>
          <w:rFonts w:cs="Arial"/>
          <w:b/>
          <w:szCs w:val="20"/>
          <w:lang w:val="sl-SI"/>
        </w:rPr>
      </w:pPr>
      <w:r w:rsidRPr="001D139C">
        <w:rPr>
          <w:rFonts w:cs="Arial"/>
          <w:b/>
          <w:szCs w:val="20"/>
          <w:lang w:val="sl-SI"/>
        </w:rPr>
        <w:t xml:space="preserve">I.4 Cilji </w:t>
      </w:r>
    </w:p>
    <w:p w14:paraId="62D4473F" w14:textId="77777777" w:rsidR="001D139C" w:rsidRPr="001D139C" w:rsidRDefault="001D139C" w:rsidP="001D139C">
      <w:pPr>
        <w:jc w:val="both"/>
        <w:rPr>
          <w:rFonts w:cs="Arial"/>
          <w:szCs w:val="20"/>
          <w:lang w:val="sl-SI"/>
        </w:rPr>
      </w:pPr>
    </w:p>
    <w:p w14:paraId="04BE2936" w14:textId="77777777" w:rsidR="001D139C" w:rsidRPr="001D139C" w:rsidRDefault="001D139C" w:rsidP="001D139C">
      <w:pPr>
        <w:jc w:val="both"/>
        <w:rPr>
          <w:rFonts w:cs="Arial"/>
          <w:szCs w:val="20"/>
          <w:lang w:val="sl-SI"/>
        </w:rPr>
      </w:pPr>
      <w:r w:rsidRPr="001D139C">
        <w:rPr>
          <w:rFonts w:cs="Arial"/>
          <w:szCs w:val="20"/>
          <w:lang w:val="sl-SI"/>
        </w:rPr>
        <w:t>Podelitev javnega pooblastila za nemoteno zagotavljanje analiziranja in testiranja odvzetih vzorcev za dokazovanje prisotnosti GSO ter razvoj analitičnih in testnih metod ter drugih nalog povezanih s kontrolo določanja GSO kot referenčnega laboratorija za to področje za doseganje naslednjih ciljev:</w:t>
      </w:r>
    </w:p>
    <w:p w14:paraId="0E3FB09F" w14:textId="77777777" w:rsidR="001D139C" w:rsidRPr="001D139C" w:rsidRDefault="001D139C" w:rsidP="001D139C">
      <w:pPr>
        <w:jc w:val="both"/>
        <w:rPr>
          <w:rFonts w:cs="Arial"/>
          <w:szCs w:val="20"/>
          <w:lang w:val="sl-SI"/>
        </w:rPr>
      </w:pPr>
    </w:p>
    <w:p w14:paraId="3C67797C"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Izvajanje analiz inšpekcijskih vzorcev na prisotnost GSO in posredovanje interpretacije rezultatov analiz.</w:t>
      </w:r>
    </w:p>
    <w:p w14:paraId="68AC6CF3"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Uvajanje novih metod za določanje novih dovoljenih in nedovoljenih GSO, ki prihajajo ali se pojavljajo na tržišču.</w:t>
      </w:r>
    </w:p>
    <w:p w14:paraId="39DC9D7D"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Sodelovanje pri validacijah metod, ki jih organizira referenčni laboratorij EU (EURL) v Ispri za metode, ki jih predlagajo prijavitelji GSO ob predložitvi vloge.</w:t>
      </w:r>
    </w:p>
    <w:p w14:paraId="5F929DDF"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Preverjanje ter izboljšava metod določanja GSO, zlasti tistih, ki zaradi novih GSO, ki prihajajo na tržišče niso več primerne.</w:t>
      </w:r>
    </w:p>
    <w:p w14:paraId="16BF6F92"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Planiranje in validacije metod v laboratoriju.</w:t>
      </w:r>
    </w:p>
    <w:p w14:paraId="4927FBAC"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Vzdrževanje sistema sprejemanja, registracije vzorcev (računalniški sistem) in izvedba testov ter poročanje v skladu z akreditacijo.</w:t>
      </w:r>
    </w:p>
    <w:p w14:paraId="1DEEC1D7"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Vzdrževanje sistema kakovosti v laboratoriju – akreditacije, vključno z kalibracijami in validacijami opreme.</w:t>
      </w:r>
    </w:p>
    <w:p w14:paraId="6B8F0C1A"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Vključenost v teste preizkušanja usposobljenosti (proficiency tests).</w:t>
      </w:r>
    </w:p>
    <w:p w14:paraId="69D027B8"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szCs w:val="20"/>
          <w:lang w:val="sl-SI"/>
        </w:rPr>
        <w:t>Sodelovanje v Evropski mreži laboratorijev, ki določajo GSO (ENGL).</w:t>
      </w:r>
    </w:p>
    <w:p w14:paraId="7190BBCC" w14:textId="77777777" w:rsidR="001D139C" w:rsidRPr="001D139C" w:rsidRDefault="001D139C" w:rsidP="001D139C">
      <w:pPr>
        <w:numPr>
          <w:ilvl w:val="0"/>
          <w:numId w:val="18"/>
        </w:numPr>
        <w:spacing w:line="240" w:lineRule="auto"/>
        <w:jc w:val="both"/>
        <w:rPr>
          <w:rFonts w:cs="Arial"/>
          <w:i/>
          <w:color w:val="000000"/>
          <w:szCs w:val="20"/>
          <w:lang w:val="sl-SI"/>
        </w:rPr>
      </w:pPr>
      <w:r w:rsidRPr="001D139C">
        <w:rPr>
          <w:rFonts w:cs="Arial"/>
          <w:i/>
          <w:color w:val="000000"/>
          <w:szCs w:val="20"/>
          <w:lang w:val="sl-SI"/>
        </w:rPr>
        <w:t xml:space="preserve">Seznanjanje in izobraževanje na temo kontrole določanja GSO, ki so potrebne za izvajanje uradnega nadzora in obveščenost strokovne in druge zainteresirane javnosti. </w:t>
      </w:r>
    </w:p>
    <w:p w14:paraId="588167E9" w14:textId="77777777" w:rsidR="001D139C" w:rsidRPr="001D139C" w:rsidRDefault="001D139C" w:rsidP="001D139C">
      <w:pPr>
        <w:jc w:val="both"/>
        <w:rPr>
          <w:rFonts w:cs="Arial"/>
          <w:szCs w:val="20"/>
          <w:lang w:val="sl-SI"/>
        </w:rPr>
      </w:pPr>
    </w:p>
    <w:p w14:paraId="777C3793" w14:textId="77777777" w:rsidR="001D139C" w:rsidRPr="001D139C" w:rsidRDefault="001D139C" w:rsidP="001D139C">
      <w:pPr>
        <w:rPr>
          <w:rFonts w:cs="Arial"/>
          <w:b/>
          <w:szCs w:val="20"/>
          <w:lang w:val="sl-SI"/>
        </w:rPr>
      </w:pPr>
      <w:r w:rsidRPr="001D139C">
        <w:rPr>
          <w:rFonts w:cs="Arial"/>
          <w:b/>
          <w:szCs w:val="20"/>
          <w:lang w:val="sl-SI"/>
        </w:rPr>
        <w:t>I.5 Vsebina javnega pooblastila</w:t>
      </w:r>
    </w:p>
    <w:p w14:paraId="736CEBC0" w14:textId="77777777" w:rsidR="001D139C" w:rsidRPr="001D139C" w:rsidRDefault="001D139C" w:rsidP="001D139C">
      <w:pPr>
        <w:jc w:val="both"/>
        <w:rPr>
          <w:rFonts w:cs="Arial"/>
          <w:szCs w:val="20"/>
          <w:lang w:val="sl-SI"/>
        </w:rPr>
      </w:pPr>
    </w:p>
    <w:p w14:paraId="349D0D93" w14:textId="77777777" w:rsidR="001D139C" w:rsidRPr="001D139C" w:rsidRDefault="001D139C" w:rsidP="001D139C">
      <w:pPr>
        <w:jc w:val="both"/>
        <w:rPr>
          <w:rFonts w:cs="Arial"/>
          <w:szCs w:val="20"/>
          <w:lang w:val="sl-SI"/>
        </w:rPr>
      </w:pPr>
      <w:r w:rsidRPr="001D139C">
        <w:rPr>
          <w:rFonts w:cs="Arial"/>
          <w:szCs w:val="20"/>
          <w:lang w:val="sl-SI"/>
        </w:rPr>
        <w:t xml:space="preserve">Javno pooblastilo zajema aktivnosti za nemoteno zagotavljanje analiziranja in testiranja odvzetih vzorcev za dokazovanje prisotnosti GSO ter razvoj analitičnih in testnih metod ter drugih nalog povezanih s kontrolo določanja GSO, ki vključujejo delo preskusnega laboratorija (npr. analitika, testiranja, itd.) in vzporedne aktivnosti (npr. izobraževanje kadra, informiranje, itd.), ki so potrebne za izobraževanje in informiranje glede razvoja na področju metodologije določanja GSO. V okviru aktivnosti, ki so vezane na delo preskusnega laboratorija je potrebno </w:t>
      </w:r>
      <w:r w:rsidRPr="001D139C">
        <w:rPr>
          <w:rFonts w:cs="Arial"/>
          <w:color w:val="000000"/>
          <w:szCs w:val="20"/>
          <w:lang w:val="sl-SI"/>
        </w:rPr>
        <w:t xml:space="preserve">analizirati odvzete inšpekcijske vzorce na prisotnost GSO in zagotavljati interpretacijo rezultatov analiz v okviru inšpekcijskega nadzora; </w:t>
      </w:r>
      <w:r w:rsidRPr="001D139C">
        <w:rPr>
          <w:rFonts w:cs="Arial"/>
          <w:szCs w:val="20"/>
          <w:lang w:val="sl-SI"/>
        </w:rPr>
        <w:t xml:space="preserve">zagotavljati je potrebno </w:t>
      </w:r>
      <w:r w:rsidRPr="001D139C">
        <w:rPr>
          <w:rFonts w:cs="Arial"/>
          <w:color w:val="000000"/>
          <w:szCs w:val="20"/>
          <w:lang w:val="sl-SI"/>
        </w:rPr>
        <w:t xml:space="preserve">preverjanje ter izboljšavo metod določanja GSO, zlasti tistih, ki zaradi novih GSO, ki prihajajo na tržišče niso več primerne; uvajati nove metode za določanje novih GSO, ki prihajajo na tržišče; izvajati validacije metod v laboratoriju; </w:t>
      </w:r>
      <w:r w:rsidRPr="001D139C">
        <w:rPr>
          <w:rFonts w:cs="Arial"/>
          <w:szCs w:val="20"/>
          <w:lang w:val="sl-SI"/>
        </w:rPr>
        <w:t xml:space="preserve">zagotavljati </w:t>
      </w:r>
      <w:r w:rsidRPr="001D139C">
        <w:rPr>
          <w:rFonts w:cs="Arial"/>
          <w:szCs w:val="20"/>
          <w:lang w:val="sl-SI"/>
        </w:rPr>
        <w:lastRenderedPageBreak/>
        <w:t>v</w:t>
      </w:r>
      <w:r w:rsidRPr="001D139C">
        <w:rPr>
          <w:rFonts w:cs="Arial"/>
          <w:color w:val="000000"/>
          <w:szCs w:val="20"/>
          <w:lang w:val="sl-SI"/>
        </w:rPr>
        <w:t>zdrževanje sistema sprejemanja, registracije vzorcev in izvedbe testov ter poročanje v skladu z akreditacijo; izvajati vzdrževanje sistema kakovosti v laboratoriju; zagotavljati vključenost v teste preizkušanja usposobljenosti (proficiency tests), sodelovati pri validacijah metod, ki jih organizira referenčni laboratorij EU (EURL) v Ispri za metode, ki jih predlagajo prijavitelji GSO ob predložitvi vloge; s</w:t>
      </w:r>
      <w:r w:rsidRPr="001D139C">
        <w:rPr>
          <w:rFonts w:cs="Arial"/>
          <w:szCs w:val="20"/>
          <w:lang w:val="sl-SI"/>
        </w:rPr>
        <w:t xml:space="preserve">odelovati v Evropski mreži laboratorijev, ki določajo GSO (ENGL). V okviru drugih nalog bo potekalo tudi seznanjanje in izobraževanje na temo kontrole določanja GSO, ki so potrebne za izvajanje uradnega nadzora in obveščenost strokovne in druge zainteresirane javnosti. </w:t>
      </w:r>
    </w:p>
    <w:p w14:paraId="081E9EBE" w14:textId="77777777" w:rsidR="001D139C" w:rsidRPr="001D139C" w:rsidRDefault="001D139C" w:rsidP="001D139C">
      <w:pPr>
        <w:jc w:val="both"/>
        <w:rPr>
          <w:rFonts w:cs="Arial"/>
          <w:color w:val="000000"/>
          <w:szCs w:val="20"/>
          <w:lang w:val="sl-SI"/>
        </w:rPr>
      </w:pPr>
    </w:p>
    <w:p w14:paraId="19BC8670" w14:textId="77777777" w:rsidR="001D139C" w:rsidRPr="001D139C" w:rsidRDefault="001D139C" w:rsidP="001D139C">
      <w:pPr>
        <w:suppressAutoHyphens/>
        <w:rPr>
          <w:rFonts w:cs="Arial"/>
          <w:b/>
          <w:szCs w:val="20"/>
          <w:lang w:val="sl-SI"/>
        </w:rPr>
      </w:pPr>
      <w:r w:rsidRPr="001D139C">
        <w:rPr>
          <w:rFonts w:cs="Arial"/>
          <w:b/>
          <w:szCs w:val="20"/>
          <w:lang w:val="sl-SI"/>
        </w:rPr>
        <w:t>I.6 Finančni obseg nalog, ki se bodo izvajale na podlagi javnega pooblastila</w:t>
      </w:r>
    </w:p>
    <w:p w14:paraId="707E3EFE" w14:textId="77777777" w:rsidR="001D139C" w:rsidRPr="001D139C" w:rsidRDefault="001D139C" w:rsidP="001D139C">
      <w:pPr>
        <w:suppressAutoHyphens/>
        <w:spacing w:line="240" w:lineRule="auto"/>
        <w:jc w:val="both"/>
        <w:rPr>
          <w:rFonts w:cs="Arial"/>
          <w:b/>
          <w:szCs w:val="20"/>
          <w:lang w:val="sl-SI"/>
        </w:rPr>
      </w:pPr>
    </w:p>
    <w:p w14:paraId="36437AFA" w14:textId="5F71CD47" w:rsidR="001D139C" w:rsidRPr="001D139C" w:rsidRDefault="001D139C" w:rsidP="001D139C">
      <w:pPr>
        <w:jc w:val="both"/>
        <w:rPr>
          <w:rFonts w:cs="Arial"/>
          <w:color w:val="000000"/>
          <w:szCs w:val="20"/>
          <w:lang w:val="sl-SI"/>
        </w:rPr>
      </w:pPr>
      <w:r w:rsidRPr="001D139C">
        <w:rPr>
          <w:rFonts w:cs="Arial"/>
          <w:color w:val="000000"/>
          <w:szCs w:val="20"/>
          <w:lang w:val="sl-SI"/>
        </w:rPr>
        <w:t>MOP</w:t>
      </w:r>
      <w:r w:rsidR="00E53346">
        <w:rPr>
          <w:rFonts w:cs="Arial"/>
          <w:color w:val="000000"/>
          <w:szCs w:val="20"/>
          <w:lang w:val="sl-SI"/>
        </w:rPr>
        <w:t>E</w:t>
      </w:r>
      <w:r w:rsidRPr="001D139C">
        <w:rPr>
          <w:rFonts w:cs="Arial"/>
          <w:color w:val="000000"/>
          <w:szCs w:val="20"/>
          <w:lang w:val="sl-SI"/>
        </w:rPr>
        <w:t xml:space="preserve"> ocenjuje, da bodo na podlagi javnega pooblastila izvedene naloge preskusnega laboratorija v predvidenem deležu 85% ter naloge seznanjanja in izobraževanja v predvidenem deležu 15%, skupaj v ocenjeni letni vrednosti </w:t>
      </w:r>
      <w:r w:rsidR="00E53346" w:rsidRPr="00E53346">
        <w:rPr>
          <w:rFonts w:cs="Arial"/>
          <w:color w:val="000000"/>
          <w:szCs w:val="20"/>
          <w:lang w:val="sl-SI"/>
        </w:rPr>
        <w:t xml:space="preserve">88.056 </w:t>
      </w:r>
      <w:r w:rsidRPr="001D139C">
        <w:rPr>
          <w:rFonts w:cs="Arial"/>
          <w:color w:val="000000"/>
          <w:szCs w:val="20"/>
          <w:lang w:val="sl-SI"/>
        </w:rPr>
        <w:t>EUR (brez DDV). Javno pooblastilo se podeli za obdobje petih (5) let od pravnomočnosti odločbe.</w:t>
      </w:r>
    </w:p>
    <w:p w14:paraId="55D1A774"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6711F6CA"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1D139C" w:rsidRPr="00D00E76" w14:paraId="1AB87DE1" w14:textId="77777777" w:rsidTr="00946362">
        <w:tc>
          <w:tcPr>
            <w:tcW w:w="8928" w:type="dxa"/>
            <w:tcBorders>
              <w:top w:val="nil"/>
              <w:left w:val="nil"/>
              <w:bottom w:val="double" w:sz="18" w:space="0" w:color="auto"/>
              <w:right w:val="nil"/>
            </w:tcBorders>
          </w:tcPr>
          <w:p w14:paraId="37358192" w14:textId="77777777" w:rsidR="001D139C" w:rsidRPr="001D139C" w:rsidRDefault="001D139C" w:rsidP="001D139C">
            <w:pPr>
              <w:keepNext/>
              <w:spacing w:line="240" w:lineRule="auto"/>
              <w:jc w:val="both"/>
              <w:outlineLvl w:val="4"/>
              <w:rPr>
                <w:rFonts w:cs="Arial"/>
                <w:b/>
                <w:bCs/>
                <w:szCs w:val="20"/>
                <w:lang w:val="sl-SI" w:eastAsia="sl-SI"/>
              </w:rPr>
            </w:pPr>
            <w:r w:rsidRPr="001D139C">
              <w:rPr>
                <w:rFonts w:cs="Arial"/>
                <w:b/>
                <w:bCs/>
                <w:szCs w:val="20"/>
                <w:lang w:val="sl-SI" w:eastAsia="sl-SI"/>
              </w:rPr>
              <w:t>II.</w:t>
            </w:r>
            <w:r w:rsidRPr="001D139C">
              <w:rPr>
                <w:rFonts w:cs="Arial"/>
                <w:b/>
                <w:bCs/>
                <w:szCs w:val="20"/>
                <w:lang w:val="sl-SI" w:eastAsia="sl-SI"/>
              </w:rPr>
              <w:tab/>
              <w:t>NAVODILO UPRAVIČENCEM ZA IZDELAVO VLOGE  IN RAZPISNI POGOJI</w:t>
            </w:r>
          </w:p>
        </w:tc>
      </w:tr>
    </w:tbl>
    <w:p w14:paraId="32C1F14A"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55526179"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547244A2"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xml:space="preserve">Vloga mora biti izdelana in oddana v skladu z  javnim natečajem za podelitev javnega pooblastila za potrebe: </w:t>
      </w:r>
      <w:r w:rsidRPr="001D139C">
        <w:rPr>
          <w:rFonts w:cs="Arial"/>
          <w:b/>
          <w:szCs w:val="20"/>
          <w:lang w:val="sl-SI" w:eastAsia="sl-SI"/>
        </w:rPr>
        <w:t>A</w:t>
      </w:r>
      <w:r w:rsidRPr="001D139C">
        <w:rPr>
          <w:rFonts w:cs="Arial"/>
          <w:b/>
          <w:color w:val="000000"/>
          <w:szCs w:val="20"/>
          <w:lang w:val="sl-SI" w:eastAsia="sl-SI"/>
        </w:rPr>
        <w:t xml:space="preserve">naliziranja in testiranja odvzetih vzorcev, razvoj analitičnih in testnih metod ter druge naloge, povezane s kontrolo določanja gensko spremenjenih organizmov. </w:t>
      </w:r>
    </w:p>
    <w:p w14:paraId="3EBFE759" w14:textId="77777777" w:rsidR="001D139C" w:rsidRPr="001D139C" w:rsidRDefault="001D139C" w:rsidP="001D139C">
      <w:pPr>
        <w:tabs>
          <w:tab w:val="left" w:pos="360"/>
        </w:tabs>
        <w:overflowPunct w:val="0"/>
        <w:autoSpaceDE w:val="0"/>
        <w:autoSpaceDN w:val="0"/>
        <w:adjustRightInd w:val="0"/>
        <w:spacing w:before="120" w:line="240" w:lineRule="auto"/>
        <w:jc w:val="both"/>
        <w:textAlignment w:val="baseline"/>
        <w:rPr>
          <w:rFonts w:cs="Arial"/>
          <w:szCs w:val="20"/>
          <w:lang w:val="sl-SI" w:eastAsia="sl-SI"/>
        </w:rPr>
      </w:pPr>
      <w:r w:rsidRPr="001D139C">
        <w:rPr>
          <w:rFonts w:cs="Arial"/>
          <w:szCs w:val="20"/>
          <w:lang w:val="sl-SI" w:eastAsia="sl-SI"/>
        </w:rPr>
        <w:t>Vloga mora biti izdelana v slovenskem jeziku.</w:t>
      </w:r>
    </w:p>
    <w:p w14:paraId="631B1BC5" w14:textId="77777777" w:rsidR="001D139C" w:rsidRPr="001D139C" w:rsidRDefault="001D139C" w:rsidP="001D139C">
      <w:pPr>
        <w:tabs>
          <w:tab w:val="left" w:pos="360"/>
        </w:tabs>
        <w:overflowPunct w:val="0"/>
        <w:autoSpaceDE w:val="0"/>
        <w:autoSpaceDN w:val="0"/>
        <w:adjustRightInd w:val="0"/>
        <w:spacing w:before="120" w:line="240" w:lineRule="auto"/>
        <w:jc w:val="both"/>
        <w:textAlignment w:val="baseline"/>
        <w:rPr>
          <w:rFonts w:cs="Arial"/>
          <w:szCs w:val="20"/>
          <w:lang w:val="sl-SI" w:eastAsia="sl-SI"/>
        </w:rPr>
      </w:pPr>
      <w:r w:rsidRPr="001D139C">
        <w:rPr>
          <w:rFonts w:cs="Arial"/>
          <w:szCs w:val="20"/>
          <w:lang w:val="sl-SI" w:eastAsia="sl-SI"/>
        </w:rPr>
        <w:t xml:space="preserve">Vloga </w:t>
      </w:r>
      <w:r w:rsidRPr="001D139C">
        <w:rPr>
          <w:rFonts w:cs="Arial"/>
          <w:b/>
          <w:bCs/>
          <w:szCs w:val="20"/>
          <w:lang w:val="sl-SI" w:eastAsia="sl-SI"/>
        </w:rPr>
        <w:t>je popolna</w:t>
      </w:r>
      <w:r w:rsidRPr="001D139C">
        <w:rPr>
          <w:rFonts w:cs="Arial"/>
          <w:szCs w:val="20"/>
          <w:lang w:val="sl-SI" w:eastAsia="sl-SI"/>
        </w:rPr>
        <w:t xml:space="preserve">, če upravičenec do objavljenega roka predloži v pravilno označeni, zaprti ovojnici: </w:t>
      </w:r>
    </w:p>
    <w:p w14:paraId="220537A0" w14:textId="77777777" w:rsidR="001D139C" w:rsidRPr="009772E1" w:rsidRDefault="001D139C" w:rsidP="009772E1">
      <w:pPr>
        <w:pStyle w:val="Odstavekseznama"/>
        <w:widowControl w:val="0"/>
        <w:numPr>
          <w:ilvl w:val="0"/>
          <w:numId w:val="19"/>
        </w:numPr>
        <w:tabs>
          <w:tab w:val="left" w:pos="1080"/>
        </w:tabs>
        <w:overflowPunct w:val="0"/>
        <w:autoSpaceDE w:val="0"/>
        <w:autoSpaceDN w:val="0"/>
        <w:adjustRightInd w:val="0"/>
        <w:spacing w:line="240" w:lineRule="auto"/>
        <w:jc w:val="both"/>
        <w:textAlignment w:val="baseline"/>
        <w:rPr>
          <w:rFonts w:cs="Arial"/>
          <w:szCs w:val="20"/>
          <w:lang w:val="sl-SI" w:eastAsia="sl-SI"/>
        </w:rPr>
      </w:pPr>
      <w:r w:rsidRPr="009772E1">
        <w:rPr>
          <w:rFonts w:cs="Arial"/>
          <w:szCs w:val="20"/>
          <w:lang w:val="sl-SI" w:eastAsia="sl-SI"/>
        </w:rPr>
        <w:t xml:space="preserve">izpolnjeno, žigosano in s strani pooblaščene osebe podpisano prilogo 1 Vloga,  </w:t>
      </w:r>
    </w:p>
    <w:p w14:paraId="3D33AD8C" w14:textId="77777777" w:rsidR="001D139C" w:rsidRPr="009772E1" w:rsidRDefault="001D139C" w:rsidP="009772E1">
      <w:pPr>
        <w:pStyle w:val="Odstavekseznama"/>
        <w:widowControl w:val="0"/>
        <w:numPr>
          <w:ilvl w:val="0"/>
          <w:numId w:val="19"/>
        </w:numPr>
        <w:tabs>
          <w:tab w:val="left" w:pos="1080"/>
        </w:tabs>
        <w:overflowPunct w:val="0"/>
        <w:autoSpaceDE w:val="0"/>
        <w:autoSpaceDN w:val="0"/>
        <w:adjustRightInd w:val="0"/>
        <w:spacing w:line="240" w:lineRule="auto"/>
        <w:jc w:val="both"/>
        <w:textAlignment w:val="baseline"/>
        <w:rPr>
          <w:rFonts w:cs="Arial"/>
          <w:szCs w:val="20"/>
          <w:lang w:val="sl-SI" w:eastAsia="sl-SI"/>
        </w:rPr>
      </w:pPr>
      <w:r w:rsidRPr="009772E1">
        <w:rPr>
          <w:rFonts w:cs="Arial"/>
          <w:bCs/>
          <w:szCs w:val="20"/>
          <w:lang w:val="it-IT" w:eastAsia="sl-SI"/>
        </w:rPr>
        <w:t>vsa zahtevana dokazila.</w:t>
      </w:r>
    </w:p>
    <w:p w14:paraId="0295A516" w14:textId="77777777" w:rsidR="001D139C" w:rsidRPr="001D139C" w:rsidRDefault="001D139C" w:rsidP="001D139C">
      <w:pPr>
        <w:spacing w:line="240" w:lineRule="auto"/>
        <w:jc w:val="both"/>
        <w:rPr>
          <w:rFonts w:cs="Arial"/>
          <w:szCs w:val="20"/>
          <w:lang w:val="sl-SI" w:eastAsia="sl-SI"/>
        </w:rPr>
      </w:pPr>
    </w:p>
    <w:p w14:paraId="41EAEC92"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Vloge je potrebno poslati po pošti v pisni obliki na naslov Ministrstvo za okolje</w:t>
      </w:r>
      <w:r w:rsidR="009772E1">
        <w:rPr>
          <w:rFonts w:cs="Arial"/>
          <w:szCs w:val="20"/>
          <w:lang w:val="sl-SI" w:eastAsia="sl-SI"/>
        </w:rPr>
        <w:t xml:space="preserve">, podnebje in energijo, Langusova ulica 4, </w:t>
      </w:r>
      <w:r w:rsidRPr="001D139C">
        <w:rPr>
          <w:rFonts w:cs="Arial"/>
          <w:szCs w:val="20"/>
          <w:lang w:val="sl-SI" w:eastAsia="sl-SI"/>
        </w:rPr>
        <w:t>1000 Ljubljana ali jo osebno vložiti v vložišču Ministrstva za okolje</w:t>
      </w:r>
      <w:r w:rsidR="009772E1">
        <w:rPr>
          <w:rFonts w:cs="Arial"/>
          <w:szCs w:val="20"/>
          <w:lang w:val="sl-SI" w:eastAsia="sl-SI"/>
        </w:rPr>
        <w:t>, podnebje in energijo</w:t>
      </w:r>
      <w:r w:rsidRPr="001D139C">
        <w:rPr>
          <w:rFonts w:cs="Arial"/>
          <w:szCs w:val="20"/>
          <w:lang w:val="sl-SI" w:eastAsia="sl-SI"/>
        </w:rPr>
        <w:t xml:space="preserve">. </w:t>
      </w:r>
    </w:p>
    <w:p w14:paraId="6C8283FE" w14:textId="77777777" w:rsidR="001D139C" w:rsidRPr="001D139C" w:rsidRDefault="001D139C" w:rsidP="001D139C">
      <w:pPr>
        <w:spacing w:line="240" w:lineRule="auto"/>
        <w:jc w:val="both"/>
        <w:rPr>
          <w:rFonts w:cs="Arial"/>
          <w:szCs w:val="20"/>
          <w:lang w:val="sl-SI" w:eastAsia="sl-SI"/>
        </w:rPr>
      </w:pPr>
    </w:p>
    <w:p w14:paraId="660E87C7" w14:textId="5CE342EA"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xml:space="preserve">Pravočasna vloga je tista, ki bo na zgoraj navedeni naslov prispela </w:t>
      </w:r>
      <w:r w:rsidRPr="001D139C">
        <w:rPr>
          <w:rFonts w:cs="Arial"/>
          <w:b/>
          <w:szCs w:val="20"/>
          <w:lang w:val="sl-SI" w:eastAsia="sl-SI"/>
        </w:rPr>
        <w:t xml:space="preserve">do </w:t>
      </w:r>
      <w:r w:rsidR="00D00E76">
        <w:rPr>
          <w:rFonts w:cs="Arial"/>
          <w:b/>
          <w:szCs w:val="20"/>
          <w:lang w:val="sl-SI" w:eastAsia="sl-SI"/>
        </w:rPr>
        <w:t>2</w:t>
      </w:r>
      <w:r w:rsidRPr="001D139C">
        <w:rPr>
          <w:rFonts w:cs="Arial"/>
          <w:b/>
          <w:szCs w:val="20"/>
          <w:lang w:val="sl-SI" w:eastAsia="sl-SI"/>
        </w:rPr>
        <w:t xml:space="preserve">. </w:t>
      </w:r>
      <w:r w:rsidR="00D00E76">
        <w:rPr>
          <w:rFonts w:cs="Arial"/>
          <w:b/>
          <w:szCs w:val="20"/>
          <w:lang w:val="sl-SI" w:eastAsia="sl-SI"/>
        </w:rPr>
        <w:t>oktobra</w:t>
      </w:r>
      <w:r w:rsidR="009772E1">
        <w:rPr>
          <w:rFonts w:cs="Arial"/>
          <w:b/>
          <w:szCs w:val="20"/>
          <w:lang w:val="sl-SI" w:eastAsia="sl-SI"/>
        </w:rPr>
        <w:t xml:space="preserve"> </w:t>
      </w:r>
      <w:r w:rsidRPr="001D139C">
        <w:rPr>
          <w:rFonts w:cs="Arial"/>
          <w:b/>
          <w:szCs w:val="20"/>
          <w:lang w:val="sl-SI" w:eastAsia="sl-SI"/>
        </w:rPr>
        <w:t>202</w:t>
      </w:r>
      <w:r w:rsidR="009772E1">
        <w:rPr>
          <w:rFonts w:cs="Arial"/>
          <w:b/>
          <w:szCs w:val="20"/>
          <w:lang w:val="sl-SI" w:eastAsia="sl-SI"/>
        </w:rPr>
        <w:t>5</w:t>
      </w:r>
      <w:r w:rsidRPr="001D139C">
        <w:rPr>
          <w:rFonts w:cs="Arial"/>
          <w:b/>
          <w:szCs w:val="20"/>
          <w:lang w:val="sl-SI" w:eastAsia="sl-SI"/>
        </w:rPr>
        <w:t xml:space="preserve"> do 12.00. ure</w:t>
      </w:r>
      <w:r w:rsidRPr="001D139C">
        <w:rPr>
          <w:rFonts w:cs="Arial"/>
          <w:szCs w:val="20"/>
          <w:lang w:val="sl-SI" w:eastAsia="sl-SI"/>
        </w:rPr>
        <w:t>, ne glede na način prispetja.</w:t>
      </w:r>
    </w:p>
    <w:p w14:paraId="567BDBB2" w14:textId="77777777" w:rsidR="001D139C" w:rsidRPr="001D139C" w:rsidRDefault="001D139C" w:rsidP="001D139C">
      <w:pPr>
        <w:spacing w:line="240" w:lineRule="auto"/>
        <w:jc w:val="both"/>
        <w:rPr>
          <w:rFonts w:cs="Arial"/>
          <w:szCs w:val="20"/>
          <w:lang w:val="sl-SI" w:eastAsia="sl-SI"/>
        </w:rPr>
      </w:pPr>
    </w:p>
    <w:p w14:paraId="68A825E9" w14:textId="77777777" w:rsidR="001D139C" w:rsidRPr="001D139C" w:rsidRDefault="001D139C" w:rsidP="001D139C">
      <w:pPr>
        <w:spacing w:line="240" w:lineRule="auto"/>
        <w:jc w:val="both"/>
        <w:rPr>
          <w:rFonts w:cs="Arial"/>
          <w:b/>
          <w:bCs/>
          <w:szCs w:val="20"/>
          <w:lang w:val="sl-SI" w:eastAsia="sl-SI"/>
        </w:rPr>
      </w:pPr>
      <w:r w:rsidRPr="001D139C">
        <w:rPr>
          <w:rFonts w:cs="Arial"/>
          <w:szCs w:val="20"/>
          <w:lang w:val="sl-SI" w:eastAsia="sl-SI"/>
        </w:rPr>
        <w:t xml:space="preserve">Pisne vloge morajo biti v zaprtih ovojnicah označene z natančno oznako na sprednji strani:  </w:t>
      </w:r>
      <w:r w:rsidRPr="001D139C">
        <w:rPr>
          <w:rFonts w:cs="Arial"/>
          <w:b/>
          <w:bCs/>
          <w:szCs w:val="20"/>
          <w:lang w:val="sl-SI" w:eastAsia="sl-SI"/>
        </w:rPr>
        <w:t xml:space="preserve"> </w:t>
      </w:r>
    </w:p>
    <w:p w14:paraId="15C34B37" w14:textId="77777777" w:rsidR="001D139C" w:rsidRPr="001D139C" w:rsidRDefault="001D139C" w:rsidP="009772E1">
      <w:pPr>
        <w:numPr>
          <w:ilvl w:val="0"/>
          <w:numId w:val="20"/>
        </w:numPr>
        <w:spacing w:line="240" w:lineRule="auto"/>
        <w:jc w:val="both"/>
        <w:rPr>
          <w:rFonts w:cs="Arial"/>
          <w:b/>
          <w:bCs/>
          <w:szCs w:val="20"/>
          <w:lang w:val="sl-SI" w:eastAsia="sl-SI"/>
        </w:rPr>
      </w:pPr>
      <w:r w:rsidRPr="001D139C">
        <w:rPr>
          <w:rFonts w:cs="Arial"/>
          <w:b/>
          <w:bCs/>
          <w:szCs w:val="20"/>
          <w:lang w:val="sl-SI" w:eastAsia="sl-SI"/>
        </w:rPr>
        <w:t>Ne odpiraj – vloga za javni natečaj</w:t>
      </w:r>
      <w:r w:rsidR="009772E1">
        <w:rPr>
          <w:rFonts w:cs="Arial"/>
          <w:b/>
          <w:bCs/>
          <w:szCs w:val="20"/>
          <w:lang w:val="sl-SI" w:eastAsia="sl-SI"/>
        </w:rPr>
        <w:t>,</w:t>
      </w:r>
    </w:p>
    <w:p w14:paraId="00294238" w14:textId="77777777" w:rsidR="001D139C" w:rsidRPr="001D139C" w:rsidRDefault="001D139C" w:rsidP="009772E1">
      <w:pPr>
        <w:numPr>
          <w:ilvl w:val="0"/>
          <w:numId w:val="20"/>
        </w:numPr>
        <w:spacing w:line="240" w:lineRule="auto"/>
        <w:jc w:val="both"/>
        <w:rPr>
          <w:rFonts w:cs="Arial"/>
          <w:b/>
          <w:bCs/>
          <w:szCs w:val="20"/>
          <w:lang w:val="sl-SI" w:eastAsia="sl-SI"/>
        </w:rPr>
      </w:pPr>
      <w:r w:rsidRPr="001D139C">
        <w:rPr>
          <w:rFonts w:cs="Arial"/>
          <w:b/>
          <w:bCs/>
          <w:szCs w:val="20"/>
          <w:lang w:val="sl-SI" w:eastAsia="sl-SI"/>
        </w:rPr>
        <w:t>številka in datum javnega natečaja</w:t>
      </w:r>
      <w:r w:rsidR="009772E1">
        <w:rPr>
          <w:rFonts w:cs="Arial"/>
          <w:b/>
          <w:bCs/>
          <w:szCs w:val="20"/>
          <w:lang w:val="sl-SI" w:eastAsia="sl-SI"/>
        </w:rPr>
        <w:t>,</w:t>
      </w:r>
    </w:p>
    <w:p w14:paraId="49DE0B86" w14:textId="77777777" w:rsidR="001D139C" w:rsidRPr="001D139C" w:rsidRDefault="001D139C" w:rsidP="009772E1">
      <w:pPr>
        <w:numPr>
          <w:ilvl w:val="0"/>
          <w:numId w:val="20"/>
        </w:numPr>
        <w:spacing w:line="240" w:lineRule="auto"/>
        <w:jc w:val="both"/>
        <w:rPr>
          <w:rFonts w:cs="Arial"/>
          <w:b/>
          <w:bCs/>
          <w:szCs w:val="20"/>
          <w:lang w:val="sl-SI" w:eastAsia="sl-SI"/>
        </w:rPr>
      </w:pPr>
      <w:r w:rsidRPr="001D139C">
        <w:rPr>
          <w:rFonts w:cs="Arial"/>
          <w:b/>
          <w:bCs/>
          <w:szCs w:val="20"/>
          <w:lang w:val="sl-SI" w:eastAsia="sl-SI"/>
        </w:rPr>
        <w:t>predmet javnega natečaja</w:t>
      </w:r>
      <w:r w:rsidR="009772E1">
        <w:rPr>
          <w:rFonts w:cs="Arial"/>
          <w:b/>
          <w:bCs/>
          <w:szCs w:val="20"/>
          <w:lang w:val="sl-SI" w:eastAsia="sl-SI"/>
        </w:rPr>
        <w:t>,</w:t>
      </w:r>
    </w:p>
    <w:p w14:paraId="666D01D3" w14:textId="77777777" w:rsidR="001D139C" w:rsidRPr="001D139C" w:rsidRDefault="001D139C" w:rsidP="009772E1">
      <w:pPr>
        <w:numPr>
          <w:ilvl w:val="0"/>
          <w:numId w:val="20"/>
        </w:numPr>
        <w:spacing w:line="240" w:lineRule="auto"/>
        <w:jc w:val="both"/>
        <w:rPr>
          <w:rFonts w:cs="Arial"/>
          <w:b/>
          <w:bCs/>
          <w:szCs w:val="20"/>
          <w:lang w:val="sl-SI" w:eastAsia="sl-SI"/>
        </w:rPr>
      </w:pPr>
      <w:r w:rsidRPr="001D139C">
        <w:rPr>
          <w:rFonts w:cs="Arial"/>
          <w:b/>
          <w:bCs/>
          <w:szCs w:val="20"/>
          <w:lang w:val="sl-SI" w:eastAsia="sl-SI"/>
        </w:rPr>
        <w:t>ime in naslov prosilca.</w:t>
      </w:r>
    </w:p>
    <w:p w14:paraId="7EEBE453" w14:textId="77777777" w:rsidR="001D139C" w:rsidRPr="001D139C" w:rsidRDefault="001D139C" w:rsidP="009772E1">
      <w:pPr>
        <w:spacing w:line="240" w:lineRule="auto"/>
        <w:ind w:left="360"/>
        <w:jc w:val="both"/>
        <w:rPr>
          <w:rFonts w:cs="Arial"/>
          <w:b/>
          <w:bCs/>
          <w:szCs w:val="20"/>
          <w:lang w:val="sl-SI" w:eastAsia="sl-SI"/>
        </w:rPr>
      </w:pPr>
    </w:p>
    <w:p w14:paraId="3AA33AD7" w14:textId="77777777" w:rsidR="001D139C" w:rsidRPr="001D139C" w:rsidRDefault="001D139C" w:rsidP="001D139C">
      <w:pPr>
        <w:tabs>
          <w:tab w:val="left" w:pos="360"/>
        </w:tabs>
        <w:spacing w:line="240" w:lineRule="auto"/>
        <w:jc w:val="both"/>
        <w:rPr>
          <w:rFonts w:cs="Arial"/>
          <w:szCs w:val="20"/>
          <w:lang w:val="sl-SI" w:eastAsia="sl-SI"/>
        </w:rPr>
      </w:pPr>
      <w:r w:rsidRPr="001D139C">
        <w:rPr>
          <w:rFonts w:cs="Arial"/>
          <w:szCs w:val="20"/>
          <w:lang w:val="sl-SI" w:eastAsia="sl-SI"/>
        </w:rPr>
        <w:t xml:space="preserve">Prispele vloge pregleda in oceni strokovna komisija imenovana v postopku javnega natečaja, ki jo je za ta namen imenoval minister za okolje in prostor.  Odpiranje vlog ni javno. </w:t>
      </w:r>
    </w:p>
    <w:p w14:paraId="23151928" w14:textId="77777777" w:rsidR="001D139C" w:rsidRPr="001D139C" w:rsidRDefault="001D139C" w:rsidP="001D139C">
      <w:pPr>
        <w:tabs>
          <w:tab w:val="left" w:pos="360"/>
        </w:tabs>
        <w:spacing w:line="240" w:lineRule="auto"/>
        <w:jc w:val="both"/>
        <w:rPr>
          <w:rFonts w:cs="Arial"/>
          <w:szCs w:val="20"/>
          <w:lang w:val="sl-SI" w:eastAsia="sl-SI"/>
        </w:rPr>
      </w:pPr>
    </w:p>
    <w:p w14:paraId="7B72DF35" w14:textId="77777777" w:rsidR="001D139C" w:rsidRPr="001D139C" w:rsidRDefault="001D139C" w:rsidP="001D139C">
      <w:pPr>
        <w:tabs>
          <w:tab w:val="left" w:pos="360"/>
        </w:tabs>
        <w:spacing w:line="240" w:lineRule="auto"/>
        <w:jc w:val="both"/>
        <w:rPr>
          <w:rFonts w:cs="Arial"/>
          <w:szCs w:val="20"/>
          <w:lang w:val="sl-SI" w:eastAsia="sl-SI"/>
        </w:rPr>
      </w:pPr>
      <w:r w:rsidRPr="001D139C">
        <w:rPr>
          <w:rFonts w:cs="Arial"/>
          <w:szCs w:val="20"/>
          <w:lang w:val="sl-SI" w:eastAsia="sl-SI"/>
        </w:rPr>
        <w:t xml:space="preserve">Strokovna komisija bo </w:t>
      </w:r>
      <w:r w:rsidRPr="001D139C">
        <w:rPr>
          <w:rFonts w:cs="Arial"/>
          <w:b/>
          <w:szCs w:val="20"/>
          <w:lang w:val="sl-SI" w:eastAsia="sl-SI"/>
        </w:rPr>
        <w:t>vse pravilno označene in pravočasne vloge</w:t>
      </w:r>
      <w:r w:rsidRPr="001D139C">
        <w:rPr>
          <w:rFonts w:cs="Arial"/>
          <w:szCs w:val="20"/>
          <w:lang w:val="sl-SI" w:eastAsia="sl-SI"/>
        </w:rPr>
        <w:t xml:space="preserve"> odprla in ugotovila njihovo popolnost.</w:t>
      </w:r>
    </w:p>
    <w:p w14:paraId="00E9DFA1" w14:textId="77777777" w:rsidR="001D139C" w:rsidRPr="001D139C" w:rsidRDefault="001D139C" w:rsidP="001D139C">
      <w:pPr>
        <w:numPr>
          <w:ilvl w:val="12"/>
          <w:numId w:val="0"/>
        </w:numPr>
        <w:spacing w:line="240" w:lineRule="auto"/>
        <w:jc w:val="both"/>
        <w:rPr>
          <w:rFonts w:cs="Arial"/>
          <w:szCs w:val="20"/>
          <w:lang w:val="sl-SI" w:eastAsia="sl-SI"/>
        </w:rPr>
      </w:pPr>
    </w:p>
    <w:p w14:paraId="2734E235" w14:textId="77777777" w:rsidR="001D139C" w:rsidRPr="001D139C" w:rsidRDefault="001D139C" w:rsidP="001D139C">
      <w:pPr>
        <w:numPr>
          <w:ilvl w:val="12"/>
          <w:numId w:val="0"/>
        </w:numPr>
        <w:spacing w:line="240" w:lineRule="auto"/>
        <w:jc w:val="both"/>
        <w:rPr>
          <w:rFonts w:cs="Arial"/>
          <w:szCs w:val="20"/>
          <w:lang w:val="sl-SI" w:eastAsia="sl-SI"/>
        </w:rPr>
      </w:pPr>
      <w:r w:rsidRPr="001D139C">
        <w:rPr>
          <w:rFonts w:cs="Arial"/>
          <w:szCs w:val="20"/>
          <w:lang w:val="sl-SI" w:eastAsia="sl-SI"/>
        </w:rPr>
        <w:t>O pregledu vlog  sestavi komisija zapisnik, ki vsebuje:</w:t>
      </w:r>
    </w:p>
    <w:p w14:paraId="32D6C001" w14:textId="77777777" w:rsidR="001D139C" w:rsidRPr="001D139C" w:rsidRDefault="001D139C" w:rsidP="001D139C">
      <w:pPr>
        <w:numPr>
          <w:ilvl w:val="0"/>
          <w:numId w:val="12"/>
        </w:numPr>
        <w:spacing w:line="240" w:lineRule="auto"/>
        <w:jc w:val="both"/>
        <w:rPr>
          <w:rFonts w:cs="Arial"/>
          <w:szCs w:val="20"/>
          <w:lang w:val="sl-SI" w:eastAsia="sl-SI"/>
        </w:rPr>
      </w:pPr>
      <w:r w:rsidRPr="001D139C">
        <w:rPr>
          <w:rFonts w:cs="Arial"/>
          <w:szCs w:val="20"/>
          <w:lang w:val="sl-SI" w:eastAsia="sl-SI"/>
        </w:rPr>
        <w:t>naslov, prostor in čas pregleda in ocene vlog,</w:t>
      </w:r>
    </w:p>
    <w:p w14:paraId="7390C6E8" w14:textId="77777777" w:rsidR="001D139C" w:rsidRPr="001D139C" w:rsidRDefault="001D139C" w:rsidP="001D139C">
      <w:pPr>
        <w:numPr>
          <w:ilvl w:val="0"/>
          <w:numId w:val="12"/>
        </w:numPr>
        <w:spacing w:line="240" w:lineRule="auto"/>
        <w:jc w:val="both"/>
        <w:rPr>
          <w:rFonts w:cs="Arial"/>
          <w:szCs w:val="20"/>
          <w:lang w:val="sl-SI" w:eastAsia="sl-SI"/>
        </w:rPr>
      </w:pPr>
      <w:r w:rsidRPr="001D139C">
        <w:rPr>
          <w:rFonts w:cs="Arial"/>
          <w:szCs w:val="20"/>
          <w:lang w:val="sl-SI" w:eastAsia="sl-SI"/>
        </w:rPr>
        <w:t>predmet javnega razpisa,</w:t>
      </w:r>
    </w:p>
    <w:p w14:paraId="142BA0FE" w14:textId="77777777" w:rsidR="001D139C" w:rsidRPr="001D139C" w:rsidRDefault="001D139C" w:rsidP="001D139C">
      <w:pPr>
        <w:numPr>
          <w:ilvl w:val="0"/>
          <w:numId w:val="12"/>
        </w:numPr>
        <w:spacing w:line="240" w:lineRule="auto"/>
        <w:jc w:val="both"/>
        <w:rPr>
          <w:rFonts w:cs="Arial"/>
          <w:szCs w:val="20"/>
          <w:lang w:val="sl-SI" w:eastAsia="sl-SI"/>
        </w:rPr>
      </w:pPr>
      <w:r w:rsidRPr="001D139C">
        <w:rPr>
          <w:rFonts w:cs="Arial"/>
          <w:szCs w:val="20"/>
          <w:lang w:val="sl-SI" w:eastAsia="sl-SI"/>
        </w:rPr>
        <w:t>imena članov komisije,</w:t>
      </w:r>
    </w:p>
    <w:p w14:paraId="68CBDEF4" w14:textId="77777777" w:rsidR="001D139C" w:rsidRPr="001D139C" w:rsidRDefault="001D139C" w:rsidP="001D139C">
      <w:pPr>
        <w:numPr>
          <w:ilvl w:val="0"/>
          <w:numId w:val="11"/>
        </w:numPr>
        <w:spacing w:line="240" w:lineRule="auto"/>
        <w:jc w:val="both"/>
        <w:rPr>
          <w:rFonts w:cs="Arial"/>
          <w:szCs w:val="20"/>
          <w:lang w:val="sl-SI" w:eastAsia="sl-SI"/>
        </w:rPr>
      </w:pPr>
      <w:r w:rsidRPr="001D139C">
        <w:rPr>
          <w:rFonts w:cs="Arial"/>
          <w:szCs w:val="20"/>
          <w:lang w:val="sl-SI" w:eastAsia="sl-SI"/>
        </w:rPr>
        <w:t>seznam prispelih vlog,</w:t>
      </w:r>
    </w:p>
    <w:p w14:paraId="703516B2" w14:textId="77777777" w:rsidR="001D139C" w:rsidRPr="001D139C" w:rsidRDefault="001D139C" w:rsidP="001D139C">
      <w:pPr>
        <w:numPr>
          <w:ilvl w:val="0"/>
          <w:numId w:val="11"/>
        </w:numPr>
        <w:spacing w:line="240" w:lineRule="auto"/>
        <w:jc w:val="both"/>
        <w:rPr>
          <w:rFonts w:cs="Arial"/>
          <w:szCs w:val="20"/>
          <w:lang w:val="sl-SI" w:eastAsia="sl-SI"/>
        </w:rPr>
      </w:pPr>
      <w:r w:rsidRPr="001D139C">
        <w:rPr>
          <w:rFonts w:cs="Arial"/>
          <w:szCs w:val="20"/>
          <w:lang w:val="sl-SI" w:eastAsia="sl-SI"/>
        </w:rPr>
        <w:t>seznam vlog, ki so prispele prepozno,</w:t>
      </w:r>
    </w:p>
    <w:p w14:paraId="3FB4A59F" w14:textId="77777777" w:rsidR="001D139C" w:rsidRPr="001D139C" w:rsidRDefault="001D139C" w:rsidP="001D139C">
      <w:pPr>
        <w:numPr>
          <w:ilvl w:val="0"/>
          <w:numId w:val="11"/>
        </w:numPr>
        <w:spacing w:line="240" w:lineRule="auto"/>
        <w:jc w:val="both"/>
        <w:rPr>
          <w:rFonts w:cs="Arial"/>
          <w:szCs w:val="20"/>
          <w:lang w:val="sl-SI" w:eastAsia="sl-SI"/>
        </w:rPr>
      </w:pPr>
      <w:r w:rsidRPr="001D139C">
        <w:rPr>
          <w:rFonts w:cs="Arial"/>
          <w:szCs w:val="20"/>
          <w:lang w:val="sl-SI" w:eastAsia="sl-SI"/>
        </w:rPr>
        <w:t xml:space="preserve">seznam nepravilno označenih vlog, </w:t>
      </w:r>
    </w:p>
    <w:p w14:paraId="1042A174" w14:textId="77777777" w:rsidR="001D139C" w:rsidRPr="001D139C" w:rsidRDefault="001D139C" w:rsidP="001D139C">
      <w:pPr>
        <w:numPr>
          <w:ilvl w:val="0"/>
          <w:numId w:val="11"/>
        </w:numPr>
        <w:spacing w:line="240" w:lineRule="auto"/>
        <w:jc w:val="both"/>
        <w:rPr>
          <w:rFonts w:cs="Arial"/>
          <w:szCs w:val="20"/>
          <w:lang w:val="sl-SI" w:eastAsia="sl-SI"/>
        </w:rPr>
      </w:pPr>
      <w:r w:rsidRPr="001D139C">
        <w:rPr>
          <w:rFonts w:cs="Arial"/>
          <w:szCs w:val="20"/>
          <w:lang w:val="sl-SI" w:eastAsia="sl-SI"/>
        </w:rPr>
        <w:t>seznam  nepopolnih vlog, z navedbo pomanjkljivosti,</w:t>
      </w:r>
    </w:p>
    <w:p w14:paraId="673886B3" w14:textId="77777777" w:rsidR="001D139C" w:rsidRPr="001D139C" w:rsidRDefault="001D139C" w:rsidP="001D139C">
      <w:pPr>
        <w:numPr>
          <w:ilvl w:val="0"/>
          <w:numId w:val="11"/>
        </w:numPr>
        <w:spacing w:line="240" w:lineRule="auto"/>
        <w:jc w:val="both"/>
        <w:rPr>
          <w:rFonts w:cs="Arial"/>
          <w:szCs w:val="20"/>
          <w:lang w:val="sl-SI" w:eastAsia="sl-SI"/>
        </w:rPr>
      </w:pPr>
      <w:r w:rsidRPr="001D139C">
        <w:rPr>
          <w:rFonts w:cs="Arial"/>
          <w:szCs w:val="20"/>
          <w:lang w:val="sl-SI" w:eastAsia="sl-SI"/>
        </w:rPr>
        <w:t>seznam odobrenih vlog.</w:t>
      </w:r>
    </w:p>
    <w:p w14:paraId="7E947DA1" w14:textId="77777777" w:rsidR="001D139C" w:rsidRPr="001D139C" w:rsidRDefault="001D139C" w:rsidP="001D139C">
      <w:pPr>
        <w:spacing w:line="240" w:lineRule="auto"/>
        <w:jc w:val="both"/>
        <w:rPr>
          <w:rFonts w:cs="Arial"/>
          <w:szCs w:val="20"/>
          <w:lang w:val="sl-SI" w:eastAsia="sl-SI"/>
        </w:rPr>
      </w:pPr>
    </w:p>
    <w:p w14:paraId="21A48C51"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xml:space="preserve">Prepozno prispele vloge bodo neodprte vrnjene prosilcem. </w:t>
      </w:r>
    </w:p>
    <w:p w14:paraId="40A7B899" w14:textId="77777777" w:rsidR="001D139C" w:rsidRPr="001D139C" w:rsidRDefault="001D139C" w:rsidP="001D139C">
      <w:pPr>
        <w:autoSpaceDE w:val="0"/>
        <w:autoSpaceDN w:val="0"/>
        <w:adjustRightInd w:val="0"/>
        <w:spacing w:line="240" w:lineRule="auto"/>
        <w:rPr>
          <w:rFonts w:cs="Arial"/>
          <w:color w:val="000000"/>
          <w:szCs w:val="20"/>
          <w:lang w:val="sl-SI" w:eastAsia="sl-SI"/>
        </w:rPr>
      </w:pPr>
    </w:p>
    <w:p w14:paraId="7D618FC2"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O odobrenih in zavrnjenih vlogah odloči s sklepom minister in sicer na podlagi predloga strokovne komisije. Upravičenci bodo o izboru pisno obveščeni najkasneje v enem mesecu po poteku roka za prijavo.</w:t>
      </w:r>
    </w:p>
    <w:p w14:paraId="22D4FEF0"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60450198" w14:textId="77777777" w:rsidR="001D139C" w:rsidRPr="001D139C" w:rsidRDefault="001D139C" w:rsidP="001D139C">
      <w:pPr>
        <w:widowControl w:val="0"/>
        <w:tabs>
          <w:tab w:val="left" w:pos="360"/>
          <w:tab w:val="center" w:pos="4536"/>
          <w:tab w:val="right" w:pos="9072"/>
        </w:tabs>
        <w:overflowPunct w:val="0"/>
        <w:autoSpaceDE w:val="0"/>
        <w:autoSpaceDN w:val="0"/>
        <w:adjustRightInd w:val="0"/>
        <w:spacing w:line="240" w:lineRule="auto"/>
        <w:jc w:val="both"/>
        <w:textAlignment w:val="baseline"/>
        <w:rPr>
          <w:rFonts w:cs="Arial"/>
          <w:szCs w:val="20"/>
          <w:lang w:val="sl-SI" w:eastAsia="sl-SI"/>
        </w:rPr>
      </w:pPr>
      <w:r w:rsidRPr="001D139C">
        <w:rPr>
          <w:rFonts w:cs="Arial"/>
          <w:szCs w:val="20"/>
          <w:lang w:val="sl-SI" w:eastAsia="sl-SI"/>
        </w:rPr>
        <w:t>Zoper to odločbo ni pritožbe, pač pa je dovoljen upravni spor z vložitvijo tožbe na Upravno sodišče Republike Slovenije v roku 30 dni od vročitve odločbe. Tožbo se vloži neposredno pri pristojnem sodišču, ali pa se pošlje po pošti.</w:t>
      </w:r>
    </w:p>
    <w:p w14:paraId="525B1E34" w14:textId="77777777" w:rsidR="001D139C" w:rsidRPr="001D139C" w:rsidRDefault="001D139C" w:rsidP="001D139C">
      <w:pPr>
        <w:widowControl w:val="0"/>
        <w:tabs>
          <w:tab w:val="left" w:pos="360"/>
          <w:tab w:val="center" w:pos="4536"/>
          <w:tab w:val="right" w:pos="9072"/>
        </w:tabs>
        <w:overflowPunct w:val="0"/>
        <w:autoSpaceDE w:val="0"/>
        <w:autoSpaceDN w:val="0"/>
        <w:adjustRightInd w:val="0"/>
        <w:spacing w:line="240" w:lineRule="auto"/>
        <w:textAlignment w:val="baseline"/>
        <w:rPr>
          <w:rFonts w:cs="Arial"/>
          <w:szCs w:val="20"/>
          <w:lang w:val="sl-SI" w:eastAsia="sl-SI"/>
        </w:rPr>
      </w:pPr>
    </w:p>
    <w:p w14:paraId="0CA27FA5"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51078CBF"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9AF50E2"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45BEAB3E"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EBC4BC1"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58B309F9"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67926DA5"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77854B20"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4F9FF1F3"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4611E3B3"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7591D80"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70CD784F"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158D737A"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6E93BDB3"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4E16694"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4628FAA1"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D23DB8A"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53AA09EF"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D4BF6A2"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6417267"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7CEB32F"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0FBCDCC8"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5B6E9BCD"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D5BFBB0"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0CD35E37"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3D21E34"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4EDD6989"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1F2692E6"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5DE4B23"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5BF53F6D"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6A8F1DE6"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0F7AF093"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7A6C0014"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1C4C06D0"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BAE23AB"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529B233F"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4A416B5"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4607EA08"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8AA0B4D"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6E804D01"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4B171CDE"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50BB5414"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3D955E87"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6584406" w14:textId="77777777" w:rsidR="001D139C" w:rsidRPr="001D139C" w:rsidRDefault="001D139C" w:rsidP="001D139C">
      <w:pPr>
        <w:widowControl w:val="0"/>
        <w:tabs>
          <w:tab w:val="left" w:pos="360"/>
        </w:tabs>
        <w:overflowPunct w:val="0"/>
        <w:autoSpaceDE w:val="0"/>
        <w:autoSpaceDN w:val="0"/>
        <w:adjustRightInd w:val="0"/>
        <w:spacing w:line="240" w:lineRule="auto"/>
        <w:jc w:val="both"/>
        <w:textAlignment w:val="baseline"/>
        <w:rPr>
          <w:rFonts w:cs="Arial"/>
          <w:szCs w:val="20"/>
          <w:lang w:val="sl-SI" w:eastAsia="sl-SI"/>
        </w:rPr>
      </w:pPr>
    </w:p>
    <w:p w14:paraId="233671FF" w14:textId="77777777" w:rsid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7AC018FA"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368B2AC1"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13F3F260"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10A61290"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4E22CEF1"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2869C8F9"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7D4FAEA0"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74EB3CD6"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7F89E2BD"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67CC5662"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251AD2D5" w14:textId="77777777" w:rsidR="009772E1"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1116F811" w14:textId="77777777" w:rsidR="009772E1" w:rsidRPr="001D139C" w:rsidRDefault="009772E1" w:rsidP="001D139C">
      <w:pPr>
        <w:overflowPunct w:val="0"/>
        <w:autoSpaceDE w:val="0"/>
        <w:autoSpaceDN w:val="0"/>
        <w:adjustRightInd w:val="0"/>
        <w:spacing w:line="240" w:lineRule="auto"/>
        <w:jc w:val="both"/>
        <w:textAlignment w:val="baseline"/>
        <w:rPr>
          <w:rFonts w:cs="Arial"/>
          <w:szCs w:val="20"/>
          <w:lang w:val="sl-SI" w:eastAsia="sl-SI"/>
        </w:rPr>
      </w:pPr>
    </w:p>
    <w:p w14:paraId="393770FA" w14:textId="77777777" w:rsidR="001D139C" w:rsidRPr="001D139C" w:rsidRDefault="001D139C" w:rsidP="001D139C">
      <w:pPr>
        <w:overflowPunct w:val="0"/>
        <w:autoSpaceDE w:val="0"/>
        <w:autoSpaceDN w:val="0"/>
        <w:adjustRightInd w:val="0"/>
        <w:spacing w:line="240" w:lineRule="auto"/>
        <w:jc w:val="right"/>
        <w:textAlignment w:val="baseline"/>
        <w:rPr>
          <w:rFonts w:cs="Arial"/>
          <w:szCs w:val="20"/>
          <w:lang w:val="sl-SI" w:eastAsia="sl-SI"/>
        </w:rPr>
      </w:pPr>
    </w:p>
    <w:p w14:paraId="1EF607A1" w14:textId="77777777" w:rsidR="001D139C" w:rsidRPr="001D139C" w:rsidRDefault="001D139C" w:rsidP="001D139C">
      <w:pPr>
        <w:overflowPunct w:val="0"/>
        <w:autoSpaceDE w:val="0"/>
        <w:autoSpaceDN w:val="0"/>
        <w:adjustRightInd w:val="0"/>
        <w:spacing w:line="240" w:lineRule="auto"/>
        <w:jc w:val="right"/>
        <w:textAlignment w:val="baseline"/>
        <w:rPr>
          <w:rFonts w:cs="Arial"/>
          <w:szCs w:val="20"/>
          <w:lang w:val="sl-SI" w:eastAsia="sl-SI"/>
        </w:rPr>
      </w:pPr>
      <w:r w:rsidRPr="001D139C">
        <w:rPr>
          <w:rFonts w:cs="Arial"/>
          <w:szCs w:val="20"/>
          <w:lang w:val="sl-SI" w:eastAsia="sl-SI"/>
        </w:rPr>
        <w:t>Priloga 1</w:t>
      </w:r>
    </w:p>
    <w:p w14:paraId="5F8F790A" w14:textId="77777777" w:rsidR="001D139C" w:rsidRPr="001D139C" w:rsidRDefault="001D139C" w:rsidP="001D139C">
      <w:pPr>
        <w:overflowPunct w:val="0"/>
        <w:autoSpaceDE w:val="0"/>
        <w:autoSpaceDN w:val="0"/>
        <w:adjustRightInd w:val="0"/>
        <w:spacing w:line="240" w:lineRule="auto"/>
        <w:jc w:val="right"/>
        <w:textAlignment w:val="baseline"/>
        <w:rPr>
          <w:rFonts w:cs="Arial"/>
          <w:szCs w:val="20"/>
          <w:lang w:val="sl-SI" w:eastAsia="sl-SI"/>
        </w:rPr>
      </w:pPr>
    </w:p>
    <w:p w14:paraId="1E234E66" w14:textId="77777777" w:rsidR="001D139C" w:rsidRPr="001D139C" w:rsidRDefault="001D139C" w:rsidP="001D139C">
      <w:pPr>
        <w:overflowPunct w:val="0"/>
        <w:autoSpaceDE w:val="0"/>
        <w:autoSpaceDN w:val="0"/>
        <w:adjustRightInd w:val="0"/>
        <w:spacing w:line="240" w:lineRule="auto"/>
        <w:jc w:val="right"/>
        <w:textAlignment w:val="baseline"/>
        <w:rPr>
          <w:rFonts w:cs="Arial"/>
          <w:szCs w:val="20"/>
          <w:lang w:val="sl-SI" w:eastAsia="sl-SI"/>
        </w:rPr>
      </w:pPr>
    </w:p>
    <w:tbl>
      <w:tblPr>
        <w:tblW w:w="9070" w:type="dxa"/>
        <w:tblLayout w:type="fixed"/>
        <w:tblCellMar>
          <w:left w:w="70" w:type="dxa"/>
          <w:right w:w="70" w:type="dxa"/>
        </w:tblCellMar>
        <w:tblLook w:val="0000" w:firstRow="0" w:lastRow="0" w:firstColumn="0" w:lastColumn="0" w:noHBand="0" w:noVBand="0"/>
      </w:tblPr>
      <w:tblGrid>
        <w:gridCol w:w="1204"/>
        <w:gridCol w:w="993"/>
        <w:gridCol w:w="992"/>
        <w:gridCol w:w="4536"/>
        <w:gridCol w:w="1276"/>
        <w:gridCol w:w="69"/>
      </w:tblGrid>
      <w:tr w:rsidR="001D139C" w:rsidRPr="00D00E76" w14:paraId="589AFBC2" w14:textId="77777777" w:rsidTr="00946362">
        <w:trPr>
          <w:gridAfter w:val="1"/>
          <w:wAfter w:w="69" w:type="dxa"/>
          <w:trHeight w:val="70"/>
        </w:trPr>
        <w:tc>
          <w:tcPr>
            <w:tcW w:w="9001" w:type="dxa"/>
            <w:gridSpan w:val="5"/>
            <w:tcBorders>
              <w:top w:val="nil"/>
              <w:left w:val="nil"/>
              <w:bottom w:val="single" w:sz="30" w:space="0" w:color="auto"/>
              <w:right w:val="nil"/>
            </w:tcBorders>
          </w:tcPr>
          <w:p w14:paraId="4B8369C2" w14:textId="77777777" w:rsidR="001D139C" w:rsidRPr="001D139C" w:rsidRDefault="001D139C" w:rsidP="001D139C">
            <w:pPr>
              <w:spacing w:line="240" w:lineRule="auto"/>
              <w:jc w:val="both"/>
              <w:rPr>
                <w:rFonts w:cs="Arial"/>
                <w:b/>
                <w:szCs w:val="20"/>
                <w:lang w:val="sl-SI" w:eastAsia="sl-SI"/>
              </w:rPr>
            </w:pPr>
            <w:r w:rsidRPr="001D139C">
              <w:rPr>
                <w:rFonts w:cs="Arial"/>
                <w:b/>
                <w:bCs/>
                <w:iCs/>
                <w:szCs w:val="20"/>
                <w:lang w:val="sl-SI" w:eastAsia="sl-SI"/>
              </w:rPr>
              <w:t xml:space="preserve">VLOGA ZA PODELITEV JAVNEGA POOBLASTILA ZA </w:t>
            </w:r>
            <w:r w:rsidRPr="001D139C">
              <w:rPr>
                <w:rFonts w:cs="Arial"/>
                <w:b/>
                <w:szCs w:val="20"/>
                <w:lang w:val="sl-SI" w:eastAsia="sl-SI"/>
              </w:rPr>
              <w:t>A</w:t>
            </w:r>
            <w:r w:rsidRPr="001D139C">
              <w:rPr>
                <w:rFonts w:cs="Arial"/>
                <w:b/>
                <w:color w:val="000000"/>
                <w:szCs w:val="20"/>
                <w:lang w:val="sl-SI" w:eastAsia="sl-SI"/>
              </w:rPr>
              <w:t>NALIZIRANJE IN TESTIRANJE ODVZETIH VZORCEV, RAZVOJ ANALITIČNIH IN TESTNIH METOD TER DRUGE NALOGE, POVEZANE S KONTROLO DOLOČANJA GENSKO SPREMENJENIH ORGANIZMOV</w:t>
            </w:r>
          </w:p>
          <w:p w14:paraId="0B7D14FE" w14:textId="77777777" w:rsidR="001D139C" w:rsidRPr="001D139C" w:rsidRDefault="001D139C" w:rsidP="001D139C">
            <w:pPr>
              <w:overflowPunct w:val="0"/>
              <w:autoSpaceDE w:val="0"/>
              <w:autoSpaceDN w:val="0"/>
              <w:adjustRightInd w:val="0"/>
              <w:spacing w:line="240" w:lineRule="auto"/>
              <w:jc w:val="center"/>
              <w:textAlignment w:val="baseline"/>
              <w:rPr>
                <w:rFonts w:cs="Arial"/>
                <w:b/>
                <w:bCs/>
                <w:iCs/>
                <w:szCs w:val="20"/>
                <w:lang w:val="sl-SI" w:eastAsia="sl-SI"/>
              </w:rPr>
            </w:pPr>
          </w:p>
        </w:tc>
      </w:tr>
      <w:tr w:rsidR="001D139C" w:rsidRPr="00D00E76" w14:paraId="7884341D" w14:textId="77777777" w:rsidTr="00946362">
        <w:trPr>
          <w:gridAfter w:val="1"/>
          <w:wAfter w:w="69" w:type="dxa"/>
          <w:trHeight w:val="20"/>
        </w:trPr>
        <w:tc>
          <w:tcPr>
            <w:tcW w:w="9001" w:type="dxa"/>
            <w:gridSpan w:val="5"/>
          </w:tcPr>
          <w:p w14:paraId="4CB9371D" w14:textId="77777777" w:rsidR="001D139C" w:rsidRPr="001D139C" w:rsidRDefault="001D139C" w:rsidP="001D139C">
            <w:pPr>
              <w:overflowPunct w:val="0"/>
              <w:autoSpaceDE w:val="0"/>
              <w:autoSpaceDN w:val="0"/>
              <w:adjustRightInd w:val="0"/>
              <w:spacing w:line="240" w:lineRule="auto"/>
              <w:textAlignment w:val="baseline"/>
              <w:rPr>
                <w:rFonts w:cs="Arial"/>
                <w:b/>
                <w:bCs/>
                <w:szCs w:val="20"/>
                <w:lang w:val="sl-SI" w:eastAsia="sl-SI"/>
              </w:rPr>
            </w:pPr>
          </w:p>
        </w:tc>
      </w:tr>
      <w:tr w:rsidR="001D139C" w:rsidRPr="00D00E76" w14:paraId="032950BB" w14:textId="77777777" w:rsidTr="00946362">
        <w:trPr>
          <w:gridAfter w:val="1"/>
          <w:wAfter w:w="69" w:type="dxa"/>
          <w:trHeight w:val="70"/>
        </w:trPr>
        <w:tc>
          <w:tcPr>
            <w:tcW w:w="3189" w:type="dxa"/>
            <w:gridSpan w:val="3"/>
          </w:tcPr>
          <w:p w14:paraId="02D041E9" w14:textId="77777777" w:rsidR="001D139C" w:rsidRPr="001D139C" w:rsidRDefault="001D139C" w:rsidP="001D139C">
            <w:pPr>
              <w:overflowPunct w:val="0"/>
              <w:autoSpaceDE w:val="0"/>
              <w:autoSpaceDN w:val="0"/>
              <w:adjustRightInd w:val="0"/>
              <w:spacing w:line="240" w:lineRule="auto"/>
              <w:jc w:val="right"/>
              <w:textAlignment w:val="baseline"/>
              <w:rPr>
                <w:rFonts w:cs="Arial"/>
                <w:b/>
                <w:bCs/>
                <w:i/>
                <w:iCs/>
                <w:szCs w:val="20"/>
                <w:lang w:val="sl-SI" w:eastAsia="sl-SI"/>
              </w:rPr>
            </w:pPr>
          </w:p>
        </w:tc>
        <w:tc>
          <w:tcPr>
            <w:tcW w:w="5812" w:type="dxa"/>
            <w:gridSpan w:val="2"/>
          </w:tcPr>
          <w:p w14:paraId="0A7D4769" w14:textId="77777777" w:rsidR="001D139C" w:rsidRPr="001D139C" w:rsidRDefault="001D139C" w:rsidP="001D139C">
            <w:pPr>
              <w:overflowPunct w:val="0"/>
              <w:autoSpaceDE w:val="0"/>
              <w:autoSpaceDN w:val="0"/>
              <w:adjustRightInd w:val="0"/>
              <w:spacing w:line="240" w:lineRule="auto"/>
              <w:textAlignment w:val="baseline"/>
              <w:rPr>
                <w:rFonts w:cs="Arial"/>
                <w:b/>
                <w:bCs/>
                <w:szCs w:val="20"/>
                <w:lang w:val="sl-SI" w:eastAsia="sl-SI"/>
              </w:rPr>
            </w:pPr>
          </w:p>
        </w:tc>
      </w:tr>
      <w:tr w:rsidR="001D139C" w:rsidRPr="00D00E76" w14:paraId="2FB218C7" w14:textId="77777777" w:rsidTr="00946362">
        <w:tc>
          <w:tcPr>
            <w:tcW w:w="9070" w:type="dxa"/>
            <w:gridSpan w:val="6"/>
          </w:tcPr>
          <w:p w14:paraId="630AC846" w14:textId="77777777" w:rsidR="001D139C" w:rsidRPr="001D139C" w:rsidRDefault="001D139C" w:rsidP="001D139C">
            <w:pPr>
              <w:spacing w:line="240" w:lineRule="auto"/>
              <w:jc w:val="center"/>
              <w:rPr>
                <w:rFonts w:cs="Arial"/>
                <w:szCs w:val="20"/>
                <w:lang w:val="sl-SI" w:eastAsia="sl-SI"/>
              </w:rPr>
            </w:pPr>
          </w:p>
        </w:tc>
      </w:tr>
      <w:tr w:rsidR="001D139C" w:rsidRPr="00D00E76" w14:paraId="392F8A5E" w14:textId="77777777" w:rsidTr="00946362">
        <w:trPr>
          <w:trHeight w:val="70"/>
        </w:trPr>
        <w:tc>
          <w:tcPr>
            <w:tcW w:w="1204" w:type="dxa"/>
          </w:tcPr>
          <w:p w14:paraId="5E6D4ABB" w14:textId="77777777" w:rsidR="001D139C" w:rsidRPr="001D139C" w:rsidRDefault="001D139C" w:rsidP="001D139C">
            <w:pPr>
              <w:spacing w:line="240" w:lineRule="auto"/>
              <w:jc w:val="both"/>
              <w:rPr>
                <w:rFonts w:cs="Arial"/>
                <w:szCs w:val="20"/>
                <w:lang w:val="sl-SI" w:eastAsia="sl-SI"/>
              </w:rPr>
            </w:pPr>
          </w:p>
        </w:tc>
        <w:tc>
          <w:tcPr>
            <w:tcW w:w="993" w:type="dxa"/>
          </w:tcPr>
          <w:p w14:paraId="21D8C9DE" w14:textId="77777777" w:rsidR="001D139C" w:rsidRPr="001D139C" w:rsidRDefault="001D139C" w:rsidP="001D139C">
            <w:pPr>
              <w:spacing w:line="240" w:lineRule="auto"/>
              <w:jc w:val="center"/>
              <w:rPr>
                <w:rFonts w:cs="Arial"/>
                <w:b/>
                <w:bCs/>
                <w:szCs w:val="20"/>
                <w:lang w:val="sl-SI" w:eastAsia="sl-SI"/>
              </w:rPr>
            </w:pPr>
          </w:p>
        </w:tc>
        <w:tc>
          <w:tcPr>
            <w:tcW w:w="5528" w:type="dxa"/>
            <w:gridSpan w:val="2"/>
          </w:tcPr>
          <w:p w14:paraId="14C50CA3" w14:textId="77777777" w:rsidR="001D139C" w:rsidRPr="001D139C" w:rsidRDefault="001D139C" w:rsidP="001D139C">
            <w:pPr>
              <w:spacing w:line="240" w:lineRule="auto"/>
              <w:jc w:val="center"/>
              <w:rPr>
                <w:rFonts w:cs="Arial"/>
                <w:b/>
                <w:bCs/>
                <w:szCs w:val="20"/>
                <w:lang w:val="sl-SI" w:eastAsia="sl-SI"/>
              </w:rPr>
            </w:pPr>
          </w:p>
        </w:tc>
        <w:tc>
          <w:tcPr>
            <w:tcW w:w="1345" w:type="dxa"/>
            <w:gridSpan w:val="2"/>
          </w:tcPr>
          <w:p w14:paraId="66828B86" w14:textId="77777777" w:rsidR="001D139C" w:rsidRPr="001D139C" w:rsidRDefault="001D139C" w:rsidP="001D139C">
            <w:pPr>
              <w:spacing w:line="240" w:lineRule="auto"/>
              <w:jc w:val="center"/>
              <w:rPr>
                <w:rFonts w:cs="Arial"/>
                <w:b/>
                <w:bCs/>
                <w:szCs w:val="20"/>
                <w:lang w:val="sl-SI" w:eastAsia="sl-SI"/>
              </w:rPr>
            </w:pPr>
          </w:p>
        </w:tc>
      </w:tr>
    </w:tbl>
    <w:p w14:paraId="6FDC0732" w14:textId="77777777" w:rsidR="001D139C" w:rsidRPr="001D139C" w:rsidRDefault="001D139C" w:rsidP="001D139C">
      <w:pPr>
        <w:spacing w:line="240" w:lineRule="auto"/>
        <w:jc w:val="both"/>
        <w:rPr>
          <w:rFonts w:cs="Arial"/>
          <w:b/>
          <w:bCs/>
          <w:szCs w:val="20"/>
          <w:lang w:val="sl-SI" w:eastAsia="sl-SI"/>
        </w:rPr>
      </w:pPr>
    </w:p>
    <w:p w14:paraId="670CFB34" w14:textId="77777777" w:rsidR="001D139C" w:rsidRPr="001D139C" w:rsidRDefault="001D139C" w:rsidP="001D139C">
      <w:pPr>
        <w:spacing w:line="240" w:lineRule="auto"/>
        <w:jc w:val="both"/>
        <w:rPr>
          <w:rFonts w:cs="Arial"/>
          <w:b/>
          <w:bCs/>
          <w:szCs w:val="20"/>
          <w:lang w:val="sl-SI" w:eastAsia="sl-SI"/>
        </w:rPr>
      </w:pPr>
    </w:p>
    <w:p w14:paraId="780DE569" w14:textId="77777777" w:rsidR="001D139C" w:rsidRPr="001D139C" w:rsidRDefault="001D139C" w:rsidP="001D139C">
      <w:pPr>
        <w:spacing w:line="240" w:lineRule="auto"/>
        <w:jc w:val="both"/>
        <w:rPr>
          <w:rFonts w:cs="Arial"/>
          <w:b/>
          <w:bCs/>
          <w:szCs w:val="20"/>
          <w:lang w:val="sl-SI" w:eastAsia="sl-SI"/>
        </w:rPr>
      </w:pPr>
      <w:r w:rsidRPr="001D139C">
        <w:rPr>
          <w:rFonts w:cs="Arial"/>
          <w:b/>
          <w:bCs/>
          <w:szCs w:val="20"/>
          <w:lang w:val="sl-SI" w:eastAsia="sl-SI"/>
        </w:rPr>
        <w:t xml:space="preserve">1. PODATKI O PROSILCU: </w:t>
      </w:r>
    </w:p>
    <w:p w14:paraId="4826E016" w14:textId="77777777" w:rsidR="001D139C" w:rsidRPr="001D139C" w:rsidRDefault="001D139C" w:rsidP="001D139C">
      <w:pPr>
        <w:spacing w:line="240" w:lineRule="auto"/>
        <w:jc w:val="both"/>
        <w:rPr>
          <w:rFonts w:cs="Arial"/>
          <w:szCs w:val="20"/>
          <w:lang w:val="sl-SI" w:eastAsia="sl-SI"/>
        </w:rPr>
      </w:pPr>
    </w:p>
    <w:p w14:paraId="166F780C"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naziv: ____________________________________________________________________</w:t>
      </w:r>
    </w:p>
    <w:p w14:paraId="4D5D25D9" w14:textId="77777777" w:rsidR="001D139C" w:rsidRPr="001D139C" w:rsidRDefault="001D139C" w:rsidP="001D139C">
      <w:pPr>
        <w:spacing w:line="240" w:lineRule="auto"/>
        <w:jc w:val="both"/>
        <w:rPr>
          <w:rFonts w:cs="Arial"/>
          <w:szCs w:val="20"/>
          <w:lang w:val="sl-SI" w:eastAsia="sl-SI"/>
        </w:rPr>
      </w:pPr>
    </w:p>
    <w:p w14:paraId="0981C63C"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naslov: ___________________________________________________________________</w:t>
      </w:r>
    </w:p>
    <w:p w14:paraId="529E9B73" w14:textId="77777777" w:rsidR="001D139C" w:rsidRPr="001D139C" w:rsidRDefault="001D139C" w:rsidP="001D139C">
      <w:pPr>
        <w:spacing w:line="240" w:lineRule="auto"/>
        <w:jc w:val="both"/>
        <w:rPr>
          <w:rFonts w:cs="Arial"/>
          <w:szCs w:val="20"/>
          <w:lang w:val="sl-SI" w:eastAsia="sl-SI"/>
        </w:rPr>
      </w:pPr>
    </w:p>
    <w:p w14:paraId="29BE78B3"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ID št. za DDV: SI _______________</w:t>
      </w:r>
    </w:p>
    <w:p w14:paraId="0B29306A" w14:textId="77777777" w:rsidR="001D139C" w:rsidRPr="001D139C" w:rsidRDefault="001D139C" w:rsidP="001D139C">
      <w:pPr>
        <w:spacing w:line="240" w:lineRule="auto"/>
        <w:jc w:val="both"/>
        <w:rPr>
          <w:rFonts w:cs="Arial"/>
          <w:szCs w:val="20"/>
          <w:lang w:val="sl-SI" w:eastAsia="sl-SI"/>
        </w:rPr>
      </w:pPr>
    </w:p>
    <w:p w14:paraId="46330DA0"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matična številka:  ________________</w:t>
      </w:r>
    </w:p>
    <w:p w14:paraId="2F9E9907" w14:textId="77777777" w:rsidR="001D139C" w:rsidRPr="001D139C" w:rsidRDefault="001D139C" w:rsidP="001D139C">
      <w:pPr>
        <w:spacing w:line="240" w:lineRule="auto"/>
        <w:jc w:val="both"/>
        <w:rPr>
          <w:rFonts w:cs="Arial"/>
          <w:szCs w:val="20"/>
          <w:lang w:val="sl-SI" w:eastAsia="sl-SI"/>
        </w:rPr>
      </w:pPr>
    </w:p>
    <w:p w14:paraId="72617C94"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številka poslovnega računa: ___________________________________________________</w:t>
      </w:r>
    </w:p>
    <w:p w14:paraId="20F52E35" w14:textId="77777777" w:rsidR="001D139C" w:rsidRPr="001D139C" w:rsidRDefault="001D139C" w:rsidP="001D139C">
      <w:pPr>
        <w:spacing w:line="240" w:lineRule="auto"/>
        <w:jc w:val="both"/>
        <w:rPr>
          <w:rFonts w:cs="Arial"/>
          <w:szCs w:val="20"/>
          <w:lang w:val="sl-SI" w:eastAsia="sl-SI"/>
        </w:rPr>
      </w:pPr>
    </w:p>
    <w:p w14:paraId="78FA6537"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odprt pri banki: ____________________________________________________________</w:t>
      </w:r>
    </w:p>
    <w:p w14:paraId="3909F780" w14:textId="77777777" w:rsidR="001D139C" w:rsidRPr="001D139C" w:rsidRDefault="001D139C" w:rsidP="001D139C">
      <w:pPr>
        <w:spacing w:line="240" w:lineRule="auto"/>
        <w:jc w:val="both"/>
        <w:rPr>
          <w:rFonts w:cs="Arial"/>
          <w:szCs w:val="20"/>
          <w:lang w:val="sl-SI" w:eastAsia="sl-SI"/>
        </w:rPr>
      </w:pPr>
    </w:p>
    <w:p w14:paraId="4E68C18A" w14:textId="77777777" w:rsidR="001D139C" w:rsidRPr="001D139C" w:rsidRDefault="001D139C" w:rsidP="001D139C">
      <w:pPr>
        <w:spacing w:line="240" w:lineRule="auto"/>
        <w:jc w:val="both"/>
        <w:rPr>
          <w:rFonts w:cs="Arial"/>
          <w:b/>
          <w:bCs/>
          <w:szCs w:val="20"/>
          <w:lang w:val="sl-SI" w:eastAsia="sl-SI"/>
        </w:rPr>
      </w:pPr>
      <w:r w:rsidRPr="001D139C">
        <w:rPr>
          <w:rFonts w:cs="Arial"/>
          <w:b/>
          <w:bCs/>
          <w:szCs w:val="20"/>
          <w:lang w:val="sl-SI" w:eastAsia="sl-SI"/>
        </w:rPr>
        <w:t xml:space="preserve">- </w:t>
      </w:r>
      <w:r w:rsidRPr="001D139C">
        <w:rPr>
          <w:rFonts w:cs="Arial"/>
          <w:bCs/>
          <w:szCs w:val="20"/>
          <w:lang w:val="sl-SI" w:eastAsia="sl-SI"/>
        </w:rPr>
        <w:t>odgovorna oseba:</w:t>
      </w:r>
      <w:r w:rsidRPr="001D139C">
        <w:rPr>
          <w:rFonts w:cs="Arial"/>
          <w:b/>
          <w:bCs/>
          <w:szCs w:val="20"/>
          <w:lang w:val="sl-SI" w:eastAsia="sl-SI"/>
        </w:rPr>
        <w:t xml:space="preserve"> __________________________________________________________</w:t>
      </w:r>
    </w:p>
    <w:p w14:paraId="23D5B562" w14:textId="77777777" w:rsidR="001D139C" w:rsidRPr="001D139C" w:rsidRDefault="001D139C" w:rsidP="001D139C">
      <w:pPr>
        <w:spacing w:line="240" w:lineRule="auto"/>
        <w:jc w:val="both"/>
        <w:rPr>
          <w:rFonts w:cs="Arial"/>
          <w:b/>
          <w:bCs/>
          <w:szCs w:val="20"/>
          <w:lang w:val="sl-SI" w:eastAsia="sl-SI"/>
        </w:rPr>
      </w:pPr>
    </w:p>
    <w:p w14:paraId="589C39CE" w14:textId="77777777" w:rsidR="001D139C" w:rsidRPr="001D139C" w:rsidRDefault="001D139C" w:rsidP="001D139C">
      <w:pPr>
        <w:spacing w:line="240" w:lineRule="auto"/>
        <w:jc w:val="both"/>
        <w:rPr>
          <w:rFonts w:cs="Arial"/>
          <w:b/>
          <w:bCs/>
          <w:szCs w:val="20"/>
          <w:lang w:val="sl-SI" w:eastAsia="sl-SI"/>
        </w:rPr>
      </w:pPr>
    </w:p>
    <w:p w14:paraId="7C627F6E" w14:textId="77777777" w:rsidR="001D139C" w:rsidRPr="001D139C" w:rsidRDefault="001D139C" w:rsidP="001D139C">
      <w:pPr>
        <w:spacing w:line="240" w:lineRule="auto"/>
        <w:jc w:val="both"/>
        <w:rPr>
          <w:rFonts w:cs="Arial"/>
          <w:b/>
          <w:bCs/>
          <w:szCs w:val="20"/>
          <w:lang w:val="sl-SI" w:eastAsia="sl-SI"/>
        </w:rPr>
      </w:pPr>
      <w:r w:rsidRPr="001D139C">
        <w:rPr>
          <w:rFonts w:cs="Arial"/>
          <w:b/>
          <w:bCs/>
          <w:szCs w:val="20"/>
          <w:lang w:val="sl-SI" w:eastAsia="sl-SI"/>
        </w:rPr>
        <w:t xml:space="preserve">2.  OBVEZNE PRILOGE: </w:t>
      </w:r>
    </w:p>
    <w:p w14:paraId="69BF98DE" w14:textId="77777777" w:rsidR="001D139C" w:rsidRPr="001D139C" w:rsidRDefault="001D139C" w:rsidP="001D139C">
      <w:pPr>
        <w:widowControl w:val="0"/>
        <w:tabs>
          <w:tab w:val="center" w:pos="4536"/>
          <w:tab w:val="right" w:pos="9072"/>
        </w:tabs>
        <w:overflowPunct w:val="0"/>
        <w:autoSpaceDE w:val="0"/>
        <w:autoSpaceDN w:val="0"/>
        <w:adjustRightInd w:val="0"/>
        <w:spacing w:line="240" w:lineRule="auto"/>
        <w:textAlignment w:val="baseline"/>
        <w:rPr>
          <w:rFonts w:cs="Arial"/>
          <w:szCs w:val="20"/>
          <w:lang w:val="sl-SI" w:eastAsia="sl-SI"/>
        </w:rPr>
      </w:pPr>
    </w:p>
    <w:p w14:paraId="76586ADD" w14:textId="77777777" w:rsidR="001D139C" w:rsidRPr="001D139C" w:rsidRDefault="001D139C" w:rsidP="001D139C">
      <w:pPr>
        <w:spacing w:line="240" w:lineRule="auto"/>
        <w:jc w:val="both"/>
        <w:rPr>
          <w:rFonts w:cs="Arial"/>
          <w:szCs w:val="20"/>
          <w:lang w:val="sl-SI" w:eastAsia="sl-SI"/>
        </w:rPr>
      </w:pPr>
      <w:r w:rsidRPr="001D139C">
        <w:rPr>
          <w:rFonts w:cs="Arial"/>
          <w:szCs w:val="20"/>
          <w:lang w:val="sl-SI" w:eastAsia="sl-SI"/>
        </w:rPr>
        <w:t xml:space="preserve">2.1.  izpisek iz sodnega registra, ki ni starejši od treh (3) mesecev od predvidenega datuma za prejem vlog (s to listino ponudnik dokazuje svoj pravni status) </w:t>
      </w:r>
    </w:p>
    <w:p w14:paraId="3908A7E8" w14:textId="77777777" w:rsidR="001D139C" w:rsidRPr="001D139C" w:rsidRDefault="001D139C" w:rsidP="001D139C">
      <w:pPr>
        <w:spacing w:line="240" w:lineRule="auto"/>
        <w:jc w:val="both"/>
        <w:rPr>
          <w:rFonts w:cs="Arial"/>
          <w:szCs w:val="20"/>
          <w:lang w:val="sl-SI" w:eastAsia="sl-SI"/>
        </w:rPr>
      </w:pPr>
    </w:p>
    <w:p w14:paraId="1C1E406E" w14:textId="77777777" w:rsidR="001D139C" w:rsidRPr="001D139C" w:rsidRDefault="001D139C" w:rsidP="001D139C">
      <w:pPr>
        <w:numPr>
          <w:ilvl w:val="1"/>
          <w:numId w:val="15"/>
        </w:numPr>
        <w:spacing w:line="240" w:lineRule="auto"/>
        <w:jc w:val="both"/>
        <w:rPr>
          <w:rFonts w:cs="Arial"/>
          <w:szCs w:val="20"/>
          <w:lang w:val="sl-SI" w:eastAsia="sl-SI"/>
        </w:rPr>
      </w:pPr>
      <w:r w:rsidRPr="001D139C">
        <w:rPr>
          <w:rFonts w:cs="Arial"/>
          <w:szCs w:val="20"/>
          <w:lang w:val="sl-SI" w:eastAsia="sl-SI"/>
        </w:rPr>
        <w:t>dokazovanje  izpolnjevanja  pogojev :</w:t>
      </w:r>
    </w:p>
    <w:p w14:paraId="4F9A8AEF" w14:textId="77777777" w:rsidR="001D139C" w:rsidRPr="001D139C" w:rsidRDefault="001D139C" w:rsidP="001D139C">
      <w:pPr>
        <w:numPr>
          <w:ilvl w:val="0"/>
          <w:numId w:val="16"/>
        </w:numPr>
        <w:spacing w:line="240" w:lineRule="auto"/>
        <w:jc w:val="both"/>
        <w:rPr>
          <w:rFonts w:cs="Arial"/>
          <w:szCs w:val="20"/>
          <w:lang w:val="sl-SI" w:eastAsia="sl-SI"/>
        </w:rPr>
      </w:pPr>
      <w:r w:rsidRPr="001D139C">
        <w:rPr>
          <w:rFonts w:cs="Arial"/>
          <w:szCs w:val="20"/>
          <w:lang w:val="sl-SI" w:eastAsia="sl-SI"/>
        </w:rPr>
        <w:t xml:space="preserve">akreditacijska listina, ki je izdana v skladu s standardom SIST EN ISO7IEC 17025, </w:t>
      </w:r>
    </w:p>
    <w:p w14:paraId="76D0DDE5" w14:textId="77777777" w:rsidR="001D139C" w:rsidRPr="001D139C" w:rsidRDefault="001D139C" w:rsidP="001D139C">
      <w:pPr>
        <w:numPr>
          <w:ilvl w:val="0"/>
          <w:numId w:val="16"/>
        </w:numPr>
        <w:spacing w:line="240" w:lineRule="auto"/>
        <w:jc w:val="both"/>
        <w:rPr>
          <w:rFonts w:cs="Arial"/>
          <w:szCs w:val="20"/>
          <w:lang w:val="sl-SI" w:eastAsia="sl-SI"/>
        </w:rPr>
      </w:pPr>
      <w:r w:rsidRPr="001D139C">
        <w:rPr>
          <w:rFonts w:cs="Arial"/>
          <w:szCs w:val="20"/>
          <w:lang w:val="sl-SI" w:eastAsia="sl-SI"/>
        </w:rPr>
        <w:t xml:space="preserve">dokazila o redni udeležbi v programih preizkušanja usposobljenosti, ki jih organizirajo in usklajujejo nacionalno in mednarodno priznani laboratoriji oziroma nacionalne ali mednarodne organizacije. </w:t>
      </w:r>
    </w:p>
    <w:p w14:paraId="45DD89AF" w14:textId="77777777" w:rsidR="001D139C" w:rsidRPr="001D139C" w:rsidRDefault="001D139C" w:rsidP="001D139C">
      <w:pPr>
        <w:widowControl w:val="0"/>
        <w:tabs>
          <w:tab w:val="center" w:pos="4536"/>
          <w:tab w:val="right" w:pos="9072"/>
        </w:tabs>
        <w:overflowPunct w:val="0"/>
        <w:autoSpaceDE w:val="0"/>
        <w:autoSpaceDN w:val="0"/>
        <w:adjustRightInd w:val="0"/>
        <w:spacing w:line="240" w:lineRule="auto"/>
        <w:textAlignment w:val="baseline"/>
        <w:rPr>
          <w:rFonts w:cs="Arial"/>
          <w:szCs w:val="20"/>
          <w:lang w:val="sl-SI" w:eastAsia="sl-SI"/>
        </w:rPr>
      </w:pPr>
    </w:p>
    <w:p w14:paraId="5EF7E334" w14:textId="77777777" w:rsidR="001D139C" w:rsidRPr="001D139C" w:rsidRDefault="001D139C" w:rsidP="001D139C">
      <w:pPr>
        <w:widowControl w:val="0"/>
        <w:tabs>
          <w:tab w:val="center" w:pos="4536"/>
          <w:tab w:val="right" w:pos="9072"/>
        </w:tabs>
        <w:overflowPunct w:val="0"/>
        <w:autoSpaceDE w:val="0"/>
        <w:autoSpaceDN w:val="0"/>
        <w:adjustRightInd w:val="0"/>
        <w:spacing w:line="240" w:lineRule="auto"/>
        <w:textAlignment w:val="baseline"/>
        <w:rPr>
          <w:rFonts w:cs="Arial"/>
          <w:szCs w:val="20"/>
          <w:lang w:val="sl-SI" w:eastAsia="sl-SI"/>
        </w:rPr>
      </w:pPr>
      <w:r w:rsidRPr="001D139C">
        <w:rPr>
          <w:rFonts w:cs="Arial"/>
          <w:szCs w:val="20"/>
          <w:lang w:val="sl-SI" w:eastAsia="sl-SI"/>
        </w:rPr>
        <w:t>Navedene obvezne priloge lahko prosilec priloži v kopiji. Prosilcu ni potrebno predložiti listin, ki jih lahko državni organ pridobi sam iz uradnih evidenc.</w:t>
      </w:r>
    </w:p>
    <w:p w14:paraId="66D4198E"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71E54A5A"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046262DF"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4D77C85F"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074EC9AB"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749B60D6" w14:textId="77777777" w:rsid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07DEE908"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0D9E91FB"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1752F4E5"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6489BD32"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132C165C"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1D62902E"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6941F67F"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229A5269"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15584BAE" w14:textId="77777777" w:rsidR="00D00352" w:rsidRDefault="00D00352" w:rsidP="001D139C">
      <w:pPr>
        <w:overflowPunct w:val="0"/>
        <w:autoSpaceDE w:val="0"/>
        <w:autoSpaceDN w:val="0"/>
        <w:adjustRightInd w:val="0"/>
        <w:spacing w:line="240" w:lineRule="auto"/>
        <w:textAlignment w:val="baseline"/>
        <w:rPr>
          <w:rFonts w:cs="Arial"/>
          <w:szCs w:val="20"/>
          <w:lang w:val="sl-SI" w:eastAsia="sl-SI"/>
        </w:rPr>
      </w:pPr>
    </w:p>
    <w:p w14:paraId="775C1B43" w14:textId="77777777" w:rsidR="00D00352" w:rsidRPr="001D139C" w:rsidRDefault="00D00352" w:rsidP="001D139C">
      <w:pPr>
        <w:overflowPunct w:val="0"/>
        <w:autoSpaceDE w:val="0"/>
        <w:autoSpaceDN w:val="0"/>
        <w:adjustRightInd w:val="0"/>
        <w:spacing w:line="240" w:lineRule="auto"/>
        <w:textAlignment w:val="baseline"/>
        <w:rPr>
          <w:rFonts w:cs="Arial"/>
          <w:szCs w:val="20"/>
          <w:lang w:val="sl-SI" w:eastAsia="sl-SI"/>
        </w:rPr>
      </w:pPr>
    </w:p>
    <w:p w14:paraId="238EDD5E"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3ACF14B9"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355AD22D"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783DE16F" w14:textId="77777777" w:rsidR="001D139C" w:rsidRPr="001D139C" w:rsidRDefault="001D139C" w:rsidP="001D139C">
      <w:pPr>
        <w:overflowPunct w:val="0"/>
        <w:autoSpaceDE w:val="0"/>
        <w:autoSpaceDN w:val="0"/>
        <w:adjustRightInd w:val="0"/>
        <w:spacing w:line="240" w:lineRule="auto"/>
        <w:textAlignment w:val="baseline"/>
        <w:rPr>
          <w:rFonts w:cs="Arial"/>
          <w:b/>
          <w:bCs/>
          <w:szCs w:val="20"/>
          <w:lang w:val="sl-SI" w:eastAsia="sl-SI"/>
        </w:rPr>
      </w:pPr>
      <w:r w:rsidRPr="001D139C">
        <w:rPr>
          <w:rFonts w:cs="Arial"/>
          <w:b/>
          <w:bCs/>
          <w:szCs w:val="20"/>
          <w:lang w:val="sl-SI" w:eastAsia="sl-SI"/>
        </w:rPr>
        <w:t>3.  IZJAVA PROSILCA</w:t>
      </w:r>
    </w:p>
    <w:p w14:paraId="78FE5E66" w14:textId="77777777" w:rsidR="001D139C" w:rsidRPr="001D139C" w:rsidRDefault="001D139C" w:rsidP="001D139C">
      <w:pPr>
        <w:overflowPunct w:val="0"/>
        <w:autoSpaceDE w:val="0"/>
        <w:autoSpaceDN w:val="0"/>
        <w:adjustRightInd w:val="0"/>
        <w:spacing w:line="240" w:lineRule="auto"/>
        <w:textAlignment w:val="baseline"/>
        <w:rPr>
          <w:rFonts w:cs="Arial"/>
          <w:b/>
          <w:bCs/>
          <w:szCs w:val="20"/>
          <w:lang w:val="sl-SI" w:eastAsia="sl-SI"/>
        </w:rPr>
      </w:pPr>
    </w:p>
    <w:p w14:paraId="517871A7"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14AD0496"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4C95BE11" w14:textId="77777777" w:rsidR="001D139C" w:rsidRPr="001D139C" w:rsidRDefault="001D139C" w:rsidP="001D139C">
      <w:pPr>
        <w:overflowPunct w:val="0"/>
        <w:autoSpaceDE w:val="0"/>
        <w:autoSpaceDN w:val="0"/>
        <w:adjustRightInd w:val="0"/>
        <w:spacing w:line="240" w:lineRule="auto"/>
        <w:textAlignment w:val="baseline"/>
        <w:rPr>
          <w:rFonts w:cs="Arial"/>
          <w:b/>
          <w:bCs/>
          <w:szCs w:val="20"/>
          <w:lang w:val="sl-SI" w:eastAsia="sl-SI"/>
        </w:rPr>
      </w:pPr>
      <w:r w:rsidRPr="001D139C">
        <w:rPr>
          <w:rFonts w:cs="Arial"/>
          <w:b/>
          <w:bCs/>
          <w:szCs w:val="20"/>
          <w:lang w:val="sl-SI" w:eastAsia="sl-SI"/>
        </w:rPr>
        <w:t>Pod kazensko in materialno odgovornostjo izjavljamo</w:t>
      </w:r>
    </w:p>
    <w:p w14:paraId="27A96845"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2911ED98" w14:textId="77777777" w:rsidR="001D139C" w:rsidRPr="001D139C" w:rsidRDefault="001D139C" w:rsidP="001D139C">
      <w:pPr>
        <w:widowControl w:val="0"/>
        <w:numPr>
          <w:ilvl w:val="0"/>
          <w:numId w:val="10"/>
        </w:numPr>
        <w:tabs>
          <w:tab w:val="left" w:pos="284"/>
        </w:tabs>
        <w:overflowPunct w:val="0"/>
        <w:autoSpaceDE w:val="0"/>
        <w:autoSpaceDN w:val="0"/>
        <w:adjustRightInd w:val="0"/>
        <w:spacing w:before="180" w:line="240" w:lineRule="auto"/>
        <w:jc w:val="both"/>
        <w:textAlignment w:val="baseline"/>
        <w:rPr>
          <w:rFonts w:cs="Arial"/>
          <w:szCs w:val="20"/>
          <w:lang w:val="sl-SI" w:eastAsia="sl-SI"/>
        </w:rPr>
      </w:pPr>
      <w:r w:rsidRPr="001D139C">
        <w:rPr>
          <w:rFonts w:cs="Arial"/>
          <w:szCs w:val="20"/>
          <w:lang w:val="sl-SI" w:eastAsia="sl-SI"/>
        </w:rPr>
        <w:t>da vse kopije dokumentov, ki so priložene k vlogi, ustrezajo originalom,</w:t>
      </w:r>
    </w:p>
    <w:p w14:paraId="2FD4A17C" w14:textId="77777777" w:rsidR="001D139C" w:rsidRPr="001D139C" w:rsidRDefault="001D139C" w:rsidP="001D139C">
      <w:pPr>
        <w:widowControl w:val="0"/>
        <w:numPr>
          <w:ilvl w:val="0"/>
          <w:numId w:val="10"/>
        </w:numPr>
        <w:tabs>
          <w:tab w:val="left" w:pos="284"/>
        </w:tabs>
        <w:overflowPunct w:val="0"/>
        <w:autoSpaceDE w:val="0"/>
        <w:autoSpaceDN w:val="0"/>
        <w:adjustRightInd w:val="0"/>
        <w:spacing w:before="180" w:line="240" w:lineRule="auto"/>
        <w:jc w:val="both"/>
        <w:textAlignment w:val="baseline"/>
        <w:rPr>
          <w:rFonts w:cs="Arial"/>
          <w:szCs w:val="20"/>
          <w:lang w:val="sl-SI" w:eastAsia="sl-SI"/>
        </w:rPr>
      </w:pPr>
      <w:r w:rsidRPr="001D139C">
        <w:rPr>
          <w:rFonts w:cs="Arial"/>
          <w:szCs w:val="20"/>
          <w:lang w:val="sl-SI" w:eastAsia="sl-SI"/>
        </w:rPr>
        <w:t xml:space="preserve">da vse navedbe, ki so podane v vlogi, ustrezajo dejanskemu stanju. </w:t>
      </w:r>
    </w:p>
    <w:p w14:paraId="0B43CD8B"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43310984"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4B46D363"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77284CE9"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601B7F94"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19FA3133" w14:textId="77777777" w:rsidR="001D139C" w:rsidRPr="001D139C" w:rsidRDefault="001D139C" w:rsidP="001D139C">
      <w:pPr>
        <w:overflowPunct w:val="0"/>
        <w:autoSpaceDE w:val="0"/>
        <w:autoSpaceDN w:val="0"/>
        <w:adjustRightInd w:val="0"/>
        <w:spacing w:line="240" w:lineRule="auto"/>
        <w:jc w:val="both"/>
        <w:textAlignment w:val="baseline"/>
        <w:rPr>
          <w:rFonts w:cs="Arial"/>
          <w:szCs w:val="20"/>
          <w:lang w:val="sl-SI" w:eastAsia="sl-SI"/>
        </w:rPr>
      </w:pPr>
    </w:p>
    <w:p w14:paraId="2E3E429A" w14:textId="77777777" w:rsidR="001D139C" w:rsidRPr="001D139C" w:rsidRDefault="001D139C" w:rsidP="001D139C">
      <w:pPr>
        <w:overflowPunct w:val="0"/>
        <w:autoSpaceDE w:val="0"/>
        <w:autoSpaceDN w:val="0"/>
        <w:adjustRightInd w:val="0"/>
        <w:spacing w:line="240" w:lineRule="auto"/>
        <w:textAlignment w:val="baseline"/>
        <w:rPr>
          <w:rFonts w:cs="Arial"/>
          <w:szCs w:val="20"/>
          <w:lang w:val="sl-SI" w:eastAsia="sl-SI"/>
        </w:rPr>
      </w:pPr>
    </w:p>
    <w:p w14:paraId="258DD5F4" w14:textId="77777777" w:rsidR="001D139C" w:rsidRPr="001D139C" w:rsidRDefault="001D139C" w:rsidP="001D139C">
      <w:pPr>
        <w:tabs>
          <w:tab w:val="left" w:pos="4395"/>
        </w:tabs>
        <w:overflowPunct w:val="0"/>
        <w:autoSpaceDE w:val="0"/>
        <w:autoSpaceDN w:val="0"/>
        <w:adjustRightInd w:val="0"/>
        <w:spacing w:line="240" w:lineRule="auto"/>
        <w:ind w:left="708" w:firstLine="708"/>
        <w:textAlignment w:val="baseline"/>
        <w:rPr>
          <w:rFonts w:cs="Arial"/>
          <w:szCs w:val="20"/>
          <w:lang w:val="sl-SI" w:eastAsia="sl-SI"/>
        </w:rPr>
      </w:pPr>
      <w:r w:rsidRPr="001D139C">
        <w:rPr>
          <w:rFonts w:cs="Arial"/>
          <w:szCs w:val="20"/>
          <w:lang w:val="sl-SI" w:eastAsia="sl-SI"/>
        </w:rPr>
        <w:t>Datum:                             Žig za pravne osebe:</w:t>
      </w:r>
      <w:r w:rsidRPr="001D139C">
        <w:rPr>
          <w:rFonts w:cs="Arial"/>
          <w:szCs w:val="20"/>
          <w:lang w:val="sl-SI" w:eastAsia="sl-SI"/>
        </w:rPr>
        <w:tab/>
      </w:r>
      <w:r w:rsidRPr="001D139C">
        <w:rPr>
          <w:rFonts w:cs="Arial"/>
          <w:szCs w:val="20"/>
          <w:lang w:val="sl-SI" w:eastAsia="sl-SI"/>
        </w:rPr>
        <w:tab/>
        <w:t xml:space="preserve">   Podpis:</w:t>
      </w:r>
    </w:p>
    <w:p w14:paraId="4D55BA78" w14:textId="77777777" w:rsidR="001D139C" w:rsidRPr="001D139C" w:rsidRDefault="001D139C" w:rsidP="001D139C">
      <w:pPr>
        <w:tabs>
          <w:tab w:val="left" w:pos="4395"/>
        </w:tabs>
        <w:overflowPunct w:val="0"/>
        <w:autoSpaceDE w:val="0"/>
        <w:autoSpaceDN w:val="0"/>
        <w:adjustRightInd w:val="0"/>
        <w:spacing w:line="240" w:lineRule="auto"/>
        <w:ind w:left="708" w:firstLine="708"/>
        <w:textAlignment w:val="baseline"/>
        <w:rPr>
          <w:rFonts w:cs="Arial"/>
          <w:szCs w:val="20"/>
          <w:lang w:val="sl-SI" w:eastAsia="sl-SI"/>
        </w:rPr>
      </w:pPr>
    </w:p>
    <w:p w14:paraId="6CDF7CB6" w14:textId="77777777" w:rsidR="001D139C" w:rsidRPr="001D139C" w:rsidRDefault="001D139C" w:rsidP="001D139C">
      <w:pPr>
        <w:spacing w:line="260" w:lineRule="exact"/>
        <w:rPr>
          <w:rFonts w:cs="Arial"/>
          <w:szCs w:val="20"/>
          <w:lang w:val="sl-SI"/>
        </w:rPr>
      </w:pPr>
      <w:r w:rsidRPr="001D139C">
        <w:rPr>
          <w:rFonts w:cs="Arial"/>
          <w:szCs w:val="20"/>
          <w:lang w:val="sl-SI" w:eastAsia="sl-SI"/>
        </w:rPr>
        <w:tab/>
        <w:t xml:space="preserve">    _________________</w:t>
      </w:r>
      <w:r w:rsidRPr="001D139C">
        <w:rPr>
          <w:rFonts w:cs="Arial"/>
          <w:szCs w:val="20"/>
          <w:lang w:val="sl-SI" w:eastAsia="sl-SI"/>
        </w:rPr>
        <w:tab/>
      </w:r>
      <w:r w:rsidRPr="001D139C">
        <w:rPr>
          <w:rFonts w:cs="Arial"/>
          <w:szCs w:val="20"/>
          <w:lang w:val="sl-SI" w:eastAsia="sl-SI"/>
        </w:rPr>
        <w:tab/>
      </w:r>
      <w:r w:rsidRPr="001D139C">
        <w:rPr>
          <w:rFonts w:cs="Arial"/>
          <w:szCs w:val="20"/>
          <w:lang w:val="sl-SI" w:eastAsia="sl-SI"/>
        </w:rPr>
        <w:tab/>
      </w:r>
      <w:r w:rsidRPr="001D139C">
        <w:rPr>
          <w:rFonts w:cs="Arial"/>
          <w:szCs w:val="20"/>
          <w:lang w:val="sl-SI" w:eastAsia="sl-SI"/>
        </w:rPr>
        <w:tab/>
      </w:r>
    </w:p>
    <w:p w14:paraId="54C03A44" w14:textId="77777777" w:rsidR="001D139C" w:rsidRPr="001D139C" w:rsidRDefault="001D139C" w:rsidP="003B1E28">
      <w:pPr>
        <w:widowControl w:val="0"/>
        <w:spacing w:line="240" w:lineRule="auto"/>
        <w:jc w:val="both"/>
        <w:rPr>
          <w:rFonts w:cs="Arial"/>
          <w:b/>
          <w:szCs w:val="20"/>
          <w:lang w:val="sl-SI" w:eastAsia="sl-SI"/>
        </w:rPr>
      </w:pPr>
    </w:p>
    <w:sectPr w:rsidR="001D139C" w:rsidRPr="001D139C" w:rsidSect="008F7564">
      <w:headerReference w:type="default" r:id="rId12"/>
      <w:footerReference w:type="default" r:id="rId13"/>
      <w:headerReference w:type="first" r:id="rId14"/>
      <w:foot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ECD3B" w14:textId="77777777" w:rsidR="00960E8D" w:rsidRDefault="00960E8D">
      <w:r>
        <w:separator/>
      </w:r>
    </w:p>
  </w:endnote>
  <w:endnote w:type="continuationSeparator" w:id="0">
    <w:p w14:paraId="7E7CF47A" w14:textId="77777777" w:rsidR="00960E8D" w:rsidRDefault="0096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76534"/>
      <w:docPartObj>
        <w:docPartGallery w:val="Page Numbers (Bottom of Page)"/>
        <w:docPartUnique/>
      </w:docPartObj>
    </w:sdtPr>
    <w:sdtContent>
      <w:sdt>
        <w:sdtPr>
          <w:id w:val="526531889"/>
          <w:docPartObj>
            <w:docPartGallery w:val="Page Numbers (Top of Page)"/>
            <w:docPartUnique/>
          </w:docPartObj>
        </w:sdtPr>
        <w:sdtContent>
          <w:p w14:paraId="657EF412" w14:textId="77777777" w:rsidR="000B04FB" w:rsidRDefault="000B04FB">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sdtContent>
      </w:sdt>
    </w:sdtContent>
  </w:sdt>
  <w:p w14:paraId="526653BE" w14:textId="77777777" w:rsidR="000B04FB" w:rsidRDefault="000B04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449241"/>
      <w:docPartObj>
        <w:docPartGallery w:val="Page Numbers (Bottom of Page)"/>
        <w:docPartUnique/>
      </w:docPartObj>
    </w:sdtPr>
    <w:sdtContent>
      <w:sdt>
        <w:sdtPr>
          <w:id w:val="-1769616900"/>
          <w:docPartObj>
            <w:docPartGallery w:val="Page Numbers (Top of Page)"/>
            <w:docPartUnique/>
          </w:docPartObj>
        </w:sdtPr>
        <w:sdtContent>
          <w:p w14:paraId="29E98C6F" w14:textId="77777777" w:rsidR="000B04FB" w:rsidRDefault="000B04FB">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sdtContent>
      </w:sdt>
    </w:sdtContent>
  </w:sdt>
  <w:p w14:paraId="7FBD50AB"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21D0" w14:textId="77777777" w:rsidR="00960E8D" w:rsidRDefault="00960E8D">
      <w:r>
        <w:separator/>
      </w:r>
    </w:p>
  </w:footnote>
  <w:footnote w:type="continuationSeparator" w:id="0">
    <w:p w14:paraId="44E60FF8" w14:textId="77777777" w:rsidR="00960E8D" w:rsidRDefault="0096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3C4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626D"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1A952FE3" wp14:editId="685AE204">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489ED533"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1065EB0F"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w:t>
    </w:r>
    <w:r w:rsidR="000B0B7C">
      <w:rPr>
        <w:rFonts w:cs="Arial"/>
        <w:sz w:val="16"/>
        <w:lang w:val="sl-SI"/>
      </w:rPr>
      <w:t>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30F756A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BC3DAA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43A6E81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49E"/>
    <w:multiLevelType w:val="hybridMultilevel"/>
    <w:tmpl w:val="991C55B0"/>
    <w:lvl w:ilvl="0" w:tplc="84E6D04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B03BE"/>
    <w:multiLevelType w:val="hybridMultilevel"/>
    <w:tmpl w:val="B8D20002"/>
    <w:lvl w:ilvl="0" w:tplc="84E6D04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C96E60"/>
    <w:multiLevelType w:val="multilevel"/>
    <w:tmpl w:val="08B2FD2A"/>
    <w:lvl w:ilvl="0">
      <w:start w:val="1"/>
      <w:numFmt w:val="decimal"/>
      <w:lvlText w:val="%1."/>
      <w:legacy w:legacy="1" w:legacySpace="0" w:legacyIndent="283"/>
      <w:lvlJc w:val="left"/>
      <w:pPr>
        <w:ind w:left="283" w:hanging="283"/>
      </w:pPr>
      <w:rPr>
        <w:rFonts w:ascii="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DC5333B"/>
    <w:multiLevelType w:val="hybridMultilevel"/>
    <w:tmpl w:val="EF5C2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642C45"/>
    <w:multiLevelType w:val="multilevel"/>
    <w:tmpl w:val="1A5E0A6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20467F"/>
    <w:multiLevelType w:val="hybridMultilevel"/>
    <w:tmpl w:val="4E44E3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5C48BA"/>
    <w:multiLevelType w:val="hybridMultilevel"/>
    <w:tmpl w:val="8ABA9882"/>
    <w:lvl w:ilvl="0" w:tplc="9BC69A78">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FA95598"/>
    <w:multiLevelType w:val="hybridMultilevel"/>
    <w:tmpl w:val="EEFA8A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22A7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40307D"/>
    <w:multiLevelType w:val="hybridMultilevel"/>
    <w:tmpl w:val="C2DAB29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B8651A"/>
    <w:multiLevelType w:val="hybridMultilevel"/>
    <w:tmpl w:val="CAA007EE"/>
    <w:lvl w:ilvl="0" w:tplc="2966B790">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9B4C6A"/>
    <w:multiLevelType w:val="hybridMultilevel"/>
    <w:tmpl w:val="EF5C2D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01605DE"/>
    <w:multiLevelType w:val="hybridMultilevel"/>
    <w:tmpl w:val="AF46BDB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947CAA"/>
    <w:multiLevelType w:val="hybridMultilevel"/>
    <w:tmpl w:val="9F3A1A7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6E70111F"/>
    <w:multiLevelType w:val="hybridMultilevel"/>
    <w:tmpl w:val="FDE4C9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17950325">
    <w:abstractNumId w:val="17"/>
  </w:num>
  <w:num w:numId="2" w16cid:durableId="947354051">
    <w:abstractNumId w:val="8"/>
  </w:num>
  <w:num w:numId="3" w16cid:durableId="1386903543">
    <w:abstractNumId w:val="9"/>
  </w:num>
  <w:num w:numId="4" w16cid:durableId="1770733763">
    <w:abstractNumId w:val="2"/>
  </w:num>
  <w:num w:numId="5" w16cid:durableId="779379839">
    <w:abstractNumId w:val="4"/>
  </w:num>
  <w:num w:numId="6" w16cid:durableId="750782121">
    <w:abstractNumId w:val="5"/>
  </w:num>
  <w:num w:numId="7" w16cid:durableId="1809087967">
    <w:abstractNumId w:val="13"/>
  </w:num>
  <w:num w:numId="8" w16cid:durableId="1517572323">
    <w:abstractNumId w:val="15"/>
  </w:num>
  <w:num w:numId="9" w16cid:durableId="198015259">
    <w:abstractNumId w:val="3"/>
  </w:num>
  <w:num w:numId="10" w16cid:durableId="1594434756">
    <w:abstractNumId w:val="18"/>
  </w:num>
  <w:num w:numId="11" w16cid:durableId="562059877">
    <w:abstractNumId w:val="1"/>
  </w:num>
  <w:num w:numId="12" w16cid:durableId="606353545">
    <w:abstractNumId w:val="10"/>
  </w:num>
  <w:num w:numId="13" w16cid:durableId="459299631">
    <w:abstractNumId w:val="12"/>
  </w:num>
  <w:num w:numId="14" w16cid:durableId="1953972130">
    <w:abstractNumId w:val="11"/>
  </w:num>
  <w:num w:numId="15" w16cid:durableId="1492722027">
    <w:abstractNumId w:val="6"/>
  </w:num>
  <w:num w:numId="16" w16cid:durableId="1301038534">
    <w:abstractNumId w:val="0"/>
  </w:num>
  <w:num w:numId="17" w16cid:durableId="1877548545">
    <w:abstractNumId w:val="14"/>
  </w:num>
  <w:num w:numId="18" w16cid:durableId="1335184443">
    <w:abstractNumId w:val="16"/>
  </w:num>
  <w:num w:numId="19" w16cid:durableId="168840034">
    <w:abstractNumId w:val="7"/>
  </w:num>
  <w:num w:numId="20" w16cid:durableId="6632426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46"/>
    <w:rsid w:val="00023A88"/>
    <w:rsid w:val="00035711"/>
    <w:rsid w:val="00085FE5"/>
    <w:rsid w:val="000A7238"/>
    <w:rsid w:val="000B04FB"/>
    <w:rsid w:val="000B0B7C"/>
    <w:rsid w:val="000B2E7E"/>
    <w:rsid w:val="001357B2"/>
    <w:rsid w:val="0014113B"/>
    <w:rsid w:val="0017478F"/>
    <w:rsid w:val="001D139C"/>
    <w:rsid w:val="001D2345"/>
    <w:rsid w:val="00202A77"/>
    <w:rsid w:val="0025434D"/>
    <w:rsid w:val="00271CE5"/>
    <w:rsid w:val="00282020"/>
    <w:rsid w:val="002A2B69"/>
    <w:rsid w:val="002B0456"/>
    <w:rsid w:val="002E7F51"/>
    <w:rsid w:val="00362D9B"/>
    <w:rsid w:val="003636BF"/>
    <w:rsid w:val="00371442"/>
    <w:rsid w:val="003845B4"/>
    <w:rsid w:val="00387B1A"/>
    <w:rsid w:val="003B1E28"/>
    <w:rsid w:val="003B5E9B"/>
    <w:rsid w:val="003B74AE"/>
    <w:rsid w:val="003C5EE5"/>
    <w:rsid w:val="003E1C74"/>
    <w:rsid w:val="00431110"/>
    <w:rsid w:val="004360CD"/>
    <w:rsid w:val="004657EE"/>
    <w:rsid w:val="004731C2"/>
    <w:rsid w:val="004915D3"/>
    <w:rsid w:val="004E5DBB"/>
    <w:rsid w:val="005078D5"/>
    <w:rsid w:val="00526246"/>
    <w:rsid w:val="00546BDC"/>
    <w:rsid w:val="0056333E"/>
    <w:rsid w:val="00564C5E"/>
    <w:rsid w:val="00567106"/>
    <w:rsid w:val="005E1D3C"/>
    <w:rsid w:val="0061772C"/>
    <w:rsid w:val="00625AE6"/>
    <w:rsid w:val="00632253"/>
    <w:rsid w:val="00642714"/>
    <w:rsid w:val="006455CE"/>
    <w:rsid w:val="00655841"/>
    <w:rsid w:val="006770B0"/>
    <w:rsid w:val="006D6B90"/>
    <w:rsid w:val="006F79A2"/>
    <w:rsid w:val="0071054A"/>
    <w:rsid w:val="00714670"/>
    <w:rsid w:val="00733017"/>
    <w:rsid w:val="00783310"/>
    <w:rsid w:val="00792537"/>
    <w:rsid w:val="007936CD"/>
    <w:rsid w:val="007A2999"/>
    <w:rsid w:val="007A4A6D"/>
    <w:rsid w:val="007D1BCF"/>
    <w:rsid w:val="007D75CF"/>
    <w:rsid w:val="007E0440"/>
    <w:rsid w:val="007E6DC5"/>
    <w:rsid w:val="00802BB5"/>
    <w:rsid w:val="0088043C"/>
    <w:rsid w:val="00884889"/>
    <w:rsid w:val="008906C9"/>
    <w:rsid w:val="008C5738"/>
    <w:rsid w:val="008D04F0"/>
    <w:rsid w:val="008F3500"/>
    <w:rsid w:val="008F7564"/>
    <w:rsid w:val="00924E3C"/>
    <w:rsid w:val="009545A7"/>
    <w:rsid w:val="00960E8D"/>
    <w:rsid w:val="009612BB"/>
    <w:rsid w:val="009772E1"/>
    <w:rsid w:val="009C411B"/>
    <w:rsid w:val="009C740A"/>
    <w:rsid w:val="00A125C5"/>
    <w:rsid w:val="00A2451C"/>
    <w:rsid w:val="00A65EE7"/>
    <w:rsid w:val="00A70133"/>
    <w:rsid w:val="00A770A6"/>
    <w:rsid w:val="00A813B1"/>
    <w:rsid w:val="00A872B7"/>
    <w:rsid w:val="00A87C50"/>
    <w:rsid w:val="00AB36C4"/>
    <w:rsid w:val="00AC32B2"/>
    <w:rsid w:val="00B1443B"/>
    <w:rsid w:val="00B17141"/>
    <w:rsid w:val="00B20E88"/>
    <w:rsid w:val="00B31575"/>
    <w:rsid w:val="00B57B90"/>
    <w:rsid w:val="00B7732A"/>
    <w:rsid w:val="00B8547D"/>
    <w:rsid w:val="00C17F09"/>
    <w:rsid w:val="00C250D5"/>
    <w:rsid w:val="00C33F11"/>
    <w:rsid w:val="00C35666"/>
    <w:rsid w:val="00C37487"/>
    <w:rsid w:val="00C46D9B"/>
    <w:rsid w:val="00C92898"/>
    <w:rsid w:val="00C96A71"/>
    <w:rsid w:val="00CA4340"/>
    <w:rsid w:val="00CD3798"/>
    <w:rsid w:val="00CE5238"/>
    <w:rsid w:val="00CE7514"/>
    <w:rsid w:val="00D00352"/>
    <w:rsid w:val="00D00E76"/>
    <w:rsid w:val="00D200A7"/>
    <w:rsid w:val="00D248DE"/>
    <w:rsid w:val="00D8542D"/>
    <w:rsid w:val="00DB48CF"/>
    <w:rsid w:val="00DC6A71"/>
    <w:rsid w:val="00DD64B1"/>
    <w:rsid w:val="00DE6547"/>
    <w:rsid w:val="00DF1FC1"/>
    <w:rsid w:val="00DF4DE2"/>
    <w:rsid w:val="00E0357D"/>
    <w:rsid w:val="00E53346"/>
    <w:rsid w:val="00E83EC3"/>
    <w:rsid w:val="00EC6A1A"/>
    <w:rsid w:val="00ED1C3E"/>
    <w:rsid w:val="00EE141E"/>
    <w:rsid w:val="00EE2C0E"/>
    <w:rsid w:val="00F240BB"/>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878376C"/>
  <w15:chartTrackingRefBased/>
  <w15:docId w15:val="{150DA6D6-A573-41C6-B4F4-9CE4BDE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9772E1"/>
    <w:pPr>
      <w:ind w:left="720"/>
      <w:contextualSpacing/>
    </w:pPr>
  </w:style>
  <w:style w:type="character" w:customStyle="1" w:styleId="NogaZnak">
    <w:name w:val="Noga Znak"/>
    <w:basedOn w:val="Privzetapisavaodstavka"/>
    <w:link w:val="Noga"/>
    <w:uiPriority w:val="99"/>
    <w:rsid w:val="000B04F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mo-crl.jrc.ec.europa.eu/statusofdoss.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Users\RuprehtR75\AppData\Local\Microsoft\Windows\INetCache\Content.Outlook\6AYVQFHM\ZAPRTI_SISTEMI\Uredba_merila_za_VR.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2568</Words>
  <Characters>14644</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Perko</dc:creator>
  <cp:keywords/>
  <cp:lastModifiedBy>Ruth Rupreht</cp:lastModifiedBy>
  <cp:revision>2</cp:revision>
  <cp:lastPrinted>2010-07-16T07:41:00Z</cp:lastPrinted>
  <dcterms:created xsi:type="dcterms:W3CDTF">2025-09-04T10:08:00Z</dcterms:created>
  <dcterms:modified xsi:type="dcterms:W3CDTF">2025-09-04T10:08:00Z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