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4975" w14:textId="78D235F2" w:rsidR="0031028C" w:rsidRPr="00223E80" w:rsidRDefault="00E41443" w:rsidP="007E6ED7">
      <w:pPr>
        <w:spacing w:after="0"/>
        <w:rPr>
          <w:rFonts w:ascii="Times New Roman" w:hAnsi="Times New Roman"/>
          <w:sz w:val="36"/>
        </w:rPr>
      </w:pPr>
      <w:bookmarkStart w:id="0" w:name="_Toc392855663"/>
      <w:bookmarkStart w:id="1" w:name="_Toc392855850"/>
      <w:bookmarkStart w:id="2" w:name="_Toc424717461"/>
      <w:bookmarkStart w:id="3" w:name="_Toc386099555"/>
      <w:bookmarkStart w:id="4" w:name="_GoBack"/>
      <w:bookmarkEnd w:id="4"/>
      <w:r w:rsidRPr="00223E80">
        <w:rPr>
          <w:rFonts w:ascii="Times New Roman" w:hAnsi="Times New Roman"/>
          <w:noProof/>
          <w:sz w:val="36"/>
          <w:lang w:eastAsia="sl-SI"/>
        </w:rPr>
        <w:drawing>
          <wp:inline distT="0" distB="0" distL="0" distR="0" wp14:anchorId="2158B419" wp14:editId="270152CC">
            <wp:extent cx="2896235" cy="3371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22623"/>
                    <a:stretch>
                      <a:fillRect/>
                    </a:stretch>
                  </pic:blipFill>
                  <pic:spPr bwMode="auto">
                    <a:xfrm>
                      <a:off x="0" y="0"/>
                      <a:ext cx="2896235" cy="337185"/>
                    </a:xfrm>
                    <a:prstGeom prst="rect">
                      <a:avLst/>
                    </a:prstGeom>
                    <a:noFill/>
                    <a:ln>
                      <a:noFill/>
                    </a:ln>
                  </pic:spPr>
                </pic:pic>
              </a:graphicData>
            </a:graphic>
          </wp:inline>
        </w:drawing>
      </w:r>
    </w:p>
    <w:p w14:paraId="648EDCED" w14:textId="77777777" w:rsidR="0031028C" w:rsidRPr="00223E80" w:rsidRDefault="0031028C" w:rsidP="007E6ED7">
      <w:pPr>
        <w:spacing w:after="0"/>
        <w:rPr>
          <w:rFonts w:ascii="Times New Roman" w:hAnsi="Times New Roman"/>
          <w:sz w:val="36"/>
        </w:rPr>
      </w:pPr>
    </w:p>
    <w:p w14:paraId="57BE5E9E" w14:textId="77777777" w:rsidR="0031028C" w:rsidRPr="00223E80" w:rsidRDefault="0031028C" w:rsidP="007E6ED7">
      <w:pPr>
        <w:spacing w:after="0"/>
        <w:rPr>
          <w:rFonts w:ascii="Times New Roman" w:hAnsi="Times New Roman"/>
          <w:sz w:val="36"/>
        </w:rPr>
      </w:pPr>
    </w:p>
    <w:p w14:paraId="3D40AA2A" w14:textId="77777777" w:rsidR="0031028C" w:rsidRPr="00223E80" w:rsidRDefault="0031028C" w:rsidP="007E6ED7">
      <w:pPr>
        <w:spacing w:after="0"/>
        <w:rPr>
          <w:rFonts w:ascii="Times New Roman" w:hAnsi="Times New Roman"/>
          <w:sz w:val="36"/>
        </w:rPr>
      </w:pPr>
    </w:p>
    <w:p w14:paraId="74CCF422" w14:textId="77777777" w:rsidR="0031028C" w:rsidRPr="00223E80" w:rsidRDefault="0031028C" w:rsidP="007E6ED7">
      <w:pPr>
        <w:spacing w:after="0"/>
        <w:jc w:val="center"/>
        <w:rPr>
          <w:rFonts w:ascii="Times New Roman" w:hAnsi="Times New Roman"/>
          <w:b/>
          <w:sz w:val="44"/>
        </w:rPr>
      </w:pPr>
    </w:p>
    <w:p w14:paraId="75BEA540" w14:textId="77777777" w:rsidR="0031028C" w:rsidRPr="00223E80" w:rsidRDefault="0031028C" w:rsidP="007E6ED7">
      <w:pPr>
        <w:spacing w:after="0"/>
        <w:jc w:val="center"/>
        <w:rPr>
          <w:rFonts w:ascii="Times New Roman" w:hAnsi="Times New Roman"/>
          <w:b/>
          <w:sz w:val="44"/>
        </w:rPr>
      </w:pPr>
    </w:p>
    <w:p w14:paraId="2DD66D7B" w14:textId="77777777" w:rsidR="0031028C" w:rsidRPr="00223E80" w:rsidRDefault="0031028C" w:rsidP="007E6ED7">
      <w:pPr>
        <w:spacing w:after="0"/>
        <w:jc w:val="center"/>
        <w:rPr>
          <w:rFonts w:ascii="Times New Roman" w:hAnsi="Times New Roman"/>
          <w:b/>
          <w:sz w:val="44"/>
        </w:rPr>
      </w:pPr>
    </w:p>
    <w:p w14:paraId="1632CA73" w14:textId="77777777" w:rsidR="0031028C" w:rsidRPr="00223E80" w:rsidRDefault="0031028C" w:rsidP="007E6ED7">
      <w:pPr>
        <w:spacing w:after="0"/>
        <w:jc w:val="center"/>
        <w:rPr>
          <w:rFonts w:ascii="Times New Roman" w:hAnsi="Times New Roman"/>
          <w:b/>
          <w:sz w:val="44"/>
        </w:rPr>
      </w:pPr>
    </w:p>
    <w:p w14:paraId="358D4B2F" w14:textId="77777777" w:rsidR="00667AB0" w:rsidRPr="00223E80" w:rsidRDefault="00667AB0" w:rsidP="007E6ED7">
      <w:pPr>
        <w:spacing w:after="0"/>
        <w:jc w:val="center"/>
        <w:rPr>
          <w:rFonts w:cs="Arial"/>
          <w:b/>
          <w:color w:val="385623"/>
          <w:sz w:val="40"/>
          <w:szCs w:val="40"/>
        </w:rPr>
      </w:pPr>
      <w:r w:rsidRPr="00223E80">
        <w:rPr>
          <w:rFonts w:cs="Arial"/>
          <w:b/>
          <w:color w:val="385623"/>
          <w:sz w:val="40"/>
          <w:szCs w:val="40"/>
        </w:rPr>
        <w:t xml:space="preserve">Dolgoročni časovni načrt </w:t>
      </w:r>
      <w:r w:rsidR="0031028C" w:rsidRPr="00223E80">
        <w:rPr>
          <w:rFonts w:cs="Arial"/>
          <w:b/>
          <w:color w:val="385623"/>
          <w:sz w:val="40"/>
          <w:szCs w:val="40"/>
        </w:rPr>
        <w:t>za doseganje ciljev spodbujanja proizvodnje in rabe obnovljivih virov energije</w:t>
      </w:r>
      <w:r w:rsidR="00C02C91" w:rsidRPr="00223E80">
        <w:rPr>
          <w:rFonts w:cs="Arial"/>
          <w:b/>
          <w:color w:val="385623"/>
          <w:sz w:val="40"/>
          <w:szCs w:val="40"/>
        </w:rPr>
        <w:t xml:space="preserve"> </w:t>
      </w:r>
      <w:r w:rsidR="0031028C" w:rsidRPr="00223E80">
        <w:rPr>
          <w:rFonts w:cs="Arial"/>
          <w:b/>
          <w:color w:val="385623"/>
          <w:sz w:val="40"/>
          <w:szCs w:val="40"/>
        </w:rPr>
        <w:t xml:space="preserve">za naslednjih pet let </w:t>
      </w:r>
      <w:r w:rsidRPr="00223E80">
        <w:rPr>
          <w:rFonts w:cs="Arial"/>
          <w:b/>
          <w:color w:val="385623"/>
          <w:sz w:val="40"/>
          <w:szCs w:val="40"/>
        </w:rPr>
        <w:t>v Sloveniji</w:t>
      </w:r>
    </w:p>
    <w:p w14:paraId="088A26C4" w14:textId="77777777" w:rsidR="0031028C" w:rsidRPr="00223E80" w:rsidRDefault="00667AB0" w:rsidP="007E6ED7">
      <w:pPr>
        <w:spacing w:after="0"/>
        <w:jc w:val="center"/>
        <w:rPr>
          <w:rFonts w:cs="Arial"/>
          <w:b/>
          <w:color w:val="385623"/>
          <w:sz w:val="40"/>
          <w:szCs w:val="40"/>
        </w:rPr>
      </w:pPr>
      <w:r w:rsidRPr="00223E80">
        <w:rPr>
          <w:rFonts w:cs="Arial"/>
          <w:b/>
          <w:color w:val="385623"/>
          <w:sz w:val="40"/>
          <w:szCs w:val="40"/>
        </w:rPr>
        <w:t xml:space="preserve"> </w:t>
      </w:r>
      <w:r w:rsidR="0031028C" w:rsidRPr="00223E80">
        <w:rPr>
          <w:rFonts w:cs="Arial"/>
          <w:b/>
          <w:color w:val="385623"/>
          <w:sz w:val="40"/>
          <w:szCs w:val="40"/>
        </w:rPr>
        <w:t>(D</w:t>
      </w:r>
      <w:r w:rsidR="00895C28" w:rsidRPr="00223E80">
        <w:rPr>
          <w:rFonts w:cs="Arial"/>
          <w:b/>
          <w:color w:val="385623"/>
          <w:sz w:val="40"/>
          <w:szCs w:val="40"/>
        </w:rPr>
        <w:t>ČN</w:t>
      </w:r>
      <w:r w:rsidR="0031028C" w:rsidRPr="00223E80">
        <w:rPr>
          <w:rFonts w:cs="Arial"/>
          <w:b/>
          <w:color w:val="385623"/>
          <w:sz w:val="40"/>
          <w:szCs w:val="40"/>
        </w:rPr>
        <w:t xml:space="preserve"> OVE)</w:t>
      </w:r>
    </w:p>
    <w:p w14:paraId="36FDD4C4" w14:textId="77777777" w:rsidR="0031028C" w:rsidRPr="00223E80" w:rsidRDefault="0031028C" w:rsidP="007E6ED7">
      <w:pPr>
        <w:spacing w:after="0"/>
        <w:jc w:val="center"/>
        <w:rPr>
          <w:rFonts w:ascii="Times New Roman" w:hAnsi="Times New Roman"/>
          <w:b/>
          <w:sz w:val="44"/>
        </w:rPr>
      </w:pPr>
    </w:p>
    <w:p w14:paraId="42D83972" w14:textId="77777777" w:rsidR="0031028C" w:rsidRPr="00223E80" w:rsidRDefault="0031028C" w:rsidP="007E6ED7">
      <w:pPr>
        <w:spacing w:after="0"/>
        <w:jc w:val="center"/>
        <w:rPr>
          <w:rFonts w:ascii="Times New Roman" w:hAnsi="Times New Roman"/>
          <w:b/>
          <w:sz w:val="44"/>
        </w:rPr>
      </w:pPr>
    </w:p>
    <w:p w14:paraId="7C20A6DF" w14:textId="77777777" w:rsidR="0031028C" w:rsidRPr="00223E80" w:rsidRDefault="0031028C" w:rsidP="007E6ED7">
      <w:pPr>
        <w:spacing w:after="0"/>
        <w:jc w:val="center"/>
        <w:rPr>
          <w:rFonts w:ascii="Times New Roman" w:hAnsi="Times New Roman"/>
          <w:b/>
          <w:sz w:val="44"/>
        </w:rPr>
      </w:pPr>
    </w:p>
    <w:p w14:paraId="0BAEBEC3" w14:textId="77777777" w:rsidR="0031028C" w:rsidRPr="00223E80" w:rsidRDefault="0031028C" w:rsidP="007E6ED7">
      <w:pPr>
        <w:spacing w:after="0"/>
        <w:jc w:val="center"/>
        <w:rPr>
          <w:rFonts w:ascii="Times New Roman" w:hAnsi="Times New Roman"/>
          <w:b/>
          <w:sz w:val="44"/>
        </w:rPr>
      </w:pPr>
    </w:p>
    <w:p w14:paraId="49D8FB28" w14:textId="77777777" w:rsidR="0031028C" w:rsidRPr="00223E80" w:rsidRDefault="0031028C" w:rsidP="007E6ED7">
      <w:pPr>
        <w:spacing w:after="0"/>
        <w:jc w:val="center"/>
        <w:rPr>
          <w:rFonts w:ascii="Times New Roman" w:hAnsi="Times New Roman"/>
          <w:b/>
          <w:sz w:val="44"/>
        </w:rPr>
      </w:pPr>
    </w:p>
    <w:p w14:paraId="24280FD7" w14:textId="77777777" w:rsidR="0031028C" w:rsidRPr="00223E80" w:rsidRDefault="0031028C" w:rsidP="007E6ED7">
      <w:pPr>
        <w:spacing w:after="0"/>
        <w:jc w:val="center"/>
        <w:rPr>
          <w:rFonts w:ascii="Times New Roman" w:hAnsi="Times New Roman"/>
          <w:b/>
          <w:sz w:val="44"/>
        </w:rPr>
      </w:pPr>
    </w:p>
    <w:p w14:paraId="2FF46A92" w14:textId="77777777" w:rsidR="0031028C" w:rsidRPr="00223E80" w:rsidRDefault="0031028C" w:rsidP="007E6ED7">
      <w:pPr>
        <w:spacing w:after="0"/>
        <w:jc w:val="center"/>
        <w:rPr>
          <w:rFonts w:ascii="Times New Roman" w:hAnsi="Times New Roman"/>
          <w:b/>
          <w:sz w:val="28"/>
        </w:rPr>
      </w:pPr>
    </w:p>
    <w:p w14:paraId="4EA9371C" w14:textId="77777777" w:rsidR="00A520AC" w:rsidRPr="00223E80" w:rsidRDefault="00A520AC" w:rsidP="007E6ED7">
      <w:pPr>
        <w:spacing w:after="0"/>
        <w:jc w:val="center"/>
        <w:rPr>
          <w:rFonts w:ascii="Times New Roman" w:hAnsi="Times New Roman"/>
          <w:b/>
          <w:sz w:val="28"/>
        </w:rPr>
      </w:pPr>
    </w:p>
    <w:p w14:paraId="4CB3FF5E" w14:textId="77777777" w:rsidR="00A520AC" w:rsidRPr="00223E80" w:rsidRDefault="00A520AC" w:rsidP="007E6ED7">
      <w:pPr>
        <w:spacing w:after="0"/>
        <w:jc w:val="center"/>
        <w:rPr>
          <w:rFonts w:ascii="Times New Roman" w:hAnsi="Times New Roman"/>
          <w:b/>
          <w:sz w:val="28"/>
        </w:rPr>
      </w:pPr>
    </w:p>
    <w:p w14:paraId="30589CF4" w14:textId="77777777" w:rsidR="0031028C" w:rsidRPr="00223E80" w:rsidRDefault="0031028C" w:rsidP="007E6ED7">
      <w:pPr>
        <w:spacing w:after="0"/>
        <w:jc w:val="center"/>
        <w:rPr>
          <w:rFonts w:ascii="Times New Roman" w:hAnsi="Times New Roman"/>
          <w:b/>
          <w:sz w:val="28"/>
        </w:rPr>
      </w:pPr>
    </w:p>
    <w:p w14:paraId="528A1461" w14:textId="77777777" w:rsidR="0031028C" w:rsidRPr="00223E80" w:rsidRDefault="00B23B68" w:rsidP="007E6ED7">
      <w:pPr>
        <w:spacing w:after="0"/>
        <w:jc w:val="center"/>
        <w:rPr>
          <w:rFonts w:cs="Arial"/>
          <w:b/>
          <w:color w:val="3A4A3E"/>
          <w:sz w:val="28"/>
        </w:rPr>
      </w:pPr>
      <w:r w:rsidRPr="00223E80">
        <w:rPr>
          <w:rFonts w:cs="Arial"/>
          <w:b/>
          <w:color w:val="3A4A3E"/>
          <w:sz w:val="28"/>
        </w:rPr>
        <w:t xml:space="preserve">September </w:t>
      </w:r>
      <w:r w:rsidR="00A520AC" w:rsidRPr="00223E80">
        <w:rPr>
          <w:rFonts w:cs="Arial"/>
          <w:b/>
          <w:color w:val="3A4A3E"/>
          <w:sz w:val="28"/>
        </w:rPr>
        <w:t>2022</w:t>
      </w:r>
    </w:p>
    <w:p w14:paraId="163CC1FB" w14:textId="77777777" w:rsidR="00A520AC" w:rsidRPr="00223E80" w:rsidRDefault="00A520AC" w:rsidP="007E6ED7">
      <w:pPr>
        <w:pStyle w:val="NaslovTOC"/>
        <w:tabs>
          <w:tab w:val="clear" w:pos="360"/>
        </w:tabs>
        <w:spacing w:before="0" w:after="0" w:line="276" w:lineRule="auto"/>
        <w:jc w:val="center"/>
        <w:rPr>
          <w:rFonts w:ascii="Arial" w:eastAsia="Calibri" w:hAnsi="Arial" w:cs="Arial"/>
          <w:sz w:val="40"/>
        </w:rPr>
      </w:pPr>
    </w:p>
    <w:p w14:paraId="33EA6D83" w14:textId="77777777" w:rsidR="00A520AC" w:rsidRPr="00223E80" w:rsidRDefault="00A520AC" w:rsidP="007E6ED7">
      <w:pPr>
        <w:pStyle w:val="NaslovTOC"/>
        <w:tabs>
          <w:tab w:val="clear" w:pos="360"/>
        </w:tabs>
        <w:spacing w:before="0" w:after="0" w:line="276" w:lineRule="auto"/>
        <w:jc w:val="center"/>
        <w:rPr>
          <w:rFonts w:ascii="Arial" w:eastAsia="Calibri" w:hAnsi="Arial" w:cs="Arial"/>
          <w:sz w:val="40"/>
        </w:rPr>
      </w:pPr>
    </w:p>
    <w:p w14:paraId="4377FE53" w14:textId="77777777" w:rsidR="00A520AC" w:rsidRPr="00223E80" w:rsidRDefault="00A520AC" w:rsidP="007E6ED7">
      <w:pPr>
        <w:pStyle w:val="NaslovTOC"/>
        <w:tabs>
          <w:tab w:val="clear" w:pos="360"/>
        </w:tabs>
        <w:spacing w:before="0" w:after="0" w:line="276" w:lineRule="auto"/>
        <w:jc w:val="center"/>
        <w:rPr>
          <w:rFonts w:ascii="Arial" w:eastAsia="Calibri" w:hAnsi="Arial" w:cs="Arial"/>
          <w:sz w:val="40"/>
        </w:rPr>
      </w:pPr>
    </w:p>
    <w:p w14:paraId="6D6497C8" w14:textId="77777777" w:rsidR="00A520AC" w:rsidRPr="00223E80" w:rsidRDefault="00A520AC" w:rsidP="007E6ED7">
      <w:pPr>
        <w:pStyle w:val="NaslovTOC"/>
        <w:tabs>
          <w:tab w:val="clear" w:pos="360"/>
        </w:tabs>
        <w:spacing w:before="0" w:after="0" w:line="276" w:lineRule="auto"/>
        <w:jc w:val="center"/>
        <w:rPr>
          <w:rFonts w:ascii="Arial" w:eastAsia="Calibri" w:hAnsi="Arial" w:cs="Arial"/>
          <w:sz w:val="40"/>
        </w:rPr>
      </w:pPr>
    </w:p>
    <w:p w14:paraId="471FC77F" w14:textId="77777777" w:rsidR="00A520AC" w:rsidRPr="00223E80" w:rsidRDefault="00A520AC" w:rsidP="00A520AC">
      <w:pPr>
        <w:pStyle w:val="NaslovTOC"/>
        <w:tabs>
          <w:tab w:val="clear" w:pos="360"/>
        </w:tabs>
        <w:spacing w:before="0" w:after="0" w:line="276" w:lineRule="auto"/>
        <w:jc w:val="center"/>
        <w:rPr>
          <w:rFonts w:ascii="Arial" w:eastAsia="Calibri" w:hAnsi="Arial" w:cs="Arial"/>
          <w:b/>
          <w:sz w:val="40"/>
        </w:rPr>
      </w:pPr>
      <w:r w:rsidRPr="00223E80">
        <w:rPr>
          <w:rFonts w:ascii="Arial" w:eastAsia="Calibri" w:hAnsi="Arial" w:cs="Arial"/>
          <w:sz w:val="40"/>
        </w:rPr>
        <w:br w:type="page"/>
      </w:r>
      <w:r w:rsidRPr="00223E80">
        <w:rPr>
          <w:rFonts w:ascii="Arial" w:hAnsi="Arial" w:cs="Arial"/>
          <w:b/>
        </w:rPr>
        <w:lastRenderedPageBreak/>
        <w:t>Vsebina</w:t>
      </w:r>
    </w:p>
    <w:p w14:paraId="29352616" w14:textId="77777777" w:rsidR="005912CF" w:rsidRPr="00223E80" w:rsidRDefault="00390EFB">
      <w:pPr>
        <w:pStyle w:val="Kazalovsebine1"/>
        <w:tabs>
          <w:tab w:val="right" w:leader="dot" w:pos="8921"/>
        </w:tabs>
        <w:rPr>
          <w:rFonts w:ascii="Arial" w:eastAsia="Times New Roman" w:hAnsi="Arial" w:cs="Arial"/>
          <w:b w:val="0"/>
          <w:bCs w:val="0"/>
          <w:caps w:val="0"/>
          <w:noProof/>
          <w:sz w:val="22"/>
          <w:szCs w:val="22"/>
          <w:lang w:val="en-US"/>
        </w:rPr>
      </w:pPr>
      <w:r w:rsidRPr="00223E80">
        <w:rPr>
          <w:rFonts w:ascii="Arial" w:eastAsia="Arial" w:hAnsi="Arial" w:cs="Arial"/>
        </w:rPr>
        <w:fldChar w:fldCharType="begin"/>
      </w:r>
      <w:r w:rsidRPr="00223E80">
        <w:rPr>
          <w:rFonts w:ascii="Arial" w:eastAsia="Arial" w:hAnsi="Arial" w:cs="Arial"/>
        </w:rPr>
        <w:instrText xml:space="preserve"> TOC \o "1-3" \h \z \u </w:instrText>
      </w:r>
      <w:r w:rsidRPr="00223E80">
        <w:rPr>
          <w:rFonts w:ascii="Arial" w:eastAsia="Arial" w:hAnsi="Arial" w:cs="Arial"/>
        </w:rPr>
        <w:fldChar w:fldCharType="separate"/>
      </w:r>
      <w:hyperlink w:anchor="_Toc112143974" w:history="1">
        <w:r w:rsidR="005912CF" w:rsidRPr="00223E80">
          <w:rPr>
            <w:rStyle w:val="Hiperpovezava"/>
            <w:rFonts w:ascii="Arial" w:eastAsia="Arial" w:hAnsi="Arial" w:cs="Arial"/>
            <w:noProof/>
          </w:rPr>
          <w:t>Povzetek</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_Toc112143974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7</w:t>
        </w:r>
        <w:r w:rsidR="005912CF" w:rsidRPr="00223E80">
          <w:rPr>
            <w:rFonts w:ascii="Arial" w:hAnsi="Arial" w:cs="Arial"/>
            <w:noProof/>
            <w:webHidden/>
          </w:rPr>
          <w:fldChar w:fldCharType="end"/>
        </w:r>
      </w:hyperlink>
    </w:p>
    <w:p w14:paraId="7702D063"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3975" w:history="1">
        <w:r w:rsidR="005912CF" w:rsidRPr="00223E80">
          <w:rPr>
            <w:rStyle w:val="Hiperpovezava"/>
            <w:rFonts w:ascii="Arial" w:hAnsi="Arial" w:cs="Arial"/>
            <w:noProof/>
          </w:rPr>
          <w:t>1   UVOD</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_Toc112143975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8</w:t>
        </w:r>
        <w:r w:rsidR="005912CF" w:rsidRPr="00223E80">
          <w:rPr>
            <w:rFonts w:ascii="Arial" w:hAnsi="Arial" w:cs="Arial"/>
            <w:noProof/>
            <w:webHidden/>
          </w:rPr>
          <w:fldChar w:fldCharType="end"/>
        </w:r>
      </w:hyperlink>
    </w:p>
    <w:p w14:paraId="42016139"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3976" w:history="1">
        <w:r w:rsidR="005912CF" w:rsidRPr="00223E80">
          <w:rPr>
            <w:rStyle w:val="Hiperpovezava"/>
            <w:rFonts w:ascii="Arial" w:hAnsi="Arial" w:cs="Arial"/>
            <w:noProof/>
          </w:rPr>
          <w:t>2   POLITIKE IN CILJI NA PODROČJU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_Toc112143976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8</w:t>
        </w:r>
        <w:r w:rsidR="005912CF" w:rsidRPr="00223E80">
          <w:rPr>
            <w:rFonts w:ascii="Arial" w:hAnsi="Arial" w:cs="Arial"/>
            <w:noProof/>
            <w:webHidden/>
          </w:rPr>
          <w:fldChar w:fldCharType="end"/>
        </w:r>
      </w:hyperlink>
    </w:p>
    <w:p w14:paraId="49FB99E7"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3977" w:history="1">
        <w:r w:rsidR="005912CF" w:rsidRPr="00223E80">
          <w:rPr>
            <w:rStyle w:val="Hiperpovezava"/>
            <w:rFonts w:ascii="Arial" w:hAnsi="Arial" w:cs="Arial"/>
            <w:noProof/>
          </w:rPr>
          <w:t>3   ZAKONSKA PODLAGA IN CILJI DOLGOROČNEGA ČASOVNEGA NAČRTA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_Toc112143977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9</w:t>
        </w:r>
        <w:r w:rsidR="005912CF" w:rsidRPr="00223E80">
          <w:rPr>
            <w:rFonts w:ascii="Arial" w:hAnsi="Arial" w:cs="Arial"/>
            <w:noProof/>
            <w:webHidden/>
          </w:rPr>
          <w:fldChar w:fldCharType="end"/>
        </w:r>
      </w:hyperlink>
    </w:p>
    <w:p w14:paraId="544C16B9"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3978" w:history="1">
        <w:r w:rsidR="005912CF" w:rsidRPr="00223E80">
          <w:rPr>
            <w:rStyle w:val="Hiperpovezava"/>
            <w:rFonts w:ascii="Arial" w:hAnsi="Arial" w:cs="Arial"/>
            <w:noProof/>
          </w:rPr>
          <w:t>4   SPODBUDE IN UKREPI NA PODROČJU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_Toc112143978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10</w:t>
        </w:r>
        <w:r w:rsidR="005912CF" w:rsidRPr="00223E80">
          <w:rPr>
            <w:rFonts w:ascii="Arial" w:hAnsi="Arial" w:cs="Arial"/>
            <w:noProof/>
            <w:webHidden/>
          </w:rPr>
          <w:fldChar w:fldCharType="end"/>
        </w:r>
      </w:hyperlink>
    </w:p>
    <w:p w14:paraId="06108EF4"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79" w:history="1">
        <w:r w:rsidR="005912CF" w:rsidRPr="00223E80">
          <w:rPr>
            <w:rStyle w:val="Hiperpovezava"/>
            <w:rFonts w:ascii="Arial" w:hAnsi="Arial" w:cs="Arial"/>
            <w:noProof/>
          </w:rPr>
          <w:t xml:space="preserve">4.1 </w:t>
        </w:r>
        <w:r w:rsidR="008D1851" w:rsidRPr="00223E80">
          <w:rPr>
            <w:rStyle w:val="Hiperpovezava"/>
            <w:rFonts w:ascii="Arial" w:hAnsi="Arial" w:cs="Arial"/>
            <w:noProof/>
          </w:rPr>
          <w:t>Namenska sredstva na področju obnovljivih virov</w:t>
        </w:r>
        <w:r w:rsidR="005912CF" w:rsidRPr="00223E80">
          <w:rPr>
            <w:rStyle w:val="Hiperpovezava"/>
            <w:rFonts w:ascii="Arial" w:hAnsi="Arial" w:cs="Arial"/>
            <w:noProof/>
          </w:rPr>
          <w:t xml:space="preserve">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_Toc112143979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10</w:t>
        </w:r>
        <w:r w:rsidR="005912CF" w:rsidRPr="00223E80">
          <w:rPr>
            <w:rFonts w:ascii="Arial" w:hAnsi="Arial" w:cs="Arial"/>
            <w:noProof/>
            <w:webHidden/>
          </w:rPr>
          <w:fldChar w:fldCharType="end"/>
        </w:r>
      </w:hyperlink>
    </w:p>
    <w:p w14:paraId="4448CEA7" w14:textId="765DE26C"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0" w:history="1">
        <w:r w:rsidR="005912CF" w:rsidRPr="00223E80">
          <w:rPr>
            <w:rStyle w:val="Hiperpovezava"/>
            <w:rFonts w:ascii="Arial" w:hAnsi="Arial" w:cs="Arial"/>
            <w:noProof/>
          </w:rPr>
          <w:t>4.2 Samooskrba z električno energijo iz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_Toc112143980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12</w:t>
        </w:r>
        <w:r w:rsidR="005912CF" w:rsidRPr="00223E80">
          <w:rPr>
            <w:rFonts w:ascii="Arial" w:hAnsi="Arial" w:cs="Arial"/>
            <w:noProof/>
            <w:webHidden/>
          </w:rPr>
          <w:fldChar w:fldCharType="end"/>
        </w:r>
      </w:hyperlink>
    </w:p>
    <w:p w14:paraId="382CB65C" w14:textId="00EC84B2"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81" w:history="1">
        <w:r w:rsidR="005912CF" w:rsidRPr="00223E80">
          <w:rPr>
            <w:rStyle w:val="Hiperpovezava"/>
            <w:rFonts w:ascii="Arial" w:hAnsi="Arial" w:cs="Arial"/>
            <w:noProof/>
          </w:rPr>
          <w:t>4.2.1   Ukrep o samooskrbi z električno energijo iz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_Toc112143981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12</w:t>
        </w:r>
        <w:r w:rsidR="005912CF" w:rsidRPr="00223E80">
          <w:rPr>
            <w:rFonts w:ascii="Arial" w:hAnsi="Arial" w:cs="Arial"/>
            <w:noProof/>
            <w:webHidden/>
          </w:rPr>
          <w:fldChar w:fldCharType="end"/>
        </w:r>
      </w:hyperlink>
    </w:p>
    <w:p w14:paraId="265CAB29" w14:textId="3C733BA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82" w:history="1">
        <w:r w:rsidR="005912CF" w:rsidRPr="00223E80">
          <w:rPr>
            <w:rStyle w:val="Hiperpovezava"/>
            <w:rFonts w:ascii="Arial" w:hAnsi="Arial" w:cs="Arial"/>
            <w:noProof/>
          </w:rPr>
          <w:t>4.2.2   Naložbena pomoč za samooskrbo</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_Toc112143982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13</w:t>
        </w:r>
        <w:r w:rsidR="005912CF" w:rsidRPr="00223E80">
          <w:rPr>
            <w:rFonts w:ascii="Arial" w:hAnsi="Arial" w:cs="Arial"/>
            <w:noProof/>
            <w:webHidden/>
          </w:rPr>
          <w:fldChar w:fldCharType="end"/>
        </w:r>
      </w:hyperlink>
    </w:p>
    <w:p w14:paraId="4C1EFF2A"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3" w:history="1">
        <w:r w:rsidR="005912CF" w:rsidRPr="00223E80">
          <w:rPr>
            <w:rStyle w:val="Hiperpovezava"/>
            <w:rFonts w:ascii="Arial" w:hAnsi="Arial" w:cs="Arial"/>
            <w:noProof/>
          </w:rPr>
          <w:t>4.3 Eko sklad, Slovenski okoljski javni sklad</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_Toc112143983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14</w:t>
        </w:r>
        <w:r w:rsidR="005912CF" w:rsidRPr="00223E80">
          <w:rPr>
            <w:rFonts w:ascii="Arial" w:hAnsi="Arial" w:cs="Arial"/>
            <w:noProof/>
            <w:webHidden/>
          </w:rPr>
          <w:fldChar w:fldCharType="end"/>
        </w:r>
      </w:hyperlink>
    </w:p>
    <w:p w14:paraId="5C2FBBBB"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4" w:history="1">
        <w:r w:rsidR="005912CF" w:rsidRPr="00223E80">
          <w:rPr>
            <w:rStyle w:val="Hiperpovezava"/>
            <w:rFonts w:ascii="Arial" w:hAnsi="Arial" w:cs="Arial"/>
            <w:noProof/>
          </w:rPr>
          <w:t>4.4 Sklad za podnebne spremembe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_Toc112143984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14</w:t>
        </w:r>
        <w:r w:rsidR="005912CF" w:rsidRPr="00223E80">
          <w:rPr>
            <w:rFonts w:ascii="Arial" w:hAnsi="Arial" w:cs="Arial"/>
            <w:noProof/>
            <w:webHidden/>
          </w:rPr>
          <w:fldChar w:fldCharType="end"/>
        </w:r>
      </w:hyperlink>
    </w:p>
    <w:p w14:paraId="2E41EE18"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5" w:history="1">
        <w:r w:rsidR="005912CF" w:rsidRPr="00223E80">
          <w:rPr>
            <w:rStyle w:val="Hiperpovezava"/>
            <w:rFonts w:ascii="Arial" w:hAnsi="Arial" w:cs="Arial"/>
            <w:noProof/>
          </w:rPr>
          <w:t>4.5 Podporna shema za električno energijo iz obnovljivih virov in iz soproizvodnje z visokim izkoristkom</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_Toc112143985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15</w:t>
        </w:r>
        <w:r w:rsidR="005912CF" w:rsidRPr="00223E80">
          <w:rPr>
            <w:rFonts w:ascii="Arial" w:hAnsi="Arial" w:cs="Arial"/>
            <w:noProof/>
            <w:webHidden/>
          </w:rPr>
          <w:fldChar w:fldCharType="end"/>
        </w:r>
      </w:hyperlink>
    </w:p>
    <w:p w14:paraId="3257DD8B"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6" w:history="1">
        <w:r w:rsidR="005912CF" w:rsidRPr="00223E80">
          <w:rPr>
            <w:rStyle w:val="Hiperpovezava"/>
            <w:rFonts w:ascii="Arial" w:hAnsi="Arial" w:cs="Arial"/>
            <w:noProof/>
          </w:rPr>
          <w:t>4.6 Evropska finančna sredstva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_Toc112143986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20</w:t>
        </w:r>
        <w:r w:rsidR="005912CF" w:rsidRPr="00223E80">
          <w:rPr>
            <w:rFonts w:ascii="Arial" w:hAnsi="Arial" w:cs="Arial"/>
            <w:noProof/>
            <w:webHidden/>
          </w:rPr>
          <w:fldChar w:fldCharType="end"/>
        </w:r>
      </w:hyperlink>
    </w:p>
    <w:p w14:paraId="6FDAFAA1"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87" w:history="1">
        <w:r w:rsidR="005912CF" w:rsidRPr="00223E80">
          <w:rPr>
            <w:rStyle w:val="Hiperpovezava"/>
            <w:rFonts w:ascii="Arial" w:hAnsi="Arial" w:cs="Arial"/>
            <w:noProof/>
          </w:rPr>
          <w:t>4.7 Drugi pomembnejši ukrepi in viri sredstev</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_Toc112143987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22</w:t>
        </w:r>
        <w:r w:rsidR="005912CF" w:rsidRPr="00223E80">
          <w:rPr>
            <w:rFonts w:ascii="Arial" w:hAnsi="Arial" w:cs="Arial"/>
            <w:noProof/>
            <w:webHidden/>
          </w:rPr>
          <w:fldChar w:fldCharType="end"/>
        </w:r>
      </w:hyperlink>
    </w:p>
    <w:p w14:paraId="3ECDEA39"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88" w:history="1">
        <w:r w:rsidR="005912CF" w:rsidRPr="00223E80">
          <w:rPr>
            <w:rStyle w:val="Hiperpovezava"/>
            <w:rFonts w:ascii="Arial" w:hAnsi="Arial" w:cs="Arial"/>
            <w:noProof/>
          </w:rPr>
          <w:t>4.7.1   Kontaktna točka za spodbujanje rabe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_Toc112143988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23</w:t>
        </w:r>
        <w:r w:rsidR="005912CF" w:rsidRPr="00223E80">
          <w:rPr>
            <w:rFonts w:ascii="Arial" w:hAnsi="Arial" w:cs="Arial"/>
            <w:noProof/>
            <w:webHidden/>
          </w:rPr>
          <w:fldChar w:fldCharType="end"/>
        </w:r>
      </w:hyperlink>
    </w:p>
    <w:p w14:paraId="7C9F70BC"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89" w:history="1">
        <w:r w:rsidR="005912CF" w:rsidRPr="00223E80">
          <w:rPr>
            <w:rStyle w:val="Hiperpovezava"/>
            <w:rFonts w:ascii="Arial" w:hAnsi="Arial" w:cs="Arial"/>
            <w:noProof/>
          </w:rPr>
          <w:t>4.7.</w:t>
        </w:r>
        <w:r w:rsidR="000C747A" w:rsidRPr="00223E80">
          <w:rPr>
            <w:rStyle w:val="Hiperpovezava"/>
            <w:rFonts w:ascii="Arial" w:hAnsi="Arial" w:cs="Arial"/>
            <w:noProof/>
          </w:rPr>
          <w:t>2</w:t>
        </w:r>
        <w:r w:rsidR="005912CF" w:rsidRPr="00223E80">
          <w:rPr>
            <w:rStyle w:val="Hiperpovezava"/>
            <w:rFonts w:ascii="Arial" w:hAnsi="Arial" w:cs="Arial"/>
            <w:noProof/>
          </w:rPr>
          <w:t xml:space="preserve">   Ukrep Upravljanje z energijo v javnem sektorju</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_Toc112143989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23</w:t>
        </w:r>
        <w:r w:rsidR="005912CF" w:rsidRPr="00223E80">
          <w:rPr>
            <w:rFonts w:ascii="Arial" w:hAnsi="Arial" w:cs="Arial"/>
            <w:noProof/>
            <w:webHidden/>
          </w:rPr>
          <w:fldChar w:fldCharType="end"/>
        </w:r>
      </w:hyperlink>
    </w:p>
    <w:p w14:paraId="0BB4C8F2"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90" w:history="1">
        <w:r w:rsidR="000C747A" w:rsidRPr="00223E80">
          <w:rPr>
            <w:rStyle w:val="Hiperpovezava"/>
            <w:rFonts w:ascii="Arial" w:hAnsi="Arial" w:cs="Arial"/>
            <w:noProof/>
          </w:rPr>
          <w:t>4.7.3</w:t>
        </w:r>
        <w:r w:rsidR="005912CF" w:rsidRPr="00223E80">
          <w:rPr>
            <w:rStyle w:val="Hiperpovezava"/>
            <w:rFonts w:ascii="Arial" w:hAnsi="Arial" w:cs="Arial"/>
            <w:noProof/>
          </w:rPr>
          <w:t xml:space="preserve">  Pravna poenostavitev postopka glede manjših naprav za proizvodnjo električne energije iz obnovljivih virov energije ali SPTE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_Toc112143990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24</w:t>
        </w:r>
        <w:r w:rsidR="005912CF" w:rsidRPr="00223E80">
          <w:rPr>
            <w:rFonts w:ascii="Arial" w:hAnsi="Arial" w:cs="Arial"/>
            <w:noProof/>
            <w:webHidden/>
          </w:rPr>
          <w:fldChar w:fldCharType="end"/>
        </w:r>
      </w:hyperlink>
    </w:p>
    <w:p w14:paraId="318DAE14"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91" w:history="1">
        <w:r w:rsidR="000C747A" w:rsidRPr="00223E80">
          <w:rPr>
            <w:rStyle w:val="Hiperpovezava"/>
            <w:rFonts w:ascii="Arial" w:hAnsi="Arial" w:cs="Arial"/>
            <w:noProof/>
          </w:rPr>
          <w:t>4.7.4</w:t>
        </w:r>
        <w:r w:rsidR="005912CF" w:rsidRPr="00223E80">
          <w:rPr>
            <w:rStyle w:val="Hiperpovezava"/>
            <w:rFonts w:ascii="Arial" w:hAnsi="Arial" w:cs="Arial"/>
            <w:noProof/>
          </w:rPr>
          <w:t xml:space="preserve">   Ukrep o prispevku za vetrno energijo</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_Toc112143991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24</w:t>
        </w:r>
        <w:r w:rsidR="005912CF" w:rsidRPr="00223E80">
          <w:rPr>
            <w:rFonts w:ascii="Arial" w:hAnsi="Arial" w:cs="Arial"/>
            <w:noProof/>
            <w:webHidden/>
          </w:rPr>
          <w:fldChar w:fldCharType="end"/>
        </w:r>
      </w:hyperlink>
    </w:p>
    <w:p w14:paraId="235BF7A7"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3992" w:history="1">
        <w:r w:rsidR="000C747A" w:rsidRPr="00223E80">
          <w:rPr>
            <w:rStyle w:val="Hiperpovezava"/>
            <w:rFonts w:ascii="Arial" w:hAnsi="Arial" w:cs="Arial"/>
            <w:noProof/>
          </w:rPr>
          <w:t>4.7.5</w:t>
        </w:r>
        <w:r w:rsidR="005912CF" w:rsidRPr="00223E80">
          <w:rPr>
            <w:rStyle w:val="Hiperpovezava"/>
            <w:rFonts w:ascii="Arial" w:hAnsi="Arial" w:cs="Arial"/>
            <w:noProof/>
          </w:rPr>
          <w:t xml:space="preserve">   Ostali ukrepi na področju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_Toc112143992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24</w:t>
        </w:r>
        <w:r w:rsidR="005912CF" w:rsidRPr="00223E80">
          <w:rPr>
            <w:rFonts w:ascii="Arial" w:hAnsi="Arial" w:cs="Arial"/>
            <w:noProof/>
            <w:webHidden/>
          </w:rPr>
          <w:fldChar w:fldCharType="end"/>
        </w:r>
      </w:hyperlink>
    </w:p>
    <w:p w14:paraId="1A3898F6"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3993" w:history="1">
        <w:r w:rsidR="005912CF" w:rsidRPr="00223E80">
          <w:rPr>
            <w:rStyle w:val="Hiperpovezava"/>
            <w:rFonts w:ascii="Arial" w:hAnsi="Arial" w:cs="Arial"/>
            <w:noProof/>
          </w:rPr>
          <w:t>5  OBSEG SREDSTEV, ZBRANIH IZ VIROV SREDSTEV ZA PODPORE</w:t>
        </w:r>
        <w:r w:rsidR="00FA074B" w:rsidRPr="00223E80">
          <w:rPr>
            <w:rStyle w:val="Hiperpovezava"/>
            <w:rFonts w:ascii="Arial" w:hAnsi="Arial" w:cs="Arial"/>
            <w:noProof/>
          </w:rPr>
          <w:t>,</w:t>
        </w:r>
        <w:r w:rsidR="005912CF" w:rsidRPr="00223E80">
          <w:rPr>
            <w:rStyle w:val="Hiperpovezava"/>
            <w:rFonts w:ascii="Arial" w:hAnsi="Arial" w:cs="Arial"/>
            <w:noProof/>
          </w:rPr>
          <w:t xml:space="preserve"> V LETIH OD 2022 DO 2026</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_Toc112143993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25</w:t>
        </w:r>
        <w:r w:rsidR="005912CF" w:rsidRPr="00223E80">
          <w:rPr>
            <w:rFonts w:ascii="Arial" w:hAnsi="Arial" w:cs="Arial"/>
            <w:noProof/>
            <w:webHidden/>
          </w:rPr>
          <w:fldChar w:fldCharType="end"/>
        </w:r>
      </w:hyperlink>
    </w:p>
    <w:p w14:paraId="0850E04D"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4" w:history="1">
        <w:r w:rsidR="005912CF" w:rsidRPr="00223E80">
          <w:rPr>
            <w:rStyle w:val="Hiperpovezava"/>
            <w:rFonts w:ascii="Arial" w:hAnsi="Arial" w:cs="Arial"/>
            <w:noProof/>
          </w:rPr>
          <w:t>5.1 Prispevki končnih odjemalcev električne energije, zemeljskega plina in drugih energetskih plinov iz omrežja in daljinske toplote ter daljinskega hlajenja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_Toc112143994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27</w:t>
        </w:r>
        <w:r w:rsidR="005912CF" w:rsidRPr="00223E80">
          <w:rPr>
            <w:rFonts w:ascii="Arial" w:hAnsi="Arial" w:cs="Arial"/>
            <w:noProof/>
            <w:webHidden/>
          </w:rPr>
          <w:fldChar w:fldCharType="end"/>
        </w:r>
      </w:hyperlink>
    </w:p>
    <w:p w14:paraId="21B98FAA" w14:textId="62E03353"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5" w:history="1">
        <w:r w:rsidR="005912CF" w:rsidRPr="00223E80">
          <w:rPr>
            <w:rStyle w:val="Hiperpovezava"/>
            <w:rFonts w:ascii="Arial" w:hAnsi="Arial" w:cs="Arial"/>
            <w:noProof/>
          </w:rPr>
          <w:t xml:space="preserve">5.2 Prispevki končnih odjemalcev za rabo trdih in tekočih fosilnih goriv, utekočinjenega naftnega plina </w:t>
        </w:r>
        <w:r w:rsidR="00FA074B" w:rsidRPr="00223E80">
          <w:rPr>
            <w:rStyle w:val="Hiperpovezava"/>
            <w:rFonts w:ascii="Arial" w:hAnsi="Arial" w:cs="Arial"/>
            <w:noProof/>
          </w:rPr>
          <w:t>in</w:t>
        </w:r>
        <w:r w:rsidR="005912CF" w:rsidRPr="00223E80">
          <w:rPr>
            <w:rStyle w:val="Hiperpovezava"/>
            <w:rFonts w:ascii="Arial" w:hAnsi="Arial" w:cs="Arial"/>
            <w:noProof/>
          </w:rPr>
          <w:t xml:space="preserve"> utekočinjenega zemeljskega plina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_Toc112143995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28</w:t>
        </w:r>
        <w:r w:rsidR="005912CF" w:rsidRPr="00223E80">
          <w:rPr>
            <w:rFonts w:ascii="Arial" w:hAnsi="Arial" w:cs="Arial"/>
            <w:noProof/>
            <w:webHidden/>
          </w:rPr>
          <w:fldChar w:fldCharType="end"/>
        </w:r>
      </w:hyperlink>
    </w:p>
    <w:p w14:paraId="66C92E3E"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6" w:history="1">
        <w:r w:rsidR="005912CF" w:rsidRPr="00223E80">
          <w:rPr>
            <w:rStyle w:val="Hiperpovezava"/>
            <w:rFonts w:ascii="Arial" w:hAnsi="Arial" w:cs="Arial"/>
            <w:noProof/>
          </w:rPr>
          <w:t>5.3 Prodaja električne energije iz naslova EKO bilančne skupine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_Toc112143996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28</w:t>
        </w:r>
        <w:r w:rsidR="005912CF" w:rsidRPr="00223E80">
          <w:rPr>
            <w:rFonts w:ascii="Arial" w:hAnsi="Arial" w:cs="Arial"/>
            <w:noProof/>
            <w:webHidden/>
          </w:rPr>
          <w:fldChar w:fldCharType="end"/>
        </w:r>
      </w:hyperlink>
    </w:p>
    <w:p w14:paraId="4EFFF749"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7" w:history="1">
        <w:r w:rsidR="005912CF" w:rsidRPr="00223E80">
          <w:rPr>
            <w:rStyle w:val="Hiperpovezava"/>
            <w:rFonts w:ascii="Arial" w:hAnsi="Arial" w:cs="Arial"/>
            <w:noProof/>
          </w:rPr>
          <w:t>5.4 Proračunski viri</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_Toc112143997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28</w:t>
        </w:r>
        <w:r w:rsidR="005912CF" w:rsidRPr="00223E80">
          <w:rPr>
            <w:rFonts w:ascii="Arial" w:hAnsi="Arial" w:cs="Arial"/>
            <w:noProof/>
            <w:webHidden/>
          </w:rPr>
          <w:fldChar w:fldCharType="end"/>
        </w:r>
      </w:hyperlink>
    </w:p>
    <w:p w14:paraId="4CBE8189"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8" w:history="1">
        <w:r w:rsidR="005912CF" w:rsidRPr="00223E80">
          <w:rPr>
            <w:rStyle w:val="Hiperpovezava"/>
            <w:rFonts w:ascii="Arial" w:hAnsi="Arial" w:cs="Arial"/>
            <w:noProof/>
          </w:rPr>
          <w:t>5.5 Sredstva</w:t>
        </w:r>
        <w:r w:rsidR="0094741D" w:rsidRPr="00223E80">
          <w:rPr>
            <w:rStyle w:val="Hiperpovezava"/>
            <w:rFonts w:ascii="Arial" w:hAnsi="Arial" w:cs="Arial"/>
            <w:noProof/>
          </w:rPr>
          <w:t>,</w:t>
        </w:r>
        <w:r w:rsidR="005912CF" w:rsidRPr="00223E80">
          <w:rPr>
            <w:rStyle w:val="Hiperpovezava"/>
            <w:rFonts w:ascii="Arial" w:hAnsi="Arial" w:cs="Arial"/>
            <w:noProof/>
          </w:rPr>
          <w:t xml:space="preserve"> pridobljena iz statističnih prenosov</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_Toc112143998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28</w:t>
        </w:r>
        <w:r w:rsidR="005912CF" w:rsidRPr="00223E80">
          <w:rPr>
            <w:rFonts w:ascii="Arial" w:hAnsi="Arial" w:cs="Arial"/>
            <w:noProof/>
            <w:webHidden/>
          </w:rPr>
          <w:fldChar w:fldCharType="end"/>
        </w:r>
      </w:hyperlink>
    </w:p>
    <w:p w14:paraId="437C52B0"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3999" w:history="1">
        <w:r w:rsidR="005912CF" w:rsidRPr="00223E80">
          <w:rPr>
            <w:rStyle w:val="Hiperpovezava"/>
            <w:rFonts w:ascii="Arial" w:hAnsi="Arial" w:cs="Arial"/>
            <w:noProof/>
          </w:rPr>
          <w:t>5.6 Sredstva zaradi sodelovanja v vlogi gostiteljice projektov v mehanizmu Unije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_Toc112143999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29</w:t>
        </w:r>
        <w:r w:rsidR="005912CF" w:rsidRPr="00223E80">
          <w:rPr>
            <w:rFonts w:ascii="Arial" w:hAnsi="Arial" w:cs="Arial"/>
            <w:noProof/>
            <w:webHidden/>
          </w:rPr>
          <w:fldChar w:fldCharType="end"/>
        </w:r>
      </w:hyperlink>
    </w:p>
    <w:p w14:paraId="137D15B0" w14:textId="066FABF8"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4000" w:history="1">
        <w:r w:rsidR="005912CF" w:rsidRPr="00223E80">
          <w:rPr>
            <w:rStyle w:val="Hiperpovezava"/>
            <w:rFonts w:ascii="Arial" w:hAnsi="Arial" w:cs="Arial"/>
            <w:noProof/>
          </w:rPr>
          <w:t>6  OBSEG SREDSTEV, KI SO NAMENJENA ZA POSAMEZNI UKREP ZA DOSEGANJE CILJEV SPODBUJANJA RABE OBNOVLJIVIH VIROV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_Toc112144000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29</w:t>
        </w:r>
        <w:r w:rsidR="005912CF" w:rsidRPr="00223E80">
          <w:rPr>
            <w:rFonts w:ascii="Arial" w:hAnsi="Arial" w:cs="Arial"/>
            <w:noProof/>
            <w:webHidden/>
          </w:rPr>
          <w:fldChar w:fldCharType="end"/>
        </w:r>
      </w:hyperlink>
    </w:p>
    <w:p w14:paraId="40B5BC0E"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1" w:history="1">
        <w:r w:rsidR="005912CF" w:rsidRPr="00223E80">
          <w:rPr>
            <w:rStyle w:val="Hiperpovezava"/>
            <w:rFonts w:ascii="Arial" w:hAnsi="Arial" w:cs="Arial"/>
            <w:noProof/>
          </w:rPr>
          <w:t>6.1 Delovanje Centra za podpore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_Toc112144001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31</w:t>
        </w:r>
        <w:r w:rsidR="005912CF" w:rsidRPr="00223E80">
          <w:rPr>
            <w:rFonts w:ascii="Arial" w:hAnsi="Arial" w:cs="Arial"/>
            <w:noProof/>
            <w:webHidden/>
          </w:rPr>
          <w:fldChar w:fldCharType="end"/>
        </w:r>
      </w:hyperlink>
    </w:p>
    <w:p w14:paraId="16FC4AFE"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2" w:history="1">
        <w:r w:rsidR="005912CF" w:rsidRPr="00223E80">
          <w:rPr>
            <w:rStyle w:val="Hiperpovezava"/>
            <w:rFonts w:ascii="Arial" w:hAnsi="Arial" w:cs="Arial"/>
            <w:noProof/>
          </w:rPr>
          <w:t>6.2 Sredstva za zagotavljanje podpor za izplačila po veljavni podporni shemi</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_Toc112144002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31</w:t>
        </w:r>
        <w:r w:rsidR="005912CF" w:rsidRPr="00223E80">
          <w:rPr>
            <w:rFonts w:ascii="Arial" w:hAnsi="Arial" w:cs="Arial"/>
            <w:noProof/>
            <w:webHidden/>
          </w:rPr>
          <w:fldChar w:fldCharType="end"/>
        </w:r>
      </w:hyperlink>
    </w:p>
    <w:p w14:paraId="67D5A6F2"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4003" w:history="1">
        <w:r w:rsidR="005912CF" w:rsidRPr="00223E80">
          <w:rPr>
            <w:rStyle w:val="Hiperpovezava"/>
            <w:rFonts w:ascii="Arial" w:hAnsi="Arial" w:cs="Arial"/>
            <w:noProof/>
          </w:rPr>
          <w:t>6.2.1   Neposredna podpora do 500 kW</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_Toc112144003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31</w:t>
        </w:r>
        <w:r w:rsidR="005912CF" w:rsidRPr="00223E80">
          <w:rPr>
            <w:rFonts w:ascii="Arial" w:hAnsi="Arial" w:cs="Arial"/>
            <w:noProof/>
            <w:webHidden/>
          </w:rPr>
          <w:fldChar w:fldCharType="end"/>
        </w:r>
      </w:hyperlink>
    </w:p>
    <w:p w14:paraId="0A72865B"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4" w:history="1">
        <w:r w:rsidR="005912CF" w:rsidRPr="00223E80">
          <w:rPr>
            <w:rStyle w:val="Hiperpovezava"/>
            <w:rFonts w:ascii="Arial" w:hAnsi="Arial" w:cs="Arial"/>
            <w:noProof/>
          </w:rPr>
          <w:t>6.4 Plačilo za ureditev izravnave razlik med napovedano in realizirano proizvodnjo električne energije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_Toc112144004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32</w:t>
        </w:r>
        <w:r w:rsidR="005912CF" w:rsidRPr="00223E80">
          <w:rPr>
            <w:rFonts w:ascii="Arial" w:hAnsi="Arial" w:cs="Arial"/>
            <w:noProof/>
            <w:webHidden/>
          </w:rPr>
          <w:fldChar w:fldCharType="end"/>
        </w:r>
      </w:hyperlink>
    </w:p>
    <w:p w14:paraId="66990EDF"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5" w:history="1">
        <w:r w:rsidR="005912CF" w:rsidRPr="00223E80">
          <w:rPr>
            <w:rStyle w:val="Hiperpovezava"/>
            <w:rFonts w:ascii="Arial" w:hAnsi="Arial" w:cs="Arial"/>
            <w:noProof/>
          </w:rPr>
          <w:t>6.5 Plačila za statistične prenose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_Toc112144005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32</w:t>
        </w:r>
        <w:r w:rsidR="005912CF" w:rsidRPr="00223E80">
          <w:rPr>
            <w:rFonts w:ascii="Arial" w:hAnsi="Arial" w:cs="Arial"/>
            <w:noProof/>
            <w:webHidden/>
          </w:rPr>
          <w:fldChar w:fldCharType="end"/>
        </w:r>
      </w:hyperlink>
    </w:p>
    <w:p w14:paraId="18DC7B99"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6" w:history="1">
        <w:r w:rsidR="005912CF" w:rsidRPr="00223E80">
          <w:rPr>
            <w:rStyle w:val="Hiperpovezava"/>
            <w:rFonts w:ascii="Arial" w:hAnsi="Arial" w:cs="Arial"/>
            <w:noProof/>
          </w:rPr>
          <w:t>6.6 Skupni projekti med državami članicami EU in državami članicami ter tretjimi državami</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_Toc112144006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33</w:t>
        </w:r>
        <w:r w:rsidR="005912CF" w:rsidRPr="00223E80">
          <w:rPr>
            <w:rFonts w:ascii="Arial" w:hAnsi="Arial" w:cs="Arial"/>
            <w:noProof/>
            <w:webHidden/>
          </w:rPr>
          <w:fldChar w:fldCharType="end"/>
        </w:r>
      </w:hyperlink>
    </w:p>
    <w:p w14:paraId="5D7E565A"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7" w:history="1">
        <w:r w:rsidR="005912CF" w:rsidRPr="00223E80">
          <w:rPr>
            <w:rStyle w:val="Hiperpovezava"/>
            <w:rFonts w:ascii="Arial" w:hAnsi="Arial" w:cs="Arial"/>
            <w:noProof/>
          </w:rPr>
          <w:t>6.7 Finančna vplačila v mehanizem Unije za financiranje energije iz obnovljivih virov</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_Toc112144007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33</w:t>
        </w:r>
        <w:r w:rsidR="005912CF" w:rsidRPr="00223E80">
          <w:rPr>
            <w:rFonts w:ascii="Arial" w:hAnsi="Arial" w:cs="Arial"/>
            <w:noProof/>
            <w:webHidden/>
          </w:rPr>
          <w:fldChar w:fldCharType="end"/>
        </w:r>
      </w:hyperlink>
    </w:p>
    <w:p w14:paraId="52C39642"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4008" w:history="1">
        <w:r w:rsidR="005912CF" w:rsidRPr="00223E80">
          <w:rPr>
            <w:rStyle w:val="Hiperpovezava"/>
            <w:rFonts w:ascii="Arial" w:hAnsi="Arial" w:cs="Arial"/>
            <w:noProof/>
          </w:rPr>
          <w:t>7 OKVIRNI ČASOVNI RAZPORED IN POGOSTOST JAVNIH POZIVOV</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_Toc112144008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33</w:t>
        </w:r>
        <w:r w:rsidR="005912CF" w:rsidRPr="00223E80">
          <w:rPr>
            <w:rFonts w:ascii="Arial" w:hAnsi="Arial" w:cs="Arial"/>
            <w:noProof/>
            <w:webHidden/>
          </w:rPr>
          <w:fldChar w:fldCharType="end"/>
        </w:r>
      </w:hyperlink>
    </w:p>
    <w:p w14:paraId="34683A78"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09" w:history="1">
        <w:r w:rsidR="005912CF" w:rsidRPr="00223E80">
          <w:rPr>
            <w:rStyle w:val="Hiperpovezava"/>
            <w:rFonts w:ascii="Arial" w:hAnsi="Arial" w:cs="Arial"/>
            <w:noProof/>
          </w:rPr>
          <w:t>7.1 Sredstva za zagotavljanje podpor za izplačila po veljavni podporni shemi</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_Toc112144009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33</w:t>
        </w:r>
        <w:r w:rsidR="005912CF" w:rsidRPr="00223E80">
          <w:rPr>
            <w:rFonts w:ascii="Arial" w:hAnsi="Arial" w:cs="Arial"/>
            <w:noProof/>
            <w:webHidden/>
          </w:rPr>
          <w:fldChar w:fldCharType="end"/>
        </w:r>
      </w:hyperlink>
    </w:p>
    <w:p w14:paraId="1D97D4EE" w14:textId="77777777" w:rsidR="005912CF" w:rsidRPr="00223E80" w:rsidRDefault="004C6C09">
      <w:pPr>
        <w:pStyle w:val="Kazalovsebine3"/>
        <w:tabs>
          <w:tab w:val="right" w:leader="dot" w:pos="8921"/>
        </w:tabs>
        <w:rPr>
          <w:rFonts w:ascii="Arial" w:eastAsia="Times New Roman" w:hAnsi="Arial" w:cs="Arial"/>
          <w:noProof/>
          <w:sz w:val="22"/>
          <w:szCs w:val="22"/>
          <w:lang w:val="en-US"/>
        </w:rPr>
      </w:pPr>
      <w:hyperlink w:anchor="_Toc112144010" w:history="1">
        <w:r w:rsidR="005912CF" w:rsidRPr="00223E80">
          <w:rPr>
            <w:rStyle w:val="Hiperpovezava"/>
            <w:rFonts w:ascii="Arial" w:hAnsi="Arial" w:cs="Arial"/>
            <w:noProof/>
          </w:rPr>
          <w:t>7.1.1   Neposredna podpora do 500 kW</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_Toc112144010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35</w:t>
        </w:r>
        <w:r w:rsidR="005912CF" w:rsidRPr="00223E80">
          <w:rPr>
            <w:rFonts w:ascii="Arial" w:hAnsi="Arial" w:cs="Arial"/>
            <w:noProof/>
            <w:webHidden/>
          </w:rPr>
          <w:fldChar w:fldCharType="end"/>
        </w:r>
      </w:hyperlink>
    </w:p>
    <w:p w14:paraId="64D05EF0" w14:textId="77777777" w:rsidR="005912CF" w:rsidRPr="00223E80" w:rsidRDefault="004C6C09">
      <w:pPr>
        <w:pStyle w:val="Kazalovsebine2"/>
        <w:tabs>
          <w:tab w:val="right" w:leader="dot" w:pos="8921"/>
        </w:tabs>
        <w:rPr>
          <w:rFonts w:ascii="Arial" w:eastAsia="Times New Roman" w:hAnsi="Arial" w:cs="Arial"/>
          <w:b w:val="0"/>
          <w:bCs w:val="0"/>
          <w:noProof/>
          <w:sz w:val="22"/>
          <w:szCs w:val="22"/>
          <w:lang w:val="en-US"/>
        </w:rPr>
      </w:pPr>
      <w:hyperlink w:anchor="_Toc112144011" w:history="1">
        <w:r w:rsidR="005912CF" w:rsidRPr="00223E80">
          <w:rPr>
            <w:rStyle w:val="Hiperpovezava"/>
            <w:rFonts w:ascii="Arial" w:hAnsi="Arial" w:cs="Arial"/>
            <w:noProof/>
          </w:rPr>
          <w:t>7.2 Naložbena pomoč za naprave za samooskrbo</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_Toc112144011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35</w:t>
        </w:r>
        <w:r w:rsidR="005912CF" w:rsidRPr="00223E80">
          <w:rPr>
            <w:rFonts w:ascii="Arial" w:hAnsi="Arial" w:cs="Arial"/>
            <w:noProof/>
            <w:webHidden/>
          </w:rPr>
          <w:fldChar w:fldCharType="end"/>
        </w:r>
      </w:hyperlink>
    </w:p>
    <w:p w14:paraId="28D70B09" w14:textId="30B5A018"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4012" w:history="1">
        <w:r w:rsidR="005912CF" w:rsidRPr="00223E80">
          <w:rPr>
            <w:rStyle w:val="Hiperpovezava"/>
            <w:rFonts w:ascii="Arial" w:hAnsi="Arial" w:cs="Arial"/>
            <w:noProof/>
            <w:lang w:eastAsia="sl-SI"/>
          </w:rPr>
          <w:t>8 PRIČAKOVANI UČINKI IZ UKREPOV DOLGOROČNEGA ČASOVNEGA NAČRTA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_Toc112144012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36</w:t>
        </w:r>
        <w:r w:rsidR="005912CF" w:rsidRPr="00223E80">
          <w:rPr>
            <w:rFonts w:ascii="Arial" w:hAnsi="Arial" w:cs="Arial"/>
            <w:noProof/>
            <w:webHidden/>
          </w:rPr>
          <w:fldChar w:fldCharType="end"/>
        </w:r>
      </w:hyperlink>
    </w:p>
    <w:p w14:paraId="5CCF16AF"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4013" w:history="1">
        <w:r w:rsidR="005912CF" w:rsidRPr="00223E80">
          <w:rPr>
            <w:rStyle w:val="Hiperpovezava"/>
            <w:rFonts w:ascii="Arial" w:hAnsi="Arial" w:cs="Arial"/>
            <w:noProof/>
          </w:rPr>
          <w:t>9   PRIČAKOVANE PRIMERNE TEHNOLOGIJE</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_Toc112144013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39</w:t>
        </w:r>
        <w:r w:rsidR="005912CF" w:rsidRPr="00223E80">
          <w:rPr>
            <w:rFonts w:ascii="Arial" w:hAnsi="Arial" w:cs="Arial"/>
            <w:noProof/>
            <w:webHidden/>
          </w:rPr>
          <w:fldChar w:fldCharType="end"/>
        </w:r>
      </w:hyperlink>
    </w:p>
    <w:p w14:paraId="0FA61D2E" w14:textId="77777777" w:rsidR="005912CF" w:rsidRPr="00223E80" w:rsidRDefault="004C6C09">
      <w:pPr>
        <w:pStyle w:val="Kazalovsebine1"/>
        <w:tabs>
          <w:tab w:val="right" w:leader="dot" w:pos="8921"/>
        </w:tabs>
        <w:rPr>
          <w:rFonts w:ascii="Arial" w:eastAsia="Times New Roman" w:hAnsi="Arial" w:cs="Arial"/>
          <w:b w:val="0"/>
          <w:bCs w:val="0"/>
          <w:caps w:val="0"/>
          <w:noProof/>
          <w:sz w:val="22"/>
          <w:szCs w:val="22"/>
          <w:lang w:val="en-US"/>
        </w:rPr>
      </w:pPr>
      <w:hyperlink w:anchor="_Toc112144014" w:history="1">
        <w:r w:rsidR="005912CF" w:rsidRPr="00223E80">
          <w:rPr>
            <w:rStyle w:val="Hiperpovezava"/>
            <w:rFonts w:ascii="Arial" w:hAnsi="Arial" w:cs="Arial"/>
            <w:noProof/>
          </w:rPr>
          <w:t>10 NAČIN IN ČASOVNICA PRERAZPOREDITVE SREDSTEV, ČE V PREDVIDENEM OBDOBJU ZBRANA SREDSTVA NISO PORABLJENA</w:t>
        </w:r>
        <w:r w:rsidR="005912CF" w:rsidRPr="00223E80">
          <w:rPr>
            <w:rFonts w:ascii="Arial" w:hAnsi="Arial" w:cs="Arial"/>
            <w:noProof/>
            <w:webHidden/>
          </w:rPr>
          <w:tab/>
        </w:r>
        <w:r w:rsidR="005912CF" w:rsidRPr="00223E80">
          <w:rPr>
            <w:rFonts w:ascii="Arial" w:hAnsi="Arial" w:cs="Arial"/>
            <w:noProof/>
            <w:webHidden/>
          </w:rPr>
          <w:fldChar w:fldCharType="begin"/>
        </w:r>
        <w:r w:rsidR="005912CF" w:rsidRPr="00223E80">
          <w:rPr>
            <w:rFonts w:ascii="Arial" w:hAnsi="Arial" w:cs="Arial"/>
            <w:noProof/>
            <w:webHidden/>
          </w:rPr>
          <w:instrText xml:space="preserve"> PAGEREF _Toc112144014 \h </w:instrText>
        </w:r>
        <w:r w:rsidR="005912CF" w:rsidRPr="00223E80">
          <w:rPr>
            <w:rFonts w:ascii="Arial" w:hAnsi="Arial" w:cs="Arial"/>
            <w:noProof/>
            <w:webHidden/>
          </w:rPr>
        </w:r>
        <w:r w:rsidR="005912CF" w:rsidRPr="00223E80">
          <w:rPr>
            <w:rFonts w:ascii="Arial" w:hAnsi="Arial" w:cs="Arial"/>
            <w:noProof/>
            <w:webHidden/>
          </w:rPr>
          <w:fldChar w:fldCharType="separate"/>
        </w:r>
        <w:r w:rsidR="007503C1" w:rsidRPr="00223E80">
          <w:rPr>
            <w:rFonts w:ascii="Arial" w:hAnsi="Arial" w:cs="Arial"/>
            <w:noProof/>
            <w:webHidden/>
          </w:rPr>
          <w:t>40</w:t>
        </w:r>
        <w:r w:rsidR="005912CF" w:rsidRPr="00223E80">
          <w:rPr>
            <w:rFonts w:ascii="Arial" w:hAnsi="Arial" w:cs="Arial"/>
            <w:noProof/>
            <w:webHidden/>
          </w:rPr>
          <w:fldChar w:fldCharType="end"/>
        </w:r>
      </w:hyperlink>
    </w:p>
    <w:p w14:paraId="72BA2CDF" w14:textId="77777777" w:rsidR="00A520AC" w:rsidRPr="00223E80" w:rsidRDefault="00390EFB">
      <w:r w:rsidRPr="00223E80">
        <w:rPr>
          <w:rFonts w:eastAsia="Arial" w:cs="Arial"/>
          <w:sz w:val="24"/>
          <w:szCs w:val="24"/>
        </w:rPr>
        <w:fldChar w:fldCharType="end"/>
      </w:r>
    </w:p>
    <w:p w14:paraId="6B586BEF"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3A3192A8"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1AD400FD"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5236A81A"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15DBBE25"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2A1A5CF9"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506D7387"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11F5EF4B"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22E9BD48" w14:textId="77777777" w:rsidR="000D5FCF" w:rsidRPr="00223E80" w:rsidRDefault="000D5FCF" w:rsidP="007E6ED7">
      <w:pPr>
        <w:tabs>
          <w:tab w:val="left" w:pos="440"/>
          <w:tab w:val="right" w:leader="dot" w:pos="9350"/>
        </w:tabs>
        <w:spacing w:after="0"/>
        <w:rPr>
          <w:rFonts w:eastAsia="Times New Roman" w:cs="Arial"/>
          <w:b/>
          <w:color w:val="385623"/>
          <w:sz w:val="24"/>
          <w:lang w:eastAsia="sl-SI"/>
        </w:rPr>
      </w:pPr>
    </w:p>
    <w:p w14:paraId="7C0F2CFF" w14:textId="77777777" w:rsidR="0031028C" w:rsidRPr="00223E80" w:rsidRDefault="0031028C" w:rsidP="007E6ED7">
      <w:pPr>
        <w:tabs>
          <w:tab w:val="left" w:pos="900"/>
        </w:tabs>
        <w:spacing w:after="0"/>
        <w:rPr>
          <w:color w:val="3A4A3E"/>
          <w:sz w:val="40"/>
          <w:szCs w:val="32"/>
        </w:rPr>
      </w:pPr>
      <w:bookmarkStart w:id="5" w:name="_Toc89890897"/>
      <w:bookmarkStart w:id="6" w:name="_Toc37067389"/>
      <w:bookmarkStart w:id="7" w:name="_Toc37067637"/>
      <w:r w:rsidRPr="00223E80">
        <w:rPr>
          <w:color w:val="3A4A3E"/>
          <w:sz w:val="40"/>
          <w:szCs w:val="32"/>
        </w:rPr>
        <w:lastRenderedPageBreak/>
        <w:t>Kazalo preglednic</w:t>
      </w:r>
      <w:bookmarkEnd w:id="5"/>
    </w:p>
    <w:bookmarkStart w:id="8" w:name="_Toc37067390"/>
    <w:bookmarkStart w:id="9" w:name="_Toc37067638"/>
    <w:bookmarkStart w:id="10" w:name="_Toc89890898"/>
    <w:bookmarkEnd w:id="6"/>
    <w:bookmarkEnd w:id="7"/>
    <w:p w14:paraId="6D3E3B87" w14:textId="77777777" w:rsidR="00EF447C" w:rsidRPr="00223E80" w:rsidRDefault="00196EA8">
      <w:pPr>
        <w:pStyle w:val="Kazaloslik"/>
        <w:tabs>
          <w:tab w:val="right" w:leader="dot" w:pos="8921"/>
        </w:tabs>
        <w:rPr>
          <w:rFonts w:eastAsia="Times New Roman" w:cs="Times New Roman"/>
          <w:i w:val="0"/>
          <w:iCs w:val="0"/>
          <w:noProof/>
          <w:sz w:val="22"/>
          <w:szCs w:val="22"/>
          <w:lang w:eastAsia="sl-SI"/>
        </w:rPr>
      </w:pPr>
      <w:r w:rsidRPr="00223E80">
        <w:rPr>
          <w:rFonts w:ascii="Arial" w:eastAsia="Arial" w:hAnsi="Arial" w:cs="Arial"/>
          <w:noProof/>
          <w:color w:val="3A4A3E"/>
          <w:u w:val="single"/>
        </w:rPr>
        <w:fldChar w:fldCharType="begin"/>
      </w:r>
      <w:r w:rsidRPr="00223E80">
        <w:rPr>
          <w:rFonts w:ascii="Arial" w:eastAsia="Arial" w:hAnsi="Arial" w:cs="Arial"/>
          <w:noProof/>
          <w:color w:val="3A4A3E"/>
          <w:u w:val="single"/>
        </w:rPr>
        <w:instrText xml:space="preserve"> TOC \h \z \c "Preglednica" </w:instrText>
      </w:r>
      <w:r w:rsidRPr="00223E80">
        <w:rPr>
          <w:rFonts w:ascii="Arial" w:eastAsia="Arial" w:hAnsi="Arial" w:cs="Arial"/>
          <w:noProof/>
          <w:color w:val="3A4A3E"/>
          <w:u w:val="single"/>
        </w:rPr>
        <w:fldChar w:fldCharType="separate"/>
      </w:r>
      <w:hyperlink w:anchor="_Toc114043608" w:history="1">
        <w:r w:rsidR="00EF447C" w:rsidRPr="00223E80">
          <w:rPr>
            <w:rStyle w:val="Hiperpovezava"/>
            <w:noProof/>
          </w:rPr>
          <w:t>Preglednica 1</w:t>
        </w:r>
        <w:r w:rsidR="0094741D" w:rsidRPr="00223E80">
          <w:rPr>
            <w:rStyle w:val="Hiperpovezava"/>
            <w:noProof/>
          </w:rPr>
          <w:t>:</w:t>
        </w:r>
        <w:r w:rsidR="00EF447C" w:rsidRPr="00223E80">
          <w:rPr>
            <w:rStyle w:val="Hiperpovezava"/>
            <w:noProof/>
          </w:rPr>
          <w:t xml:space="preserve"> Pregled za leto 2019 in leto 2020</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_Toc114043608 \h </w:instrText>
        </w:r>
        <w:r w:rsidR="00EF447C" w:rsidRPr="00223E80">
          <w:rPr>
            <w:noProof/>
            <w:webHidden/>
          </w:rPr>
        </w:r>
        <w:r w:rsidR="00EF447C" w:rsidRPr="00223E80">
          <w:rPr>
            <w:noProof/>
            <w:webHidden/>
          </w:rPr>
          <w:fldChar w:fldCharType="separate"/>
        </w:r>
        <w:r w:rsidR="00EF447C" w:rsidRPr="00223E80">
          <w:rPr>
            <w:noProof/>
            <w:webHidden/>
          </w:rPr>
          <w:t>17</w:t>
        </w:r>
        <w:r w:rsidR="00EF447C" w:rsidRPr="00223E80">
          <w:rPr>
            <w:noProof/>
            <w:webHidden/>
          </w:rPr>
          <w:fldChar w:fldCharType="end"/>
        </w:r>
      </w:hyperlink>
    </w:p>
    <w:p w14:paraId="077EA4DB"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09" w:history="1">
        <w:r w:rsidR="00EF447C" w:rsidRPr="00223E80">
          <w:rPr>
            <w:rStyle w:val="Hiperpovezava"/>
            <w:noProof/>
          </w:rPr>
          <w:t>Preglednica 2</w:t>
        </w:r>
        <w:r w:rsidR="0094741D" w:rsidRPr="00223E80">
          <w:rPr>
            <w:rStyle w:val="Hiperpovezava"/>
            <w:noProof/>
          </w:rPr>
          <w:t>:</w:t>
        </w:r>
        <w:r w:rsidR="00EF447C" w:rsidRPr="00223E80">
          <w:rPr>
            <w:rStyle w:val="Hiperpovezava"/>
            <w:noProof/>
          </w:rPr>
          <w:t xml:space="preserve"> Pregled po tipih naprav</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_Toc114043609 \h </w:instrText>
        </w:r>
        <w:r w:rsidR="00EF447C" w:rsidRPr="00223E80">
          <w:rPr>
            <w:noProof/>
            <w:webHidden/>
          </w:rPr>
        </w:r>
        <w:r w:rsidR="00EF447C" w:rsidRPr="00223E80">
          <w:rPr>
            <w:noProof/>
            <w:webHidden/>
          </w:rPr>
          <w:fldChar w:fldCharType="separate"/>
        </w:r>
        <w:r w:rsidR="00EF447C" w:rsidRPr="00223E80">
          <w:rPr>
            <w:noProof/>
            <w:webHidden/>
          </w:rPr>
          <w:t>18</w:t>
        </w:r>
        <w:r w:rsidR="00EF447C" w:rsidRPr="00223E80">
          <w:rPr>
            <w:noProof/>
            <w:webHidden/>
          </w:rPr>
          <w:fldChar w:fldCharType="end"/>
        </w:r>
      </w:hyperlink>
    </w:p>
    <w:p w14:paraId="20870DF2"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0" w:history="1">
        <w:r w:rsidR="00EF447C" w:rsidRPr="00223E80">
          <w:rPr>
            <w:rStyle w:val="Hiperpovezava"/>
            <w:noProof/>
          </w:rPr>
          <w:t>Preglednica 3</w:t>
        </w:r>
        <w:r w:rsidR="0094741D" w:rsidRPr="00223E80">
          <w:rPr>
            <w:rStyle w:val="Hiperpovezava"/>
            <w:noProof/>
          </w:rPr>
          <w:t>:</w:t>
        </w:r>
        <w:r w:rsidR="00EF447C" w:rsidRPr="00223E80">
          <w:rPr>
            <w:rStyle w:val="Hiperpovezava"/>
            <w:noProof/>
          </w:rPr>
          <w:t xml:space="preserve"> Pričakovano stanje elektrarn v podporni shemi na dan 1.</w:t>
        </w:r>
        <w:r w:rsidR="0094741D" w:rsidRPr="00223E80">
          <w:rPr>
            <w:rStyle w:val="Hiperpovezava"/>
            <w:noProof/>
          </w:rPr>
          <w:t xml:space="preserve"> </w:t>
        </w:r>
        <w:r w:rsidR="00EF447C" w:rsidRPr="00223E80">
          <w:rPr>
            <w:rStyle w:val="Hiperpovezava"/>
            <w:noProof/>
          </w:rPr>
          <w:t>1.</w:t>
        </w:r>
        <w:r w:rsidR="0094741D" w:rsidRPr="00223E80">
          <w:rPr>
            <w:rStyle w:val="Hiperpovezava"/>
            <w:noProof/>
          </w:rPr>
          <w:t xml:space="preserve"> </w:t>
        </w:r>
        <w:r w:rsidR="00EF447C" w:rsidRPr="00223E80">
          <w:rPr>
            <w:rStyle w:val="Hiperpovezava"/>
            <w:noProof/>
          </w:rPr>
          <w:t>2022</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_Toc114043610 \h </w:instrText>
        </w:r>
        <w:r w:rsidR="00EF447C" w:rsidRPr="00223E80">
          <w:rPr>
            <w:noProof/>
            <w:webHidden/>
          </w:rPr>
        </w:r>
        <w:r w:rsidR="00EF447C" w:rsidRPr="00223E80">
          <w:rPr>
            <w:noProof/>
            <w:webHidden/>
          </w:rPr>
          <w:fldChar w:fldCharType="separate"/>
        </w:r>
        <w:r w:rsidR="00EF447C" w:rsidRPr="00223E80">
          <w:rPr>
            <w:noProof/>
            <w:webHidden/>
          </w:rPr>
          <w:t>18</w:t>
        </w:r>
        <w:r w:rsidR="00EF447C" w:rsidRPr="00223E80">
          <w:rPr>
            <w:noProof/>
            <w:webHidden/>
          </w:rPr>
          <w:fldChar w:fldCharType="end"/>
        </w:r>
      </w:hyperlink>
    </w:p>
    <w:p w14:paraId="782ED314"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1" w:history="1">
        <w:r w:rsidR="00EF447C" w:rsidRPr="00223E80">
          <w:rPr>
            <w:rStyle w:val="Hiperpovezava"/>
            <w:noProof/>
          </w:rPr>
          <w:t>Preglednica 4</w:t>
        </w:r>
        <w:r w:rsidR="0094741D" w:rsidRPr="00223E80">
          <w:rPr>
            <w:rStyle w:val="Hiperpovezava"/>
            <w:noProof/>
          </w:rPr>
          <w:t>:</w:t>
        </w:r>
        <w:r w:rsidR="00EF447C" w:rsidRPr="00223E80">
          <w:rPr>
            <w:rStyle w:val="Hiperpovezava"/>
            <w:noProof/>
          </w:rPr>
          <w:t xml:space="preserve"> Projekcija pričakovanega stanja ob začetku določenega leta (vrednosti v kW)</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_Toc114043611 \h </w:instrText>
        </w:r>
        <w:r w:rsidR="00EF447C" w:rsidRPr="00223E80">
          <w:rPr>
            <w:noProof/>
            <w:webHidden/>
          </w:rPr>
        </w:r>
        <w:r w:rsidR="00EF447C" w:rsidRPr="00223E80">
          <w:rPr>
            <w:noProof/>
            <w:webHidden/>
          </w:rPr>
          <w:fldChar w:fldCharType="separate"/>
        </w:r>
        <w:r w:rsidR="00EF447C" w:rsidRPr="00223E80">
          <w:rPr>
            <w:noProof/>
            <w:webHidden/>
          </w:rPr>
          <w:t>19</w:t>
        </w:r>
        <w:r w:rsidR="00EF447C" w:rsidRPr="00223E80">
          <w:rPr>
            <w:noProof/>
            <w:webHidden/>
          </w:rPr>
          <w:fldChar w:fldCharType="end"/>
        </w:r>
      </w:hyperlink>
    </w:p>
    <w:p w14:paraId="3764A21F"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2" w:history="1">
        <w:r w:rsidR="00EF447C" w:rsidRPr="00223E80">
          <w:rPr>
            <w:rStyle w:val="Hiperpovezava"/>
            <w:noProof/>
          </w:rPr>
          <w:t>Preglednica 5</w:t>
        </w:r>
        <w:r w:rsidR="00281379" w:rsidRPr="00223E80">
          <w:rPr>
            <w:rStyle w:val="Hiperpovezava"/>
            <w:noProof/>
          </w:rPr>
          <w:t>:</w:t>
        </w:r>
        <w:r w:rsidR="00EF447C" w:rsidRPr="00223E80">
          <w:rPr>
            <w:rStyle w:val="Hiperpovezava"/>
            <w:noProof/>
          </w:rPr>
          <w:t xml:space="preserve"> Referenčne cene električne energije, zemeljskega plina, lesne biomase in substrata koruzne silaže za leto 2022</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_Toc114043612 \h </w:instrText>
        </w:r>
        <w:r w:rsidR="00EF447C" w:rsidRPr="00223E80">
          <w:rPr>
            <w:noProof/>
            <w:webHidden/>
          </w:rPr>
        </w:r>
        <w:r w:rsidR="00EF447C" w:rsidRPr="00223E80">
          <w:rPr>
            <w:noProof/>
            <w:webHidden/>
          </w:rPr>
          <w:fldChar w:fldCharType="separate"/>
        </w:r>
        <w:r w:rsidR="00EF447C" w:rsidRPr="00223E80">
          <w:rPr>
            <w:noProof/>
            <w:webHidden/>
          </w:rPr>
          <w:t>19</w:t>
        </w:r>
        <w:r w:rsidR="00EF447C" w:rsidRPr="00223E80">
          <w:rPr>
            <w:noProof/>
            <w:webHidden/>
          </w:rPr>
          <w:fldChar w:fldCharType="end"/>
        </w:r>
      </w:hyperlink>
    </w:p>
    <w:p w14:paraId="2AAC62D8"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3" w:history="1">
        <w:r w:rsidR="00EF447C" w:rsidRPr="00223E80">
          <w:rPr>
            <w:rStyle w:val="Hiperpovezava"/>
            <w:noProof/>
          </w:rPr>
          <w:t>Preglednica 6</w:t>
        </w:r>
        <w:r w:rsidR="00281379" w:rsidRPr="00223E80">
          <w:rPr>
            <w:rStyle w:val="Hiperpovezava"/>
            <w:noProof/>
          </w:rPr>
          <w:t>:</w:t>
        </w:r>
        <w:r w:rsidR="00EF447C" w:rsidRPr="00223E80">
          <w:rPr>
            <w:rStyle w:val="Hiperpovezava"/>
            <w:noProof/>
          </w:rPr>
          <w:t xml:space="preserve"> Obseg sredstev, zbranih iz virov sredstev za podpore v letih </w:t>
        </w:r>
        <w:r w:rsidR="00281379" w:rsidRPr="00223E80">
          <w:rPr>
            <w:rStyle w:val="Hiperpovezava"/>
            <w:noProof/>
          </w:rPr>
          <w:t xml:space="preserve">od </w:t>
        </w:r>
        <w:r w:rsidR="00EF447C" w:rsidRPr="00223E80">
          <w:rPr>
            <w:rStyle w:val="Hiperpovezava"/>
            <w:noProof/>
          </w:rPr>
          <w:t>2022 do 2026</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_Toc114043613 \h </w:instrText>
        </w:r>
        <w:r w:rsidR="00EF447C" w:rsidRPr="00223E80">
          <w:rPr>
            <w:noProof/>
            <w:webHidden/>
          </w:rPr>
        </w:r>
        <w:r w:rsidR="00EF447C" w:rsidRPr="00223E80">
          <w:rPr>
            <w:noProof/>
            <w:webHidden/>
          </w:rPr>
          <w:fldChar w:fldCharType="separate"/>
        </w:r>
        <w:r w:rsidR="00EF447C" w:rsidRPr="00223E80">
          <w:rPr>
            <w:noProof/>
            <w:webHidden/>
          </w:rPr>
          <w:t>26</w:t>
        </w:r>
        <w:r w:rsidR="00EF447C" w:rsidRPr="00223E80">
          <w:rPr>
            <w:noProof/>
            <w:webHidden/>
          </w:rPr>
          <w:fldChar w:fldCharType="end"/>
        </w:r>
      </w:hyperlink>
    </w:p>
    <w:p w14:paraId="3258BB4E"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4" w:history="1">
        <w:r w:rsidR="00EF447C" w:rsidRPr="00223E80">
          <w:rPr>
            <w:rStyle w:val="Hiperpovezava"/>
            <w:noProof/>
          </w:rPr>
          <w:t>Preglednica 7</w:t>
        </w:r>
        <w:r w:rsidR="00281379" w:rsidRPr="00223E80">
          <w:rPr>
            <w:rStyle w:val="Hiperpovezava"/>
            <w:noProof/>
          </w:rPr>
          <w:t>:</w:t>
        </w:r>
        <w:r w:rsidR="00EF447C" w:rsidRPr="00223E80">
          <w:rPr>
            <w:rStyle w:val="Hiperpovezava"/>
            <w:noProof/>
          </w:rPr>
          <w:t xml:space="preserve"> Obseg sredstev in predvidena poraba zbranih virov sredstev za podpore v letih </w:t>
        </w:r>
        <w:r w:rsidR="00281379" w:rsidRPr="00223E80">
          <w:rPr>
            <w:rStyle w:val="Hiperpovezava"/>
            <w:noProof/>
          </w:rPr>
          <w:t xml:space="preserve">od </w:t>
        </w:r>
        <w:r w:rsidR="00EF447C" w:rsidRPr="00223E80">
          <w:rPr>
            <w:rStyle w:val="Hiperpovezava"/>
            <w:noProof/>
          </w:rPr>
          <w:t>2022 do 2026</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_Toc114043614 \h </w:instrText>
        </w:r>
        <w:r w:rsidR="00EF447C" w:rsidRPr="00223E80">
          <w:rPr>
            <w:noProof/>
            <w:webHidden/>
          </w:rPr>
        </w:r>
        <w:r w:rsidR="00EF447C" w:rsidRPr="00223E80">
          <w:rPr>
            <w:noProof/>
            <w:webHidden/>
          </w:rPr>
          <w:fldChar w:fldCharType="separate"/>
        </w:r>
        <w:r w:rsidR="00EF447C" w:rsidRPr="00223E80">
          <w:rPr>
            <w:noProof/>
            <w:webHidden/>
          </w:rPr>
          <w:t>29</w:t>
        </w:r>
        <w:r w:rsidR="00EF447C" w:rsidRPr="00223E80">
          <w:rPr>
            <w:noProof/>
            <w:webHidden/>
          </w:rPr>
          <w:fldChar w:fldCharType="end"/>
        </w:r>
      </w:hyperlink>
    </w:p>
    <w:p w14:paraId="11167A14" w14:textId="77777777" w:rsidR="00EF447C" w:rsidRPr="00223E80" w:rsidRDefault="004C6C09">
      <w:pPr>
        <w:pStyle w:val="Kazaloslik"/>
        <w:tabs>
          <w:tab w:val="right" w:leader="dot" w:pos="8921"/>
        </w:tabs>
        <w:rPr>
          <w:rFonts w:eastAsia="Times New Roman" w:cs="Times New Roman"/>
          <w:i w:val="0"/>
          <w:iCs w:val="0"/>
          <w:noProof/>
          <w:sz w:val="22"/>
          <w:szCs w:val="22"/>
          <w:lang w:eastAsia="sl-SI"/>
        </w:rPr>
      </w:pPr>
      <w:hyperlink w:anchor="_Toc114043615" w:history="1">
        <w:r w:rsidR="00EF447C" w:rsidRPr="00223E80">
          <w:rPr>
            <w:rStyle w:val="Hiperpovezava"/>
            <w:noProof/>
          </w:rPr>
          <w:t>Preglednica 8</w:t>
        </w:r>
        <w:r w:rsidR="00281379" w:rsidRPr="00223E80">
          <w:rPr>
            <w:rStyle w:val="Hiperpovezava"/>
            <w:noProof/>
          </w:rPr>
          <w:t>:</w:t>
        </w:r>
        <w:r w:rsidR="00EF447C" w:rsidRPr="00223E80">
          <w:rPr>
            <w:rStyle w:val="Hiperpovezava"/>
            <w:noProof/>
          </w:rPr>
          <w:t xml:space="preserve"> Pregled ocene vrednosti ukrepa iz dosedanje podporne sheme in okvirne ocene učinka ukrepov po posameznih tipih naprav</w:t>
        </w:r>
        <w:r w:rsidR="00B65DBC" w:rsidRPr="00223E80">
          <w:rPr>
            <w:rStyle w:val="Hiperpovezava"/>
            <w:noProof/>
          </w:rPr>
          <w:t>,</w:t>
        </w:r>
        <w:r w:rsidR="00EF447C" w:rsidRPr="00223E80">
          <w:rPr>
            <w:rStyle w:val="Hiperpovezava"/>
            <w:noProof/>
          </w:rPr>
          <w:t xml:space="preserve"> oziroma tehnologijah za naprej</w:t>
        </w:r>
        <w:r w:rsidR="00EF447C" w:rsidRPr="00223E80">
          <w:rPr>
            <w:noProof/>
            <w:webHidden/>
          </w:rPr>
          <w:tab/>
        </w:r>
        <w:r w:rsidR="00EF447C" w:rsidRPr="00223E80">
          <w:rPr>
            <w:noProof/>
            <w:webHidden/>
          </w:rPr>
          <w:fldChar w:fldCharType="begin"/>
        </w:r>
        <w:r w:rsidR="00EF447C" w:rsidRPr="00223E80">
          <w:rPr>
            <w:noProof/>
            <w:webHidden/>
          </w:rPr>
          <w:instrText xml:space="preserve"> PAGEREF _Toc114043615 \h </w:instrText>
        </w:r>
        <w:r w:rsidR="00EF447C" w:rsidRPr="00223E80">
          <w:rPr>
            <w:noProof/>
            <w:webHidden/>
          </w:rPr>
        </w:r>
        <w:r w:rsidR="00EF447C" w:rsidRPr="00223E80">
          <w:rPr>
            <w:noProof/>
            <w:webHidden/>
          </w:rPr>
          <w:fldChar w:fldCharType="separate"/>
        </w:r>
        <w:r w:rsidR="00EF447C" w:rsidRPr="00223E80">
          <w:rPr>
            <w:noProof/>
            <w:webHidden/>
          </w:rPr>
          <w:t>36</w:t>
        </w:r>
        <w:r w:rsidR="00EF447C" w:rsidRPr="00223E80">
          <w:rPr>
            <w:noProof/>
            <w:webHidden/>
          </w:rPr>
          <w:fldChar w:fldCharType="end"/>
        </w:r>
      </w:hyperlink>
    </w:p>
    <w:p w14:paraId="26560378" w14:textId="77777777" w:rsidR="00574686" w:rsidRPr="00223E80" w:rsidRDefault="00196EA8" w:rsidP="007E6ED7">
      <w:pPr>
        <w:spacing w:after="0"/>
        <w:rPr>
          <w:rFonts w:eastAsia="Arial" w:cs="Arial"/>
          <w:noProof/>
          <w:color w:val="3A4A3E"/>
          <w:sz w:val="20"/>
          <w:u w:val="single"/>
        </w:rPr>
      </w:pPr>
      <w:r w:rsidRPr="00223E80">
        <w:rPr>
          <w:rFonts w:eastAsia="Arial" w:cs="Arial"/>
          <w:noProof/>
          <w:color w:val="3A4A3E"/>
          <w:sz w:val="20"/>
          <w:u w:val="single"/>
        </w:rPr>
        <w:fldChar w:fldCharType="end"/>
      </w:r>
    </w:p>
    <w:p w14:paraId="4CCFE0E5" w14:textId="77777777" w:rsidR="00574686" w:rsidRPr="00223E80" w:rsidRDefault="00574686" w:rsidP="007E6ED7">
      <w:pPr>
        <w:spacing w:after="0"/>
        <w:rPr>
          <w:rFonts w:eastAsia="Arial" w:cs="Arial"/>
          <w:noProof/>
          <w:color w:val="3A4A3E"/>
          <w:sz w:val="20"/>
          <w:u w:val="single"/>
        </w:rPr>
      </w:pPr>
    </w:p>
    <w:p w14:paraId="5DF383E9" w14:textId="77777777" w:rsidR="00574686" w:rsidRPr="00223E80" w:rsidRDefault="00574686" w:rsidP="007E6ED7">
      <w:pPr>
        <w:spacing w:after="0"/>
        <w:rPr>
          <w:rFonts w:eastAsia="Arial" w:cs="Arial"/>
          <w:noProof/>
          <w:color w:val="3A4A3E"/>
          <w:sz w:val="20"/>
          <w:u w:val="single"/>
        </w:rPr>
      </w:pPr>
    </w:p>
    <w:p w14:paraId="62186FDD" w14:textId="77777777" w:rsidR="00574686" w:rsidRPr="00223E80" w:rsidRDefault="00574686" w:rsidP="007E6ED7">
      <w:pPr>
        <w:spacing w:after="0"/>
        <w:rPr>
          <w:rFonts w:eastAsia="Arial" w:cs="Arial"/>
          <w:noProof/>
          <w:color w:val="3A4A3E"/>
          <w:sz w:val="20"/>
          <w:u w:val="single"/>
        </w:rPr>
      </w:pPr>
    </w:p>
    <w:p w14:paraId="5E88528A" w14:textId="77777777" w:rsidR="00574686" w:rsidRPr="00223E80" w:rsidRDefault="00574686" w:rsidP="007E6ED7">
      <w:pPr>
        <w:spacing w:after="0"/>
        <w:rPr>
          <w:rFonts w:eastAsia="Arial" w:cs="Arial"/>
          <w:noProof/>
          <w:color w:val="3A4A3E"/>
          <w:sz w:val="20"/>
          <w:u w:val="single"/>
        </w:rPr>
      </w:pPr>
    </w:p>
    <w:p w14:paraId="2ED36F7F" w14:textId="77777777" w:rsidR="00574686" w:rsidRPr="00223E80" w:rsidRDefault="00574686" w:rsidP="007E6ED7">
      <w:pPr>
        <w:spacing w:after="0"/>
        <w:rPr>
          <w:rFonts w:eastAsia="Arial" w:cs="Arial"/>
          <w:noProof/>
          <w:color w:val="3A4A3E"/>
          <w:sz w:val="20"/>
          <w:u w:val="single"/>
        </w:rPr>
      </w:pPr>
    </w:p>
    <w:p w14:paraId="00691C2E" w14:textId="77777777" w:rsidR="00574686" w:rsidRPr="00223E80" w:rsidRDefault="00574686" w:rsidP="007E6ED7">
      <w:pPr>
        <w:spacing w:after="0"/>
        <w:rPr>
          <w:rFonts w:eastAsia="Arial" w:cs="Arial"/>
          <w:noProof/>
          <w:color w:val="3A4A3E"/>
          <w:sz w:val="20"/>
          <w:u w:val="single"/>
        </w:rPr>
      </w:pPr>
    </w:p>
    <w:p w14:paraId="5B6AB74C" w14:textId="77777777" w:rsidR="00574686" w:rsidRPr="00223E80" w:rsidRDefault="00574686" w:rsidP="007E6ED7">
      <w:pPr>
        <w:spacing w:after="0"/>
        <w:rPr>
          <w:rFonts w:eastAsia="Arial" w:cs="Arial"/>
          <w:noProof/>
          <w:color w:val="3A4A3E"/>
          <w:sz w:val="20"/>
          <w:u w:val="single"/>
        </w:rPr>
      </w:pPr>
    </w:p>
    <w:p w14:paraId="2806CD5B" w14:textId="77777777" w:rsidR="00574686" w:rsidRPr="00223E80" w:rsidRDefault="00574686" w:rsidP="007E6ED7">
      <w:pPr>
        <w:spacing w:after="0"/>
        <w:rPr>
          <w:rFonts w:eastAsia="Arial" w:cs="Arial"/>
          <w:noProof/>
          <w:color w:val="3A4A3E"/>
          <w:sz w:val="20"/>
          <w:u w:val="single"/>
        </w:rPr>
      </w:pPr>
    </w:p>
    <w:p w14:paraId="2800EFC1" w14:textId="77777777" w:rsidR="00574686" w:rsidRPr="00223E80" w:rsidRDefault="00574686" w:rsidP="007E6ED7">
      <w:pPr>
        <w:spacing w:after="0"/>
        <w:rPr>
          <w:rFonts w:eastAsia="Arial" w:cs="Arial"/>
          <w:noProof/>
          <w:color w:val="3A4A3E"/>
          <w:sz w:val="20"/>
          <w:u w:val="single"/>
        </w:rPr>
      </w:pPr>
    </w:p>
    <w:p w14:paraId="46FA94D5" w14:textId="77777777" w:rsidR="00574686" w:rsidRPr="00223E80" w:rsidRDefault="00574686" w:rsidP="007E6ED7">
      <w:pPr>
        <w:spacing w:after="0"/>
        <w:rPr>
          <w:rFonts w:eastAsia="Arial" w:cs="Arial"/>
          <w:noProof/>
          <w:color w:val="3A4A3E"/>
          <w:sz w:val="20"/>
          <w:u w:val="single"/>
        </w:rPr>
      </w:pPr>
    </w:p>
    <w:p w14:paraId="162C816E" w14:textId="77777777" w:rsidR="000D5FCF" w:rsidRPr="00223E80" w:rsidRDefault="000D5FCF" w:rsidP="007E6ED7">
      <w:pPr>
        <w:spacing w:after="0"/>
        <w:rPr>
          <w:rFonts w:eastAsia="Arial" w:cs="Arial"/>
          <w:noProof/>
          <w:color w:val="3A4A3E"/>
          <w:sz w:val="20"/>
          <w:u w:val="single"/>
        </w:rPr>
      </w:pPr>
    </w:p>
    <w:p w14:paraId="446E0877" w14:textId="77777777" w:rsidR="000D5FCF" w:rsidRPr="00223E80" w:rsidRDefault="000D5FCF" w:rsidP="007E6ED7">
      <w:pPr>
        <w:spacing w:after="0"/>
        <w:rPr>
          <w:rFonts w:eastAsia="Arial" w:cs="Arial"/>
          <w:noProof/>
          <w:color w:val="3A4A3E"/>
          <w:sz w:val="20"/>
          <w:u w:val="single"/>
        </w:rPr>
      </w:pPr>
    </w:p>
    <w:p w14:paraId="4C479D37" w14:textId="77777777" w:rsidR="000D5FCF" w:rsidRPr="00223E80" w:rsidRDefault="000D5FCF" w:rsidP="007E6ED7">
      <w:pPr>
        <w:spacing w:after="0"/>
        <w:rPr>
          <w:rFonts w:eastAsia="Arial" w:cs="Arial"/>
          <w:noProof/>
          <w:color w:val="3A4A3E"/>
          <w:sz w:val="20"/>
          <w:u w:val="single"/>
        </w:rPr>
      </w:pPr>
    </w:p>
    <w:p w14:paraId="7267149A" w14:textId="77777777" w:rsidR="000D5FCF" w:rsidRPr="00223E80" w:rsidRDefault="000D5FCF" w:rsidP="007E6ED7">
      <w:pPr>
        <w:spacing w:after="0"/>
        <w:rPr>
          <w:rFonts w:eastAsia="Arial" w:cs="Arial"/>
          <w:noProof/>
          <w:color w:val="3A4A3E"/>
          <w:sz w:val="20"/>
          <w:u w:val="single"/>
        </w:rPr>
      </w:pPr>
    </w:p>
    <w:p w14:paraId="778E5F0A" w14:textId="77777777" w:rsidR="000D5FCF" w:rsidRPr="00223E80" w:rsidRDefault="000D5FCF" w:rsidP="007E6ED7">
      <w:pPr>
        <w:spacing w:after="0"/>
        <w:rPr>
          <w:rFonts w:eastAsia="Arial" w:cs="Arial"/>
          <w:noProof/>
          <w:color w:val="3A4A3E"/>
          <w:sz w:val="20"/>
          <w:u w:val="single"/>
        </w:rPr>
      </w:pPr>
    </w:p>
    <w:p w14:paraId="2BE0EFA8" w14:textId="77777777" w:rsidR="000D5FCF" w:rsidRPr="00223E80" w:rsidRDefault="000D5FCF" w:rsidP="007E6ED7">
      <w:pPr>
        <w:spacing w:after="0"/>
        <w:rPr>
          <w:rFonts w:eastAsia="Arial" w:cs="Arial"/>
          <w:noProof/>
          <w:color w:val="3A4A3E"/>
          <w:sz w:val="20"/>
          <w:u w:val="single"/>
        </w:rPr>
      </w:pPr>
    </w:p>
    <w:p w14:paraId="6F56BE98" w14:textId="77777777" w:rsidR="000D5FCF" w:rsidRPr="00223E80" w:rsidRDefault="000D5FCF" w:rsidP="007E6ED7">
      <w:pPr>
        <w:spacing w:after="0"/>
        <w:rPr>
          <w:rFonts w:eastAsia="Arial" w:cs="Arial"/>
          <w:noProof/>
          <w:color w:val="3A4A3E"/>
          <w:sz w:val="20"/>
          <w:u w:val="single"/>
        </w:rPr>
      </w:pPr>
    </w:p>
    <w:p w14:paraId="6DDAC0C1" w14:textId="77777777" w:rsidR="000D5FCF" w:rsidRPr="00223E80" w:rsidRDefault="000D5FCF" w:rsidP="007E6ED7">
      <w:pPr>
        <w:spacing w:after="0"/>
        <w:rPr>
          <w:rFonts w:eastAsia="Arial" w:cs="Arial"/>
          <w:noProof/>
          <w:color w:val="3A4A3E"/>
          <w:sz w:val="20"/>
          <w:u w:val="single"/>
        </w:rPr>
      </w:pPr>
    </w:p>
    <w:p w14:paraId="7C21AFE9" w14:textId="77777777" w:rsidR="000D5FCF" w:rsidRPr="00223E80" w:rsidRDefault="000D5FCF" w:rsidP="007E6ED7">
      <w:pPr>
        <w:spacing w:after="0"/>
        <w:rPr>
          <w:rFonts w:eastAsia="Arial" w:cs="Arial"/>
          <w:noProof/>
          <w:color w:val="3A4A3E"/>
          <w:sz w:val="20"/>
          <w:u w:val="single"/>
        </w:rPr>
      </w:pPr>
    </w:p>
    <w:p w14:paraId="33666AF7" w14:textId="77777777" w:rsidR="000D5FCF" w:rsidRPr="00223E80" w:rsidRDefault="000D5FCF" w:rsidP="007E6ED7">
      <w:pPr>
        <w:spacing w:after="0"/>
        <w:rPr>
          <w:rFonts w:eastAsia="Arial" w:cs="Arial"/>
          <w:noProof/>
          <w:color w:val="3A4A3E"/>
          <w:sz w:val="20"/>
          <w:u w:val="single"/>
        </w:rPr>
      </w:pPr>
    </w:p>
    <w:p w14:paraId="7B22602A" w14:textId="77777777" w:rsidR="000D5FCF" w:rsidRPr="00223E80" w:rsidRDefault="000D5FCF" w:rsidP="007E6ED7">
      <w:pPr>
        <w:spacing w:after="0"/>
        <w:rPr>
          <w:rFonts w:eastAsia="Arial" w:cs="Arial"/>
          <w:noProof/>
          <w:color w:val="3A4A3E"/>
          <w:sz w:val="20"/>
          <w:u w:val="single"/>
        </w:rPr>
      </w:pPr>
    </w:p>
    <w:p w14:paraId="70D034AC" w14:textId="77777777" w:rsidR="000D5FCF" w:rsidRPr="00223E80" w:rsidRDefault="000D5FCF" w:rsidP="007E6ED7">
      <w:pPr>
        <w:spacing w:after="0"/>
        <w:rPr>
          <w:rFonts w:eastAsia="Arial" w:cs="Arial"/>
          <w:noProof/>
          <w:color w:val="3A4A3E"/>
          <w:sz w:val="20"/>
          <w:u w:val="single"/>
        </w:rPr>
      </w:pPr>
    </w:p>
    <w:p w14:paraId="7E81AFC7" w14:textId="77777777" w:rsidR="000D5FCF" w:rsidRPr="00223E80" w:rsidRDefault="000D5FCF" w:rsidP="007E6ED7">
      <w:pPr>
        <w:spacing w:after="0"/>
        <w:rPr>
          <w:rFonts w:eastAsia="Arial" w:cs="Arial"/>
          <w:noProof/>
          <w:color w:val="3A4A3E"/>
          <w:sz w:val="20"/>
          <w:u w:val="single"/>
        </w:rPr>
      </w:pPr>
    </w:p>
    <w:p w14:paraId="50416AE4" w14:textId="77777777" w:rsidR="000D5FCF" w:rsidRPr="00223E80" w:rsidRDefault="000D5FCF" w:rsidP="007E6ED7">
      <w:pPr>
        <w:spacing w:after="0"/>
        <w:rPr>
          <w:rFonts w:eastAsia="Arial" w:cs="Arial"/>
          <w:noProof/>
          <w:color w:val="3A4A3E"/>
          <w:sz w:val="20"/>
          <w:u w:val="single"/>
        </w:rPr>
      </w:pPr>
    </w:p>
    <w:p w14:paraId="78AE8192" w14:textId="77777777" w:rsidR="000D5FCF" w:rsidRPr="00223E80" w:rsidRDefault="000D5FCF" w:rsidP="007E6ED7">
      <w:pPr>
        <w:spacing w:after="0"/>
        <w:rPr>
          <w:rFonts w:eastAsia="Arial" w:cs="Arial"/>
          <w:noProof/>
          <w:color w:val="3A4A3E"/>
          <w:sz w:val="20"/>
          <w:u w:val="single"/>
        </w:rPr>
      </w:pPr>
    </w:p>
    <w:p w14:paraId="59ADA896" w14:textId="77777777" w:rsidR="000D5FCF" w:rsidRPr="00223E80" w:rsidRDefault="000D5FCF" w:rsidP="007E6ED7">
      <w:pPr>
        <w:spacing w:after="0"/>
        <w:rPr>
          <w:rFonts w:eastAsia="Arial" w:cs="Arial"/>
          <w:noProof/>
          <w:color w:val="3A4A3E"/>
          <w:sz w:val="20"/>
          <w:u w:val="single"/>
        </w:rPr>
      </w:pPr>
    </w:p>
    <w:p w14:paraId="762967B8" w14:textId="77777777" w:rsidR="000D5FCF" w:rsidRPr="00223E80" w:rsidRDefault="000D5FCF" w:rsidP="007E6ED7">
      <w:pPr>
        <w:spacing w:after="0"/>
        <w:rPr>
          <w:rFonts w:eastAsia="Arial" w:cs="Arial"/>
          <w:noProof/>
          <w:color w:val="3A4A3E"/>
          <w:sz w:val="20"/>
          <w:u w:val="single"/>
        </w:rPr>
      </w:pPr>
    </w:p>
    <w:p w14:paraId="2D7CE6E5" w14:textId="77777777" w:rsidR="000D5FCF" w:rsidRPr="00223E80" w:rsidRDefault="000D5FCF" w:rsidP="007E6ED7">
      <w:pPr>
        <w:spacing w:after="0"/>
        <w:rPr>
          <w:rFonts w:eastAsia="Arial" w:cs="Arial"/>
          <w:noProof/>
          <w:color w:val="3A4A3E"/>
          <w:sz w:val="20"/>
          <w:u w:val="single"/>
        </w:rPr>
      </w:pPr>
    </w:p>
    <w:p w14:paraId="2BB2AC25" w14:textId="77777777" w:rsidR="000D5FCF" w:rsidRPr="00223E80" w:rsidRDefault="000D5FCF" w:rsidP="007E6ED7">
      <w:pPr>
        <w:spacing w:after="0"/>
        <w:rPr>
          <w:rFonts w:eastAsia="Arial" w:cs="Arial"/>
          <w:noProof/>
          <w:color w:val="3A4A3E"/>
          <w:sz w:val="20"/>
          <w:u w:val="single"/>
        </w:rPr>
      </w:pPr>
    </w:p>
    <w:p w14:paraId="0082CFD4" w14:textId="77777777" w:rsidR="000D5FCF" w:rsidRPr="00223E80" w:rsidRDefault="000D5FCF" w:rsidP="007E6ED7">
      <w:pPr>
        <w:spacing w:after="0"/>
        <w:rPr>
          <w:rFonts w:eastAsia="Arial" w:cs="Arial"/>
          <w:noProof/>
          <w:color w:val="3A4A3E"/>
          <w:sz w:val="20"/>
          <w:u w:val="single"/>
        </w:rPr>
      </w:pPr>
    </w:p>
    <w:p w14:paraId="356B96F6" w14:textId="77777777" w:rsidR="000D5FCF" w:rsidRPr="00223E80" w:rsidRDefault="000D5FCF" w:rsidP="007E6ED7">
      <w:pPr>
        <w:spacing w:after="0"/>
        <w:rPr>
          <w:rFonts w:eastAsia="Arial" w:cs="Arial"/>
          <w:noProof/>
          <w:color w:val="3A4A3E"/>
          <w:sz w:val="20"/>
          <w:u w:val="single"/>
        </w:rPr>
      </w:pPr>
    </w:p>
    <w:p w14:paraId="7B8B35E1" w14:textId="77777777" w:rsidR="000D5FCF" w:rsidRPr="00223E80" w:rsidRDefault="000D5FCF" w:rsidP="007E6ED7">
      <w:pPr>
        <w:spacing w:after="0"/>
        <w:rPr>
          <w:rFonts w:eastAsia="Arial" w:cs="Arial"/>
          <w:noProof/>
          <w:color w:val="3A4A3E"/>
          <w:sz w:val="20"/>
          <w:u w:val="single"/>
        </w:rPr>
      </w:pPr>
    </w:p>
    <w:p w14:paraId="269EEE3A" w14:textId="77777777" w:rsidR="000D5FCF" w:rsidRPr="00223E80" w:rsidRDefault="000D5FCF" w:rsidP="007E6ED7">
      <w:pPr>
        <w:spacing w:after="0"/>
        <w:rPr>
          <w:rFonts w:eastAsia="Arial" w:cs="Arial"/>
          <w:noProof/>
          <w:color w:val="3A4A3E"/>
          <w:sz w:val="20"/>
          <w:u w:val="single"/>
        </w:rPr>
      </w:pPr>
    </w:p>
    <w:p w14:paraId="3A25F9B8" w14:textId="77777777" w:rsidR="000D5FCF" w:rsidRPr="00223E80" w:rsidRDefault="000D5FCF" w:rsidP="007E6ED7">
      <w:pPr>
        <w:spacing w:after="0"/>
        <w:rPr>
          <w:rFonts w:eastAsia="Arial" w:cs="Arial"/>
          <w:noProof/>
          <w:color w:val="3A4A3E"/>
          <w:sz w:val="20"/>
          <w:u w:val="single"/>
        </w:rPr>
      </w:pPr>
    </w:p>
    <w:p w14:paraId="5DE9C8BB" w14:textId="77777777" w:rsidR="000D5FCF" w:rsidRPr="00223E80" w:rsidRDefault="000D5FCF" w:rsidP="007E6ED7">
      <w:pPr>
        <w:spacing w:after="0"/>
        <w:rPr>
          <w:rFonts w:eastAsia="Arial" w:cs="Arial"/>
          <w:noProof/>
          <w:color w:val="3A4A3E"/>
          <w:sz w:val="20"/>
          <w:u w:val="single"/>
        </w:rPr>
      </w:pPr>
    </w:p>
    <w:p w14:paraId="6CC6934F" w14:textId="77777777" w:rsidR="000D5FCF" w:rsidRPr="00223E80" w:rsidRDefault="000D5FCF" w:rsidP="007E6ED7">
      <w:pPr>
        <w:spacing w:after="0"/>
        <w:rPr>
          <w:rFonts w:eastAsia="Arial" w:cs="Arial"/>
          <w:noProof/>
          <w:color w:val="3A4A3E"/>
          <w:sz w:val="20"/>
          <w:u w:val="single"/>
        </w:rPr>
      </w:pPr>
    </w:p>
    <w:p w14:paraId="190E34B0" w14:textId="77777777" w:rsidR="000D5FCF" w:rsidRPr="00223E80" w:rsidRDefault="000D5FCF" w:rsidP="007E6ED7">
      <w:pPr>
        <w:spacing w:after="0"/>
        <w:rPr>
          <w:rFonts w:eastAsia="Arial" w:cs="Arial"/>
          <w:noProof/>
          <w:color w:val="3A4A3E"/>
          <w:sz w:val="20"/>
          <w:u w:val="single"/>
        </w:rPr>
      </w:pPr>
    </w:p>
    <w:p w14:paraId="5108087F" w14:textId="77777777" w:rsidR="000D5FCF" w:rsidRPr="00223E80" w:rsidRDefault="000D5FCF" w:rsidP="007E6ED7">
      <w:pPr>
        <w:spacing w:after="0"/>
        <w:rPr>
          <w:rFonts w:eastAsia="Arial" w:cs="Arial"/>
          <w:noProof/>
          <w:color w:val="3A4A3E"/>
          <w:sz w:val="20"/>
          <w:u w:val="single"/>
        </w:rPr>
      </w:pPr>
    </w:p>
    <w:p w14:paraId="3C3AD1B2" w14:textId="77777777" w:rsidR="000D5FCF" w:rsidRPr="00223E80" w:rsidRDefault="000D5FCF" w:rsidP="007E6ED7">
      <w:pPr>
        <w:spacing w:after="0"/>
        <w:rPr>
          <w:rFonts w:eastAsia="Arial" w:cs="Arial"/>
          <w:noProof/>
          <w:color w:val="3A4A3E"/>
          <w:sz w:val="20"/>
          <w:u w:val="single"/>
        </w:rPr>
      </w:pPr>
    </w:p>
    <w:p w14:paraId="378B602C" w14:textId="77777777" w:rsidR="00574686" w:rsidRPr="00223E80" w:rsidRDefault="00574686" w:rsidP="007E6ED7">
      <w:pPr>
        <w:spacing w:after="0"/>
        <w:rPr>
          <w:rFonts w:eastAsia="Arial" w:cs="Arial"/>
          <w:noProof/>
          <w:color w:val="3A4A3E"/>
          <w:sz w:val="20"/>
          <w:u w:val="single"/>
        </w:rPr>
      </w:pPr>
    </w:p>
    <w:p w14:paraId="78F54EE6" w14:textId="77777777" w:rsidR="0031028C" w:rsidRPr="00223E80" w:rsidRDefault="00A520AC" w:rsidP="007E6ED7">
      <w:pPr>
        <w:spacing w:after="0"/>
        <w:rPr>
          <w:color w:val="3A4A3E"/>
          <w:sz w:val="40"/>
          <w:szCs w:val="32"/>
        </w:rPr>
      </w:pPr>
      <w:r w:rsidRPr="00223E80">
        <w:rPr>
          <w:rFonts w:eastAsia="Arial" w:cs="Arial"/>
          <w:noProof/>
          <w:color w:val="3A4A3E"/>
          <w:sz w:val="20"/>
          <w:u w:val="single"/>
        </w:rPr>
        <w:br w:type="page"/>
      </w:r>
      <w:r w:rsidR="0031028C" w:rsidRPr="00223E80">
        <w:rPr>
          <w:color w:val="3A4A3E"/>
          <w:sz w:val="40"/>
          <w:szCs w:val="32"/>
        </w:rPr>
        <w:lastRenderedPageBreak/>
        <w:t xml:space="preserve">Seznam kratic </w:t>
      </w:r>
      <w:bookmarkEnd w:id="8"/>
      <w:bookmarkEnd w:id="9"/>
      <w:bookmarkEnd w:id="10"/>
    </w:p>
    <w:tbl>
      <w:tblPr>
        <w:tblW w:w="5000" w:type="pct"/>
        <w:tblInd w:w="113" w:type="dxa"/>
        <w:tblBorders>
          <w:top w:val="single" w:sz="4" w:space="0" w:color="809A87"/>
          <w:left w:val="single" w:sz="4" w:space="0" w:color="809A87"/>
          <w:bottom w:val="single" w:sz="4" w:space="0" w:color="809A87"/>
          <w:right w:val="single" w:sz="4" w:space="0" w:color="809A87"/>
          <w:insideH w:val="single" w:sz="4" w:space="0" w:color="809A87"/>
        </w:tblBorders>
        <w:tblLayout w:type="fixed"/>
        <w:tblCellMar>
          <w:top w:w="85" w:type="dxa"/>
          <w:bottom w:w="85" w:type="dxa"/>
        </w:tblCellMar>
        <w:tblLook w:val="0420" w:firstRow="1" w:lastRow="0" w:firstColumn="0" w:lastColumn="0" w:noHBand="0" w:noVBand="1"/>
      </w:tblPr>
      <w:tblGrid>
        <w:gridCol w:w="1747"/>
        <w:gridCol w:w="3586"/>
        <w:gridCol w:w="3588"/>
      </w:tblGrid>
      <w:tr w:rsidR="0031028C" w:rsidRPr="00223E80" w14:paraId="6C307B54" w14:textId="77777777" w:rsidTr="00A063EC">
        <w:trPr>
          <w:trHeight w:val="170"/>
        </w:trPr>
        <w:tc>
          <w:tcPr>
            <w:tcW w:w="979" w:type="pct"/>
            <w:tcBorders>
              <w:top w:val="single" w:sz="4" w:space="0" w:color="3A493E"/>
              <w:left w:val="single" w:sz="4" w:space="0" w:color="3A493E"/>
              <w:bottom w:val="single" w:sz="4" w:space="0" w:color="3A493E"/>
              <w:right w:val="single" w:sz="4" w:space="0" w:color="79927E"/>
            </w:tcBorders>
            <w:shd w:val="clear" w:color="auto" w:fill="3A493E"/>
          </w:tcPr>
          <w:p w14:paraId="75E0C25D" w14:textId="77777777" w:rsidR="0031028C" w:rsidRPr="00223E80" w:rsidRDefault="0031028C" w:rsidP="007E6ED7">
            <w:pPr>
              <w:spacing w:after="0"/>
              <w:rPr>
                <w:rFonts w:eastAsia="Arial" w:cs="Arial"/>
                <w:b/>
                <w:bCs/>
                <w:color w:val="F9F5F2"/>
              </w:rPr>
            </w:pPr>
            <w:r w:rsidRPr="00223E80">
              <w:rPr>
                <w:rFonts w:eastAsia="Arial" w:cs="Arial"/>
                <w:b/>
                <w:bCs/>
                <w:color w:val="F9F5F2"/>
              </w:rPr>
              <w:t>Kratica/simbol</w:t>
            </w:r>
          </w:p>
        </w:tc>
        <w:tc>
          <w:tcPr>
            <w:tcW w:w="2010" w:type="pct"/>
            <w:tcBorders>
              <w:top w:val="single" w:sz="4" w:space="0" w:color="3A493E"/>
              <w:left w:val="single" w:sz="4" w:space="0" w:color="79927E"/>
              <w:bottom w:val="single" w:sz="4" w:space="0" w:color="3A493E"/>
              <w:right w:val="single" w:sz="4" w:space="0" w:color="79927E"/>
            </w:tcBorders>
            <w:shd w:val="clear" w:color="auto" w:fill="3A493E"/>
          </w:tcPr>
          <w:p w14:paraId="4A8D70E1" w14:textId="77777777" w:rsidR="0031028C" w:rsidRPr="00223E80" w:rsidRDefault="0031028C" w:rsidP="007E6ED7">
            <w:pPr>
              <w:spacing w:after="0"/>
              <w:rPr>
                <w:rFonts w:eastAsia="Arial" w:cs="Arial"/>
                <w:b/>
                <w:bCs/>
                <w:color w:val="F9F5F2"/>
              </w:rPr>
            </w:pPr>
            <w:r w:rsidRPr="00223E80">
              <w:rPr>
                <w:rFonts w:eastAsia="Arial" w:cs="Arial"/>
                <w:b/>
                <w:bCs/>
                <w:color w:val="F9F5F2"/>
              </w:rPr>
              <w:t>Beseda ali besedna zveza</w:t>
            </w:r>
          </w:p>
        </w:tc>
        <w:tc>
          <w:tcPr>
            <w:tcW w:w="2011" w:type="pct"/>
            <w:tcBorders>
              <w:top w:val="single" w:sz="4" w:space="0" w:color="3A493E"/>
              <w:left w:val="single" w:sz="4" w:space="0" w:color="79927E"/>
              <w:bottom w:val="single" w:sz="4" w:space="0" w:color="3A493E"/>
              <w:right w:val="single" w:sz="4" w:space="0" w:color="3A493E"/>
            </w:tcBorders>
            <w:shd w:val="clear" w:color="auto" w:fill="3A493E"/>
          </w:tcPr>
          <w:p w14:paraId="2F3054C3" w14:textId="77777777" w:rsidR="0031028C" w:rsidRPr="00223E80" w:rsidRDefault="0031028C" w:rsidP="007E6ED7">
            <w:pPr>
              <w:spacing w:after="0"/>
              <w:rPr>
                <w:rFonts w:eastAsia="Arial" w:cs="Arial"/>
                <w:b/>
                <w:bCs/>
                <w:color w:val="F9F5F2"/>
              </w:rPr>
            </w:pPr>
            <w:r w:rsidRPr="00223E80">
              <w:rPr>
                <w:rFonts w:eastAsia="Arial" w:cs="Arial"/>
                <w:b/>
                <w:bCs/>
                <w:color w:val="F9F5F2"/>
              </w:rPr>
              <w:t>Slovenski prevod</w:t>
            </w:r>
          </w:p>
        </w:tc>
      </w:tr>
      <w:tr w:rsidR="0031028C" w:rsidRPr="00223E80" w14:paraId="7852ACF5" w14:textId="77777777" w:rsidTr="00A063EC">
        <w:trPr>
          <w:trHeight w:val="283"/>
        </w:trPr>
        <w:tc>
          <w:tcPr>
            <w:tcW w:w="979" w:type="pct"/>
            <w:tcBorders>
              <w:right w:val="single" w:sz="4" w:space="0" w:color="79927E"/>
            </w:tcBorders>
            <w:shd w:val="clear" w:color="auto" w:fill="D4DDD6"/>
            <w:vAlign w:val="center"/>
          </w:tcPr>
          <w:p w14:paraId="1AF83217" w14:textId="77777777" w:rsidR="0031028C" w:rsidRPr="00223E80" w:rsidRDefault="0031028C" w:rsidP="007E6ED7">
            <w:pPr>
              <w:spacing w:after="0"/>
              <w:rPr>
                <w:rFonts w:eastAsia="Arial" w:cs="Arial"/>
              </w:rPr>
            </w:pPr>
            <w:r w:rsidRPr="00223E80">
              <w:rPr>
                <w:rFonts w:eastAsia="Arial" w:cs="Arial"/>
                <w:color w:val="000000"/>
              </w:rPr>
              <w:t>CO</w:t>
            </w:r>
            <w:r w:rsidRPr="00223E80">
              <w:rPr>
                <w:rFonts w:eastAsia="Arial" w:cs="Arial"/>
                <w:color w:val="000000"/>
                <w:vertAlign w:val="subscript"/>
              </w:rPr>
              <w:t>2</w:t>
            </w:r>
          </w:p>
        </w:tc>
        <w:tc>
          <w:tcPr>
            <w:tcW w:w="2010" w:type="pct"/>
            <w:tcBorders>
              <w:left w:val="single" w:sz="4" w:space="0" w:color="79927E"/>
              <w:right w:val="single" w:sz="4" w:space="0" w:color="79927E"/>
            </w:tcBorders>
            <w:shd w:val="clear" w:color="auto" w:fill="D4DDD6"/>
            <w:vAlign w:val="center"/>
          </w:tcPr>
          <w:p w14:paraId="3EA65779" w14:textId="77777777" w:rsidR="0031028C" w:rsidRPr="00223E80" w:rsidRDefault="0031028C" w:rsidP="007E6ED7">
            <w:pPr>
              <w:spacing w:after="0"/>
              <w:rPr>
                <w:rFonts w:eastAsia="Arial" w:cs="Arial"/>
              </w:rPr>
            </w:pPr>
            <w:r w:rsidRPr="00223E80">
              <w:rPr>
                <w:rFonts w:eastAsia="Arial" w:cs="Arial"/>
                <w:color w:val="000000"/>
              </w:rPr>
              <w:t>ogljikov dioksid</w:t>
            </w:r>
          </w:p>
        </w:tc>
        <w:tc>
          <w:tcPr>
            <w:tcW w:w="2011" w:type="pct"/>
            <w:tcBorders>
              <w:left w:val="single" w:sz="4" w:space="0" w:color="79927E"/>
            </w:tcBorders>
            <w:shd w:val="clear" w:color="auto" w:fill="D4DDD6"/>
            <w:vAlign w:val="center"/>
          </w:tcPr>
          <w:p w14:paraId="0E76A2DD" w14:textId="77777777" w:rsidR="0031028C" w:rsidRPr="00223E80" w:rsidRDefault="0031028C" w:rsidP="007E6ED7">
            <w:pPr>
              <w:spacing w:after="0"/>
              <w:rPr>
                <w:rFonts w:eastAsia="Arial" w:cs="Arial"/>
              </w:rPr>
            </w:pPr>
          </w:p>
        </w:tc>
      </w:tr>
      <w:tr w:rsidR="0031028C" w:rsidRPr="00223E80" w14:paraId="07684796" w14:textId="77777777" w:rsidTr="00A063EC">
        <w:trPr>
          <w:trHeight w:val="283"/>
        </w:trPr>
        <w:tc>
          <w:tcPr>
            <w:tcW w:w="979" w:type="pct"/>
            <w:tcBorders>
              <w:right w:val="single" w:sz="4" w:space="0" w:color="79927E"/>
            </w:tcBorders>
            <w:shd w:val="clear" w:color="auto" w:fill="auto"/>
            <w:vAlign w:val="center"/>
          </w:tcPr>
          <w:p w14:paraId="16C22772" w14:textId="77777777" w:rsidR="0031028C" w:rsidRPr="00223E80" w:rsidRDefault="0031028C" w:rsidP="007E6ED7">
            <w:pPr>
              <w:spacing w:after="0"/>
              <w:rPr>
                <w:rFonts w:eastAsia="Arial" w:cs="Arial"/>
              </w:rPr>
            </w:pPr>
            <w:r w:rsidRPr="00223E80">
              <w:rPr>
                <w:rFonts w:eastAsia="Arial" w:cs="Arial"/>
                <w:color w:val="000000"/>
              </w:rPr>
              <w:t>EED</w:t>
            </w:r>
          </w:p>
        </w:tc>
        <w:tc>
          <w:tcPr>
            <w:tcW w:w="2010" w:type="pct"/>
            <w:tcBorders>
              <w:left w:val="single" w:sz="4" w:space="0" w:color="79927E"/>
              <w:right w:val="single" w:sz="4" w:space="0" w:color="79927E"/>
            </w:tcBorders>
            <w:shd w:val="clear" w:color="auto" w:fill="auto"/>
            <w:vAlign w:val="center"/>
          </w:tcPr>
          <w:p w14:paraId="316FFE62" w14:textId="77777777" w:rsidR="0031028C" w:rsidRPr="00223E80" w:rsidRDefault="0031028C" w:rsidP="007E6ED7">
            <w:pPr>
              <w:spacing w:after="0"/>
              <w:rPr>
                <w:rFonts w:eastAsia="Arial" w:cs="Arial"/>
              </w:rPr>
            </w:pPr>
            <w:r w:rsidRPr="00223E80">
              <w:rPr>
                <w:rFonts w:eastAsia="Arial" w:cs="Arial"/>
                <w:iCs/>
                <w:color w:val="000000"/>
              </w:rPr>
              <w:t>Energy Efficiency Directive</w:t>
            </w:r>
          </w:p>
        </w:tc>
        <w:tc>
          <w:tcPr>
            <w:tcW w:w="2011" w:type="pct"/>
            <w:tcBorders>
              <w:left w:val="single" w:sz="4" w:space="0" w:color="79927E"/>
            </w:tcBorders>
            <w:shd w:val="clear" w:color="auto" w:fill="auto"/>
            <w:vAlign w:val="center"/>
          </w:tcPr>
          <w:p w14:paraId="307EB165" w14:textId="77777777" w:rsidR="0031028C" w:rsidRPr="00223E80" w:rsidRDefault="0031028C" w:rsidP="007E6ED7">
            <w:pPr>
              <w:spacing w:after="0"/>
              <w:rPr>
                <w:rFonts w:eastAsia="Arial" w:cs="Arial"/>
              </w:rPr>
            </w:pPr>
            <w:r w:rsidRPr="00223E80">
              <w:rPr>
                <w:rFonts w:eastAsia="Arial" w:cs="Arial"/>
                <w:iCs/>
                <w:color w:val="000000"/>
              </w:rPr>
              <w:t>Direktiva o energetski učinkovitosti</w:t>
            </w:r>
          </w:p>
        </w:tc>
      </w:tr>
      <w:tr w:rsidR="008F77A8" w:rsidRPr="00223E80" w14:paraId="2AB82F49" w14:textId="77777777" w:rsidTr="00990922">
        <w:trPr>
          <w:trHeight w:val="283"/>
        </w:trPr>
        <w:tc>
          <w:tcPr>
            <w:tcW w:w="979" w:type="pct"/>
            <w:tcBorders>
              <w:right w:val="single" w:sz="4" w:space="0" w:color="79927E"/>
            </w:tcBorders>
            <w:shd w:val="clear" w:color="auto" w:fill="auto"/>
            <w:vAlign w:val="center"/>
          </w:tcPr>
          <w:p w14:paraId="468EFB71" w14:textId="77777777" w:rsidR="008F77A8" w:rsidRPr="00223E80" w:rsidRDefault="008F77A8" w:rsidP="00990922">
            <w:pPr>
              <w:spacing w:after="0"/>
              <w:rPr>
                <w:rFonts w:eastAsia="Arial" w:cs="Arial"/>
                <w:color w:val="000000"/>
              </w:rPr>
            </w:pPr>
            <w:r w:rsidRPr="00223E80">
              <w:rPr>
                <w:rFonts w:eastAsia="Arial" w:cs="Arial"/>
                <w:color w:val="000000"/>
              </w:rPr>
              <w:t>EZD</w:t>
            </w:r>
          </w:p>
        </w:tc>
        <w:tc>
          <w:tcPr>
            <w:tcW w:w="2010" w:type="pct"/>
            <w:tcBorders>
              <w:left w:val="single" w:sz="4" w:space="0" w:color="79927E"/>
              <w:right w:val="single" w:sz="4" w:space="0" w:color="79927E"/>
            </w:tcBorders>
            <w:shd w:val="clear" w:color="auto" w:fill="auto"/>
            <w:vAlign w:val="center"/>
          </w:tcPr>
          <w:p w14:paraId="7650EF7F" w14:textId="77777777" w:rsidR="008F77A8" w:rsidRPr="00223E80" w:rsidRDefault="008F77A8" w:rsidP="00990922">
            <w:pPr>
              <w:spacing w:after="0"/>
              <w:rPr>
                <w:rFonts w:eastAsia="Arial" w:cs="Arial"/>
                <w:iCs/>
                <w:color w:val="000000"/>
              </w:rPr>
            </w:pPr>
            <w:r w:rsidRPr="00223E80">
              <w:rPr>
                <w:rFonts w:eastAsia="Arial" w:cs="Arial"/>
                <w:iCs/>
                <w:color w:val="000000"/>
              </w:rPr>
              <w:t>European Green Deal</w:t>
            </w:r>
          </w:p>
        </w:tc>
        <w:tc>
          <w:tcPr>
            <w:tcW w:w="2011" w:type="pct"/>
            <w:tcBorders>
              <w:left w:val="single" w:sz="4" w:space="0" w:color="79927E"/>
            </w:tcBorders>
            <w:shd w:val="clear" w:color="auto" w:fill="auto"/>
            <w:vAlign w:val="center"/>
          </w:tcPr>
          <w:p w14:paraId="1A00C5FD" w14:textId="77777777" w:rsidR="008F77A8" w:rsidRPr="00223E80" w:rsidRDefault="008F77A8" w:rsidP="00990922">
            <w:pPr>
              <w:spacing w:after="0"/>
              <w:rPr>
                <w:rFonts w:eastAsia="Arial" w:cs="Arial"/>
                <w:iCs/>
                <w:color w:val="000000"/>
              </w:rPr>
            </w:pPr>
            <w:r w:rsidRPr="00223E80">
              <w:rPr>
                <w:rFonts w:eastAsia="Arial" w:cs="Arial"/>
                <w:iCs/>
                <w:color w:val="000000"/>
              </w:rPr>
              <w:t>Evropski zeleni dogovor</w:t>
            </w:r>
          </w:p>
        </w:tc>
      </w:tr>
      <w:tr w:rsidR="0031028C" w:rsidRPr="00223E80" w14:paraId="30C8FAD2" w14:textId="77777777" w:rsidTr="00A063EC">
        <w:trPr>
          <w:trHeight w:val="283"/>
        </w:trPr>
        <w:tc>
          <w:tcPr>
            <w:tcW w:w="979" w:type="pct"/>
            <w:tcBorders>
              <w:right w:val="single" w:sz="4" w:space="0" w:color="79927E"/>
            </w:tcBorders>
            <w:shd w:val="clear" w:color="auto" w:fill="D4DDD6"/>
            <w:vAlign w:val="center"/>
          </w:tcPr>
          <w:p w14:paraId="76FADC15" w14:textId="77777777" w:rsidR="0031028C" w:rsidRPr="00223E80" w:rsidRDefault="0031028C" w:rsidP="007E6ED7">
            <w:pPr>
              <w:spacing w:after="0"/>
              <w:rPr>
                <w:rFonts w:eastAsia="Arial" w:cs="Arial"/>
              </w:rPr>
            </w:pPr>
            <w:r w:rsidRPr="00223E80">
              <w:rPr>
                <w:rFonts w:eastAsia="Arial" w:cs="Arial"/>
                <w:color w:val="000000"/>
              </w:rPr>
              <w:t>EZ</w:t>
            </w:r>
            <w:r w:rsidR="00FA0DC3" w:rsidRPr="00223E80">
              <w:rPr>
                <w:rFonts w:eastAsia="Arial" w:cs="Arial"/>
                <w:color w:val="000000"/>
              </w:rPr>
              <w:t>-1</w:t>
            </w:r>
          </w:p>
        </w:tc>
        <w:tc>
          <w:tcPr>
            <w:tcW w:w="2010" w:type="pct"/>
            <w:tcBorders>
              <w:left w:val="single" w:sz="4" w:space="0" w:color="79927E"/>
              <w:right w:val="single" w:sz="4" w:space="0" w:color="79927E"/>
            </w:tcBorders>
            <w:shd w:val="clear" w:color="auto" w:fill="D4DDD6"/>
            <w:vAlign w:val="center"/>
          </w:tcPr>
          <w:p w14:paraId="10DA064C" w14:textId="77777777" w:rsidR="00FA0DC3" w:rsidRPr="00223E80" w:rsidRDefault="00574686" w:rsidP="007E6ED7">
            <w:pPr>
              <w:spacing w:after="0"/>
              <w:rPr>
                <w:rFonts w:eastAsia="Arial" w:cs="Arial"/>
                <w:color w:val="000000"/>
              </w:rPr>
            </w:pPr>
            <w:r w:rsidRPr="00223E80">
              <w:rPr>
                <w:rFonts w:eastAsia="Arial" w:cs="Arial"/>
                <w:color w:val="000000"/>
              </w:rPr>
              <w:t>E</w:t>
            </w:r>
            <w:r w:rsidR="0031028C" w:rsidRPr="00223E80">
              <w:rPr>
                <w:rFonts w:eastAsia="Arial" w:cs="Arial"/>
                <w:color w:val="000000"/>
              </w:rPr>
              <w:t>nergetski zakon</w:t>
            </w:r>
          </w:p>
        </w:tc>
        <w:tc>
          <w:tcPr>
            <w:tcW w:w="2011" w:type="pct"/>
            <w:tcBorders>
              <w:left w:val="single" w:sz="4" w:space="0" w:color="79927E"/>
            </w:tcBorders>
            <w:shd w:val="clear" w:color="auto" w:fill="D4DDD6"/>
            <w:vAlign w:val="center"/>
          </w:tcPr>
          <w:p w14:paraId="17303E0B" w14:textId="77777777" w:rsidR="0031028C" w:rsidRPr="00223E80" w:rsidRDefault="0031028C" w:rsidP="007E6ED7">
            <w:pPr>
              <w:spacing w:after="0"/>
              <w:rPr>
                <w:rFonts w:eastAsia="Arial" w:cs="Arial"/>
              </w:rPr>
            </w:pPr>
          </w:p>
        </w:tc>
      </w:tr>
      <w:tr w:rsidR="0031028C" w:rsidRPr="00223E80" w14:paraId="3D2F812B" w14:textId="77777777" w:rsidTr="00A063EC">
        <w:trPr>
          <w:trHeight w:val="283"/>
        </w:trPr>
        <w:tc>
          <w:tcPr>
            <w:tcW w:w="979" w:type="pct"/>
            <w:tcBorders>
              <w:right w:val="single" w:sz="4" w:space="0" w:color="79927E"/>
            </w:tcBorders>
            <w:shd w:val="clear" w:color="auto" w:fill="auto"/>
            <w:vAlign w:val="center"/>
          </w:tcPr>
          <w:p w14:paraId="294B276D" w14:textId="77777777" w:rsidR="0031028C" w:rsidRPr="00223E80" w:rsidRDefault="0031028C" w:rsidP="007E6ED7">
            <w:pPr>
              <w:spacing w:after="0"/>
              <w:rPr>
                <w:rFonts w:eastAsia="Arial" w:cs="Arial"/>
              </w:rPr>
            </w:pPr>
            <w:r w:rsidRPr="00223E80">
              <w:rPr>
                <w:rFonts w:eastAsia="Arial" w:cs="Arial"/>
                <w:color w:val="000000"/>
              </w:rPr>
              <w:t>MSP</w:t>
            </w:r>
          </w:p>
        </w:tc>
        <w:tc>
          <w:tcPr>
            <w:tcW w:w="2010" w:type="pct"/>
            <w:tcBorders>
              <w:left w:val="single" w:sz="4" w:space="0" w:color="79927E"/>
              <w:right w:val="single" w:sz="4" w:space="0" w:color="79927E"/>
            </w:tcBorders>
            <w:shd w:val="clear" w:color="auto" w:fill="auto"/>
            <w:vAlign w:val="center"/>
          </w:tcPr>
          <w:p w14:paraId="433451F8" w14:textId="77777777" w:rsidR="0031028C" w:rsidRPr="00223E80" w:rsidRDefault="0031028C" w:rsidP="007E6ED7">
            <w:pPr>
              <w:spacing w:after="0"/>
              <w:rPr>
                <w:rFonts w:eastAsia="Arial" w:cs="Arial"/>
              </w:rPr>
            </w:pPr>
            <w:r w:rsidRPr="00223E80">
              <w:rPr>
                <w:rFonts w:eastAsia="Arial" w:cs="Arial"/>
                <w:color w:val="000000"/>
              </w:rPr>
              <w:t>mala in srednja podjetja</w:t>
            </w:r>
          </w:p>
        </w:tc>
        <w:tc>
          <w:tcPr>
            <w:tcW w:w="2011" w:type="pct"/>
            <w:tcBorders>
              <w:left w:val="single" w:sz="4" w:space="0" w:color="79927E"/>
            </w:tcBorders>
            <w:shd w:val="clear" w:color="auto" w:fill="auto"/>
            <w:vAlign w:val="center"/>
          </w:tcPr>
          <w:p w14:paraId="49397AF9" w14:textId="77777777" w:rsidR="0031028C" w:rsidRPr="00223E80" w:rsidRDefault="0031028C" w:rsidP="007E6ED7">
            <w:pPr>
              <w:spacing w:after="0"/>
              <w:rPr>
                <w:rFonts w:eastAsia="Arial" w:cs="Arial"/>
              </w:rPr>
            </w:pPr>
          </w:p>
        </w:tc>
      </w:tr>
      <w:tr w:rsidR="0031028C" w:rsidRPr="00223E80" w14:paraId="2D720BBB" w14:textId="77777777" w:rsidTr="00A063EC">
        <w:trPr>
          <w:trHeight w:val="567"/>
        </w:trPr>
        <w:tc>
          <w:tcPr>
            <w:tcW w:w="979" w:type="pct"/>
            <w:tcBorders>
              <w:right w:val="single" w:sz="4" w:space="0" w:color="79927E"/>
            </w:tcBorders>
            <w:shd w:val="clear" w:color="auto" w:fill="D4DDD6"/>
            <w:vAlign w:val="center"/>
          </w:tcPr>
          <w:p w14:paraId="627B18E0" w14:textId="77777777" w:rsidR="0031028C" w:rsidRPr="00223E80" w:rsidRDefault="0031028C" w:rsidP="007E6ED7">
            <w:pPr>
              <w:spacing w:after="0"/>
              <w:rPr>
                <w:rFonts w:eastAsia="Arial" w:cs="Arial"/>
              </w:rPr>
            </w:pPr>
            <w:r w:rsidRPr="00223E80">
              <w:rPr>
                <w:rFonts w:eastAsia="Arial" w:cs="Arial"/>
                <w:color w:val="000000"/>
              </w:rPr>
              <w:t>NEPN</w:t>
            </w:r>
          </w:p>
        </w:tc>
        <w:tc>
          <w:tcPr>
            <w:tcW w:w="2010" w:type="pct"/>
            <w:tcBorders>
              <w:left w:val="single" w:sz="4" w:space="0" w:color="79927E"/>
              <w:right w:val="single" w:sz="4" w:space="0" w:color="79927E"/>
            </w:tcBorders>
            <w:shd w:val="clear" w:color="auto" w:fill="D4DDD6"/>
            <w:vAlign w:val="center"/>
          </w:tcPr>
          <w:p w14:paraId="27762371" w14:textId="77777777" w:rsidR="0031028C" w:rsidRPr="00223E80" w:rsidRDefault="0031028C" w:rsidP="007E6ED7">
            <w:pPr>
              <w:spacing w:after="0"/>
              <w:rPr>
                <w:rFonts w:eastAsia="Arial" w:cs="Arial"/>
              </w:rPr>
            </w:pPr>
            <w:r w:rsidRPr="00223E80">
              <w:rPr>
                <w:rFonts w:eastAsia="Arial" w:cs="Arial"/>
                <w:color w:val="000000"/>
              </w:rPr>
              <w:t>Nacionalni energetski in podnebni načrt</w:t>
            </w:r>
          </w:p>
        </w:tc>
        <w:tc>
          <w:tcPr>
            <w:tcW w:w="2011" w:type="pct"/>
            <w:tcBorders>
              <w:left w:val="single" w:sz="4" w:space="0" w:color="79927E"/>
            </w:tcBorders>
            <w:shd w:val="clear" w:color="auto" w:fill="D4DDD6"/>
            <w:vAlign w:val="center"/>
          </w:tcPr>
          <w:p w14:paraId="7A3A6643" w14:textId="77777777" w:rsidR="0031028C" w:rsidRPr="00223E80" w:rsidRDefault="0031028C" w:rsidP="007E6ED7">
            <w:pPr>
              <w:spacing w:after="0"/>
              <w:rPr>
                <w:rFonts w:eastAsia="Arial" w:cs="Arial"/>
              </w:rPr>
            </w:pPr>
          </w:p>
        </w:tc>
      </w:tr>
      <w:tr w:rsidR="0031028C" w:rsidRPr="00223E80" w14:paraId="13CA6915" w14:textId="77777777" w:rsidTr="00A063EC">
        <w:trPr>
          <w:trHeight w:val="567"/>
        </w:trPr>
        <w:tc>
          <w:tcPr>
            <w:tcW w:w="979" w:type="pct"/>
            <w:tcBorders>
              <w:right w:val="single" w:sz="4" w:space="0" w:color="79927E"/>
            </w:tcBorders>
            <w:shd w:val="clear" w:color="auto" w:fill="auto"/>
            <w:vAlign w:val="center"/>
          </w:tcPr>
          <w:p w14:paraId="0B38D449" w14:textId="77777777" w:rsidR="0031028C" w:rsidRPr="00223E80" w:rsidRDefault="0031028C" w:rsidP="007E6ED7">
            <w:pPr>
              <w:spacing w:after="0"/>
              <w:rPr>
                <w:rFonts w:eastAsia="Arial" w:cs="Arial"/>
              </w:rPr>
            </w:pPr>
            <w:r w:rsidRPr="00223E80">
              <w:rPr>
                <w:rFonts w:eastAsia="Arial" w:cs="Arial"/>
                <w:color w:val="000000"/>
              </w:rPr>
              <w:t>OP EKP</w:t>
            </w:r>
          </w:p>
        </w:tc>
        <w:tc>
          <w:tcPr>
            <w:tcW w:w="2010" w:type="pct"/>
            <w:tcBorders>
              <w:left w:val="single" w:sz="4" w:space="0" w:color="79927E"/>
              <w:right w:val="single" w:sz="4" w:space="0" w:color="79927E"/>
            </w:tcBorders>
            <w:shd w:val="clear" w:color="auto" w:fill="auto"/>
            <w:vAlign w:val="center"/>
          </w:tcPr>
          <w:p w14:paraId="1E34B5B6" w14:textId="77777777" w:rsidR="0031028C" w:rsidRPr="00223E80" w:rsidRDefault="0031028C" w:rsidP="007E6ED7">
            <w:pPr>
              <w:spacing w:after="0"/>
              <w:rPr>
                <w:rFonts w:eastAsia="Arial" w:cs="Arial"/>
              </w:rPr>
            </w:pPr>
            <w:r w:rsidRPr="00223E80">
              <w:rPr>
                <w:rFonts w:eastAsia="Arial" w:cs="Arial"/>
                <w:color w:val="000000"/>
              </w:rPr>
              <w:t>Operativni program Evropske kohezijske politike</w:t>
            </w:r>
          </w:p>
        </w:tc>
        <w:tc>
          <w:tcPr>
            <w:tcW w:w="2011" w:type="pct"/>
            <w:tcBorders>
              <w:left w:val="single" w:sz="4" w:space="0" w:color="79927E"/>
            </w:tcBorders>
            <w:shd w:val="clear" w:color="auto" w:fill="auto"/>
            <w:vAlign w:val="center"/>
          </w:tcPr>
          <w:p w14:paraId="672BBBA4" w14:textId="77777777" w:rsidR="0031028C" w:rsidRPr="00223E80" w:rsidRDefault="0031028C" w:rsidP="007E6ED7">
            <w:pPr>
              <w:spacing w:after="0"/>
              <w:rPr>
                <w:rFonts w:eastAsia="Arial" w:cs="Arial"/>
              </w:rPr>
            </w:pPr>
          </w:p>
        </w:tc>
      </w:tr>
      <w:tr w:rsidR="0031028C" w:rsidRPr="00223E80" w14:paraId="5EC6FC69" w14:textId="77777777" w:rsidTr="00A063EC">
        <w:trPr>
          <w:trHeight w:val="283"/>
        </w:trPr>
        <w:tc>
          <w:tcPr>
            <w:tcW w:w="979" w:type="pct"/>
            <w:tcBorders>
              <w:right w:val="single" w:sz="4" w:space="0" w:color="79927E"/>
            </w:tcBorders>
            <w:shd w:val="clear" w:color="auto" w:fill="D4DDD6"/>
            <w:vAlign w:val="center"/>
          </w:tcPr>
          <w:p w14:paraId="572E10B0" w14:textId="77777777" w:rsidR="0031028C" w:rsidRPr="00223E80" w:rsidRDefault="0031028C" w:rsidP="007E6ED7">
            <w:pPr>
              <w:spacing w:after="0"/>
              <w:rPr>
                <w:rFonts w:eastAsia="Arial" w:cs="Arial"/>
              </w:rPr>
            </w:pPr>
            <w:r w:rsidRPr="00223E80">
              <w:rPr>
                <w:rFonts w:eastAsia="Arial" w:cs="Arial"/>
                <w:color w:val="000000"/>
              </w:rPr>
              <w:t>OVE</w:t>
            </w:r>
          </w:p>
        </w:tc>
        <w:tc>
          <w:tcPr>
            <w:tcW w:w="2010" w:type="pct"/>
            <w:tcBorders>
              <w:left w:val="single" w:sz="4" w:space="0" w:color="79927E"/>
              <w:right w:val="single" w:sz="4" w:space="0" w:color="79927E"/>
            </w:tcBorders>
            <w:shd w:val="clear" w:color="auto" w:fill="D4DDD6"/>
            <w:vAlign w:val="center"/>
          </w:tcPr>
          <w:p w14:paraId="1D430369" w14:textId="77777777" w:rsidR="0031028C" w:rsidRPr="00223E80" w:rsidRDefault="0031028C" w:rsidP="007E6ED7">
            <w:pPr>
              <w:spacing w:after="0"/>
              <w:rPr>
                <w:rFonts w:eastAsia="Arial" w:cs="Arial"/>
              </w:rPr>
            </w:pPr>
            <w:r w:rsidRPr="00223E80">
              <w:rPr>
                <w:rFonts w:eastAsia="Arial" w:cs="Arial"/>
                <w:color w:val="000000"/>
              </w:rPr>
              <w:t>obnovljivi viri energije</w:t>
            </w:r>
          </w:p>
        </w:tc>
        <w:tc>
          <w:tcPr>
            <w:tcW w:w="2011" w:type="pct"/>
            <w:tcBorders>
              <w:left w:val="single" w:sz="4" w:space="0" w:color="79927E"/>
            </w:tcBorders>
            <w:shd w:val="clear" w:color="auto" w:fill="D4DDD6"/>
            <w:vAlign w:val="center"/>
          </w:tcPr>
          <w:p w14:paraId="2EE693F5" w14:textId="77777777" w:rsidR="0031028C" w:rsidRPr="00223E80" w:rsidRDefault="0031028C" w:rsidP="007E6ED7">
            <w:pPr>
              <w:spacing w:after="0"/>
              <w:rPr>
                <w:rFonts w:eastAsia="Arial" w:cs="Arial"/>
              </w:rPr>
            </w:pPr>
          </w:p>
        </w:tc>
      </w:tr>
      <w:tr w:rsidR="0031028C" w:rsidRPr="00223E80" w14:paraId="49CFDF8D" w14:textId="77777777" w:rsidTr="00A063EC">
        <w:trPr>
          <w:trHeight w:val="567"/>
        </w:trPr>
        <w:tc>
          <w:tcPr>
            <w:tcW w:w="979" w:type="pct"/>
            <w:tcBorders>
              <w:right w:val="single" w:sz="4" w:space="0" w:color="79927E"/>
            </w:tcBorders>
            <w:shd w:val="clear" w:color="auto" w:fill="auto"/>
            <w:vAlign w:val="center"/>
          </w:tcPr>
          <w:p w14:paraId="12CE4341" w14:textId="77777777" w:rsidR="0031028C" w:rsidRPr="00223E80" w:rsidRDefault="0031028C" w:rsidP="007E6ED7">
            <w:pPr>
              <w:spacing w:after="0"/>
              <w:rPr>
                <w:rFonts w:eastAsia="Arial" w:cs="Arial"/>
              </w:rPr>
            </w:pPr>
            <w:r w:rsidRPr="00223E80">
              <w:rPr>
                <w:rFonts w:eastAsia="Arial" w:cs="Arial"/>
                <w:color w:val="000000"/>
              </w:rPr>
              <w:t>SPTE</w:t>
            </w:r>
          </w:p>
        </w:tc>
        <w:tc>
          <w:tcPr>
            <w:tcW w:w="2010" w:type="pct"/>
            <w:tcBorders>
              <w:left w:val="single" w:sz="4" w:space="0" w:color="79927E"/>
              <w:right w:val="single" w:sz="4" w:space="0" w:color="79927E"/>
            </w:tcBorders>
            <w:shd w:val="clear" w:color="auto" w:fill="auto"/>
            <w:vAlign w:val="center"/>
          </w:tcPr>
          <w:p w14:paraId="0DF6D8CD" w14:textId="77777777" w:rsidR="0031028C" w:rsidRPr="00223E80" w:rsidRDefault="0031028C" w:rsidP="007E6ED7">
            <w:pPr>
              <w:spacing w:after="0"/>
              <w:rPr>
                <w:rFonts w:eastAsia="Arial" w:cs="Arial"/>
              </w:rPr>
            </w:pPr>
            <w:r w:rsidRPr="00223E80">
              <w:rPr>
                <w:rFonts w:eastAsia="Arial" w:cs="Arial"/>
                <w:color w:val="000000"/>
              </w:rPr>
              <w:t>soproizvodnja toplote in električne energije</w:t>
            </w:r>
          </w:p>
        </w:tc>
        <w:tc>
          <w:tcPr>
            <w:tcW w:w="2011" w:type="pct"/>
            <w:tcBorders>
              <w:left w:val="single" w:sz="4" w:space="0" w:color="79927E"/>
            </w:tcBorders>
            <w:shd w:val="clear" w:color="auto" w:fill="auto"/>
            <w:vAlign w:val="center"/>
          </w:tcPr>
          <w:p w14:paraId="51E7EF30" w14:textId="77777777" w:rsidR="0031028C" w:rsidRPr="00223E80" w:rsidRDefault="0031028C" w:rsidP="007E6ED7">
            <w:pPr>
              <w:spacing w:after="0"/>
              <w:rPr>
                <w:rFonts w:eastAsia="Arial" w:cs="Arial"/>
              </w:rPr>
            </w:pPr>
          </w:p>
        </w:tc>
      </w:tr>
      <w:tr w:rsidR="0031028C" w:rsidRPr="00223E80" w14:paraId="0A85A4F0" w14:textId="77777777" w:rsidTr="00A063EC">
        <w:trPr>
          <w:trHeight w:val="283"/>
        </w:trPr>
        <w:tc>
          <w:tcPr>
            <w:tcW w:w="979" w:type="pct"/>
            <w:tcBorders>
              <w:right w:val="single" w:sz="4" w:space="0" w:color="79927E"/>
            </w:tcBorders>
            <w:shd w:val="clear" w:color="auto" w:fill="D4DDD6"/>
            <w:vAlign w:val="center"/>
          </w:tcPr>
          <w:p w14:paraId="46BFF944" w14:textId="77777777" w:rsidR="0031028C" w:rsidRPr="00223E80" w:rsidRDefault="0031028C" w:rsidP="007E6ED7">
            <w:pPr>
              <w:spacing w:after="0"/>
              <w:rPr>
                <w:rFonts w:eastAsia="Arial" w:cs="Arial"/>
              </w:rPr>
            </w:pPr>
            <w:r w:rsidRPr="00223E80">
              <w:rPr>
                <w:rFonts w:eastAsia="Arial" w:cs="Arial"/>
                <w:color w:val="000000"/>
              </w:rPr>
              <w:t>TGP</w:t>
            </w:r>
          </w:p>
        </w:tc>
        <w:tc>
          <w:tcPr>
            <w:tcW w:w="2010" w:type="pct"/>
            <w:tcBorders>
              <w:left w:val="single" w:sz="4" w:space="0" w:color="79927E"/>
              <w:right w:val="single" w:sz="4" w:space="0" w:color="79927E"/>
            </w:tcBorders>
            <w:shd w:val="clear" w:color="auto" w:fill="D4DDD6"/>
            <w:vAlign w:val="center"/>
          </w:tcPr>
          <w:p w14:paraId="4DCA85C3" w14:textId="77777777" w:rsidR="0031028C" w:rsidRPr="00223E80" w:rsidRDefault="0031028C" w:rsidP="007E6ED7">
            <w:pPr>
              <w:spacing w:after="0"/>
              <w:rPr>
                <w:rFonts w:eastAsia="Arial" w:cs="Arial"/>
              </w:rPr>
            </w:pPr>
            <w:r w:rsidRPr="00223E80">
              <w:rPr>
                <w:rFonts w:eastAsia="Arial" w:cs="Arial"/>
                <w:color w:val="000000"/>
              </w:rPr>
              <w:t>toplogredni plini</w:t>
            </w:r>
          </w:p>
        </w:tc>
        <w:tc>
          <w:tcPr>
            <w:tcW w:w="2011" w:type="pct"/>
            <w:tcBorders>
              <w:left w:val="single" w:sz="4" w:space="0" w:color="79927E"/>
            </w:tcBorders>
            <w:shd w:val="clear" w:color="auto" w:fill="D4DDD6"/>
            <w:vAlign w:val="center"/>
          </w:tcPr>
          <w:p w14:paraId="6D7A5E6E" w14:textId="77777777" w:rsidR="0031028C" w:rsidRPr="00223E80" w:rsidRDefault="0031028C" w:rsidP="007E6ED7">
            <w:pPr>
              <w:spacing w:after="0"/>
              <w:rPr>
                <w:rFonts w:eastAsia="Arial" w:cs="Arial"/>
              </w:rPr>
            </w:pPr>
          </w:p>
        </w:tc>
      </w:tr>
      <w:tr w:rsidR="0031028C" w:rsidRPr="00223E80" w14:paraId="3B2BB9A4" w14:textId="77777777" w:rsidTr="00A063EC">
        <w:trPr>
          <w:trHeight w:val="283"/>
        </w:trPr>
        <w:tc>
          <w:tcPr>
            <w:tcW w:w="979" w:type="pct"/>
            <w:tcBorders>
              <w:right w:val="single" w:sz="4" w:space="0" w:color="79927E"/>
            </w:tcBorders>
            <w:shd w:val="clear" w:color="auto" w:fill="auto"/>
            <w:vAlign w:val="center"/>
          </w:tcPr>
          <w:p w14:paraId="44155225" w14:textId="77777777" w:rsidR="0031028C" w:rsidRPr="00223E80" w:rsidRDefault="0031028C" w:rsidP="007E6ED7">
            <w:pPr>
              <w:spacing w:after="0"/>
              <w:rPr>
                <w:rFonts w:eastAsia="Arial" w:cs="Arial"/>
              </w:rPr>
            </w:pPr>
            <w:r w:rsidRPr="00223E80">
              <w:rPr>
                <w:rFonts w:eastAsia="Arial" w:cs="Arial"/>
                <w:color w:val="000000"/>
              </w:rPr>
              <w:t>URE</w:t>
            </w:r>
          </w:p>
        </w:tc>
        <w:tc>
          <w:tcPr>
            <w:tcW w:w="2010" w:type="pct"/>
            <w:tcBorders>
              <w:left w:val="single" w:sz="4" w:space="0" w:color="79927E"/>
              <w:right w:val="single" w:sz="4" w:space="0" w:color="79927E"/>
            </w:tcBorders>
            <w:shd w:val="clear" w:color="auto" w:fill="auto"/>
            <w:vAlign w:val="center"/>
          </w:tcPr>
          <w:p w14:paraId="00FD2FCF" w14:textId="77777777" w:rsidR="0031028C" w:rsidRPr="00223E80" w:rsidRDefault="0031028C" w:rsidP="007E6ED7">
            <w:pPr>
              <w:spacing w:after="0"/>
              <w:rPr>
                <w:rFonts w:eastAsia="Arial" w:cs="Arial"/>
              </w:rPr>
            </w:pPr>
            <w:r w:rsidRPr="00223E80">
              <w:rPr>
                <w:rFonts w:eastAsia="Arial" w:cs="Arial"/>
                <w:color w:val="000000"/>
              </w:rPr>
              <w:t>učinkovita raba energije</w:t>
            </w:r>
          </w:p>
        </w:tc>
        <w:tc>
          <w:tcPr>
            <w:tcW w:w="2011" w:type="pct"/>
            <w:tcBorders>
              <w:left w:val="single" w:sz="4" w:space="0" w:color="79927E"/>
            </w:tcBorders>
            <w:shd w:val="clear" w:color="auto" w:fill="auto"/>
            <w:vAlign w:val="center"/>
          </w:tcPr>
          <w:p w14:paraId="0C1FCDED" w14:textId="77777777" w:rsidR="0031028C" w:rsidRPr="00223E80" w:rsidRDefault="0031028C" w:rsidP="007E6ED7">
            <w:pPr>
              <w:spacing w:after="0"/>
              <w:rPr>
                <w:rFonts w:eastAsia="Arial" w:cs="Arial"/>
              </w:rPr>
            </w:pPr>
          </w:p>
        </w:tc>
      </w:tr>
      <w:tr w:rsidR="0031028C" w:rsidRPr="00223E80" w14:paraId="3A55B36E" w14:textId="77777777" w:rsidTr="00A063EC">
        <w:trPr>
          <w:trHeight w:val="283"/>
        </w:trPr>
        <w:tc>
          <w:tcPr>
            <w:tcW w:w="979" w:type="pct"/>
            <w:tcBorders>
              <w:right w:val="single" w:sz="4" w:space="0" w:color="79927E"/>
            </w:tcBorders>
            <w:shd w:val="clear" w:color="auto" w:fill="D4DDD6"/>
            <w:vAlign w:val="center"/>
          </w:tcPr>
          <w:p w14:paraId="177DA4EE" w14:textId="77777777" w:rsidR="0031028C" w:rsidRPr="00223E80" w:rsidRDefault="0031028C" w:rsidP="007E6ED7">
            <w:pPr>
              <w:spacing w:after="0"/>
              <w:rPr>
                <w:rFonts w:eastAsia="Arial" w:cs="Arial"/>
              </w:rPr>
            </w:pPr>
            <w:r w:rsidRPr="00223E80">
              <w:rPr>
                <w:rFonts w:eastAsia="Arial" w:cs="Arial"/>
                <w:color w:val="000000"/>
              </w:rPr>
              <w:t>ZURE</w:t>
            </w:r>
          </w:p>
        </w:tc>
        <w:tc>
          <w:tcPr>
            <w:tcW w:w="2010" w:type="pct"/>
            <w:tcBorders>
              <w:left w:val="single" w:sz="4" w:space="0" w:color="79927E"/>
              <w:right w:val="single" w:sz="4" w:space="0" w:color="79927E"/>
            </w:tcBorders>
            <w:shd w:val="clear" w:color="auto" w:fill="D4DDD6"/>
            <w:vAlign w:val="center"/>
          </w:tcPr>
          <w:p w14:paraId="4A2D003F" w14:textId="77777777" w:rsidR="0031028C" w:rsidRPr="00223E80" w:rsidRDefault="00574686" w:rsidP="007E6ED7">
            <w:pPr>
              <w:spacing w:after="0"/>
              <w:rPr>
                <w:rFonts w:eastAsia="Arial" w:cs="Arial"/>
              </w:rPr>
            </w:pPr>
            <w:r w:rsidRPr="00223E80">
              <w:rPr>
                <w:rFonts w:eastAsia="Arial" w:cs="Arial"/>
                <w:color w:val="000000"/>
              </w:rPr>
              <w:t>Z</w:t>
            </w:r>
            <w:r w:rsidR="0031028C" w:rsidRPr="00223E80">
              <w:rPr>
                <w:rFonts w:eastAsia="Arial" w:cs="Arial"/>
                <w:color w:val="000000"/>
              </w:rPr>
              <w:t>akon o učinkoviti rabi energije</w:t>
            </w:r>
          </w:p>
        </w:tc>
        <w:tc>
          <w:tcPr>
            <w:tcW w:w="2011" w:type="pct"/>
            <w:tcBorders>
              <w:left w:val="single" w:sz="4" w:space="0" w:color="79927E"/>
            </w:tcBorders>
            <w:shd w:val="clear" w:color="auto" w:fill="D4DDD6"/>
            <w:vAlign w:val="center"/>
          </w:tcPr>
          <w:p w14:paraId="3B6F5D29" w14:textId="77777777" w:rsidR="0031028C" w:rsidRPr="00223E80" w:rsidRDefault="0031028C" w:rsidP="007E6ED7">
            <w:pPr>
              <w:spacing w:after="0"/>
              <w:rPr>
                <w:rFonts w:eastAsia="Arial" w:cs="Arial"/>
              </w:rPr>
            </w:pPr>
          </w:p>
        </w:tc>
      </w:tr>
      <w:tr w:rsidR="0031028C" w:rsidRPr="00223E80" w14:paraId="34F50643" w14:textId="77777777" w:rsidTr="00A063EC">
        <w:trPr>
          <w:trHeight w:val="283"/>
        </w:trPr>
        <w:tc>
          <w:tcPr>
            <w:tcW w:w="979" w:type="pct"/>
            <w:tcBorders>
              <w:right w:val="single" w:sz="4" w:space="0" w:color="79927E"/>
            </w:tcBorders>
            <w:shd w:val="clear" w:color="auto" w:fill="auto"/>
            <w:vAlign w:val="center"/>
          </w:tcPr>
          <w:p w14:paraId="04D14C05" w14:textId="77777777" w:rsidR="0031028C" w:rsidRPr="00223E80" w:rsidRDefault="0031028C" w:rsidP="007E6ED7">
            <w:pPr>
              <w:spacing w:after="0"/>
              <w:rPr>
                <w:rFonts w:eastAsia="Arial" w:cs="Arial"/>
              </w:rPr>
            </w:pPr>
            <w:r w:rsidRPr="00223E80">
              <w:rPr>
                <w:rFonts w:eastAsia="Arial" w:cs="Arial"/>
                <w:color w:val="000000"/>
              </w:rPr>
              <w:t>Z</w:t>
            </w:r>
            <w:r w:rsidR="00574686" w:rsidRPr="00223E80">
              <w:rPr>
                <w:rFonts w:eastAsia="Arial" w:cs="Arial"/>
                <w:color w:val="000000"/>
              </w:rPr>
              <w:t>SROVE</w:t>
            </w:r>
          </w:p>
        </w:tc>
        <w:tc>
          <w:tcPr>
            <w:tcW w:w="2010" w:type="pct"/>
            <w:tcBorders>
              <w:left w:val="single" w:sz="4" w:space="0" w:color="79927E"/>
              <w:right w:val="single" w:sz="4" w:space="0" w:color="79927E"/>
            </w:tcBorders>
            <w:shd w:val="clear" w:color="auto" w:fill="auto"/>
            <w:vAlign w:val="center"/>
          </w:tcPr>
          <w:p w14:paraId="6C5E131C" w14:textId="77777777" w:rsidR="0031028C" w:rsidRPr="00223E80" w:rsidRDefault="00574686" w:rsidP="007E6ED7">
            <w:pPr>
              <w:spacing w:after="0"/>
              <w:rPr>
                <w:rFonts w:eastAsia="Arial" w:cs="Arial"/>
              </w:rPr>
            </w:pPr>
            <w:r w:rsidRPr="00223E80">
              <w:rPr>
                <w:rFonts w:eastAsia="Arial" w:cs="Arial"/>
                <w:color w:val="000000"/>
              </w:rPr>
              <w:t>Zakon o spodbujanju energije iz obnovljivih virov energije</w:t>
            </w:r>
          </w:p>
        </w:tc>
        <w:tc>
          <w:tcPr>
            <w:tcW w:w="2011" w:type="pct"/>
            <w:tcBorders>
              <w:left w:val="single" w:sz="4" w:space="0" w:color="79927E"/>
            </w:tcBorders>
            <w:shd w:val="clear" w:color="auto" w:fill="auto"/>
            <w:vAlign w:val="center"/>
          </w:tcPr>
          <w:p w14:paraId="70101B52" w14:textId="77777777" w:rsidR="0031028C" w:rsidRPr="00223E80" w:rsidRDefault="0031028C" w:rsidP="007E6ED7">
            <w:pPr>
              <w:spacing w:after="0"/>
              <w:rPr>
                <w:rFonts w:eastAsia="Arial" w:cs="Arial"/>
              </w:rPr>
            </w:pPr>
          </w:p>
        </w:tc>
      </w:tr>
    </w:tbl>
    <w:p w14:paraId="36FDFA5A" w14:textId="77777777" w:rsidR="0031028C" w:rsidRPr="00223E80" w:rsidRDefault="0031028C" w:rsidP="00A579FC">
      <w:pPr>
        <w:pStyle w:val="Naslov1"/>
        <w:jc w:val="left"/>
        <w:rPr>
          <w:rFonts w:cs="Arial"/>
        </w:rPr>
      </w:pPr>
      <w:r w:rsidRPr="00223E80">
        <w:rPr>
          <w:rFonts w:eastAsia="Arial"/>
          <w:i/>
        </w:rPr>
        <w:br w:type="page"/>
      </w:r>
      <w:bookmarkStart w:id="11" w:name="_Toc414990669"/>
      <w:bookmarkStart w:id="12" w:name="_Toc112143974"/>
      <w:r w:rsidRPr="00223E80">
        <w:rPr>
          <w:rFonts w:eastAsia="Arial" w:cs="Arial"/>
        </w:rPr>
        <w:lastRenderedPageBreak/>
        <w:t>Povzetek</w:t>
      </w:r>
      <w:bookmarkEnd w:id="11"/>
      <w:bookmarkEnd w:id="12"/>
    </w:p>
    <w:p w14:paraId="487A2982" w14:textId="77777777" w:rsidR="00123EDA" w:rsidRPr="00223E80" w:rsidRDefault="00123EDA" w:rsidP="007E6ED7">
      <w:pPr>
        <w:shd w:val="clear" w:color="auto" w:fill="FFFFFF"/>
        <w:overflowPunct w:val="0"/>
        <w:autoSpaceDE w:val="0"/>
        <w:autoSpaceDN w:val="0"/>
        <w:adjustRightInd w:val="0"/>
        <w:spacing w:after="0"/>
        <w:contextualSpacing/>
        <w:textAlignment w:val="baseline"/>
        <w:rPr>
          <w:rFonts w:eastAsia="Arial" w:cs="Arial"/>
        </w:rPr>
      </w:pPr>
    </w:p>
    <w:p w14:paraId="11973FC3" w14:textId="77777777" w:rsidR="000041E3" w:rsidRPr="00223E80" w:rsidRDefault="000041E3" w:rsidP="000041E3">
      <w:pPr>
        <w:spacing w:after="0"/>
        <w:rPr>
          <w:rFonts w:eastAsia="Arial" w:cs="Arial"/>
        </w:rPr>
      </w:pPr>
      <w:r w:rsidRPr="00223E80">
        <w:rPr>
          <w:rFonts w:eastAsia="Arial" w:cs="Arial"/>
        </w:rPr>
        <w:t>Z namenom celovite politike na področju OVE je bil sprejet Zakon o spodbujanju rabe obnovljivih virov energije (Uradni list RS, št. 121/21 in 189/21, v nadaljevanju: ZSROVE), ki je predpisal Dolgoročni časovni načrt za doseganje ciljev spodbujanja proizvodnje in rabe obnovljivih virov energije za naslednjih pet let (v nadaljnjem besedilu: dolgoročni časovni načrt)</w:t>
      </w:r>
      <w:r w:rsidR="009B0E04" w:rsidRPr="00223E80">
        <w:rPr>
          <w:rStyle w:val="Sprotnaopomba-sklic"/>
          <w:rFonts w:eastAsia="Arial" w:cs="Arial"/>
        </w:rPr>
        <w:footnoteReference w:id="1"/>
      </w:r>
      <w:r w:rsidRPr="00223E80">
        <w:rPr>
          <w:rFonts w:eastAsia="Arial" w:cs="Arial"/>
        </w:rPr>
        <w:t xml:space="preserve"> v </w:t>
      </w:r>
      <w:r w:rsidR="001A2DED" w:rsidRPr="00223E80">
        <w:rPr>
          <w:rFonts w:eastAsia="Arial" w:cs="Arial"/>
        </w:rPr>
        <w:t xml:space="preserve">Republiki </w:t>
      </w:r>
      <w:r w:rsidRPr="00223E80">
        <w:rPr>
          <w:rFonts w:eastAsia="Arial" w:cs="Arial"/>
        </w:rPr>
        <w:t>Sloveniji kot obvezni dokument za izvajanje politike in ukrepov na tem področju. Vlada je v skladu z 19. členom ZSROVE vsaki dve leti zavezana sprejeti dolgoročni časovni načrt.</w:t>
      </w:r>
    </w:p>
    <w:p w14:paraId="7275E604" w14:textId="77777777" w:rsidR="000041E3" w:rsidRPr="00223E80" w:rsidRDefault="000041E3" w:rsidP="000041E3">
      <w:pPr>
        <w:spacing w:after="0"/>
        <w:rPr>
          <w:rFonts w:eastAsia="Arial" w:cs="Arial"/>
        </w:rPr>
      </w:pPr>
    </w:p>
    <w:p w14:paraId="300620EA" w14:textId="52AB8D8A" w:rsidR="0048690A" w:rsidRPr="00223E80" w:rsidRDefault="0048690A" w:rsidP="007E6ED7">
      <w:pPr>
        <w:shd w:val="clear" w:color="auto" w:fill="FFFFFF"/>
        <w:overflowPunct w:val="0"/>
        <w:autoSpaceDE w:val="0"/>
        <w:autoSpaceDN w:val="0"/>
        <w:adjustRightInd w:val="0"/>
        <w:spacing w:after="0"/>
        <w:contextualSpacing/>
        <w:textAlignment w:val="baseline"/>
        <w:rPr>
          <w:rFonts w:eastAsia="Arial" w:cs="Arial"/>
        </w:rPr>
      </w:pPr>
      <w:r w:rsidRPr="00223E80">
        <w:rPr>
          <w:rFonts w:eastAsia="Arial" w:cs="Arial"/>
        </w:rPr>
        <w:t>Namen dokumenta je, da se strateško usmerja in načrtuje raba razpoložljivih sredstev za spodbujanje obnovljivih virov energije. V Republiki Sloveniji imamo predvidenih več virov spodbud za financiranje ukrepov obnovljivih virov energije (v nadaljevanju: OVE), in sicer podporno shemo za električno energijo, proizvedeno iz OVE in SPTE, spodbujevalne dejavnosti Eko sklada,</w:t>
      </w:r>
      <w:r w:rsidR="004C3CE6" w:rsidRPr="00223E80">
        <w:rPr>
          <w:rFonts w:eastAsia="Arial" w:cs="Arial"/>
        </w:rPr>
        <w:t xml:space="preserve"> naložbene pomoči za naprave za samooskrbo,</w:t>
      </w:r>
      <w:r w:rsidRPr="00223E80">
        <w:rPr>
          <w:rFonts w:eastAsia="Arial" w:cs="Arial"/>
        </w:rPr>
        <w:t xml:space="preserve"> evropska sredstva </w:t>
      </w:r>
      <w:r w:rsidR="00C818AF" w:rsidRPr="00223E80">
        <w:rPr>
          <w:rFonts w:eastAsia="Arial" w:cs="Arial"/>
        </w:rPr>
        <w:t>in</w:t>
      </w:r>
      <w:r w:rsidRPr="00223E80">
        <w:rPr>
          <w:rFonts w:eastAsia="Arial" w:cs="Arial"/>
        </w:rPr>
        <w:t xml:space="preserve"> druge proračunske vire.</w:t>
      </w:r>
    </w:p>
    <w:p w14:paraId="7629756A" w14:textId="77777777" w:rsidR="00123EDA" w:rsidRPr="00223E80" w:rsidRDefault="00123EDA" w:rsidP="007E6ED7">
      <w:pPr>
        <w:shd w:val="clear" w:color="auto" w:fill="FFFFFF"/>
        <w:overflowPunct w:val="0"/>
        <w:autoSpaceDE w:val="0"/>
        <w:autoSpaceDN w:val="0"/>
        <w:adjustRightInd w:val="0"/>
        <w:spacing w:after="0"/>
        <w:contextualSpacing/>
        <w:textAlignment w:val="baseline"/>
        <w:rPr>
          <w:rFonts w:eastAsia="Arial" w:cs="Arial"/>
        </w:rPr>
      </w:pPr>
    </w:p>
    <w:p w14:paraId="2F8A5D7E" w14:textId="347437FB" w:rsidR="00123EDA" w:rsidRPr="00223E80" w:rsidRDefault="00123EDA" w:rsidP="007E6ED7">
      <w:pPr>
        <w:shd w:val="clear" w:color="auto" w:fill="FFFFFF"/>
        <w:spacing w:after="0"/>
        <w:rPr>
          <w:rFonts w:eastAsia="Times New Roman" w:cs="Arial"/>
          <w:lang w:eastAsia="sl-SI"/>
        </w:rPr>
      </w:pPr>
      <w:r w:rsidRPr="00223E80">
        <w:rPr>
          <w:rFonts w:eastAsia="Times New Roman" w:cs="Arial"/>
          <w:lang w:eastAsia="sl-SI"/>
        </w:rPr>
        <w:t xml:space="preserve">Namen dolgoročnega časovnega načrta je zlasti </w:t>
      </w:r>
      <w:r w:rsidR="00C818AF" w:rsidRPr="00223E80">
        <w:rPr>
          <w:rFonts w:eastAsia="Times New Roman" w:cs="Arial"/>
          <w:lang w:eastAsia="sl-SI"/>
        </w:rPr>
        <w:t xml:space="preserve">načrtovanje </w:t>
      </w:r>
      <w:r w:rsidRPr="00223E80">
        <w:rPr>
          <w:rFonts w:eastAsia="Times New Roman" w:cs="Arial"/>
          <w:lang w:eastAsia="sl-SI"/>
        </w:rPr>
        <w:t xml:space="preserve">sredstev sklada za podpore. Drugi ukrepi v načrtu so omenjeni za pregled razpoložljivih podpor in pravilno načrtovanje politik spodbujanja obnovljivih virov energije. </w:t>
      </w:r>
    </w:p>
    <w:p w14:paraId="6A317985" w14:textId="77777777" w:rsidR="0048690A" w:rsidRPr="00223E80" w:rsidRDefault="0048690A" w:rsidP="007E6ED7">
      <w:pPr>
        <w:shd w:val="clear" w:color="auto" w:fill="FFFFFF"/>
        <w:overflowPunct w:val="0"/>
        <w:autoSpaceDE w:val="0"/>
        <w:autoSpaceDN w:val="0"/>
        <w:adjustRightInd w:val="0"/>
        <w:spacing w:after="0"/>
        <w:contextualSpacing/>
        <w:textAlignment w:val="baseline"/>
        <w:rPr>
          <w:rFonts w:eastAsia="Arial" w:cs="Arial"/>
        </w:rPr>
      </w:pPr>
    </w:p>
    <w:p w14:paraId="070FDFDA" w14:textId="17D9CF16" w:rsidR="0048690A" w:rsidRPr="00223E80" w:rsidRDefault="0048690A" w:rsidP="007E6ED7">
      <w:pPr>
        <w:spacing w:after="0"/>
        <w:rPr>
          <w:rFonts w:eastAsia="Arial" w:cs="Arial"/>
        </w:rPr>
      </w:pPr>
      <w:r w:rsidRPr="00223E80">
        <w:rPr>
          <w:rFonts w:eastAsia="Arial" w:cs="Arial"/>
        </w:rPr>
        <w:t>S temi finančnimi viri se spodbuja krepitev proizvodnje in rabe obnovljivih virov energije z namenom doseganja ciljev na področju obnovljivih virov, ki si jih je zastavila Republika Slovenija.</w:t>
      </w:r>
    </w:p>
    <w:p w14:paraId="070B5D54" w14:textId="77777777" w:rsidR="000D5FCF" w:rsidRPr="00223E80" w:rsidRDefault="000D5FCF" w:rsidP="007E6ED7">
      <w:pPr>
        <w:spacing w:after="0"/>
        <w:rPr>
          <w:rFonts w:eastAsia="Arial" w:cs="Arial"/>
        </w:rPr>
      </w:pPr>
    </w:p>
    <w:p w14:paraId="5A081CA8" w14:textId="77777777" w:rsidR="000D5FCF" w:rsidRPr="00223E80" w:rsidRDefault="000D5FCF" w:rsidP="007E6ED7">
      <w:pPr>
        <w:pStyle w:val="rkovnatokazaodstavkom"/>
        <w:numPr>
          <w:ilvl w:val="0"/>
          <w:numId w:val="0"/>
        </w:numPr>
        <w:spacing w:line="276" w:lineRule="auto"/>
        <w:ind w:firstLine="1"/>
        <w:rPr>
          <w:rFonts w:eastAsia="Arial"/>
        </w:rPr>
      </w:pPr>
    </w:p>
    <w:p w14:paraId="04403B44" w14:textId="77777777" w:rsidR="00123EDA" w:rsidRPr="00223E80" w:rsidRDefault="00123EDA" w:rsidP="007E6ED7">
      <w:pPr>
        <w:pStyle w:val="rkovnatokazaodstavkom"/>
        <w:numPr>
          <w:ilvl w:val="0"/>
          <w:numId w:val="0"/>
        </w:numPr>
        <w:spacing w:line="276" w:lineRule="auto"/>
        <w:ind w:firstLine="1"/>
      </w:pPr>
    </w:p>
    <w:p w14:paraId="2F2E5833" w14:textId="77777777" w:rsidR="002007EA" w:rsidRPr="00223E80" w:rsidRDefault="002007EA" w:rsidP="007E6ED7">
      <w:pPr>
        <w:pStyle w:val="rkovnatokazaodstavkom"/>
        <w:numPr>
          <w:ilvl w:val="0"/>
          <w:numId w:val="0"/>
        </w:numPr>
        <w:spacing w:line="276" w:lineRule="auto"/>
        <w:ind w:firstLine="1"/>
        <w:rPr>
          <w:rFonts w:eastAsia="Arial"/>
        </w:rPr>
      </w:pPr>
    </w:p>
    <w:p w14:paraId="1FFA74B8" w14:textId="77777777" w:rsidR="007E6ED7" w:rsidRPr="00223E80" w:rsidRDefault="007E6ED7" w:rsidP="007E6ED7">
      <w:pPr>
        <w:pStyle w:val="rkovnatokazaodstavkom"/>
        <w:numPr>
          <w:ilvl w:val="0"/>
          <w:numId w:val="0"/>
        </w:numPr>
        <w:spacing w:line="276" w:lineRule="auto"/>
        <w:ind w:firstLine="1"/>
        <w:rPr>
          <w:rFonts w:eastAsia="Arial"/>
        </w:rPr>
      </w:pPr>
    </w:p>
    <w:p w14:paraId="665C88AA" w14:textId="77777777" w:rsidR="007E6ED7" w:rsidRPr="00223E80" w:rsidRDefault="007E6ED7" w:rsidP="007E6ED7">
      <w:pPr>
        <w:pStyle w:val="rkovnatokazaodstavkom"/>
        <w:numPr>
          <w:ilvl w:val="0"/>
          <w:numId w:val="0"/>
        </w:numPr>
        <w:spacing w:line="276" w:lineRule="auto"/>
        <w:ind w:firstLine="1"/>
        <w:rPr>
          <w:rFonts w:eastAsia="Arial"/>
        </w:rPr>
      </w:pPr>
    </w:p>
    <w:p w14:paraId="06F3C916" w14:textId="77777777" w:rsidR="007E6ED7" w:rsidRPr="00223E80" w:rsidRDefault="007E6ED7" w:rsidP="007E6ED7">
      <w:pPr>
        <w:pStyle w:val="rkovnatokazaodstavkom"/>
        <w:numPr>
          <w:ilvl w:val="0"/>
          <w:numId w:val="0"/>
        </w:numPr>
        <w:spacing w:line="276" w:lineRule="auto"/>
        <w:ind w:firstLine="1"/>
        <w:rPr>
          <w:rFonts w:eastAsia="Arial"/>
        </w:rPr>
      </w:pPr>
    </w:p>
    <w:p w14:paraId="517616F9" w14:textId="77777777" w:rsidR="007E6ED7" w:rsidRPr="00223E80" w:rsidRDefault="007E6ED7" w:rsidP="007E6ED7">
      <w:pPr>
        <w:pStyle w:val="rkovnatokazaodstavkom"/>
        <w:numPr>
          <w:ilvl w:val="0"/>
          <w:numId w:val="0"/>
        </w:numPr>
        <w:spacing w:line="276" w:lineRule="auto"/>
        <w:ind w:firstLine="1"/>
        <w:rPr>
          <w:rFonts w:eastAsia="Arial"/>
        </w:rPr>
      </w:pPr>
    </w:p>
    <w:p w14:paraId="3A5C4153" w14:textId="77777777" w:rsidR="007E6ED7" w:rsidRPr="00223E80" w:rsidRDefault="007E6ED7" w:rsidP="007E6ED7">
      <w:pPr>
        <w:pStyle w:val="rkovnatokazaodstavkom"/>
        <w:numPr>
          <w:ilvl w:val="0"/>
          <w:numId w:val="0"/>
        </w:numPr>
        <w:spacing w:line="276" w:lineRule="auto"/>
        <w:ind w:firstLine="1"/>
        <w:rPr>
          <w:rFonts w:eastAsia="Arial"/>
        </w:rPr>
      </w:pPr>
    </w:p>
    <w:p w14:paraId="0042D217" w14:textId="77777777" w:rsidR="007E6ED7" w:rsidRPr="00223E80" w:rsidRDefault="007E6ED7" w:rsidP="007E6ED7">
      <w:pPr>
        <w:pStyle w:val="rkovnatokazaodstavkom"/>
        <w:numPr>
          <w:ilvl w:val="0"/>
          <w:numId w:val="0"/>
        </w:numPr>
        <w:spacing w:line="276" w:lineRule="auto"/>
        <w:ind w:firstLine="1"/>
        <w:rPr>
          <w:rFonts w:eastAsia="Arial"/>
        </w:rPr>
      </w:pPr>
    </w:p>
    <w:p w14:paraId="1E827408" w14:textId="77777777" w:rsidR="005D54AF" w:rsidRPr="00223E80" w:rsidRDefault="005D54AF" w:rsidP="007E6ED7">
      <w:pPr>
        <w:pStyle w:val="rkovnatokazaodstavkom"/>
        <w:numPr>
          <w:ilvl w:val="0"/>
          <w:numId w:val="0"/>
        </w:numPr>
        <w:spacing w:line="276" w:lineRule="auto"/>
        <w:ind w:firstLine="1"/>
        <w:rPr>
          <w:rFonts w:eastAsia="Arial"/>
        </w:rPr>
      </w:pPr>
    </w:p>
    <w:p w14:paraId="0DAA08D0" w14:textId="77777777" w:rsidR="005D54AF" w:rsidRPr="00223E80" w:rsidRDefault="005D54AF" w:rsidP="007E6ED7">
      <w:pPr>
        <w:pStyle w:val="rkovnatokazaodstavkom"/>
        <w:numPr>
          <w:ilvl w:val="0"/>
          <w:numId w:val="0"/>
        </w:numPr>
        <w:spacing w:line="276" w:lineRule="auto"/>
        <w:ind w:firstLine="1"/>
        <w:rPr>
          <w:rFonts w:eastAsia="Arial"/>
        </w:rPr>
      </w:pPr>
    </w:p>
    <w:p w14:paraId="4F20D460" w14:textId="77777777" w:rsidR="0031028C" w:rsidRPr="00223E80" w:rsidRDefault="0031028C" w:rsidP="007E6ED7">
      <w:pPr>
        <w:spacing w:after="0"/>
      </w:pPr>
    </w:p>
    <w:p w14:paraId="39804549" w14:textId="77777777" w:rsidR="00123EDA" w:rsidRPr="00223E80" w:rsidRDefault="00123EDA" w:rsidP="007E6ED7">
      <w:pPr>
        <w:spacing w:after="0"/>
      </w:pPr>
    </w:p>
    <w:p w14:paraId="08EED644" w14:textId="77777777" w:rsidR="0031028C" w:rsidRPr="00223E80" w:rsidRDefault="0031028C" w:rsidP="007E6ED7">
      <w:pPr>
        <w:spacing w:after="0"/>
      </w:pPr>
    </w:p>
    <w:p w14:paraId="4D9EB2E3" w14:textId="77777777" w:rsidR="0031028C" w:rsidRPr="00223E80" w:rsidRDefault="0031028C" w:rsidP="007E6ED7">
      <w:pPr>
        <w:spacing w:after="0"/>
      </w:pPr>
    </w:p>
    <w:p w14:paraId="5C41938B" w14:textId="77777777" w:rsidR="007E6ED7" w:rsidRPr="00223E80" w:rsidRDefault="007E6ED7" w:rsidP="007E6ED7">
      <w:pPr>
        <w:spacing w:after="0"/>
      </w:pPr>
    </w:p>
    <w:p w14:paraId="5AC6169C" w14:textId="77777777" w:rsidR="0031028C" w:rsidRPr="00223E80" w:rsidRDefault="0031028C" w:rsidP="007E6ED7">
      <w:pPr>
        <w:spacing w:after="0"/>
      </w:pPr>
    </w:p>
    <w:p w14:paraId="7C5E33B6" w14:textId="77777777" w:rsidR="0031028C" w:rsidRPr="00223E80" w:rsidRDefault="0031028C" w:rsidP="007E6ED7">
      <w:pPr>
        <w:spacing w:after="0"/>
      </w:pPr>
    </w:p>
    <w:p w14:paraId="44F2D38A" w14:textId="77777777" w:rsidR="00B7359D" w:rsidRPr="00223E80" w:rsidRDefault="000D5FCF" w:rsidP="00A579FC">
      <w:pPr>
        <w:pStyle w:val="Naslov1"/>
        <w:jc w:val="left"/>
        <w:rPr>
          <w:rFonts w:cs="Arial"/>
        </w:rPr>
      </w:pPr>
      <w:bookmarkStart w:id="13" w:name="_Toc112143975"/>
      <w:bookmarkStart w:id="14" w:name="_Toc89890900"/>
      <w:r w:rsidRPr="00223E80">
        <w:rPr>
          <w:rFonts w:cs="Arial"/>
        </w:rPr>
        <w:lastRenderedPageBreak/>
        <w:t xml:space="preserve">1   </w:t>
      </w:r>
      <w:r w:rsidR="00B7359D" w:rsidRPr="00223E80">
        <w:rPr>
          <w:rFonts w:cs="Arial"/>
        </w:rPr>
        <w:t>UVOD</w:t>
      </w:r>
      <w:bookmarkEnd w:id="13"/>
    </w:p>
    <w:p w14:paraId="32AA29E1" w14:textId="77777777" w:rsidR="007E6ED7" w:rsidRPr="00223E80" w:rsidRDefault="007E6ED7" w:rsidP="00185FBE">
      <w:pPr>
        <w:spacing w:after="0"/>
        <w:rPr>
          <w:rFonts w:eastAsia="Times New Roman"/>
          <w:b/>
          <w:iCs/>
          <w:color w:val="3A4A3E"/>
          <w:sz w:val="28"/>
          <w:szCs w:val="24"/>
        </w:rPr>
      </w:pPr>
    </w:p>
    <w:p w14:paraId="451560EC" w14:textId="5541BDFA" w:rsidR="00A579FC" w:rsidRPr="00223E80" w:rsidRDefault="00B27278" w:rsidP="00A579FC">
      <w:pPr>
        <w:shd w:val="clear" w:color="auto" w:fill="FFFFFF"/>
        <w:spacing w:after="0"/>
        <w:rPr>
          <w:rFonts w:eastAsia="Times New Roman" w:cs="Arial"/>
          <w:lang w:eastAsia="sl-SI"/>
        </w:rPr>
      </w:pPr>
      <w:r w:rsidRPr="00223E80">
        <w:rPr>
          <w:rFonts w:eastAsia="Times New Roman" w:cs="Arial"/>
          <w:lang w:eastAsia="sl-SI"/>
        </w:rPr>
        <w:t>Glede</w:t>
      </w:r>
      <w:r w:rsidR="00E20E61" w:rsidRPr="00223E80">
        <w:rPr>
          <w:rFonts w:eastAsia="Times New Roman" w:cs="Arial"/>
          <w:lang w:eastAsia="sl-SI"/>
        </w:rPr>
        <w:t xml:space="preserve"> zelenega prehoda je razogljičenje energetskega sistema </w:t>
      </w:r>
      <w:r w:rsidR="002E4B30" w:rsidRPr="00223E80">
        <w:rPr>
          <w:rFonts w:eastAsia="Times New Roman" w:cs="Arial"/>
          <w:lang w:eastAsia="sl-SI"/>
        </w:rPr>
        <w:t>s</w:t>
      </w:r>
      <w:r w:rsidR="00E20E61" w:rsidRPr="00223E80">
        <w:rPr>
          <w:rFonts w:eastAsia="Times New Roman" w:cs="Arial"/>
          <w:lang w:eastAsia="sl-SI"/>
        </w:rPr>
        <w:t xml:space="preserve"> povečan</w:t>
      </w:r>
      <w:r w:rsidR="002E4B30" w:rsidRPr="00223E80">
        <w:rPr>
          <w:rFonts w:eastAsia="Times New Roman" w:cs="Arial"/>
          <w:lang w:eastAsia="sl-SI"/>
        </w:rPr>
        <w:t>o</w:t>
      </w:r>
      <w:r w:rsidR="00E20E61" w:rsidRPr="00223E80">
        <w:rPr>
          <w:rFonts w:eastAsia="Times New Roman" w:cs="Arial"/>
          <w:lang w:eastAsia="sl-SI"/>
        </w:rPr>
        <w:t xml:space="preserve"> rab</w:t>
      </w:r>
      <w:r w:rsidR="002E4B30" w:rsidRPr="00223E80">
        <w:rPr>
          <w:rFonts w:eastAsia="Times New Roman" w:cs="Arial"/>
          <w:lang w:eastAsia="sl-SI"/>
        </w:rPr>
        <w:t>o</w:t>
      </w:r>
      <w:r w:rsidR="00E20E61" w:rsidRPr="00223E80">
        <w:rPr>
          <w:rFonts w:eastAsia="Times New Roman" w:cs="Arial"/>
          <w:lang w:eastAsia="sl-SI"/>
        </w:rPr>
        <w:t xml:space="preserve"> obnovljivih virov nujno za doseganje podnebnih ciljev EU v letih 2030 in 2050</w:t>
      </w:r>
      <w:r w:rsidRPr="00223E80">
        <w:rPr>
          <w:rFonts w:eastAsia="Times New Roman" w:cs="Arial"/>
          <w:lang w:eastAsia="sl-SI"/>
        </w:rPr>
        <w:t>.</w:t>
      </w:r>
      <w:r w:rsidR="00E20E61" w:rsidRPr="00223E80">
        <w:rPr>
          <w:rFonts w:eastAsia="Times New Roman" w:cs="Arial"/>
          <w:lang w:eastAsia="sl-SI"/>
        </w:rPr>
        <w:t xml:space="preserve"> </w:t>
      </w:r>
      <w:r w:rsidR="002E4B30" w:rsidRPr="00223E80">
        <w:rPr>
          <w:rFonts w:eastAsia="Times New Roman" w:cs="Arial"/>
          <w:lang w:eastAsia="sl-SI"/>
        </w:rPr>
        <w:t>N</w:t>
      </w:r>
      <w:r w:rsidR="00E20E61" w:rsidRPr="00223E80">
        <w:rPr>
          <w:rFonts w:eastAsia="Times New Roman" w:cs="Arial"/>
          <w:lang w:eastAsia="sl-SI"/>
        </w:rPr>
        <w:t xml:space="preserve">eodvisno od tega pa je </w:t>
      </w:r>
      <w:r w:rsidR="002E4B30" w:rsidRPr="00223E80">
        <w:rPr>
          <w:rFonts w:eastAsia="Times New Roman" w:cs="Arial"/>
          <w:lang w:eastAsia="sl-SI"/>
        </w:rPr>
        <w:t>zaradi</w:t>
      </w:r>
      <w:r w:rsidR="00E20E61" w:rsidRPr="00223E80">
        <w:rPr>
          <w:rFonts w:eastAsia="Times New Roman" w:cs="Arial"/>
          <w:lang w:eastAsia="sl-SI"/>
        </w:rPr>
        <w:t xml:space="preserve"> energetske krize in možnih izpadov dobav </w:t>
      </w:r>
      <w:r w:rsidR="00C3206A" w:rsidRPr="00223E80">
        <w:rPr>
          <w:rFonts w:eastAsia="Times New Roman" w:cs="Arial"/>
          <w:lang w:eastAsia="sl-SI"/>
        </w:rPr>
        <w:t xml:space="preserve">energentov v prihodnosti treba znižati uvozno odvisnost </w:t>
      </w:r>
      <w:r w:rsidR="001A2DED" w:rsidRPr="00223E80">
        <w:rPr>
          <w:rFonts w:eastAsia="Times New Roman" w:cs="Arial"/>
          <w:lang w:eastAsia="sl-SI"/>
        </w:rPr>
        <w:t xml:space="preserve">Republike </w:t>
      </w:r>
      <w:r w:rsidR="00C3206A" w:rsidRPr="00223E80">
        <w:rPr>
          <w:rFonts w:eastAsia="Times New Roman" w:cs="Arial"/>
          <w:lang w:eastAsia="sl-SI"/>
        </w:rPr>
        <w:t>Slovenije in povečati zanesljivost oskrbe z energijo</w:t>
      </w:r>
      <w:r w:rsidR="00006A3B" w:rsidRPr="00223E80">
        <w:rPr>
          <w:rFonts w:eastAsia="Times New Roman" w:cs="Arial"/>
          <w:lang w:eastAsia="sl-SI"/>
        </w:rPr>
        <w:t xml:space="preserve"> domačega izvora</w:t>
      </w:r>
      <w:r w:rsidR="00E20E61" w:rsidRPr="00223E80">
        <w:rPr>
          <w:rFonts w:eastAsia="Times New Roman" w:cs="Arial"/>
          <w:lang w:eastAsia="sl-SI"/>
        </w:rPr>
        <w:t xml:space="preserve">. </w:t>
      </w:r>
    </w:p>
    <w:p w14:paraId="603422D0" w14:textId="77777777" w:rsidR="00A579FC" w:rsidRPr="00223E80" w:rsidRDefault="00A579FC" w:rsidP="00A579FC">
      <w:pPr>
        <w:shd w:val="clear" w:color="auto" w:fill="FFFFFF"/>
        <w:spacing w:after="0"/>
        <w:rPr>
          <w:rFonts w:eastAsia="Times New Roman" w:cs="Arial"/>
          <w:lang w:eastAsia="sl-SI"/>
        </w:rPr>
      </w:pPr>
    </w:p>
    <w:p w14:paraId="4B2860AD" w14:textId="77777777" w:rsidR="008A315D" w:rsidRPr="00223E80" w:rsidRDefault="000D5FCF" w:rsidP="00A579FC">
      <w:pPr>
        <w:pStyle w:val="Naslov1"/>
        <w:jc w:val="left"/>
        <w:rPr>
          <w:rFonts w:cs="Arial"/>
        </w:rPr>
      </w:pPr>
      <w:bookmarkStart w:id="15" w:name="_Toc112143976"/>
      <w:r w:rsidRPr="00223E80">
        <w:rPr>
          <w:rFonts w:cs="Arial"/>
        </w:rPr>
        <w:t xml:space="preserve">2   </w:t>
      </w:r>
      <w:r w:rsidR="008A315D" w:rsidRPr="00223E80">
        <w:rPr>
          <w:rFonts w:cs="Arial"/>
        </w:rPr>
        <w:t>POLITIKE IN CILJI NA PODROČJU OBNOVLJIVIH VIROV ENERGIJE</w:t>
      </w:r>
      <w:bookmarkEnd w:id="15"/>
    </w:p>
    <w:p w14:paraId="6711A1E4" w14:textId="77777777" w:rsidR="007E6ED7" w:rsidRPr="00223E80" w:rsidRDefault="007E6ED7" w:rsidP="007E6ED7">
      <w:pPr>
        <w:spacing w:after="0"/>
        <w:rPr>
          <w:rFonts w:eastAsia="Times New Roman"/>
          <w:b/>
          <w:iCs/>
          <w:color w:val="3A4A3E"/>
          <w:sz w:val="28"/>
          <w:szCs w:val="24"/>
        </w:rPr>
      </w:pPr>
    </w:p>
    <w:p w14:paraId="2A7C87E3" w14:textId="2A647CFE" w:rsidR="008C61DB" w:rsidRPr="00223E80" w:rsidRDefault="007C42C3" w:rsidP="007E6ED7">
      <w:pPr>
        <w:tabs>
          <w:tab w:val="left" w:pos="440"/>
          <w:tab w:val="right" w:leader="dot" w:pos="9350"/>
        </w:tabs>
        <w:spacing w:after="0"/>
        <w:rPr>
          <w:rFonts w:cs="Arial"/>
        </w:rPr>
      </w:pPr>
      <w:r w:rsidRPr="00223E80">
        <w:rPr>
          <w:rFonts w:eastAsia="Times New Roman" w:cs="Arial"/>
          <w:lang w:eastAsia="sl-SI"/>
        </w:rPr>
        <w:t>Zaradi nastopa podnebnih sprememb in boja proti njim se je</w:t>
      </w:r>
      <w:r w:rsidR="00447659" w:rsidRPr="00223E80">
        <w:rPr>
          <w:rFonts w:eastAsia="Times New Roman" w:cs="Arial"/>
          <w:lang w:eastAsia="sl-SI"/>
        </w:rPr>
        <w:t xml:space="preserve"> </w:t>
      </w:r>
      <w:r w:rsidRPr="00223E80">
        <w:rPr>
          <w:rFonts w:eastAsia="Times New Roman" w:cs="Arial"/>
          <w:lang w:eastAsia="sl-SI"/>
        </w:rPr>
        <w:t xml:space="preserve">na nivoju </w:t>
      </w:r>
      <w:r w:rsidR="00447659" w:rsidRPr="00223E80">
        <w:rPr>
          <w:rFonts w:eastAsia="Times New Roman" w:cs="Arial"/>
          <w:lang w:eastAsia="sl-SI"/>
        </w:rPr>
        <w:t xml:space="preserve">EU </w:t>
      </w:r>
      <w:r w:rsidRPr="00223E80">
        <w:rPr>
          <w:rFonts w:eastAsia="Times New Roman" w:cs="Arial"/>
          <w:lang w:eastAsia="sl-SI"/>
        </w:rPr>
        <w:t>pravno doreklo</w:t>
      </w:r>
      <w:r w:rsidR="00447659" w:rsidRPr="00223E80">
        <w:rPr>
          <w:rFonts w:eastAsia="Times New Roman" w:cs="Arial"/>
          <w:lang w:eastAsia="sl-SI"/>
        </w:rPr>
        <w:t xml:space="preserve"> usklajeno doseganje ciljev na ravni držav članic</w:t>
      </w:r>
      <w:r w:rsidRPr="00223E80">
        <w:rPr>
          <w:rFonts w:eastAsia="Times New Roman" w:cs="Arial"/>
          <w:lang w:eastAsia="sl-SI"/>
        </w:rPr>
        <w:t>, kar se odraža</w:t>
      </w:r>
      <w:r w:rsidR="00447659" w:rsidRPr="00223E80">
        <w:rPr>
          <w:rFonts w:eastAsia="Times New Roman" w:cs="Arial"/>
          <w:lang w:eastAsia="sl-SI"/>
        </w:rPr>
        <w:t xml:space="preserve"> pri načrtovanju politik in ukrepov </w:t>
      </w:r>
      <w:r w:rsidRPr="00223E80">
        <w:rPr>
          <w:rFonts w:eastAsia="Times New Roman" w:cs="Arial"/>
          <w:lang w:eastAsia="sl-SI"/>
        </w:rPr>
        <w:t xml:space="preserve">tudi </w:t>
      </w:r>
      <w:r w:rsidR="00447659" w:rsidRPr="00223E80">
        <w:rPr>
          <w:rFonts w:eastAsia="Times New Roman" w:cs="Arial"/>
          <w:lang w:eastAsia="sl-SI"/>
        </w:rPr>
        <w:t xml:space="preserve">za področje energetike. </w:t>
      </w:r>
      <w:r w:rsidR="00ED575B" w:rsidRPr="00223E80">
        <w:rPr>
          <w:rFonts w:cs="Arial"/>
          <w:noProof/>
        </w:rPr>
        <w:t>N</w:t>
      </w:r>
      <w:r w:rsidR="008C61DB" w:rsidRPr="00223E80">
        <w:rPr>
          <w:rFonts w:cs="Arial"/>
          <w:noProof/>
        </w:rPr>
        <w:t>ajpomembnejša naloga te generacije</w:t>
      </w:r>
      <w:r w:rsidR="00ED575B" w:rsidRPr="00223E80">
        <w:rPr>
          <w:rFonts w:cs="Arial"/>
        </w:rPr>
        <w:t xml:space="preserve"> je s</w:t>
      </w:r>
      <w:r w:rsidR="00ED575B" w:rsidRPr="00223E80">
        <w:rPr>
          <w:rFonts w:cs="Arial"/>
          <w:noProof/>
        </w:rPr>
        <w:t>popadanje s podnebnimi in okoljskimi izzivi</w:t>
      </w:r>
      <w:r w:rsidR="008C61DB" w:rsidRPr="00223E80">
        <w:rPr>
          <w:rFonts w:cs="Arial"/>
        </w:rPr>
        <w:t xml:space="preserve">. EZD predstavlja okvir, kako bomo pristopili k </w:t>
      </w:r>
      <w:r w:rsidR="008C61DB" w:rsidRPr="00223E80">
        <w:rPr>
          <w:rFonts w:cs="Arial"/>
          <w:noProof/>
        </w:rPr>
        <w:t xml:space="preserve">rasti, katere cilj je preobraziti EU v uspešno družbo s konkurenčnim gospodarstvom, ki v letu 2050 ne bo ustvarjalo neto emisij TGP in v katerem bo rast ločena od rabe virov. Slovenija je podprla integracijo </w:t>
      </w:r>
      <w:r w:rsidR="008C61DB" w:rsidRPr="00223E80">
        <w:rPr>
          <w:rFonts w:cs="Arial"/>
        </w:rPr>
        <w:t>Agende 2030 in ciljev trajnostnega razvoja v temeljne razvojne dokumente in procese v EU ob upoštev</w:t>
      </w:r>
      <w:r w:rsidR="00ED575B" w:rsidRPr="00223E80">
        <w:rPr>
          <w:rFonts w:cs="Arial"/>
        </w:rPr>
        <w:t>a</w:t>
      </w:r>
      <w:r w:rsidR="008C61DB" w:rsidRPr="00223E80">
        <w:rPr>
          <w:rFonts w:cs="Arial"/>
        </w:rPr>
        <w:t>nju nacionalnih posebnosti.</w:t>
      </w:r>
      <w:r w:rsidR="008C61DB" w:rsidRPr="00223E80">
        <w:rPr>
          <w:rFonts w:cs="Arial"/>
          <w:b/>
          <w:bCs/>
        </w:rPr>
        <w:t xml:space="preserve"> </w:t>
      </w:r>
      <w:r w:rsidR="008C61DB" w:rsidRPr="00223E80">
        <w:rPr>
          <w:rFonts w:cs="Arial"/>
        </w:rPr>
        <w:t xml:space="preserve">  </w:t>
      </w:r>
    </w:p>
    <w:p w14:paraId="0675E410" w14:textId="77777777" w:rsidR="008C61DB" w:rsidRPr="00223E80" w:rsidRDefault="008C61DB" w:rsidP="007E6ED7">
      <w:pPr>
        <w:tabs>
          <w:tab w:val="left" w:pos="440"/>
          <w:tab w:val="right" w:leader="dot" w:pos="9350"/>
        </w:tabs>
        <w:spacing w:after="0"/>
        <w:rPr>
          <w:rFonts w:cs="Arial"/>
        </w:rPr>
      </w:pPr>
    </w:p>
    <w:p w14:paraId="73BAF00F" w14:textId="111FBCFD" w:rsidR="00447659" w:rsidRPr="00223E80" w:rsidRDefault="00447659" w:rsidP="007E6ED7">
      <w:pPr>
        <w:tabs>
          <w:tab w:val="left" w:pos="440"/>
          <w:tab w:val="right" w:leader="dot" w:pos="9350"/>
        </w:tabs>
        <w:spacing w:after="0"/>
        <w:rPr>
          <w:rFonts w:eastAsia="Times New Roman" w:cs="Arial"/>
          <w:lang w:eastAsia="sl-SI"/>
        </w:rPr>
      </w:pPr>
      <w:r w:rsidRPr="00223E80">
        <w:rPr>
          <w:rFonts w:eastAsia="Times New Roman" w:cs="Arial"/>
          <w:lang w:eastAsia="sl-SI"/>
        </w:rPr>
        <w:t>V ta namen je bila v sklopu zakonodajnega paketa »Čista energija za vse Evropejce« (t.</w:t>
      </w:r>
      <w:r w:rsidR="008A1F5A" w:rsidRPr="00223E80">
        <w:rPr>
          <w:rFonts w:eastAsia="Times New Roman" w:cs="Arial"/>
          <w:lang w:eastAsia="sl-SI"/>
        </w:rPr>
        <w:t xml:space="preserve"> </w:t>
      </w:r>
      <w:r w:rsidRPr="00223E80">
        <w:rPr>
          <w:rFonts w:eastAsia="Times New Roman" w:cs="Arial"/>
          <w:lang w:eastAsia="sl-SI"/>
        </w:rPr>
        <w:t xml:space="preserve">i. Clean Energy Package) sprejeta </w:t>
      </w:r>
      <w:r w:rsidR="004C3CE6" w:rsidRPr="00223E80">
        <w:rPr>
          <w:rFonts w:eastAsia="Times New Roman" w:cs="Arial"/>
          <w:lang w:eastAsia="sl-SI"/>
        </w:rPr>
        <w:t xml:space="preserve">tudi </w:t>
      </w:r>
      <w:r w:rsidRPr="00223E80">
        <w:rPr>
          <w:rFonts w:eastAsia="Times New Roman" w:cs="Arial"/>
          <w:lang w:eastAsia="sl-SI"/>
        </w:rPr>
        <w:t>Uredba (EU) 2018/1999</w:t>
      </w:r>
      <w:r w:rsidR="007C42C3" w:rsidRPr="00223E80">
        <w:rPr>
          <w:rFonts w:eastAsia="Times New Roman"/>
          <w:vertAlign w:val="superscript"/>
          <w:lang w:eastAsia="sl-SI"/>
        </w:rPr>
        <w:footnoteReference w:id="2"/>
      </w:r>
      <w:r w:rsidR="00D611DA" w:rsidRPr="00223E80">
        <w:rPr>
          <w:rFonts w:eastAsia="Times New Roman" w:cs="Arial"/>
          <w:lang w:eastAsia="sl-SI"/>
        </w:rPr>
        <w:t xml:space="preserve"> (v nadaljevanju: Uredba)</w:t>
      </w:r>
      <w:r w:rsidR="007C42C3" w:rsidRPr="00223E80">
        <w:rPr>
          <w:rFonts w:eastAsia="Times New Roman" w:cs="Arial"/>
          <w:lang w:eastAsia="sl-SI"/>
        </w:rPr>
        <w:t>. Ta akt nadgrajuje delovanje</w:t>
      </w:r>
      <w:r w:rsidRPr="00223E80">
        <w:rPr>
          <w:rFonts w:eastAsia="Times New Roman" w:cs="Arial"/>
          <w:lang w:eastAsia="sl-SI"/>
        </w:rPr>
        <w:t xml:space="preserve"> ene</w:t>
      </w:r>
      <w:r w:rsidR="007C42C3" w:rsidRPr="00223E80">
        <w:rPr>
          <w:rFonts w:eastAsia="Times New Roman" w:cs="Arial"/>
          <w:lang w:eastAsia="sl-SI"/>
        </w:rPr>
        <w:t xml:space="preserve">rgetske unije </w:t>
      </w:r>
      <w:r w:rsidR="008A1F5A" w:rsidRPr="00223E80">
        <w:rPr>
          <w:rFonts w:eastAsia="Times New Roman" w:cs="Arial"/>
          <w:lang w:eastAsia="sl-SI"/>
        </w:rPr>
        <w:t>in</w:t>
      </w:r>
      <w:r w:rsidR="007C42C3" w:rsidRPr="00223E80">
        <w:rPr>
          <w:rFonts w:eastAsia="Times New Roman" w:cs="Arial"/>
          <w:lang w:eastAsia="sl-SI"/>
        </w:rPr>
        <w:t xml:space="preserve"> stremi k </w:t>
      </w:r>
      <w:r w:rsidRPr="00223E80">
        <w:rPr>
          <w:rFonts w:eastAsia="Times New Roman" w:cs="Arial"/>
          <w:lang w:eastAsia="sl-SI"/>
        </w:rPr>
        <w:t>u</w:t>
      </w:r>
      <w:r w:rsidR="007C42C3" w:rsidRPr="00223E80">
        <w:rPr>
          <w:rFonts w:eastAsia="Times New Roman" w:cs="Arial"/>
          <w:lang w:eastAsia="sl-SI"/>
        </w:rPr>
        <w:t xml:space="preserve">sklajenosti nacionalnih politik, pri čemer </w:t>
      </w:r>
      <w:r w:rsidR="00D15AA3" w:rsidRPr="00223E80">
        <w:rPr>
          <w:rFonts w:eastAsia="Times New Roman" w:cs="Arial"/>
          <w:lang w:eastAsia="sl-SI"/>
        </w:rPr>
        <w:t xml:space="preserve">pa </w:t>
      </w:r>
      <w:r w:rsidR="007C42C3" w:rsidRPr="00223E80">
        <w:rPr>
          <w:rFonts w:eastAsia="Times New Roman" w:cs="Arial"/>
          <w:lang w:eastAsia="sl-SI"/>
        </w:rPr>
        <w:t xml:space="preserve">kot pomembno predpisuje tudi obveznost držav članic </w:t>
      </w:r>
      <w:r w:rsidR="000C0C5A" w:rsidRPr="00223E80">
        <w:rPr>
          <w:rFonts w:eastAsia="Times New Roman" w:cs="Arial"/>
          <w:lang w:eastAsia="sl-SI"/>
        </w:rPr>
        <w:t xml:space="preserve">za </w:t>
      </w:r>
      <w:r w:rsidR="007C42C3" w:rsidRPr="00223E80">
        <w:rPr>
          <w:rFonts w:eastAsia="Times New Roman" w:cs="Arial"/>
          <w:lang w:eastAsia="sl-SI"/>
        </w:rPr>
        <w:t>sprejetj</w:t>
      </w:r>
      <w:r w:rsidR="000C0C5A" w:rsidRPr="00223E80">
        <w:rPr>
          <w:rFonts w:eastAsia="Times New Roman" w:cs="Arial"/>
          <w:lang w:eastAsia="sl-SI"/>
        </w:rPr>
        <w:t>e</w:t>
      </w:r>
      <w:r w:rsidR="007C42C3" w:rsidRPr="00223E80">
        <w:rPr>
          <w:rFonts w:eastAsia="Times New Roman" w:cs="Arial"/>
          <w:lang w:eastAsia="sl-SI"/>
        </w:rPr>
        <w:t xml:space="preserve"> </w:t>
      </w:r>
      <w:hyperlink r:id="rId9" w:history="1">
        <w:r w:rsidR="007C42C3" w:rsidRPr="00223E80">
          <w:rPr>
            <w:rFonts w:eastAsia="Times New Roman" w:cs="Arial"/>
            <w:lang w:eastAsia="sl-SI"/>
          </w:rPr>
          <w:t>Nacionalnih energetskih in podnebnih načrt</w:t>
        </w:r>
      </w:hyperlink>
      <w:r w:rsidR="007C42C3" w:rsidRPr="00223E80">
        <w:rPr>
          <w:rFonts w:eastAsia="Times New Roman" w:cs="Arial"/>
          <w:lang w:eastAsia="sl-SI"/>
        </w:rPr>
        <w:t>ov (v nadaljevanju:</w:t>
      </w:r>
      <w:r w:rsidRPr="00223E80">
        <w:rPr>
          <w:rFonts w:eastAsia="Times New Roman" w:cs="Arial"/>
          <w:lang w:eastAsia="sl-SI"/>
        </w:rPr>
        <w:t xml:space="preserve"> NEPN</w:t>
      </w:r>
      <w:r w:rsidR="007C42C3" w:rsidRPr="00223E80">
        <w:rPr>
          <w:rFonts w:eastAsia="Times New Roman" w:cs="Arial"/>
          <w:lang w:eastAsia="sl-SI"/>
        </w:rPr>
        <w:t>)</w:t>
      </w:r>
      <w:r w:rsidRPr="00223E80">
        <w:rPr>
          <w:rFonts w:eastAsia="Times New Roman" w:cs="Arial"/>
          <w:lang w:eastAsia="sl-SI"/>
        </w:rPr>
        <w:t>. Uredba določa tudi obvezne vsebine NEPN za vse države članice.</w:t>
      </w:r>
    </w:p>
    <w:p w14:paraId="65985CC5" w14:textId="77777777" w:rsidR="00185FBE" w:rsidRPr="00223E80" w:rsidRDefault="00185FBE" w:rsidP="007E6ED7">
      <w:pPr>
        <w:tabs>
          <w:tab w:val="left" w:pos="440"/>
          <w:tab w:val="right" w:leader="dot" w:pos="9350"/>
        </w:tabs>
        <w:spacing w:after="0"/>
        <w:rPr>
          <w:rFonts w:eastAsia="Times New Roman" w:cs="Arial"/>
          <w:lang w:eastAsia="sl-SI"/>
        </w:rPr>
      </w:pPr>
    </w:p>
    <w:p w14:paraId="212BCC02" w14:textId="0CF83F85" w:rsidR="0008704E" w:rsidRPr="00223E80" w:rsidRDefault="00D15AA3" w:rsidP="007E6ED7">
      <w:pPr>
        <w:shd w:val="clear" w:color="auto" w:fill="FFFFFF"/>
        <w:spacing w:after="0"/>
        <w:rPr>
          <w:rFonts w:eastAsia="Times New Roman" w:cs="Arial"/>
          <w:lang w:eastAsia="sl-SI"/>
        </w:rPr>
      </w:pPr>
      <w:r w:rsidRPr="00223E80">
        <w:rPr>
          <w:rFonts w:eastAsia="Times New Roman" w:cs="Arial"/>
          <w:lang w:eastAsia="sl-SI"/>
        </w:rPr>
        <w:t xml:space="preserve">Vsebinsko gledano je </w:t>
      </w:r>
      <w:r w:rsidR="007C42C3" w:rsidRPr="00223E80">
        <w:rPr>
          <w:rFonts w:eastAsia="Times New Roman" w:cs="Arial"/>
          <w:lang w:eastAsia="sl-SI"/>
        </w:rPr>
        <w:t>NEPN akcijsko strateški dokument, ki za obdobje od leta 2020 do 2030 (s pogledom do 2040) določa cilje, politike in ukrepe peti</w:t>
      </w:r>
      <w:r w:rsidRPr="00223E80">
        <w:rPr>
          <w:rFonts w:eastAsia="Times New Roman" w:cs="Arial"/>
          <w:lang w:eastAsia="sl-SI"/>
        </w:rPr>
        <w:t>h razsežnosti energetske unije</w:t>
      </w:r>
      <w:r w:rsidR="002A67F3" w:rsidRPr="00223E80">
        <w:rPr>
          <w:rFonts w:eastAsia="Times New Roman" w:cs="Arial"/>
          <w:lang w:eastAsia="sl-SI"/>
        </w:rPr>
        <w:t>.</w:t>
      </w:r>
      <w:r w:rsidRPr="00223E80">
        <w:rPr>
          <w:rFonts w:eastAsia="Times New Roman" w:cs="Arial"/>
          <w:lang w:eastAsia="sl-SI"/>
        </w:rPr>
        <w:t xml:space="preserve"> </w:t>
      </w:r>
      <w:r w:rsidR="002A67F3" w:rsidRPr="00223E80">
        <w:rPr>
          <w:rFonts w:eastAsia="Times New Roman" w:cs="Arial"/>
          <w:lang w:eastAsia="sl-SI"/>
        </w:rPr>
        <w:t>To so</w:t>
      </w:r>
      <w:r w:rsidRPr="00223E80">
        <w:rPr>
          <w:rFonts w:eastAsia="Times New Roman" w:cs="Arial"/>
          <w:lang w:eastAsia="sl-SI"/>
        </w:rPr>
        <w:t xml:space="preserve"> (1) razogljičenje </w:t>
      </w:r>
      <w:r w:rsidR="002A67F3" w:rsidRPr="00223E80">
        <w:rPr>
          <w:rFonts w:eastAsia="Times New Roman" w:cs="Arial"/>
          <w:lang w:eastAsia="sl-SI"/>
        </w:rPr>
        <w:t xml:space="preserve">z </w:t>
      </w:r>
      <w:r w:rsidRPr="00223E80">
        <w:rPr>
          <w:rFonts w:eastAsia="Times New Roman" w:cs="Arial"/>
          <w:lang w:eastAsia="sl-SI"/>
        </w:rPr>
        <w:t>upad</w:t>
      </w:r>
      <w:r w:rsidR="002A67F3" w:rsidRPr="00223E80">
        <w:rPr>
          <w:rFonts w:eastAsia="Times New Roman" w:cs="Arial"/>
          <w:lang w:eastAsia="sl-SI"/>
        </w:rPr>
        <w:t>om</w:t>
      </w:r>
      <w:r w:rsidRPr="00223E80">
        <w:rPr>
          <w:rFonts w:eastAsia="Times New Roman" w:cs="Arial"/>
          <w:lang w:eastAsia="sl-SI"/>
        </w:rPr>
        <w:t xml:space="preserve"> emisij</w:t>
      </w:r>
      <w:r w:rsidR="007C42C3" w:rsidRPr="00223E80">
        <w:rPr>
          <w:rFonts w:eastAsia="Times New Roman" w:cs="Arial"/>
          <w:lang w:eastAsia="sl-SI"/>
        </w:rPr>
        <w:t xml:space="preserve"> toplogrednih plinov in </w:t>
      </w:r>
      <w:r w:rsidR="009B5D31" w:rsidRPr="00223E80">
        <w:rPr>
          <w:rFonts w:eastAsia="Times New Roman" w:cs="Arial"/>
          <w:lang w:eastAsia="sl-SI"/>
        </w:rPr>
        <w:t>rast</w:t>
      </w:r>
      <w:r w:rsidR="00322649" w:rsidRPr="00223E80">
        <w:rPr>
          <w:rFonts w:eastAsia="Times New Roman" w:cs="Arial"/>
          <w:lang w:eastAsia="sl-SI"/>
        </w:rPr>
        <w:t>jo</w:t>
      </w:r>
      <w:r w:rsidR="009B5D31" w:rsidRPr="00223E80">
        <w:rPr>
          <w:rFonts w:eastAsia="Times New Roman" w:cs="Arial"/>
          <w:lang w:eastAsia="sl-SI"/>
        </w:rPr>
        <w:t xml:space="preserve"> deleža</w:t>
      </w:r>
      <w:r w:rsidRPr="00223E80">
        <w:rPr>
          <w:rFonts w:eastAsia="Times New Roman" w:cs="Arial"/>
          <w:lang w:eastAsia="sl-SI"/>
        </w:rPr>
        <w:t xml:space="preserve"> </w:t>
      </w:r>
      <w:r w:rsidR="007C42C3" w:rsidRPr="00223E80">
        <w:rPr>
          <w:rFonts w:eastAsia="Times New Roman" w:cs="Arial"/>
          <w:lang w:eastAsia="sl-SI"/>
        </w:rPr>
        <w:t>obnovljivi</w:t>
      </w:r>
      <w:r w:rsidRPr="00223E80">
        <w:rPr>
          <w:rFonts w:eastAsia="Times New Roman" w:cs="Arial"/>
          <w:lang w:eastAsia="sl-SI"/>
        </w:rPr>
        <w:t>h virov energije</w:t>
      </w:r>
      <w:r w:rsidR="007C42C3" w:rsidRPr="00223E80">
        <w:rPr>
          <w:rFonts w:eastAsia="Times New Roman" w:cs="Arial"/>
          <w:lang w:eastAsia="sl-SI"/>
        </w:rPr>
        <w:t>,</w:t>
      </w:r>
      <w:r w:rsidRPr="00223E80">
        <w:rPr>
          <w:rFonts w:eastAsia="Times New Roman" w:cs="Arial"/>
          <w:lang w:eastAsia="sl-SI"/>
        </w:rPr>
        <w:t xml:space="preserve"> (2) </w:t>
      </w:r>
      <w:r w:rsidR="00185FBE" w:rsidRPr="00223E80">
        <w:rPr>
          <w:rFonts w:eastAsia="Times New Roman" w:cs="Arial"/>
          <w:lang w:eastAsia="sl-SI"/>
        </w:rPr>
        <w:t>energetsk</w:t>
      </w:r>
      <w:r w:rsidR="00322649" w:rsidRPr="00223E80">
        <w:rPr>
          <w:rFonts w:eastAsia="Times New Roman" w:cs="Arial"/>
          <w:lang w:eastAsia="sl-SI"/>
        </w:rPr>
        <w:t>a</w:t>
      </w:r>
      <w:r w:rsidR="007C42C3" w:rsidRPr="00223E80">
        <w:rPr>
          <w:rFonts w:eastAsia="Times New Roman" w:cs="Arial"/>
          <w:lang w:eastAsia="sl-SI"/>
        </w:rPr>
        <w:t xml:space="preserve"> učinkovitost,</w:t>
      </w:r>
      <w:r w:rsidR="00185FBE" w:rsidRPr="00223E80">
        <w:rPr>
          <w:rFonts w:eastAsia="Times New Roman" w:cs="Arial"/>
          <w:lang w:eastAsia="sl-SI"/>
        </w:rPr>
        <w:t xml:space="preserve"> (3) energetsk</w:t>
      </w:r>
      <w:r w:rsidR="00322649" w:rsidRPr="00223E80">
        <w:rPr>
          <w:rFonts w:eastAsia="Times New Roman" w:cs="Arial"/>
          <w:lang w:eastAsia="sl-SI"/>
        </w:rPr>
        <w:t>a</w:t>
      </w:r>
      <w:r w:rsidRPr="00223E80">
        <w:rPr>
          <w:rFonts w:eastAsia="Times New Roman" w:cs="Arial"/>
          <w:lang w:eastAsia="sl-SI"/>
        </w:rPr>
        <w:t xml:space="preserve"> varnost, (4) </w:t>
      </w:r>
      <w:r w:rsidR="007C42C3" w:rsidRPr="00223E80">
        <w:rPr>
          <w:rFonts w:eastAsia="Times New Roman" w:cs="Arial"/>
          <w:lang w:eastAsia="sl-SI"/>
        </w:rPr>
        <w:t>notranji trg energije ter</w:t>
      </w:r>
      <w:r w:rsidRPr="00223E80">
        <w:rPr>
          <w:rFonts w:eastAsia="Times New Roman" w:cs="Arial"/>
          <w:lang w:eastAsia="sl-SI"/>
        </w:rPr>
        <w:t xml:space="preserve"> (5) </w:t>
      </w:r>
      <w:r w:rsidR="007C42C3" w:rsidRPr="00223E80">
        <w:rPr>
          <w:rFonts w:eastAsia="Times New Roman" w:cs="Arial"/>
          <w:lang w:eastAsia="sl-SI"/>
        </w:rPr>
        <w:t>raziskave, inovacije in konkurenčnost.</w:t>
      </w:r>
      <w:r w:rsidRPr="00223E80">
        <w:rPr>
          <w:rFonts w:eastAsia="Times New Roman" w:cs="Arial"/>
          <w:lang w:eastAsia="sl-SI"/>
        </w:rPr>
        <w:t xml:space="preserve"> </w:t>
      </w:r>
    </w:p>
    <w:p w14:paraId="283E256C" w14:textId="77777777" w:rsidR="0008704E" w:rsidRPr="00223E80" w:rsidRDefault="0008704E" w:rsidP="007E6ED7">
      <w:pPr>
        <w:shd w:val="clear" w:color="auto" w:fill="FFFFFF"/>
        <w:spacing w:after="0"/>
        <w:rPr>
          <w:rFonts w:eastAsia="Times New Roman" w:cs="Arial"/>
          <w:lang w:eastAsia="sl-SI"/>
        </w:rPr>
      </w:pPr>
    </w:p>
    <w:p w14:paraId="732E58A7" w14:textId="6018EE1C" w:rsidR="009B5D31" w:rsidRPr="00223E80" w:rsidRDefault="0008704E" w:rsidP="007E6ED7">
      <w:pPr>
        <w:shd w:val="clear" w:color="auto" w:fill="FFFFFF"/>
        <w:spacing w:after="0"/>
        <w:rPr>
          <w:rFonts w:eastAsia="Times New Roman" w:cs="Arial"/>
          <w:lang w:eastAsia="sl-SI"/>
        </w:rPr>
      </w:pPr>
      <w:r w:rsidRPr="00223E80">
        <w:rPr>
          <w:rFonts w:eastAsia="Times New Roman" w:cs="Arial"/>
          <w:lang w:eastAsia="sl-SI"/>
        </w:rPr>
        <w:t xml:space="preserve">NEPN kot akcijski načrt </w:t>
      </w:r>
      <w:r w:rsidR="00322649" w:rsidRPr="00223E80">
        <w:rPr>
          <w:rFonts w:eastAsia="Times New Roman" w:cs="Arial"/>
          <w:lang w:eastAsia="sl-SI"/>
        </w:rPr>
        <w:t xml:space="preserve">je </w:t>
      </w:r>
      <w:r w:rsidRPr="00223E80">
        <w:rPr>
          <w:rFonts w:eastAsia="Times New Roman" w:cs="Arial"/>
          <w:lang w:eastAsia="sl-SI"/>
        </w:rPr>
        <w:t>tudi podlag</w:t>
      </w:r>
      <w:r w:rsidR="00322649" w:rsidRPr="00223E80">
        <w:rPr>
          <w:rFonts w:eastAsia="Times New Roman" w:cs="Arial"/>
          <w:lang w:eastAsia="sl-SI"/>
        </w:rPr>
        <w:t>a</w:t>
      </w:r>
      <w:r w:rsidRPr="00223E80">
        <w:rPr>
          <w:rFonts w:eastAsia="Times New Roman" w:cs="Arial"/>
          <w:lang w:eastAsia="sl-SI"/>
        </w:rPr>
        <w:t xml:space="preserve"> za izvajanje Dolgoročne podnebne strat</w:t>
      </w:r>
      <w:r w:rsidR="00B97E9F" w:rsidRPr="00223E80">
        <w:rPr>
          <w:rFonts w:eastAsia="Times New Roman" w:cs="Arial"/>
          <w:lang w:eastAsia="sl-SI"/>
        </w:rPr>
        <w:t>egije Slovenije do leta 2050 (</w:t>
      </w:r>
      <w:r w:rsidRPr="00223E80">
        <w:rPr>
          <w:rFonts w:eastAsia="Times New Roman" w:cs="Arial"/>
          <w:lang w:eastAsia="sl-SI"/>
        </w:rPr>
        <w:t>DPS50)</w:t>
      </w:r>
      <w:r w:rsidRPr="00223E80">
        <w:rPr>
          <w:sz w:val="10"/>
          <w:szCs w:val="10"/>
          <w:vertAlign w:val="superscript"/>
        </w:rPr>
        <w:footnoteReference w:id="3"/>
      </w:r>
      <w:r w:rsidRPr="00223E80">
        <w:rPr>
          <w:rFonts w:eastAsia="Times New Roman" w:cs="Arial"/>
          <w:lang w:eastAsia="sl-SI"/>
        </w:rPr>
        <w:t>.</w:t>
      </w:r>
      <w:r w:rsidR="009B0E04" w:rsidRPr="00223E80">
        <w:rPr>
          <w:rFonts w:eastAsia="Times New Roman" w:cs="Arial"/>
          <w:lang w:eastAsia="sl-SI"/>
        </w:rPr>
        <w:t xml:space="preserve"> Vizija te strategije je, da bo Republika Slovenija leta 2050 podnebno nevtralna in na podnebne spremembe odporna družba, ki bo temeljila na trajnostne</w:t>
      </w:r>
      <w:r w:rsidR="00322649" w:rsidRPr="00223E80">
        <w:rPr>
          <w:rFonts w:eastAsia="Times New Roman" w:cs="Arial"/>
          <w:lang w:eastAsia="sl-SI"/>
        </w:rPr>
        <w:t>m</w:t>
      </w:r>
      <w:r w:rsidR="009B0E04" w:rsidRPr="00223E80">
        <w:rPr>
          <w:rFonts w:eastAsia="Times New Roman" w:cs="Arial"/>
          <w:lang w:eastAsia="sl-SI"/>
        </w:rPr>
        <w:t xml:space="preserve"> razvoj</w:t>
      </w:r>
      <w:r w:rsidR="00322649" w:rsidRPr="00223E80">
        <w:rPr>
          <w:rFonts w:eastAsia="Times New Roman" w:cs="Arial"/>
          <w:lang w:eastAsia="sl-SI"/>
        </w:rPr>
        <w:t>u</w:t>
      </w:r>
      <w:r w:rsidR="009B0E04" w:rsidRPr="00223E80">
        <w:rPr>
          <w:rFonts w:eastAsia="Times New Roman" w:cs="Arial"/>
          <w:lang w:eastAsia="sl-SI"/>
        </w:rPr>
        <w:t>. Učinkovito bo ravnala z energijo in naravnimi viri, ob hkratnem ohranjanju visoke stopnje konkurenčnosti gospodarstva. Družba bo temeljila na ohranjeni naravi, krožnem gospodarstvu, obnovljivih in nizkoogljičnih virih energije, trajnostni mobilnosti in lokalno pridelani zdravi hrani.</w:t>
      </w:r>
      <w:r w:rsidR="004C3CE6" w:rsidRPr="00223E80">
        <w:rPr>
          <w:rFonts w:eastAsia="Times New Roman" w:cs="Arial"/>
          <w:lang w:eastAsia="sl-SI"/>
        </w:rPr>
        <w:t xml:space="preserve"> DPS50 postavlja tudi strateške sektorske cilje za leti 2040 in 2050, ki jih morajo posamezni sektorji dosledno upoštevati ter vgraditi v svoje sektorske dokumente in načrte.</w:t>
      </w:r>
    </w:p>
    <w:p w14:paraId="540BF641" w14:textId="77777777" w:rsidR="00F001CB" w:rsidRPr="00223E80" w:rsidRDefault="00F001CB" w:rsidP="007E6ED7">
      <w:pPr>
        <w:shd w:val="clear" w:color="auto" w:fill="FFFFFF"/>
        <w:spacing w:after="0"/>
        <w:rPr>
          <w:rFonts w:eastAsia="Times New Roman" w:cs="Arial"/>
          <w:lang w:eastAsia="sl-SI"/>
        </w:rPr>
      </w:pPr>
    </w:p>
    <w:p w14:paraId="69F2F18E" w14:textId="772E1681" w:rsidR="0008704E" w:rsidRPr="00223E80" w:rsidRDefault="0039045E" w:rsidP="007E6ED7">
      <w:pPr>
        <w:shd w:val="clear" w:color="auto" w:fill="FFFFFF"/>
        <w:spacing w:after="0"/>
        <w:rPr>
          <w:rFonts w:eastAsia="Times New Roman" w:cs="Arial"/>
          <w:lang w:eastAsia="sl-SI"/>
        </w:rPr>
      </w:pPr>
      <w:r w:rsidRPr="00223E80">
        <w:rPr>
          <w:rFonts w:eastAsia="Times New Roman" w:cs="Arial"/>
          <w:lang w:eastAsia="sl-SI"/>
        </w:rPr>
        <w:t xml:space="preserve">Cilj </w:t>
      </w:r>
      <w:r w:rsidR="00123EDA" w:rsidRPr="00223E80">
        <w:rPr>
          <w:rFonts w:eastAsia="Times New Roman" w:cs="Arial"/>
          <w:lang w:eastAsia="sl-SI"/>
        </w:rPr>
        <w:t xml:space="preserve">sprejetega NEPN </w:t>
      </w:r>
      <w:r w:rsidRPr="00223E80">
        <w:rPr>
          <w:rFonts w:eastAsia="Times New Roman" w:cs="Arial"/>
          <w:lang w:eastAsia="sl-SI"/>
        </w:rPr>
        <w:t>je</w:t>
      </w:r>
      <w:r w:rsidR="00D15AA3" w:rsidRPr="00223E80">
        <w:rPr>
          <w:rFonts w:eastAsia="Times New Roman" w:cs="Arial"/>
          <w:lang w:eastAsia="sl-SI"/>
        </w:rPr>
        <w:t>,</w:t>
      </w:r>
      <w:r w:rsidRPr="00223E80">
        <w:rPr>
          <w:rFonts w:eastAsia="Times New Roman" w:cs="Arial"/>
          <w:lang w:eastAsia="sl-SI"/>
        </w:rPr>
        <w:t xml:space="preserve"> da </w:t>
      </w:r>
      <w:r w:rsidR="00D15AA3" w:rsidRPr="00223E80">
        <w:rPr>
          <w:rFonts w:eastAsia="Times New Roman" w:cs="Arial"/>
          <w:lang w:eastAsia="sl-SI"/>
        </w:rPr>
        <w:t>se do leta 2030 doseže vsaj 27 % delež OVE v končni rabi energije (tj. energija, ki se porabi pri končnih odjemalcih, pri čemer je izključena energija, ki jo porabi energetski sektor sam)</w:t>
      </w:r>
      <w:r w:rsidR="00123EDA" w:rsidRPr="00223E80">
        <w:rPr>
          <w:rFonts w:eastAsia="Times New Roman" w:cs="Arial"/>
          <w:lang w:eastAsia="sl-SI"/>
        </w:rPr>
        <w:t>.</w:t>
      </w:r>
      <w:r w:rsidR="00411FF3" w:rsidRPr="00223E80">
        <w:rPr>
          <w:rFonts w:eastAsia="Times New Roman" w:cs="Arial"/>
          <w:lang w:eastAsia="sl-SI"/>
        </w:rPr>
        <w:t xml:space="preserve"> </w:t>
      </w:r>
      <w:r w:rsidR="00411FF3" w:rsidRPr="00223E80">
        <w:rPr>
          <w:lang w:eastAsia="sl-SI"/>
        </w:rPr>
        <w:t>V NEPN so natančno definirani cilji, programi, ukrepi ter kadrovski in finančni viri za doseganje ciljev OVE ter njihova načrtovana ocena učinka.</w:t>
      </w:r>
      <w:r w:rsidR="00123EDA" w:rsidRPr="00223E80">
        <w:rPr>
          <w:rFonts w:eastAsia="Times New Roman" w:cs="Arial"/>
          <w:lang w:eastAsia="sl-SI"/>
        </w:rPr>
        <w:t xml:space="preserve"> Pri tem </w:t>
      </w:r>
      <w:r w:rsidR="00D15AA3" w:rsidRPr="00223E80">
        <w:rPr>
          <w:rFonts w:eastAsia="Times New Roman" w:cs="Arial"/>
          <w:lang w:eastAsia="sl-SI"/>
        </w:rPr>
        <w:t xml:space="preserve">bo </w:t>
      </w:r>
      <w:r w:rsidR="009B5D31" w:rsidRPr="00223E80">
        <w:rPr>
          <w:rFonts w:eastAsia="Times New Roman" w:cs="Arial"/>
          <w:lang w:eastAsia="sl-SI"/>
        </w:rPr>
        <w:t xml:space="preserve">treba tudi </w:t>
      </w:r>
      <w:r w:rsidR="00A77E90" w:rsidRPr="00223E80">
        <w:rPr>
          <w:rFonts w:eastAsia="Times New Roman" w:cs="Arial"/>
          <w:lang w:eastAsia="sl-SI"/>
        </w:rPr>
        <w:t>glede</w:t>
      </w:r>
      <w:r w:rsidR="009B5D31" w:rsidRPr="00223E80">
        <w:rPr>
          <w:rFonts w:eastAsia="Times New Roman" w:cs="Arial"/>
          <w:lang w:eastAsia="sl-SI"/>
        </w:rPr>
        <w:t xml:space="preserve"> višanja zahtev glede deležev OVE na nivoju EU in v članicah </w:t>
      </w:r>
      <w:r w:rsidR="00D15AA3" w:rsidRPr="00223E80">
        <w:rPr>
          <w:rFonts w:eastAsia="Times New Roman" w:cs="Arial"/>
          <w:lang w:eastAsia="sl-SI"/>
        </w:rPr>
        <w:t xml:space="preserve">posebno pozornost nameniti </w:t>
      </w:r>
      <w:r w:rsidR="009B5D31" w:rsidRPr="00223E80">
        <w:rPr>
          <w:rFonts w:eastAsia="Times New Roman" w:cs="Arial"/>
          <w:lang w:eastAsia="sl-SI"/>
        </w:rPr>
        <w:t>zasnovi in izvajanju</w:t>
      </w:r>
      <w:r w:rsidR="00D15AA3" w:rsidRPr="00223E80">
        <w:rPr>
          <w:rFonts w:eastAsia="Times New Roman" w:cs="Arial"/>
          <w:lang w:eastAsia="sl-SI"/>
        </w:rPr>
        <w:t xml:space="preserve"> ukrepov ter na podlagi ugotovitev ustrezno prilagajati in izb</w:t>
      </w:r>
      <w:r w:rsidR="009B5D31" w:rsidRPr="00223E80">
        <w:rPr>
          <w:rFonts w:eastAsia="Times New Roman" w:cs="Arial"/>
          <w:lang w:eastAsia="sl-SI"/>
        </w:rPr>
        <w:t>oljševati posamezne instrumente</w:t>
      </w:r>
      <w:r w:rsidR="002D30D7" w:rsidRPr="00223E80">
        <w:rPr>
          <w:rFonts w:eastAsia="Times New Roman" w:cs="Arial"/>
          <w:lang w:eastAsia="sl-SI"/>
        </w:rPr>
        <w:t>.</w:t>
      </w:r>
      <w:r w:rsidR="009B5D31" w:rsidRPr="00223E80">
        <w:rPr>
          <w:rFonts w:eastAsia="Times New Roman" w:cs="Arial"/>
          <w:lang w:eastAsia="sl-SI"/>
        </w:rPr>
        <w:t xml:space="preserve"> </w:t>
      </w:r>
      <w:r w:rsidR="002D30D7" w:rsidRPr="00223E80">
        <w:rPr>
          <w:rFonts w:eastAsia="Times New Roman" w:cs="Arial"/>
          <w:lang w:eastAsia="sl-SI"/>
        </w:rPr>
        <w:t xml:space="preserve">Sem, </w:t>
      </w:r>
      <w:r w:rsidR="009B5D31" w:rsidRPr="00223E80">
        <w:rPr>
          <w:rFonts w:eastAsia="Times New Roman" w:cs="Arial"/>
          <w:lang w:eastAsia="sl-SI"/>
        </w:rPr>
        <w:t xml:space="preserve">kot </w:t>
      </w:r>
      <w:r w:rsidR="002D30D7" w:rsidRPr="00223E80">
        <w:rPr>
          <w:rFonts w:eastAsia="Times New Roman" w:cs="Arial"/>
          <w:lang w:eastAsia="sl-SI"/>
        </w:rPr>
        <w:t xml:space="preserve">je </w:t>
      </w:r>
      <w:r w:rsidR="009B5D31" w:rsidRPr="00223E80">
        <w:rPr>
          <w:rFonts w:eastAsia="Times New Roman" w:cs="Arial"/>
          <w:lang w:eastAsia="sl-SI"/>
        </w:rPr>
        <w:t>izpostavljeno</w:t>
      </w:r>
      <w:r w:rsidR="002D30D7" w:rsidRPr="00223E80">
        <w:rPr>
          <w:rFonts w:eastAsia="Times New Roman" w:cs="Arial"/>
          <w:lang w:eastAsia="sl-SI"/>
        </w:rPr>
        <w:t>,</w:t>
      </w:r>
      <w:r w:rsidR="009B5D31" w:rsidRPr="00223E80">
        <w:rPr>
          <w:rFonts w:eastAsia="Times New Roman" w:cs="Arial"/>
          <w:lang w:eastAsia="sl-SI"/>
        </w:rPr>
        <w:t xml:space="preserve"> sodi shema finančnih podpor električni energiji</w:t>
      </w:r>
      <w:r w:rsidR="00A77E90" w:rsidRPr="00223E80">
        <w:rPr>
          <w:rFonts w:eastAsia="Times New Roman" w:cs="Arial"/>
          <w:lang w:eastAsia="sl-SI"/>
        </w:rPr>
        <w:t>,</w:t>
      </w:r>
      <w:r w:rsidR="009B5D31" w:rsidRPr="00223E80">
        <w:rPr>
          <w:rFonts w:eastAsia="Times New Roman" w:cs="Arial"/>
          <w:lang w:eastAsia="sl-SI"/>
        </w:rPr>
        <w:t xml:space="preserve"> proizvedeni iz OVE</w:t>
      </w:r>
      <w:r w:rsidR="002D30D7" w:rsidRPr="00223E80">
        <w:rPr>
          <w:rFonts w:eastAsia="Times New Roman" w:cs="Arial"/>
          <w:lang w:eastAsia="sl-SI"/>
        </w:rPr>
        <w:t>,</w:t>
      </w:r>
      <w:r w:rsidR="009B5D31" w:rsidRPr="00223E80">
        <w:rPr>
          <w:rFonts w:eastAsia="Times New Roman" w:cs="Arial"/>
          <w:lang w:eastAsia="sl-SI"/>
        </w:rPr>
        <w:t xml:space="preserve"> in v SPTE prek javnih pozivov Agencije za energijo. </w:t>
      </w:r>
    </w:p>
    <w:p w14:paraId="2829BB8A" w14:textId="77777777" w:rsidR="00F001CB" w:rsidRPr="00223E80" w:rsidRDefault="00F001CB" w:rsidP="007E6ED7">
      <w:pPr>
        <w:shd w:val="clear" w:color="auto" w:fill="FFFFFF"/>
        <w:spacing w:after="0"/>
        <w:rPr>
          <w:rFonts w:eastAsia="Times New Roman" w:cs="Arial"/>
          <w:lang w:eastAsia="sl-SI"/>
        </w:rPr>
      </w:pPr>
    </w:p>
    <w:p w14:paraId="640C66A3" w14:textId="280FB672" w:rsidR="003066C1" w:rsidRPr="00223E80" w:rsidRDefault="009126A8" w:rsidP="007E6ED7">
      <w:pPr>
        <w:shd w:val="clear" w:color="auto" w:fill="FFFFFF"/>
        <w:spacing w:after="0"/>
        <w:rPr>
          <w:rFonts w:eastAsia="Times New Roman" w:cs="Arial"/>
          <w:lang w:eastAsia="sl-SI"/>
        </w:rPr>
      </w:pPr>
      <w:r w:rsidRPr="00223E80">
        <w:rPr>
          <w:rFonts w:eastAsia="Times New Roman" w:cs="Arial"/>
          <w:lang w:eastAsia="sl-SI"/>
        </w:rPr>
        <w:t xml:space="preserve">V zvezi s krepitvijo in razvojem OVE virov v državi pomemben </w:t>
      </w:r>
      <w:r w:rsidR="003066C1" w:rsidRPr="00223E80">
        <w:rPr>
          <w:rFonts w:eastAsia="Times New Roman" w:cs="Arial"/>
          <w:lang w:eastAsia="sl-SI"/>
        </w:rPr>
        <w:t>pogled</w:t>
      </w:r>
      <w:r w:rsidRPr="00223E80">
        <w:rPr>
          <w:rFonts w:eastAsia="Times New Roman" w:cs="Arial"/>
          <w:lang w:eastAsia="sl-SI"/>
        </w:rPr>
        <w:t xml:space="preserve"> </w:t>
      </w:r>
      <w:r w:rsidR="003066C1" w:rsidRPr="00223E80">
        <w:rPr>
          <w:rFonts w:eastAsia="Times New Roman" w:cs="Arial"/>
          <w:lang w:eastAsia="sl-SI"/>
        </w:rPr>
        <w:t xml:space="preserve">nudi </w:t>
      </w:r>
      <w:r w:rsidRPr="00223E80">
        <w:rPr>
          <w:rFonts w:eastAsia="Times New Roman" w:cs="Arial"/>
          <w:lang w:eastAsia="sl-SI"/>
        </w:rPr>
        <w:t xml:space="preserve">tudi </w:t>
      </w:r>
      <w:r w:rsidR="003066C1" w:rsidRPr="00223E80">
        <w:rPr>
          <w:rFonts w:eastAsia="Times New Roman" w:cs="Arial"/>
          <w:lang w:eastAsia="sl-SI"/>
        </w:rPr>
        <w:t xml:space="preserve">Dolgoročna strategija energetske prenove stavb (v nadaljevanju: DSEPS). Vlada je to strategijo sprejela v </w:t>
      </w:r>
      <w:r w:rsidR="00BA3827" w:rsidRPr="00223E80">
        <w:rPr>
          <w:rFonts w:eastAsia="Times New Roman" w:cs="Arial"/>
          <w:lang w:eastAsia="sl-SI"/>
        </w:rPr>
        <w:t>marcu</w:t>
      </w:r>
      <w:r w:rsidR="003066C1" w:rsidRPr="00223E80">
        <w:rPr>
          <w:rFonts w:eastAsia="Times New Roman" w:cs="Arial"/>
          <w:lang w:eastAsia="sl-SI"/>
        </w:rPr>
        <w:t xml:space="preserve"> 2021, pravna podlaga zanjo pa je urejena v 9. členu Zakona o učinkoviti rabi energije (Uradni list RS, št. </w:t>
      </w:r>
      <w:hyperlink r:id="rId10" w:tgtFrame="_blank" w:tooltip="Zakon o učinkoviti rabi energije (ZURE)" w:history="1">
        <w:r w:rsidR="003066C1" w:rsidRPr="00223E80">
          <w:rPr>
            <w:rFonts w:eastAsia="Times New Roman" w:cs="Arial"/>
            <w:lang w:eastAsia="sl-SI"/>
          </w:rPr>
          <w:t>158/20</w:t>
        </w:r>
      </w:hyperlink>
      <w:r w:rsidR="003066C1" w:rsidRPr="00223E80">
        <w:rPr>
          <w:rFonts w:eastAsia="Times New Roman" w:cs="Arial"/>
          <w:lang w:eastAsia="sl-SI"/>
        </w:rPr>
        <w:t>)</w:t>
      </w:r>
      <w:r w:rsidR="00123EDA" w:rsidRPr="00223E80">
        <w:rPr>
          <w:rFonts w:eastAsia="Times New Roman" w:cs="Arial"/>
          <w:lang w:eastAsia="sl-SI"/>
        </w:rPr>
        <w:t xml:space="preserve">. </w:t>
      </w:r>
      <w:r w:rsidR="00A447E8" w:rsidRPr="00223E80">
        <w:rPr>
          <w:rFonts w:eastAsia="Times New Roman" w:cs="Arial"/>
          <w:lang w:eastAsia="sl-SI"/>
        </w:rPr>
        <w:t xml:space="preserve">Ta </w:t>
      </w:r>
      <w:r w:rsidR="003066C1" w:rsidRPr="00223E80">
        <w:rPr>
          <w:rFonts w:eastAsia="Times New Roman" w:cs="Arial"/>
          <w:lang w:eastAsia="sl-SI"/>
        </w:rPr>
        <w:t>v nacionalni pra</w:t>
      </w:r>
      <w:r w:rsidR="00123EDA" w:rsidRPr="00223E80">
        <w:rPr>
          <w:rFonts w:eastAsia="Times New Roman" w:cs="Arial"/>
          <w:lang w:eastAsia="sl-SI"/>
        </w:rPr>
        <w:t>v</w:t>
      </w:r>
      <w:r w:rsidR="003066C1" w:rsidRPr="00223E80">
        <w:rPr>
          <w:rFonts w:eastAsia="Times New Roman" w:cs="Arial"/>
          <w:lang w:eastAsia="sl-SI"/>
        </w:rPr>
        <w:t xml:space="preserve">ni red prenaša zahteve iz </w:t>
      </w:r>
      <w:hyperlink r:id="rId11" w:tgtFrame="_blank" w:history="1">
        <w:r w:rsidR="003066C1" w:rsidRPr="00223E80">
          <w:rPr>
            <w:rFonts w:eastAsia="Times New Roman" w:cs="Arial"/>
            <w:lang w:eastAsia="sl-SI"/>
          </w:rPr>
          <w:t>Direktive 2012/27/EU</w:t>
        </w:r>
      </w:hyperlink>
      <w:r w:rsidR="003066C1" w:rsidRPr="00223E80">
        <w:rPr>
          <w:rFonts w:eastAsia="Times New Roman" w:cs="Arial"/>
          <w:lang w:eastAsia="sl-SI"/>
        </w:rPr>
        <w:t xml:space="preserve"> o energetski učinkovitosti, zlasti 4. člena. V skladu s tem določilom </w:t>
      </w:r>
      <w:r w:rsidR="00BA3827" w:rsidRPr="00223E80">
        <w:rPr>
          <w:rFonts w:eastAsia="Times New Roman" w:cs="Arial"/>
          <w:lang w:eastAsia="sl-SI"/>
        </w:rPr>
        <w:t>je bila Republika Slovenija zavezana</w:t>
      </w:r>
      <w:r w:rsidR="003066C1" w:rsidRPr="00223E80">
        <w:rPr>
          <w:rFonts w:eastAsia="Times New Roman" w:cs="Arial"/>
          <w:lang w:eastAsia="sl-SI"/>
        </w:rPr>
        <w:t xml:space="preserve"> pripraviti dolgoročno strategijo za spodbujanje naložb v energetsko prenovo nacionalnega stavbnega fonda tako javnih kot zasebnih stanovanjskih in poslovnih stavb, s ciljem</w:t>
      </w:r>
      <w:r w:rsidR="00A447E8" w:rsidRPr="00223E80">
        <w:rPr>
          <w:rFonts w:eastAsia="Times New Roman" w:cs="Arial"/>
          <w:lang w:eastAsia="sl-SI"/>
        </w:rPr>
        <w:t>,</w:t>
      </w:r>
      <w:r w:rsidR="003066C1" w:rsidRPr="00223E80">
        <w:rPr>
          <w:rFonts w:eastAsia="Times New Roman" w:cs="Arial"/>
          <w:lang w:eastAsia="sl-SI"/>
        </w:rPr>
        <w:t xml:space="preserve"> da se doseže visoko energetsko učinkovit in razogljičen stavbni fond do leta 2050. </w:t>
      </w:r>
    </w:p>
    <w:p w14:paraId="4ACA5C52" w14:textId="77777777" w:rsidR="00F001CB" w:rsidRPr="00223E80" w:rsidRDefault="00F001CB" w:rsidP="007E6ED7">
      <w:pPr>
        <w:shd w:val="clear" w:color="auto" w:fill="FFFFFF"/>
        <w:spacing w:after="0"/>
        <w:rPr>
          <w:rFonts w:eastAsia="Times New Roman" w:cs="Arial"/>
          <w:lang w:eastAsia="sl-SI"/>
        </w:rPr>
      </w:pPr>
    </w:p>
    <w:p w14:paraId="50449F36" w14:textId="6B49BA7D" w:rsidR="00E6746E" w:rsidRPr="00223E80" w:rsidRDefault="00123EDA" w:rsidP="007E6ED7">
      <w:pPr>
        <w:shd w:val="clear" w:color="auto" w:fill="FFFFFF"/>
        <w:spacing w:after="0"/>
        <w:rPr>
          <w:rFonts w:eastAsia="Times New Roman" w:cs="Arial"/>
          <w:lang w:eastAsia="sl-SI"/>
        </w:rPr>
      </w:pPr>
      <w:r w:rsidRPr="00223E80">
        <w:rPr>
          <w:rFonts w:eastAsia="Times New Roman" w:cs="Arial"/>
          <w:lang w:eastAsia="sl-SI"/>
        </w:rPr>
        <w:t>DSEPS</w:t>
      </w:r>
      <w:r w:rsidR="003066C1" w:rsidRPr="00223E80">
        <w:rPr>
          <w:rFonts w:eastAsia="Times New Roman" w:cs="Arial"/>
          <w:lang w:eastAsia="sl-SI"/>
        </w:rPr>
        <w:t xml:space="preserve"> </w:t>
      </w:r>
      <w:r w:rsidR="009126A8" w:rsidRPr="00223E80">
        <w:rPr>
          <w:rFonts w:eastAsia="Times New Roman" w:cs="Arial"/>
          <w:lang w:eastAsia="sl-SI"/>
        </w:rPr>
        <w:t xml:space="preserve">nadgrajuje obstoječe in dodaja nove ukrepe, s katerimi bodo doseženi cilji na področju stavb, </w:t>
      </w:r>
      <w:r w:rsidR="00BA3827" w:rsidRPr="00223E80">
        <w:rPr>
          <w:rFonts w:eastAsia="Times New Roman" w:cs="Arial"/>
          <w:lang w:eastAsia="sl-SI"/>
        </w:rPr>
        <w:t>kot</w:t>
      </w:r>
      <w:r w:rsidR="009126A8" w:rsidRPr="00223E80">
        <w:rPr>
          <w:rFonts w:eastAsia="Times New Roman" w:cs="Arial"/>
          <w:lang w:eastAsia="sl-SI"/>
        </w:rPr>
        <w:t xml:space="preserve"> so opredeljeni v </w:t>
      </w:r>
      <w:r w:rsidR="003066C1" w:rsidRPr="00223E80">
        <w:rPr>
          <w:rFonts w:eastAsia="Times New Roman" w:cs="Arial"/>
          <w:lang w:eastAsia="sl-SI"/>
        </w:rPr>
        <w:t xml:space="preserve">NEPN, pri čemer </w:t>
      </w:r>
      <w:r w:rsidR="009126A8" w:rsidRPr="00223E80">
        <w:rPr>
          <w:rFonts w:eastAsia="Times New Roman" w:cs="Arial"/>
          <w:lang w:eastAsia="sl-SI"/>
        </w:rPr>
        <w:t xml:space="preserve">vsebuje okvirne cilje za leto 2050 in vmesna cilja za leti 2030 in 2040. Po vsebinah </w:t>
      </w:r>
      <w:r w:rsidR="006279B5" w:rsidRPr="00223E80">
        <w:rPr>
          <w:rFonts w:eastAsia="Times New Roman" w:cs="Arial"/>
          <w:lang w:eastAsia="sl-SI"/>
        </w:rPr>
        <w:t xml:space="preserve">obravnava </w:t>
      </w:r>
      <w:r w:rsidR="009126A8" w:rsidRPr="00223E80">
        <w:rPr>
          <w:rFonts w:eastAsia="Times New Roman" w:cs="Arial"/>
          <w:lang w:eastAsia="sl-SI"/>
        </w:rPr>
        <w:t>vizijo, okvir, cilje, kazalnike, pregled stavbnega fonda po različnih sektorjih (stanovanjski, nestanovanjski, javni), ovire in priložnosti za prenovo javnih stavb, stroškovno učinkovite prenove javnih stavb, politike in ukrepe ter financiranje izvedbe ukrepov.</w:t>
      </w:r>
      <w:r w:rsidR="003066C1" w:rsidRPr="00223E80">
        <w:rPr>
          <w:rFonts w:eastAsia="Times New Roman" w:cs="Arial"/>
          <w:lang w:eastAsia="sl-SI"/>
        </w:rPr>
        <w:t xml:space="preserve"> Postopno približevanje neto ničelnim emisijam v sektorju stavb do leta 2050 bo doseženo z ohranjanjem visoke stopnje energetskih prenov stavb in </w:t>
      </w:r>
      <w:r w:rsidR="003C2BB3" w:rsidRPr="00223E80">
        <w:rPr>
          <w:rFonts w:eastAsia="Times New Roman" w:cs="Arial"/>
          <w:lang w:eastAsia="sl-SI"/>
        </w:rPr>
        <w:t xml:space="preserve">z </w:t>
      </w:r>
      <w:r w:rsidR="003066C1" w:rsidRPr="00223E80">
        <w:rPr>
          <w:rFonts w:eastAsia="Times New Roman" w:cs="Arial"/>
          <w:lang w:eastAsia="sl-SI"/>
        </w:rPr>
        <w:t>usmerjan</w:t>
      </w:r>
      <w:r w:rsidR="005756D8" w:rsidRPr="00223E80">
        <w:rPr>
          <w:rFonts w:eastAsia="Times New Roman" w:cs="Arial"/>
          <w:lang w:eastAsia="sl-SI"/>
        </w:rPr>
        <w:t>j</w:t>
      </w:r>
      <w:r w:rsidR="003C2BB3" w:rsidRPr="00223E80">
        <w:rPr>
          <w:rFonts w:eastAsia="Times New Roman" w:cs="Arial"/>
          <w:lang w:eastAsia="sl-SI"/>
        </w:rPr>
        <w:t>em</w:t>
      </w:r>
      <w:r w:rsidR="005756D8" w:rsidRPr="00223E80">
        <w:rPr>
          <w:rFonts w:eastAsia="Times New Roman" w:cs="Arial"/>
          <w:lang w:eastAsia="sl-SI"/>
        </w:rPr>
        <w:t xml:space="preserve"> </w:t>
      </w:r>
      <w:r w:rsidR="003066C1" w:rsidRPr="00223E80">
        <w:rPr>
          <w:rFonts w:eastAsia="Times New Roman" w:cs="Arial"/>
          <w:lang w:eastAsia="sl-SI"/>
        </w:rPr>
        <w:t>v tehnologije OVE. </w:t>
      </w:r>
      <w:r w:rsidR="003C2BB3" w:rsidRPr="00223E80">
        <w:rPr>
          <w:rFonts w:eastAsia="Times New Roman" w:cs="Arial"/>
          <w:lang w:eastAsia="sl-SI"/>
        </w:rPr>
        <w:t xml:space="preserve">To </w:t>
      </w:r>
      <w:r w:rsidR="00BA3827" w:rsidRPr="00223E80">
        <w:rPr>
          <w:rFonts w:eastAsia="Times New Roman" w:cs="Arial"/>
          <w:lang w:eastAsia="sl-SI"/>
        </w:rPr>
        <w:t xml:space="preserve">pa bo mogoče dosegati tudi ob komplementarni uporabi sredstev, ki so na voljo </w:t>
      </w:r>
      <w:r w:rsidR="005756D8" w:rsidRPr="00223E80">
        <w:rPr>
          <w:rFonts w:eastAsia="Times New Roman" w:cs="Arial"/>
          <w:lang w:eastAsia="sl-SI"/>
        </w:rPr>
        <w:t>v okviru</w:t>
      </w:r>
      <w:r w:rsidR="00BA3827" w:rsidRPr="00223E80">
        <w:rPr>
          <w:rFonts w:eastAsia="Times New Roman" w:cs="Arial"/>
          <w:lang w:eastAsia="sl-SI"/>
        </w:rPr>
        <w:t xml:space="preserve"> podporne sheme (četrti odstavek 1</w:t>
      </w:r>
      <w:r w:rsidR="005756D8" w:rsidRPr="00223E80">
        <w:rPr>
          <w:rFonts w:eastAsia="Times New Roman" w:cs="Arial"/>
          <w:lang w:eastAsia="sl-SI"/>
        </w:rPr>
        <w:t>5</w:t>
      </w:r>
      <w:r w:rsidR="00BA3827" w:rsidRPr="00223E80">
        <w:rPr>
          <w:rFonts w:eastAsia="Times New Roman" w:cs="Arial"/>
          <w:lang w:eastAsia="sl-SI"/>
        </w:rPr>
        <w:t xml:space="preserve">. člena ZSROVE). </w:t>
      </w:r>
    </w:p>
    <w:p w14:paraId="739CCA42" w14:textId="77777777" w:rsidR="00DB5150" w:rsidRPr="00223E80" w:rsidRDefault="00DB5150" w:rsidP="007E6ED7">
      <w:pPr>
        <w:shd w:val="clear" w:color="auto" w:fill="FFFFFF"/>
        <w:spacing w:after="0"/>
        <w:rPr>
          <w:rFonts w:eastAsia="Times New Roman" w:cs="Arial"/>
          <w:lang w:eastAsia="sl-SI"/>
        </w:rPr>
      </w:pPr>
    </w:p>
    <w:p w14:paraId="6108388A" w14:textId="05AC25C3" w:rsidR="000041E3" w:rsidRPr="00223E80" w:rsidRDefault="000041E3" w:rsidP="00B30DAC">
      <w:pPr>
        <w:rPr>
          <w:rFonts w:eastAsia="Times New Roman" w:cs="Arial"/>
          <w:lang w:eastAsia="sl-SI"/>
        </w:rPr>
      </w:pPr>
      <w:r w:rsidRPr="00223E80">
        <w:rPr>
          <w:lang w:eastAsia="sl-SI"/>
        </w:rPr>
        <w:t xml:space="preserve">Navedeni dokumenti </w:t>
      </w:r>
      <w:r w:rsidR="003C2BB3" w:rsidRPr="00223E80">
        <w:rPr>
          <w:lang w:eastAsia="sl-SI"/>
        </w:rPr>
        <w:t xml:space="preserve">so </w:t>
      </w:r>
      <w:r w:rsidRPr="00223E80">
        <w:rPr>
          <w:lang w:eastAsia="sl-SI"/>
        </w:rPr>
        <w:t>tudi strokovn</w:t>
      </w:r>
      <w:r w:rsidR="003C2BB3" w:rsidRPr="00223E80">
        <w:rPr>
          <w:lang w:eastAsia="sl-SI"/>
        </w:rPr>
        <w:t>a</w:t>
      </w:r>
      <w:r w:rsidRPr="00223E80">
        <w:rPr>
          <w:lang w:eastAsia="sl-SI"/>
        </w:rPr>
        <w:t xml:space="preserve"> podlag</w:t>
      </w:r>
      <w:r w:rsidR="003C2BB3" w:rsidRPr="00223E80">
        <w:rPr>
          <w:lang w:eastAsia="sl-SI"/>
        </w:rPr>
        <w:t>a</w:t>
      </w:r>
      <w:r w:rsidRPr="00223E80">
        <w:rPr>
          <w:lang w:eastAsia="sl-SI"/>
        </w:rPr>
        <w:t xml:space="preserve"> za izvajanje </w:t>
      </w:r>
      <w:hyperlink r:id="rId12" w:tgtFrame="_blank" w:history="1">
        <w:r w:rsidRPr="00223E80">
          <w:rPr>
            <w:lang w:eastAsia="sl-SI"/>
          </w:rPr>
          <w:t>Operativnega programa za izvajanje Evropske kohezijske politike v obdobju 2014–2020 (OP EKP)</w:t>
        </w:r>
      </w:hyperlink>
      <w:r w:rsidR="009B0E04" w:rsidRPr="00223E80">
        <w:rPr>
          <w:rStyle w:val="Sprotnaopomba-sklic"/>
          <w:lang w:eastAsia="sl-SI"/>
        </w:rPr>
        <w:footnoteReference w:id="4"/>
      </w:r>
      <w:r w:rsidRPr="00223E80">
        <w:rPr>
          <w:lang w:eastAsia="sl-SI"/>
        </w:rPr>
        <w:t xml:space="preserve"> ter Programa evropske kohezijske politike 2021</w:t>
      </w:r>
      <w:r w:rsidR="00E519DE" w:rsidRPr="00223E80">
        <w:rPr>
          <w:lang w:eastAsia="sl-SI"/>
        </w:rPr>
        <w:t>–</w:t>
      </w:r>
      <w:r w:rsidRPr="00223E80">
        <w:rPr>
          <w:lang w:eastAsia="sl-SI"/>
        </w:rPr>
        <w:t>2027</w:t>
      </w:r>
      <w:r w:rsidR="00E519DE" w:rsidRPr="00223E80">
        <w:rPr>
          <w:lang w:eastAsia="sl-SI"/>
        </w:rPr>
        <w:t>.</w:t>
      </w:r>
      <w:r w:rsidR="00B30DAC" w:rsidRPr="00223E80">
        <w:rPr>
          <w:rStyle w:val="Sprotnaopomba-sklic"/>
          <w:lang w:eastAsia="sl-SI"/>
        </w:rPr>
        <w:footnoteReference w:id="5"/>
      </w:r>
    </w:p>
    <w:p w14:paraId="136DFC00" w14:textId="77777777" w:rsidR="003F7635" w:rsidRPr="00223E80" w:rsidRDefault="000D5FCF" w:rsidP="00A579FC">
      <w:pPr>
        <w:pStyle w:val="Naslov1"/>
        <w:jc w:val="left"/>
        <w:rPr>
          <w:rFonts w:cs="Arial"/>
        </w:rPr>
      </w:pPr>
      <w:bookmarkStart w:id="16" w:name="_Toc112143977"/>
      <w:r w:rsidRPr="00223E80">
        <w:rPr>
          <w:rFonts w:cs="Arial"/>
        </w:rPr>
        <w:t xml:space="preserve">3   </w:t>
      </w:r>
      <w:r w:rsidR="00574686" w:rsidRPr="00223E80">
        <w:rPr>
          <w:rFonts w:cs="Arial"/>
        </w:rPr>
        <w:t xml:space="preserve">ZAKONSKA PODLAGA </w:t>
      </w:r>
      <w:r w:rsidR="00DF3857" w:rsidRPr="00223E80">
        <w:rPr>
          <w:rFonts w:cs="Arial"/>
        </w:rPr>
        <w:t xml:space="preserve">IN CILJI </w:t>
      </w:r>
      <w:r w:rsidR="00574686" w:rsidRPr="00223E80">
        <w:rPr>
          <w:rFonts w:cs="Arial"/>
        </w:rPr>
        <w:t>DOLGOROČN</w:t>
      </w:r>
      <w:r w:rsidR="003C4F19" w:rsidRPr="00223E80">
        <w:rPr>
          <w:rFonts w:cs="Arial"/>
        </w:rPr>
        <w:t>EGA ČASOVNEGA</w:t>
      </w:r>
      <w:r w:rsidR="00006FD4" w:rsidRPr="00223E80">
        <w:rPr>
          <w:rFonts w:cs="Arial"/>
        </w:rPr>
        <w:t xml:space="preserve"> </w:t>
      </w:r>
      <w:r w:rsidR="00574686" w:rsidRPr="00223E80">
        <w:rPr>
          <w:rFonts w:cs="Arial"/>
        </w:rPr>
        <w:t>NAČRT</w:t>
      </w:r>
      <w:bookmarkEnd w:id="14"/>
      <w:r w:rsidR="003C4F19" w:rsidRPr="00223E80">
        <w:rPr>
          <w:rFonts w:cs="Arial"/>
        </w:rPr>
        <w:t>A</w:t>
      </w:r>
      <w:bookmarkEnd w:id="16"/>
    </w:p>
    <w:p w14:paraId="7D6934C2" w14:textId="77777777" w:rsidR="008D138D" w:rsidRPr="00223E80" w:rsidRDefault="008D138D" w:rsidP="007E6ED7">
      <w:pPr>
        <w:pStyle w:val="rkovnatokazaodstavkom"/>
        <w:numPr>
          <w:ilvl w:val="0"/>
          <w:numId w:val="0"/>
        </w:numPr>
        <w:spacing w:line="276" w:lineRule="auto"/>
      </w:pPr>
    </w:p>
    <w:p w14:paraId="4819EF7C" w14:textId="55CB920C" w:rsidR="00B97E9F" w:rsidRPr="00223E80" w:rsidRDefault="00B97E9F" w:rsidP="00B97E9F">
      <w:pPr>
        <w:overflowPunct w:val="0"/>
        <w:autoSpaceDE w:val="0"/>
        <w:autoSpaceDN w:val="0"/>
        <w:adjustRightInd w:val="0"/>
        <w:spacing w:after="0"/>
        <w:contextualSpacing/>
        <w:textAlignment w:val="baseline"/>
        <w:rPr>
          <w:rFonts w:eastAsia="Times New Roman"/>
          <w:lang w:val="x-none" w:eastAsia="x-none"/>
        </w:rPr>
      </w:pPr>
      <w:r w:rsidRPr="00223E80">
        <w:rPr>
          <w:rFonts w:eastAsia="Times New Roman"/>
          <w:lang w:val="x-none" w:eastAsia="x-none"/>
        </w:rPr>
        <w:t>Zakonska ureditev področja obnovljivih virov energije temelji na nadnacionalni pravni ureditvi EU. V okviru prenosa evropskega zakonodajnega paketa, poimenovanega »Čista energija za vse Evropejce«, se je v domači pravni red prenesla tudi Direktiv</w:t>
      </w:r>
      <w:r w:rsidR="008F5FD0" w:rsidRPr="00223E80">
        <w:rPr>
          <w:rFonts w:eastAsia="Times New Roman"/>
          <w:lang w:eastAsia="x-none"/>
        </w:rPr>
        <w:t>a</w:t>
      </w:r>
      <w:r w:rsidRPr="00223E80">
        <w:rPr>
          <w:rFonts w:eastAsia="Times New Roman"/>
          <w:lang w:val="x-none" w:eastAsia="x-none"/>
        </w:rPr>
        <w:t xml:space="preserve"> 2018/2001, pri čemer pa je zaradi potreb preglednosti prevladala rešitev po ureditvi področja obnovljivih virov energije v samostojnem zakonu. Relevantne vsebine so bile zato prenesene v ZSROVE. </w:t>
      </w:r>
    </w:p>
    <w:p w14:paraId="26054F60" w14:textId="77777777" w:rsidR="000711B7" w:rsidRPr="00223E80" w:rsidRDefault="000711B7" w:rsidP="007E6ED7">
      <w:pPr>
        <w:pStyle w:val="rkovnatokazaodstavkom"/>
        <w:numPr>
          <w:ilvl w:val="0"/>
          <w:numId w:val="0"/>
        </w:numPr>
        <w:spacing w:line="276" w:lineRule="auto"/>
      </w:pPr>
    </w:p>
    <w:p w14:paraId="34C2DBDC" w14:textId="477C8849" w:rsidR="00BB79A4" w:rsidRPr="00223E80" w:rsidRDefault="00787CD3" w:rsidP="007E6ED7">
      <w:pPr>
        <w:pStyle w:val="rkovnatokazaodstavkom"/>
        <w:numPr>
          <w:ilvl w:val="0"/>
          <w:numId w:val="0"/>
        </w:numPr>
        <w:spacing w:line="276" w:lineRule="auto"/>
        <w:rPr>
          <w:rFonts w:eastAsia="Arial"/>
        </w:rPr>
      </w:pPr>
      <w:r w:rsidRPr="00223E80">
        <w:rPr>
          <w:rFonts w:eastAsia="Arial"/>
        </w:rPr>
        <w:t>Dodati je treb</w:t>
      </w:r>
      <w:r w:rsidR="00833D00" w:rsidRPr="00223E80">
        <w:rPr>
          <w:rFonts w:eastAsia="Arial"/>
          <w:lang w:val="sl-SI"/>
        </w:rPr>
        <w:t>a</w:t>
      </w:r>
      <w:r w:rsidRPr="00223E80">
        <w:rPr>
          <w:rFonts w:eastAsia="Arial"/>
        </w:rPr>
        <w:t xml:space="preserve">, da je </w:t>
      </w:r>
      <w:r w:rsidR="004C3CE6" w:rsidRPr="00223E80">
        <w:rPr>
          <w:rFonts w:eastAsia="Arial"/>
        </w:rPr>
        <w:t>okviru EU svežnja »Pripravljeni na 55«, tj. sklopa predlogov za revizijo in posodobitev zakonodaje EU, ki se nanaša na cilj EU, da do leta 2030 zmanjša neto emisije toplogrednih plinov za vsaj 55</w:t>
      </w:r>
      <w:r w:rsidR="00C11274" w:rsidRPr="00223E80">
        <w:rPr>
          <w:rFonts w:eastAsia="Arial"/>
          <w:lang w:val="sl-SI"/>
        </w:rPr>
        <w:t xml:space="preserve"> </w:t>
      </w:r>
      <w:r w:rsidR="004C3CE6" w:rsidRPr="00223E80">
        <w:rPr>
          <w:rFonts w:eastAsia="Arial"/>
        </w:rPr>
        <w:t>%,</w:t>
      </w:r>
      <w:r w:rsidRPr="00223E80">
        <w:rPr>
          <w:rFonts w:eastAsia="Arial"/>
        </w:rPr>
        <w:t xml:space="preserve"> tudi posodobitev Direktive 2018/2001, ki bo vključevala številne novosti na področju OVE</w:t>
      </w:r>
      <w:r w:rsidR="008C47BE" w:rsidRPr="00223E80">
        <w:rPr>
          <w:rFonts w:eastAsia="Arial"/>
          <w:lang w:val="sl-SI"/>
        </w:rPr>
        <w:t>.</w:t>
      </w:r>
      <w:r w:rsidRPr="00223E80">
        <w:rPr>
          <w:rFonts w:eastAsia="Arial"/>
        </w:rPr>
        <w:t xml:space="preserve"> </w:t>
      </w:r>
      <w:r w:rsidR="008C47BE" w:rsidRPr="00223E80">
        <w:rPr>
          <w:rFonts w:eastAsia="Arial"/>
          <w:lang w:val="sl-SI"/>
        </w:rPr>
        <w:t>T</w:t>
      </w:r>
      <w:r w:rsidRPr="00223E80">
        <w:rPr>
          <w:rFonts w:eastAsia="Arial"/>
        </w:rPr>
        <w:t>em procesom pa bodo morali slediti tudi domači postopki gle</w:t>
      </w:r>
      <w:r w:rsidR="00006A3B" w:rsidRPr="00223E80">
        <w:rPr>
          <w:rFonts w:eastAsia="Arial"/>
        </w:rPr>
        <w:t xml:space="preserve">de </w:t>
      </w:r>
      <w:r w:rsidR="000041E3" w:rsidRPr="00223E80">
        <w:rPr>
          <w:rFonts w:eastAsia="Arial"/>
          <w:lang w:val="sl-SI"/>
        </w:rPr>
        <w:t xml:space="preserve">prenosa in </w:t>
      </w:r>
      <w:r w:rsidR="00006A3B" w:rsidRPr="00223E80">
        <w:rPr>
          <w:rFonts w:eastAsia="Arial"/>
        </w:rPr>
        <w:t>implementacij</w:t>
      </w:r>
      <w:r w:rsidR="000041E3" w:rsidRPr="00223E80">
        <w:rPr>
          <w:rFonts w:eastAsia="Arial"/>
          <w:lang w:val="sl-SI"/>
        </w:rPr>
        <w:t>e</w:t>
      </w:r>
      <w:r w:rsidR="00006A3B" w:rsidRPr="00223E80">
        <w:rPr>
          <w:rFonts w:eastAsia="Arial"/>
        </w:rPr>
        <w:t xml:space="preserve"> ter vsebinske prilagoditve</w:t>
      </w:r>
      <w:r w:rsidRPr="00223E80">
        <w:rPr>
          <w:rFonts w:eastAsia="Arial"/>
        </w:rPr>
        <w:t xml:space="preserve"> </w:t>
      </w:r>
      <w:r w:rsidR="00B30DAC" w:rsidRPr="00223E80">
        <w:rPr>
          <w:rFonts w:eastAsia="Arial"/>
          <w:lang w:val="sl-SI"/>
        </w:rPr>
        <w:t xml:space="preserve">aktualne verzije </w:t>
      </w:r>
      <w:r w:rsidRPr="00223E80">
        <w:rPr>
          <w:rFonts w:eastAsia="Arial"/>
        </w:rPr>
        <w:t xml:space="preserve">dolgoročnega časovnega načrta. </w:t>
      </w:r>
      <w:r w:rsidR="004C3CE6" w:rsidRPr="00223E80">
        <w:rPr>
          <w:rFonts w:eastAsia="Arial"/>
        </w:rPr>
        <w:t>Prav tako je Evropska komisija v maju 2022 predstavila »Načrt REPowerEU« kot svoj odziv na težave in motnje na svetovnem energetskem trgu, ki jih je povzročila ruska invazija na Ukrajino. Ukrepi, namenjeni preoblikovanju evropskega energetskega sistema</w:t>
      </w:r>
      <w:r w:rsidR="008C47BE" w:rsidRPr="00223E80">
        <w:rPr>
          <w:rFonts w:eastAsia="Arial"/>
          <w:lang w:val="sl-SI"/>
        </w:rPr>
        <w:t>,</w:t>
      </w:r>
      <w:r w:rsidR="004C3CE6" w:rsidRPr="00223E80">
        <w:rPr>
          <w:rFonts w:eastAsia="Arial"/>
        </w:rPr>
        <w:t xml:space="preserve"> slonijo na nadgradnji </w:t>
      </w:r>
      <w:r w:rsidR="003C665D" w:rsidRPr="00223E80">
        <w:rPr>
          <w:rFonts w:eastAsia="Arial"/>
        </w:rPr>
        <w:t>ciljev</w:t>
      </w:r>
      <w:r w:rsidR="003C665D" w:rsidRPr="00223E80">
        <w:rPr>
          <w:rFonts w:eastAsia="Arial"/>
          <w:lang w:val="sl-SI"/>
        </w:rPr>
        <w:t xml:space="preserve"> </w:t>
      </w:r>
      <w:r w:rsidR="004C3CE6" w:rsidRPr="00223E80">
        <w:rPr>
          <w:rFonts w:eastAsia="Arial"/>
        </w:rPr>
        <w:t>»Pripravljeni na 55«. Načrt REPowerEU zvišuje zastavljeni cilj deleža OVE v končni rabi energije do konca leta 2030 v primerjavi s ciljem</w:t>
      </w:r>
      <w:r w:rsidR="003C665D" w:rsidRPr="00223E80">
        <w:rPr>
          <w:rFonts w:eastAsia="Arial"/>
          <w:lang w:val="sl-SI"/>
        </w:rPr>
        <w:t>,</w:t>
      </w:r>
      <w:r w:rsidR="004C3CE6" w:rsidRPr="00223E80">
        <w:rPr>
          <w:rFonts w:eastAsia="Arial"/>
        </w:rPr>
        <w:t xml:space="preserve"> zastavljenim v »Pripravljeni na 55«, </w:t>
      </w:r>
      <w:r w:rsidR="003C665D" w:rsidRPr="00223E80">
        <w:rPr>
          <w:rFonts w:eastAsia="Arial"/>
          <w:lang w:val="sl-SI"/>
        </w:rPr>
        <w:t>s</w:t>
      </w:r>
      <w:r w:rsidR="004C3CE6" w:rsidRPr="00223E80">
        <w:rPr>
          <w:rFonts w:eastAsia="Arial"/>
        </w:rPr>
        <w:t xml:space="preserve"> 40 % na 45</w:t>
      </w:r>
      <w:r w:rsidR="00C11274" w:rsidRPr="00223E80">
        <w:rPr>
          <w:rFonts w:eastAsia="Arial"/>
          <w:lang w:val="sl-SI"/>
        </w:rPr>
        <w:t xml:space="preserve"> </w:t>
      </w:r>
      <w:r w:rsidR="004C3CE6" w:rsidRPr="00223E80">
        <w:rPr>
          <w:rFonts w:eastAsia="Arial"/>
        </w:rPr>
        <w:t>%. Načrt REPowerEU predvideva ciljno usmerjeno spremembo Direktive 2018/2001</w:t>
      </w:r>
      <w:r w:rsidR="004C3CE6" w:rsidRPr="00223E80">
        <w:rPr>
          <w:rFonts w:eastAsia="Arial"/>
          <w:lang w:val="sl-SI"/>
        </w:rPr>
        <w:t>/EU</w:t>
      </w:r>
      <w:r w:rsidR="004C3CE6" w:rsidRPr="00223E80">
        <w:rPr>
          <w:rFonts w:eastAsia="Arial"/>
        </w:rPr>
        <w:t>, da bi bila energija iz obnovljivih virov priznana kot prevladujoč javni interes. Določitev tega splošnega ambicioznejšega cilja bo ustvarila okvir za druge pobude, vključno z: namensko strategijo EU za sončno energijo za podvojitev sončne fotonapetostne zmogljivost</w:t>
      </w:r>
      <w:r w:rsidR="003C665D" w:rsidRPr="00223E80">
        <w:rPr>
          <w:rFonts w:eastAsia="Arial"/>
          <w:lang w:val="sl-SI"/>
        </w:rPr>
        <w:t>i</w:t>
      </w:r>
      <w:r w:rsidR="004C3CE6" w:rsidRPr="00223E80">
        <w:rPr>
          <w:rFonts w:eastAsia="Arial"/>
        </w:rPr>
        <w:t xml:space="preserve"> do leta 2025 in namestitev 600 GW do leta 2030; pobudo za strešne sončne panele s postopno uvedbo pravne obveznosti namestitve sončnih panelov na nove javne in poslovne stavbe ter nove stanovanjske stavbe; vzpostaviti namenska območja, ki so še posebej primerna za obnovljive vire energije, s skrajšanimi in poenostavljenimi postopki izdaje dovoljenj na območjih z manjšim okoljskim tveganjem itd.</w:t>
      </w:r>
    </w:p>
    <w:p w14:paraId="3279536D" w14:textId="77777777" w:rsidR="00787CD3" w:rsidRPr="00223E80" w:rsidRDefault="00787CD3" w:rsidP="007E6ED7">
      <w:pPr>
        <w:pStyle w:val="rkovnatokazaodstavkom"/>
        <w:numPr>
          <w:ilvl w:val="0"/>
          <w:numId w:val="0"/>
        </w:numPr>
        <w:spacing w:line="276" w:lineRule="auto"/>
        <w:rPr>
          <w:rFonts w:eastAsia="Arial"/>
        </w:rPr>
      </w:pPr>
    </w:p>
    <w:p w14:paraId="73824187" w14:textId="459C6E27" w:rsidR="00E6746E" w:rsidRPr="00223E80" w:rsidRDefault="005F7869" w:rsidP="007E6ED7">
      <w:pPr>
        <w:pStyle w:val="rkovnatokazaodstavkom"/>
        <w:numPr>
          <w:ilvl w:val="0"/>
          <w:numId w:val="0"/>
        </w:numPr>
        <w:spacing w:line="276" w:lineRule="auto"/>
        <w:ind w:firstLine="1"/>
      </w:pPr>
      <w:r w:rsidRPr="00223E80">
        <w:rPr>
          <w:rFonts w:eastAsia="Arial"/>
        </w:rPr>
        <w:t xml:space="preserve">V skladu z 19. členom ZSROVE je Vlada vsaki dve leti do 31. decembra zavezana sprejeti dolgoročni časovni načrt doseganja ciljev spodbujanja proizvodnje in rabe obnovljivih virov energije za naslednjih pet let, pri čemer pa mora vsaj za naslednji dve leti predvideti (1) obseg sredstev, zbranih iz virov sredstev za podpore iz tretjega odstavka 16. člena ZSROVE, (2) obseg sredstev, ki so namenjena za posamezni ukrep za doseganje ciljev spodbujanja rabe obnovljivih virov energije, (3) okvirni časovni razpored in pogostost javnih pozivov, (4) način in časovnico prerazporeditve sredstev, </w:t>
      </w:r>
      <w:r w:rsidR="009B0CCE" w:rsidRPr="00223E80">
        <w:rPr>
          <w:rFonts w:eastAsia="Arial"/>
          <w:lang w:val="sl-SI"/>
        </w:rPr>
        <w:t>če</w:t>
      </w:r>
      <w:r w:rsidRPr="00223E80">
        <w:rPr>
          <w:rFonts w:eastAsia="Arial"/>
        </w:rPr>
        <w:t xml:space="preserve"> ta niso porabljena v predvidenem obdobju, po potrebi pa določiti tudi (5) </w:t>
      </w:r>
      <w:r w:rsidRPr="00223E80">
        <w:t>vključevanje Republike Slovenije v mehanizme mednarodnega sodelovanja za doseganje deleža energije iz obnovljivih virov.</w:t>
      </w:r>
    </w:p>
    <w:p w14:paraId="6718DC70" w14:textId="77777777" w:rsidR="007E6ED7" w:rsidRPr="00223E80" w:rsidRDefault="000A523A" w:rsidP="009570AF">
      <w:pPr>
        <w:pStyle w:val="Naslov1"/>
      </w:pPr>
      <w:bookmarkStart w:id="17" w:name="_Toc112143978"/>
      <w:r w:rsidRPr="00223E80">
        <w:t>4</w:t>
      </w:r>
      <w:r w:rsidR="00006FD4" w:rsidRPr="00223E80">
        <w:t xml:space="preserve">   </w:t>
      </w:r>
      <w:r w:rsidR="008A315D" w:rsidRPr="00223E80">
        <w:t xml:space="preserve">SPODBUDE </w:t>
      </w:r>
      <w:r w:rsidR="00E072FA" w:rsidRPr="00223E80">
        <w:t>IN UKREPI NA PODROČJU OBNOVLJIVIH VIROV ENERGIJE</w:t>
      </w:r>
      <w:bookmarkEnd w:id="17"/>
      <w:r w:rsidR="008A315D" w:rsidRPr="00223E80">
        <w:t xml:space="preserve"> </w:t>
      </w:r>
    </w:p>
    <w:p w14:paraId="3FCDB364" w14:textId="77777777" w:rsidR="00BC4442" w:rsidRPr="00223E80" w:rsidRDefault="00BC4442" w:rsidP="00BC4442">
      <w:pPr>
        <w:rPr>
          <w:lang w:eastAsia="x-none"/>
        </w:rPr>
      </w:pPr>
    </w:p>
    <w:p w14:paraId="5167E316" w14:textId="77777777" w:rsidR="00E54954" w:rsidRPr="00223E80" w:rsidRDefault="00584D80" w:rsidP="00A579FC">
      <w:pPr>
        <w:pStyle w:val="Naslov2"/>
      </w:pPr>
      <w:bookmarkStart w:id="18" w:name="_Toc112143979"/>
      <w:r w:rsidRPr="00223E80">
        <w:t xml:space="preserve">4.1 </w:t>
      </w:r>
      <w:r w:rsidR="00411FF3" w:rsidRPr="00223E80">
        <w:t>N</w:t>
      </w:r>
      <w:r w:rsidR="00960EB4" w:rsidRPr="00223E80">
        <w:t>amensk</w:t>
      </w:r>
      <w:r w:rsidR="00411FF3" w:rsidRPr="00223E80">
        <w:t>a</w:t>
      </w:r>
      <w:r w:rsidR="00960EB4" w:rsidRPr="00223E80">
        <w:t xml:space="preserve"> sredst</w:t>
      </w:r>
      <w:r w:rsidR="00B97E9F" w:rsidRPr="00223E80">
        <w:t>va</w:t>
      </w:r>
      <w:r w:rsidR="00960EB4" w:rsidRPr="00223E80">
        <w:t xml:space="preserve"> </w:t>
      </w:r>
      <w:r w:rsidR="00E54954" w:rsidRPr="00223E80">
        <w:t>na področju obnovljivih virov energije</w:t>
      </w:r>
      <w:bookmarkEnd w:id="18"/>
    </w:p>
    <w:p w14:paraId="197FA214" w14:textId="77777777" w:rsidR="00E54954" w:rsidRPr="00223E80" w:rsidRDefault="00E54954" w:rsidP="00E54954">
      <w:pPr>
        <w:spacing w:after="0"/>
        <w:rPr>
          <w:rFonts w:eastAsia="Arial" w:cs="Arial"/>
          <w:lang w:eastAsia="sl-SI"/>
        </w:rPr>
      </w:pPr>
    </w:p>
    <w:p w14:paraId="50799FFF" w14:textId="6F54C652" w:rsidR="00411FF3" w:rsidRPr="00223E80" w:rsidRDefault="00411FF3" w:rsidP="00411FF3">
      <w:pPr>
        <w:rPr>
          <w:lang w:eastAsia="sl-SI"/>
        </w:rPr>
      </w:pPr>
      <w:r w:rsidRPr="00223E80">
        <w:rPr>
          <w:lang w:eastAsia="sl-SI"/>
        </w:rPr>
        <w:t>Področna nacionalna zakonodaja za financiranje ukrepov OVE določa namenske vire iz:</w:t>
      </w:r>
    </w:p>
    <w:p w14:paraId="64FBE575" w14:textId="647EFF1D" w:rsidR="00411FF3" w:rsidRPr="00223E80" w:rsidRDefault="00411FF3" w:rsidP="00AB48B0">
      <w:pPr>
        <w:numPr>
          <w:ilvl w:val="0"/>
          <w:numId w:val="33"/>
        </w:numPr>
      </w:pPr>
      <w:r w:rsidRPr="00223E80">
        <w:t>prispevka za zagotavljanje podpor proizvodnji energije v soproizvodnji z visokim izkoristkom in iz obnovljivih virov energije, ki ga mora plačevati vsak končni odjemalec električne energije, zemeljskega plina in drugih energetskih plinov iz omrežja in daljinske toplote ter daljinskega hlajenja za posamezno prevzemno-predajno mesto, njegovo plačilo pa bremeni tudi trda in tekoča fosilna goriva, utekočinjeni naftni plin ter utekočinjeni zemeljski plin, ki ga vsak končni odjemalec plačuje dobavitelju;</w:t>
      </w:r>
    </w:p>
    <w:p w14:paraId="2E9EA1F5" w14:textId="77777777" w:rsidR="00411FF3" w:rsidRPr="00223E80" w:rsidRDefault="00411FF3" w:rsidP="00AB48B0">
      <w:pPr>
        <w:numPr>
          <w:ilvl w:val="0"/>
          <w:numId w:val="33"/>
        </w:numPr>
      </w:pPr>
      <w:r w:rsidRPr="00223E80">
        <w:lastRenderedPageBreak/>
        <w:t>prodaje električne energije, ki jo center za podpore odkupi po zagotovljeni odkupni ceni;</w:t>
      </w:r>
    </w:p>
    <w:p w14:paraId="16B7EF6D" w14:textId="4BEB875F" w:rsidR="00411FF3" w:rsidRPr="00223E80" w:rsidRDefault="00411FF3" w:rsidP="00AB48B0">
      <w:pPr>
        <w:numPr>
          <w:ilvl w:val="0"/>
          <w:numId w:val="33"/>
        </w:numPr>
      </w:pPr>
      <w:r w:rsidRPr="00223E80">
        <w:t>proračunskih virov, če se za ta namen oblikuje posebna namenska proračunska postavka in določijo namenski proračunski prihodki;</w:t>
      </w:r>
    </w:p>
    <w:p w14:paraId="2968DDA6" w14:textId="15D77944" w:rsidR="00411FF3" w:rsidRPr="00223E80" w:rsidRDefault="00411FF3" w:rsidP="00AB48B0">
      <w:pPr>
        <w:numPr>
          <w:ilvl w:val="0"/>
          <w:numId w:val="33"/>
        </w:numPr>
      </w:pPr>
      <w:r w:rsidRPr="00223E80">
        <w:t>sredst</w:t>
      </w:r>
      <w:r w:rsidR="00422A86" w:rsidRPr="00223E80">
        <w:t>e</w:t>
      </w:r>
      <w:r w:rsidRPr="00223E80">
        <w:t>v, pridobljen</w:t>
      </w:r>
      <w:r w:rsidR="00422A86" w:rsidRPr="00223E80">
        <w:t>ih</w:t>
      </w:r>
      <w:r w:rsidRPr="00223E80">
        <w:t xml:space="preserve"> iz statističnih prenosov v skladu s 30. členom </w:t>
      </w:r>
      <w:r w:rsidR="004C3CE6" w:rsidRPr="00223E80">
        <w:t>ZSROVE</w:t>
      </w:r>
      <w:r w:rsidRPr="00223E80">
        <w:t>;</w:t>
      </w:r>
    </w:p>
    <w:p w14:paraId="370BF3DC" w14:textId="77777777" w:rsidR="00411FF3" w:rsidRPr="00223E80" w:rsidRDefault="00411FF3" w:rsidP="00AB48B0">
      <w:pPr>
        <w:numPr>
          <w:ilvl w:val="0"/>
          <w:numId w:val="33"/>
        </w:numPr>
      </w:pPr>
      <w:r w:rsidRPr="00223E80">
        <w:t xml:space="preserve">sredstev, pripadajočih Republiki Sloveniji zaradi sodelovanja v vlogi gostiteljice projektov v mehanizmu Unije iz drugega odstavka 36. člena </w:t>
      </w:r>
      <w:r w:rsidR="004C3CE6" w:rsidRPr="00223E80">
        <w:t>ZSROVE</w:t>
      </w:r>
      <w:r w:rsidRPr="00223E80">
        <w:t>;</w:t>
      </w:r>
    </w:p>
    <w:p w14:paraId="60970E7E" w14:textId="027599BA" w:rsidR="00411FF3" w:rsidRPr="00223E80" w:rsidRDefault="00411FF3" w:rsidP="00AB48B0">
      <w:pPr>
        <w:numPr>
          <w:ilvl w:val="0"/>
          <w:numId w:val="33"/>
        </w:numPr>
      </w:pPr>
      <w:r w:rsidRPr="00223E80">
        <w:t xml:space="preserve">prispevka za energetsko učinkovitost, ki ga plačuje končni odjemalec električne energije, zemeljskega plina in toplote iz omrežja ter končni odjemalec trdnih, tekočih in plinastih goriv, </w:t>
      </w:r>
      <w:r w:rsidR="005E1229" w:rsidRPr="00223E80">
        <w:t>iz kate</w:t>
      </w:r>
      <w:r w:rsidR="00B42E8E" w:rsidRPr="00223E80">
        <w:t>re</w:t>
      </w:r>
      <w:r w:rsidR="005E1229" w:rsidRPr="00223E80">
        <w:t xml:space="preserve">ga se zagotavljajo finančne spodbude </w:t>
      </w:r>
      <w:r w:rsidR="00422A86" w:rsidRPr="00223E80">
        <w:t xml:space="preserve">za </w:t>
      </w:r>
      <w:r w:rsidR="005E1229" w:rsidRPr="00223E80">
        <w:t>rab</w:t>
      </w:r>
      <w:r w:rsidR="00422A86" w:rsidRPr="00223E80">
        <w:t>o</w:t>
      </w:r>
      <w:r w:rsidR="005E1229" w:rsidRPr="00223E80">
        <w:t xml:space="preserve"> OVE v okviru programa EKO sklada za izboljšanje energetske učinkovitosti</w:t>
      </w:r>
      <w:r w:rsidRPr="00223E80">
        <w:t>;</w:t>
      </w:r>
    </w:p>
    <w:p w14:paraId="1E13F43B" w14:textId="43556F83" w:rsidR="00411FF3" w:rsidRPr="00223E80" w:rsidRDefault="00422A86" w:rsidP="00AB48B0">
      <w:pPr>
        <w:numPr>
          <w:ilvl w:val="0"/>
          <w:numId w:val="33"/>
        </w:numPr>
      </w:pPr>
      <w:r w:rsidRPr="00223E80">
        <w:t>s</w:t>
      </w:r>
      <w:r w:rsidR="00411FF3" w:rsidRPr="00223E80">
        <w:t>redstev Slovenskega okoljskega javnega sklada, ustanovljenega po Zakonu o varstvu okolja (Uradni list RS, št. 39/06 – uradno prečiščeno besedilo, 49/06 – ZMetD, 66/06 – odl. US, 33/07 – ZPNačrt, 57/08 – ZFO-1A, 70/08, 108/09, 108/09 – ZPNačrt-A, 48/12, 57/12, 92/13, 56/15, 102/15, 30/16, 61/17 – GZ, 21/18 – ZNOrg, 84/18 – ZIURKOE in 158/20) in Zakonu o javnih skladih (Uradni list RS, št. 77/08, 8/10 – ZSKZ-B, 61/20 – ZDLGPE in 206/21 – ZDUPŠOP)</w:t>
      </w:r>
      <w:r w:rsidR="009D42CB" w:rsidRPr="00223E80">
        <w:t>,</w:t>
      </w:r>
      <w:r w:rsidR="00411FF3" w:rsidRPr="00223E80">
        <w:t xml:space="preserve"> </w:t>
      </w:r>
      <w:r w:rsidR="005E1229" w:rsidRPr="00223E80">
        <w:t xml:space="preserve">ki </w:t>
      </w:r>
      <w:r w:rsidR="00411FF3" w:rsidRPr="00223E80">
        <w:t>opravlja naloge na področju varstva okolja oziroma</w:t>
      </w:r>
      <w:r w:rsidR="00CE29EF" w:rsidRPr="00223E80">
        <w:t xml:space="preserve"> za</w:t>
      </w:r>
      <w:r w:rsidR="00411FF3" w:rsidRPr="00223E80">
        <w:t xml:space="preserve"> odprav</w:t>
      </w:r>
      <w:r w:rsidR="00CE29EF" w:rsidRPr="00223E80">
        <w:t>o</w:t>
      </w:r>
      <w:r w:rsidR="00411FF3" w:rsidRPr="00223E80">
        <w:t xml:space="preserve"> ali zmanjševanj</w:t>
      </w:r>
      <w:r w:rsidR="00CE29EF" w:rsidRPr="00223E80">
        <w:t>e</w:t>
      </w:r>
      <w:r w:rsidR="00411FF3" w:rsidRPr="00223E80">
        <w:t xml:space="preserve"> obremenitve okolja, </w:t>
      </w:r>
      <w:r w:rsidR="00CE29EF" w:rsidRPr="00223E80">
        <w:t xml:space="preserve">za </w:t>
      </w:r>
      <w:r w:rsidR="00411FF3" w:rsidRPr="00223E80">
        <w:t>učinkovit</w:t>
      </w:r>
      <w:r w:rsidR="00CE29EF" w:rsidRPr="00223E80">
        <w:t>o</w:t>
      </w:r>
      <w:r w:rsidR="00411FF3" w:rsidRPr="00223E80">
        <w:t xml:space="preserve"> rab</w:t>
      </w:r>
      <w:r w:rsidR="00CE29EF" w:rsidRPr="00223E80">
        <w:t>o</w:t>
      </w:r>
      <w:r w:rsidR="00411FF3" w:rsidRPr="00223E80">
        <w:t xml:space="preserve"> energije in izrab</w:t>
      </w:r>
      <w:r w:rsidR="00CE29EF" w:rsidRPr="00223E80">
        <w:t>o</w:t>
      </w:r>
      <w:r w:rsidR="00411FF3" w:rsidRPr="00223E80">
        <w:t xml:space="preserve"> obnovljivih virov energije ter </w:t>
      </w:r>
      <w:r w:rsidR="00CE29EF" w:rsidRPr="00223E80">
        <w:t xml:space="preserve">naloge </w:t>
      </w:r>
      <w:r w:rsidR="00411FF3" w:rsidRPr="00223E80">
        <w:t xml:space="preserve">na drugih področjih v skladu s predpisi, ki urejajo varstvo okolja, energetiko, rudarstvo in </w:t>
      </w:r>
      <w:r w:rsidR="00CE29EF" w:rsidRPr="00223E80">
        <w:t xml:space="preserve">v skladu z </w:t>
      </w:r>
      <w:r w:rsidR="00411FF3" w:rsidRPr="00223E80">
        <w:t>odločitvami ustanovitelja</w:t>
      </w:r>
      <w:r w:rsidR="009D42CB" w:rsidRPr="00223E80">
        <w:t>;</w:t>
      </w:r>
    </w:p>
    <w:p w14:paraId="7E8D49F4" w14:textId="63E43C6E" w:rsidR="00411FF3" w:rsidRPr="00223E80" w:rsidRDefault="009D42CB" w:rsidP="00AB48B0">
      <w:pPr>
        <w:numPr>
          <w:ilvl w:val="0"/>
          <w:numId w:val="33"/>
        </w:numPr>
        <w:rPr>
          <w:lang w:eastAsia="sl-SI"/>
        </w:rPr>
      </w:pPr>
      <w:r w:rsidRPr="00223E80">
        <w:rPr>
          <w:lang w:eastAsia="sl-SI"/>
        </w:rPr>
        <w:t>s</w:t>
      </w:r>
      <w:r w:rsidR="00411FF3" w:rsidRPr="00223E80">
        <w:rPr>
          <w:lang w:eastAsia="sl-SI"/>
        </w:rPr>
        <w:t>redstev Sklada za podnebne spremembe na podlagi tretjega odstavka 129. člena Zakona o varstvu okolja (Uradni list RS, št. 39/06 – uradno prečiščeno besedilo, 49/06 – ZMetD, 66/06 – odl. US, 33/07 – ZPNačrt, 57/08 – ZFO-1A, 70/08, 108/09, 108/09 – ZPNačrt-A, 48/12, 57/12, 93/13, 56/15, 102/15, 30/16, 61/17 – GZ, 21/18 – ZNOrg in 84/18 – ZIURKOE) – (v nadaljevanju: SPS)</w:t>
      </w:r>
      <w:r w:rsidR="002057F6" w:rsidRPr="00223E80">
        <w:rPr>
          <w:lang w:eastAsia="sl-SI"/>
        </w:rPr>
        <w:t>.</w:t>
      </w:r>
      <w:r w:rsidR="00411FF3" w:rsidRPr="00223E80">
        <w:rPr>
          <w:lang w:eastAsia="sl-SI"/>
        </w:rPr>
        <w:t xml:space="preserve"> </w:t>
      </w:r>
    </w:p>
    <w:p w14:paraId="0D5B23A2" w14:textId="45002FB8" w:rsidR="005E1229" w:rsidRPr="00223E80" w:rsidRDefault="00E54954" w:rsidP="007E6ED7">
      <w:pPr>
        <w:spacing w:after="0"/>
        <w:rPr>
          <w:rFonts w:eastAsia="Arial" w:cs="Arial"/>
          <w:lang w:eastAsia="sl-SI"/>
        </w:rPr>
      </w:pPr>
      <w:r w:rsidRPr="00223E80">
        <w:rPr>
          <w:rFonts w:eastAsia="Arial" w:cs="Arial"/>
          <w:lang w:eastAsia="sl-SI"/>
        </w:rPr>
        <w:t>V zadnjih nekaj letih se je trend povečevanja državnih pomoči v Republiki Sloveniji nekoliko umiril, po letu 2018 je zabeležen celo rahel upad tudi v absolutnem znesku. Kljub temu je bilo za pomoči za ukrepe varstva okolja in varčevanja z energijo namenjenih 161,80 mio EUR ali 32,25 % vseh pomoči v letu 2020</w:t>
      </w:r>
      <w:r w:rsidR="002057F6" w:rsidRPr="00223E80">
        <w:rPr>
          <w:rFonts w:eastAsia="Arial" w:cs="Arial"/>
          <w:lang w:eastAsia="sl-SI"/>
        </w:rPr>
        <w:t>.</w:t>
      </w:r>
      <w:r w:rsidR="00DC5494" w:rsidRPr="00223E80">
        <w:rPr>
          <w:rFonts w:eastAsia="Arial" w:cs="Arial"/>
          <w:lang w:eastAsia="sl-SI"/>
        </w:rPr>
        <w:t xml:space="preserve"> </w:t>
      </w:r>
      <w:r w:rsidR="002057F6" w:rsidRPr="00223E80">
        <w:rPr>
          <w:rFonts w:eastAsia="Arial" w:cs="Arial"/>
          <w:lang w:eastAsia="sl-SI"/>
        </w:rPr>
        <w:t>P</w:t>
      </w:r>
      <w:r w:rsidR="00DC5494" w:rsidRPr="00223E80">
        <w:rPr>
          <w:rFonts w:eastAsia="Arial" w:cs="Arial"/>
          <w:lang w:eastAsia="sl-SI"/>
        </w:rPr>
        <w:t xml:space="preserve">ri </w:t>
      </w:r>
      <w:r w:rsidR="002057F6" w:rsidRPr="00223E80">
        <w:rPr>
          <w:rFonts w:eastAsia="Arial" w:cs="Arial"/>
          <w:lang w:eastAsia="sl-SI"/>
        </w:rPr>
        <w:t>t</w:t>
      </w:r>
      <w:r w:rsidR="00DC5494" w:rsidRPr="00223E80">
        <w:rPr>
          <w:rFonts w:eastAsia="Arial" w:cs="Arial"/>
          <w:lang w:eastAsia="sl-SI"/>
        </w:rPr>
        <w:t xml:space="preserve">em je bila </w:t>
      </w:r>
      <w:r w:rsidRPr="00223E80">
        <w:rPr>
          <w:rFonts w:eastAsia="Arial" w:cs="Arial"/>
          <w:lang w:eastAsia="sl-SI"/>
        </w:rPr>
        <w:t xml:space="preserve">večina </w:t>
      </w:r>
      <w:r w:rsidR="00DC5494" w:rsidRPr="00223E80">
        <w:rPr>
          <w:rFonts w:eastAsia="Arial" w:cs="Arial"/>
          <w:lang w:eastAsia="sl-SI"/>
        </w:rPr>
        <w:t xml:space="preserve">teh </w:t>
      </w:r>
      <w:r w:rsidRPr="00223E80">
        <w:rPr>
          <w:rFonts w:eastAsia="Arial" w:cs="Arial"/>
          <w:lang w:eastAsia="sl-SI"/>
        </w:rPr>
        <w:t>pomoči (77,7 % ali 125,71 mio EUR) namenjen</w:t>
      </w:r>
      <w:r w:rsidR="002057F6" w:rsidRPr="00223E80">
        <w:rPr>
          <w:rFonts w:eastAsia="Arial" w:cs="Arial"/>
          <w:lang w:eastAsia="sl-SI"/>
        </w:rPr>
        <w:t>ih</w:t>
      </w:r>
      <w:r w:rsidRPr="00223E80">
        <w:rPr>
          <w:rFonts w:eastAsia="Arial" w:cs="Arial"/>
          <w:lang w:eastAsia="sl-SI"/>
        </w:rPr>
        <w:t xml:space="preserve"> za proizvodnjo zelene električne energije (obnovljivi viri in soproizvodnja toplote in električne energije – OVE in SPTE). </w:t>
      </w:r>
      <w:r w:rsidR="00DC5494" w:rsidRPr="00223E80">
        <w:rPr>
          <w:rFonts w:eastAsia="Arial" w:cs="Arial"/>
          <w:lang w:eastAsia="sl-SI"/>
        </w:rPr>
        <w:t xml:space="preserve">Po letu 2015 se po uvedbi konkurenčnega postopka </w:t>
      </w:r>
      <w:r w:rsidR="00960EB4" w:rsidRPr="00223E80">
        <w:rPr>
          <w:rFonts w:eastAsia="Arial" w:cs="Arial"/>
          <w:lang w:eastAsia="sl-SI"/>
        </w:rPr>
        <w:t xml:space="preserve">v skladu s spremembo priglašene sheme </w:t>
      </w:r>
      <w:r w:rsidR="00DC5494" w:rsidRPr="00223E80">
        <w:rPr>
          <w:rFonts w:eastAsia="Arial" w:cs="Arial"/>
          <w:lang w:eastAsia="sl-SI"/>
        </w:rPr>
        <w:t xml:space="preserve">beleži upad izdatkov iz te postavke, razlog za </w:t>
      </w:r>
      <w:r w:rsidR="00960EB4" w:rsidRPr="00223E80">
        <w:rPr>
          <w:rFonts w:eastAsia="Arial" w:cs="Arial"/>
          <w:lang w:eastAsia="sl-SI"/>
        </w:rPr>
        <w:t>upad interesa investitorjev</w:t>
      </w:r>
      <w:r w:rsidR="00DC5494" w:rsidRPr="00223E80">
        <w:rPr>
          <w:rFonts w:eastAsia="Arial" w:cs="Arial"/>
          <w:lang w:eastAsia="sl-SI"/>
        </w:rPr>
        <w:t xml:space="preserve"> pa</w:t>
      </w:r>
      <w:r w:rsidR="00094681" w:rsidRPr="00223E80">
        <w:rPr>
          <w:rFonts w:eastAsia="Arial" w:cs="Arial"/>
          <w:lang w:eastAsia="sl-SI"/>
        </w:rPr>
        <w:t xml:space="preserve"> je</w:t>
      </w:r>
      <w:r w:rsidR="00DC5494" w:rsidRPr="00223E80">
        <w:rPr>
          <w:rFonts w:eastAsia="Arial" w:cs="Arial"/>
          <w:lang w:eastAsia="sl-SI"/>
        </w:rPr>
        <w:t xml:space="preserve"> </w:t>
      </w:r>
      <w:r w:rsidR="00960EB4" w:rsidRPr="00223E80">
        <w:rPr>
          <w:rFonts w:eastAsia="Arial" w:cs="Arial"/>
          <w:lang w:eastAsia="sl-SI"/>
        </w:rPr>
        <w:t xml:space="preserve">poleg dviga cen tehnološke opreme </w:t>
      </w:r>
      <w:r w:rsidR="005E1229" w:rsidRPr="00223E80">
        <w:rPr>
          <w:rFonts w:eastAsia="Arial" w:cs="Arial"/>
          <w:lang w:eastAsia="sl-SI"/>
        </w:rPr>
        <w:t xml:space="preserve">predvsem </w:t>
      </w:r>
      <w:r w:rsidR="00DC5494" w:rsidRPr="00223E80">
        <w:rPr>
          <w:rFonts w:eastAsia="Arial" w:cs="Arial"/>
          <w:lang w:eastAsia="sl-SI"/>
        </w:rPr>
        <w:t>prostorsko umeščanje takih proizvodnih naprav v prostor.</w:t>
      </w:r>
      <w:r w:rsidR="00960EB4" w:rsidRPr="00223E80">
        <w:rPr>
          <w:rFonts w:eastAsia="Arial" w:cs="Arial"/>
          <w:lang w:eastAsia="sl-SI"/>
        </w:rPr>
        <w:t xml:space="preserve"> </w:t>
      </w:r>
      <w:r w:rsidR="00094681" w:rsidRPr="00223E80">
        <w:rPr>
          <w:rFonts w:eastAsia="Arial" w:cs="Arial"/>
          <w:lang w:eastAsia="sl-SI"/>
        </w:rPr>
        <w:t>Tečejo tudi</w:t>
      </w:r>
      <w:r w:rsidR="005E1229" w:rsidRPr="00223E80">
        <w:rPr>
          <w:rFonts w:eastAsia="Arial" w:cs="Arial"/>
          <w:lang w:eastAsia="sl-SI"/>
        </w:rPr>
        <w:t xml:space="preserve"> aktivnosti za odpravo regulatornih ovir za umeščanje večjih proizvodnih naprav v prostor.</w:t>
      </w:r>
    </w:p>
    <w:p w14:paraId="7C72B96B" w14:textId="77777777" w:rsidR="005E1229" w:rsidRPr="00223E80" w:rsidRDefault="005E1229" w:rsidP="007E6ED7">
      <w:pPr>
        <w:spacing w:after="0"/>
        <w:rPr>
          <w:rFonts w:eastAsia="Arial" w:cs="Arial"/>
          <w:lang w:eastAsia="sl-SI"/>
        </w:rPr>
      </w:pPr>
    </w:p>
    <w:p w14:paraId="58402738" w14:textId="34B18436" w:rsidR="00E54954" w:rsidRPr="00223E80" w:rsidRDefault="00960EB4" w:rsidP="007E6ED7">
      <w:pPr>
        <w:spacing w:after="0"/>
        <w:rPr>
          <w:rFonts w:eastAsia="Arial" w:cs="Arial"/>
          <w:lang w:eastAsia="sl-SI"/>
        </w:rPr>
      </w:pPr>
      <w:r w:rsidRPr="00223E80">
        <w:rPr>
          <w:rFonts w:eastAsia="Arial" w:cs="Arial"/>
          <w:lang w:eastAsia="sl-SI"/>
        </w:rPr>
        <w:t xml:space="preserve">Z nameravanimi popravki referenčnih stroškov v okviru priglašene sheme </w:t>
      </w:r>
      <w:r w:rsidR="00094681" w:rsidRPr="00223E80">
        <w:rPr>
          <w:rFonts w:eastAsia="Arial" w:cs="Arial"/>
          <w:lang w:eastAsia="sl-SI"/>
        </w:rPr>
        <w:t>in</w:t>
      </w:r>
      <w:r w:rsidRPr="00223E80">
        <w:rPr>
          <w:rFonts w:eastAsia="Arial" w:cs="Arial"/>
          <w:lang w:eastAsia="sl-SI"/>
        </w:rPr>
        <w:t xml:space="preserve"> pripravo nove sheme</w:t>
      </w:r>
      <w:r w:rsidR="00411FF3" w:rsidRPr="00223E80">
        <w:rPr>
          <w:rFonts w:eastAsia="Arial" w:cs="Arial"/>
          <w:lang w:eastAsia="sl-SI"/>
        </w:rPr>
        <w:t>,</w:t>
      </w:r>
      <w:r w:rsidRPr="00223E80">
        <w:rPr>
          <w:rFonts w:eastAsia="Arial" w:cs="Arial"/>
          <w:lang w:eastAsia="sl-SI"/>
        </w:rPr>
        <w:t xml:space="preserve"> ki bo vključevala nekatere nove tehnologije, se </w:t>
      </w:r>
      <w:r w:rsidR="00290B68" w:rsidRPr="00223E80">
        <w:rPr>
          <w:rFonts w:eastAsia="Arial" w:cs="Arial"/>
          <w:lang w:eastAsia="sl-SI"/>
        </w:rPr>
        <w:t xml:space="preserve">bo </w:t>
      </w:r>
      <w:r w:rsidRPr="00223E80">
        <w:rPr>
          <w:rFonts w:eastAsia="Arial" w:cs="Arial"/>
          <w:lang w:eastAsia="sl-SI"/>
        </w:rPr>
        <w:t>pri nekaterih tehnologijah, zlasti lesni biomasi, interes za grad</w:t>
      </w:r>
      <w:r w:rsidR="005E22EB" w:rsidRPr="00223E80">
        <w:rPr>
          <w:rFonts w:eastAsia="Arial" w:cs="Arial"/>
          <w:lang w:eastAsia="sl-SI"/>
        </w:rPr>
        <w:t>itev</w:t>
      </w:r>
      <w:r w:rsidRPr="00223E80">
        <w:rPr>
          <w:rFonts w:eastAsia="Arial" w:cs="Arial"/>
          <w:lang w:eastAsia="sl-SI"/>
        </w:rPr>
        <w:t xml:space="preserve"> novih OVE bistveno okrepi</w:t>
      </w:r>
      <w:r w:rsidR="00290B68" w:rsidRPr="00223E80">
        <w:rPr>
          <w:rFonts w:eastAsia="Arial" w:cs="Arial"/>
          <w:lang w:eastAsia="sl-SI"/>
        </w:rPr>
        <w:t>l</w:t>
      </w:r>
      <w:r w:rsidRPr="00223E80">
        <w:rPr>
          <w:rFonts w:eastAsia="Arial" w:cs="Arial"/>
          <w:lang w:eastAsia="sl-SI"/>
        </w:rPr>
        <w:t xml:space="preserve">. </w:t>
      </w:r>
    </w:p>
    <w:p w14:paraId="302D782B" w14:textId="77777777" w:rsidR="00DB5150" w:rsidRPr="00223E80" w:rsidRDefault="00DB5150" w:rsidP="00DB5150">
      <w:pPr>
        <w:spacing w:after="0"/>
        <w:rPr>
          <w:rFonts w:eastAsia="Arial" w:cs="Arial"/>
          <w:lang w:eastAsia="sl-SI"/>
        </w:rPr>
      </w:pPr>
    </w:p>
    <w:p w14:paraId="5B67E7E1" w14:textId="692B4CB3" w:rsidR="00C005AE" w:rsidRPr="00223E80" w:rsidRDefault="00584D80" w:rsidP="00A520AC">
      <w:pPr>
        <w:pStyle w:val="Naslov2"/>
      </w:pPr>
      <w:bookmarkStart w:id="19" w:name="_Toc112143980"/>
      <w:r w:rsidRPr="00223E80">
        <w:lastRenderedPageBreak/>
        <w:t xml:space="preserve">4.2 </w:t>
      </w:r>
      <w:r w:rsidR="00C005AE" w:rsidRPr="00223E80">
        <w:t>Samooskrba z električno energijo iz obnovljivih virov energije</w:t>
      </w:r>
      <w:bookmarkEnd w:id="19"/>
    </w:p>
    <w:p w14:paraId="3C378FE9" w14:textId="77777777" w:rsidR="00C005AE" w:rsidRPr="00223E80" w:rsidRDefault="00C005AE" w:rsidP="00DB5150">
      <w:pPr>
        <w:spacing w:after="0"/>
        <w:rPr>
          <w:rFonts w:eastAsia="Times New Roman"/>
          <w:b/>
          <w:iCs/>
          <w:color w:val="3A4A3E"/>
        </w:rPr>
      </w:pPr>
    </w:p>
    <w:p w14:paraId="3A98AA12" w14:textId="784FB532" w:rsidR="006F58CE" w:rsidRPr="00223E80" w:rsidRDefault="006F58CE" w:rsidP="00A520AC">
      <w:pPr>
        <w:pStyle w:val="Naslov3"/>
      </w:pPr>
      <w:bookmarkStart w:id="20" w:name="_Toc112143981"/>
      <w:r w:rsidRPr="00223E80">
        <w:t>4.2.1</w:t>
      </w:r>
      <w:r w:rsidR="00BC434A" w:rsidRPr="00223E80">
        <w:t xml:space="preserve">   </w:t>
      </w:r>
      <w:r w:rsidRPr="00223E80">
        <w:t>Ukrep o samooskrbi z električno energijo iz obnovljivih virov energije</w:t>
      </w:r>
      <w:bookmarkEnd w:id="20"/>
    </w:p>
    <w:p w14:paraId="0DC158DF" w14:textId="77777777" w:rsidR="006F58CE" w:rsidRPr="00223E80" w:rsidRDefault="006F58CE" w:rsidP="00DB5150">
      <w:pPr>
        <w:spacing w:after="0"/>
        <w:rPr>
          <w:rFonts w:eastAsia="Arial" w:cs="Arial"/>
        </w:rPr>
      </w:pPr>
    </w:p>
    <w:p w14:paraId="4D7B1ECE" w14:textId="7E0707BD" w:rsidR="005E1229" w:rsidRPr="00223E80" w:rsidRDefault="005E1229" w:rsidP="005E1229">
      <w:pPr>
        <w:tabs>
          <w:tab w:val="left" w:pos="1834"/>
        </w:tabs>
        <w:spacing w:after="0"/>
        <w:rPr>
          <w:rFonts w:eastAsia="Arial" w:cs="Arial"/>
        </w:rPr>
      </w:pPr>
      <w:r w:rsidRPr="00223E80">
        <w:rPr>
          <w:rFonts w:eastAsia="Arial" w:cs="Arial"/>
        </w:rPr>
        <w:t>Decembra 2015 je bila z namenom povečanja količine in deleža OVE sprejeta prva Uredba o samooskrbi z električno energijo iz obnovljivih virov energije (Uradni list RS, št. 97/15 in nadaljnji; v nadaljnjem besedilu: Uredba 2015)</w:t>
      </w:r>
      <w:r w:rsidR="005E22EB" w:rsidRPr="00223E80">
        <w:rPr>
          <w:rFonts w:eastAsia="Arial" w:cs="Arial"/>
        </w:rPr>
        <w:t>.</w:t>
      </w:r>
      <w:r w:rsidRPr="00223E80">
        <w:rPr>
          <w:rFonts w:eastAsia="Arial" w:cs="Arial"/>
        </w:rPr>
        <w:t xml:space="preserve"> </w:t>
      </w:r>
      <w:r w:rsidR="005E22EB" w:rsidRPr="00223E80">
        <w:rPr>
          <w:rFonts w:eastAsia="Arial" w:cs="Arial"/>
        </w:rPr>
        <w:t>N</w:t>
      </w:r>
      <w:r w:rsidRPr="00223E80">
        <w:rPr>
          <w:rFonts w:eastAsia="Arial" w:cs="Arial"/>
        </w:rPr>
        <w:t xml:space="preserve">a </w:t>
      </w:r>
      <w:r w:rsidR="005E22EB" w:rsidRPr="00223E80">
        <w:rPr>
          <w:rFonts w:eastAsia="Arial" w:cs="Arial"/>
        </w:rPr>
        <w:t xml:space="preserve">njeni </w:t>
      </w:r>
      <w:r w:rsidRPr="00223E80">
        <w:rPr>
          <w:rFonts w:eastAsia="Arial" w:cs="Arial"/>
        </w:rPr>
        <w:t>podlagi je bilo gospodinjskim in malim poslovnim odjemalcem omogočeno, da lahko za celotno ali delno pokrivanje lastnega odjema postavijo napravo za proizvodnjo električne energije iz OVE virov (tj. naprava za samooskrbo). Na podlagi 315.a člena EZ-1 je bila marca 2019 sprejeta in je nadomestila prej navedeno uredbo Uredba o samooskrbi z električno energijo iz obnovljivih virov energije (Uradni list RS, št. 17/19 in 197/20, v nadaljnjem besedilu: Uredba 2019), ki je opredelila dodatni vrsti samooskrbe</w:t>
      </w:r>
      <w:r w:rsidR="00532030" w:rsidRPr="00223E80">
        <w:rPr>
          <w:rFonts w:eastAsia="Arial" w:cs="Arial"/>
        </w:rPr>
        <w:t>,</w:t>
      </w:r>
      <w:r w:rsidRPr="00223E80">
        <w:rPr>
          <w:rFonts w:eastAsia="Arial" w:cs="Arial"/>
        </w:rPr>
        <w:t xml:space="preserve"> in sicer poleg individualne samooskrbe omogoč</w:t>
      </w:r>
      <w:r w:rsidR="00E525D7" w:rsidRPr="00223E80">
        <w:rPr>
          <w:rFonts w:eastAsia="Arial" w:cs="Arial"/>
        </w:rPr>
        <w:t>a</w:t>
      </w:r>
      <w:r w:rsidRPr="00223E80">
        <w:rPr>
          <w:rFonts w:eastAsia="Arial" w:cs="Arial"/>
        </w:rPr>
        <w:t xml:space="preserve"> lastnikom enostanovanjskih hiš ali poslovnih objektov tudi skupnostno samooskrbo za različne tipe skupnosti, kot so npr. stanovalci v večstanovanjskih stavbah (samooskrba večstanovanjske stavbe) </w:t>
      </w:r>
      <w:r w:rsidR="00D25628" w:rsidRPr="00223E80">
        <w:rPr>
          <w:rFonts w:eastAsia="Arial" w:cs="Arial"/>
        </w:rPr>
        <w:t>in</w:t>
      </w:r>
      <w:r w:rsidRPr="00223E80">
        <w:rPr>
          <w:rFonts w:eastAsia="Arial" w:cs="Arial"/>
        </w:rPr>
        <w:t xml:space="preserve"> odjemalcem, ki </w:t>
      </w:r>
      <w:r w:rsidR="004567A4" w:rsidRPr="00223E80">
        <w:rPr>
          <w:rFonts w:eastAsia="Arial" w:cs="Arial"/>
        </w:rPr>
        <w:t>živijo blizu drug drugemu</w:t>
      </w:r>
      <w:r w:rsidRPr="00223E80">
        <w:rPr>
          <w:rFonts w:eastAsia="Arial" w:cs="Arial"/>
        </w:rPr>
        <w:t xml:space="preserve"> (so vezani na isto transformatorsko postajo kot naprav</w:t>
      </w:r>
      <w:r w:rsidR="00D25628" w:rsidRPr="00223E80">
        <w:rPr>
          <w:rFonts w:eastAsia="Arial" w:cs="Arial"/>
        </w:rPr>
        <w:t>o</w:t>
      </w:r>
      <w:r w:rsidRPr="00223E80">
        <w:rPr>
          <w:rFonts w:eastAsia="Arial" w:cs="Arial"/>
        </w:rPr>
        <w:t xml:space="preserve"> za samooskrbo) in se povežejo v skupnosti na področju energije iz obnovljivih virov (»skupnost OVE«). Z navedeno nadgradnjo v Uredbi 2019 so bili koristi samooskrbe lahko deležni tudi npr. tisti, ki živijo v stanovanjih ali hišah, ki za postavitev naprave za samooskrbo niso primerne. </w:t>
      </w:r>
    </w:p>
    <w:p w14:paraId="07599CBB" w14:textId="77777777" w:rsidR="005E1229" w:rsidRPr="00223E80" w:rsidRDefault="005E1229" w:rsidP="005E1229">
      <w:pPr>
        <w:tabs>
          <w:tab w:val="left" w:pos="1834"/>
        </w:tabs>
        <w:spacing w:after="0"/>
        <w:rPr>
          <w:rFonts w:eastAsia="Arial" w:cs="Arial"/>
        </w:rPr>
      </w:pPr>
    </w:p>
    <w:p w14:paraId="13DE67E3" w14:textId="77777777" w:rsidR="00C005AE" w:rsidRPr="00223E80" w:rsidRDefault="00C005AE" w:rsidP="00C005AE">
      <w:pPr>
        <w:tabs>
          <w:tab w:val="left" w:pos="1834"/>
        </w:tabs>
        <w:spacing w:after="0"/>
        <w:rPr>
          <w:rFonts w:eastAsia="Arial" w:cs="Arial"/>
        </w:rPr>
      </w:pPr>
    </w:p>
    <w:p w14:paraId="56441A8C" w14:textId="7589DE39" w:rsidR="00C005AE" w:rsidRPr="00223E80" w:rsidRDefault="00C005AE" w:rsidP="00C005AE">
      <w:pPr>
        <w:tabs>
          <w:tab w:val="left" w:pos="1834"/>
        </w:tabs>
        <w:spacing w:after="0"/>
        <w:rPr>
          <w:rFonts w:eastAsia="Arial" w:cs="Arial"/>
        </w:rPr>
      </w:pPr>
      <w:r w:rsidRPr="00223E80">
        <w:rPr>
          <w:rFonts w:eastAsia="Arial" w:cs="Arial"/>
        </w:rPr>
        <w:t>Glavna prednost koncepta samooskrbe po EZ-1 in Uredbi 2019</w:t>
      </w:r>
      <w:r w:rsidR="005E1229" w:rsidRPr="00223E80">
        <w:rPr>
          <w:rFonts w:eastAsia="Arial" w:cs="Arial"/>
        </w:rPr>
        <w:t xml:space="preserve"> (ter že po prej veljavni Uredbi 2015)</w:t>
      </w:r>
      <w:r w:rsidRPr="00223E80">
        <w:rPr>
          <w:rFonts w:eastAsia="Arial" w:cs="Arial"/>
        </w:rPr>
        <w:t xml:space="preserve"> je v tem, da se količina električne energije, prevzete iz omrežja in oddane v omrežje</w:t>
      </w:r>
      <w:r w:rsidR="00F361EC" w:rsidRPr="00223E80">
        <w:rPr>
          <w:rFonts w:eastAsia="Arial" w:cs="Arial"/>
        </w:rPr>
        <w:t>,</w:t>
      </w:r>
      <w:r w:rsidRPr="00223E80">
        <w:rPr>
          <w:rFonts w:eastAsia="Arial" w:cs="Arial"/>
        </w:rPr>
        <w:t xml:space="preserve"> kompenzira – to pomeni, da odjemalec s samooskrbo na koncu obračunskega obdobja (ki je praviloma koledarsko leto) plača samo razliko, če je prevzel več</w:t>
      </w:r>
      <w:r w:rsidR="00F361EC" w:rsidRPr="00223E80">
        <w:rPr>
          <w:rFonts w:eastAsia="Arial" w:cs="Arial"/>
        </w:rPr>
        <w:t>,</w:t>
      </w:r>
      <w:r w:rsidRPr="00223E80">
        <w:rPr>
          <w:rFonts w:eastAsia="Arial" w:cs="Arial"/>
        </w:rPr>
        <w:t xml:space="preserve"> kot je oddal v omrežje (v nadaljevanju: koncept netiranja po EZ-1). Če pa je prevzel manj</w:t>
      </w:r>
      <w:r w:rsidR="00F361EC" w:rsidRPr="00223E80">
        <w:rPr>
          <w:rFonts w:eastAsia="Arial" w:cs="Arial"/>
        </w:rPr>
        <w:t>,</w:t>
      </w:r>
      <w:r w:rsidRPr="00223E80">
        <w:rPr>
          <w:rFonts w:eastAsia="Arial" w:cs="Arial"/>
        </w:rPr>
        <w:t xml:space="preserve"> kot je oddal v omrežje</w:t>
      </w:r>
      <w:r w:rsidR="00F361EC" w:rsidRPr="00223E80">
        <w:rPr>
          <w:rFonts w:eastAsia="Arial" w:cs="Arial"/>
        </w:rPr>
        <w:t>,</w:t>
      </w:r>
      <w:r w:rsidRPr="00223E80">
        <w:rPr>
          <w:rFonts w:eastAsia="Arial" w:cs="Arial"/>
        </w:rPr>
        <w:t xml:space="preserve"> ne plača ničesar (razen dajatev, ki niso vezane na količino prevzete električne energije, ampak na moč in se plačajo v vsakem primeru).</w:t>
      </w:r>
    </w:p>
    <w:p w14:paraId="0DBB57B6" w14:textId="77777777" w:rsidR="00C005AE" w:rsidRPr="00223E80" w:rsidRDefault="00C005AE" w:rsidP="00C005AE">
      <w:pPr>
        <w:tabs>
          <w:tab w:val="left" w:pos="1834"/>
        </w:tabs>
        <w:spacing w:after="0"/>
        <w:rPr>
          <w:rFonts w:eastAsia="Arial" w:cs="Arial"/>
        </w:rPr>
      </w:pPr>
    </w:p>
    <w:p w14:paraId="67209557" w14:textId="77777777" w:rsidR="00C005AE" w:rsidRPr="00223E80" w:rsidRDefault="00C005AE" w:rsidP="00C005AE">
      <w:pPr>
        <w:tabs>
          <w:tab w:val="left" w:pos="1834"/>
        </w:tabs>
        <w:spacing w:after="0"/>
        <w:rPr>
          <w:rFonts w:eastAsia="Arial" w:cs="Arial"/>
        </w:rPr>
      </w:pPr>
      <w:r w:rsidRPr="00223E80">
        <w:rPr>
          <w:rFonts w:eastAsia="Arial" w:cs="Arial"/>
        </w:rPr>
        <w:t xml:space="preserve">Koncept netiranja po EZ-1 ni skladen s 15. členom Direktive 2019/944/EU o trgu z električno energijo, ki določa, da bo v prihodnje morala biti obračunana omrežnina za celotno električno energijo, prevzeto iz distribucijskega omrežja, zato </w:t>
      </w:r>
      <w:r w:rsidR="005A27D6" w:rsidRPr="00223E80">
        <w:rPr>
          <w:rFonts w:eastAsia="Arial" w:cs="Arial"/>
        </w:rPr>
        <w:t>ZSROVE</w:t>
      </w:r>
      <w:r w:rsidRPr="00223E80">
        <w:rPr>
          <w:rFonts w:eastAsia="Arial" w:cs="Arial"/>
        </w:rPr>
        <w:t xml:space="preserve"> ne dovoljuje več koncepta netiranja za tiste, ki </w:t>
      </w:r>
      <w:r w:rsidR="005E1229" w:rsidRPr="00223E80">
        <w:rPr>
          <w:rFonts w:eastAsia="Arial" w:cs="Arial"/>
        </w:rPr>
        <w:t>jih distribucijski operater registrira</w:t>
      </w:r>
      <w:r w:rsidRPr="00223E80">
        <w:rPr>
          <w:rFonts w:eastAsia="Arial" w:cs="Arial"/>
        </w:rPr>
        <w:t xml:space="preserve"> v sistem samooskrbe po 31. 12. 2023.</w:t>
      </w:r>
      <w:r w:rsidR="00944182" w:rsidRPr="00223E80">
        <w:rPr>
          <w:rFonts w:eastAsia="Arial" w:cs="Arial"/>
        </w:rPr>
        <w:t xml:space="preserve"> V pripravi je sprememba zakonodaje, ki bo rok 31.</w:t>
      </w:r>
      <w:r w:rsidR="00F361EC" w:rsidRPr="00223E80">
        <w:rPr>
          <w:rFonts w:eastAsia="Arial" w:cs="Arial"/>
        </w:rPr>
        <w:t xml:space="preserve"> </w:t>
      </w:r>
      <w:r w:rsidR="00944182" w:rsidRPr="00223E80">
        <w:rPr>
          <w:rFonts w:eastAsia="Arial" w:cs="Arial"/>
        </w:rPr>
        <w:t>12.</w:t>
      </w:r>
      <w:r w:rsidR="00F361EC" w:rsidRPr="00223E80">
        <w:rPr>
          <w:rFonts w:eastAsia="Arial" w:cs="Arial"/>
        </w:rPr>
        <w:t xml:space="preserve"> </w:t>
      </w:r>
      <w:r w:rsidR="00944182" w:rsidRPr="00223E80">
        <w:rPr>
          <w:rFonts w:eastAsia="Arial" w:cs="Arial"/>
        </w:rPr>
        <w:t>2023 vezala na oddano vlogo za samooskrbo.</w:t>
      </w:r>
    </w:p>
    <w:p w14:paraId="680E1B98" w14:textId="77777777" w:rsidR="00C005AE" w:rsidRPr="00223E80" w:rsidRDefault="00C005AE" w:rsidP="00C005AE">
      <w:pPr>
        <w:tabs>
          <w:tab w:val="left" w:pos="1834"/>
        </w:tabs>
        <w:spacing w:after="0"/>
        <w:rPr>
          <w:rFonts w:eastAsia="Arial" w:cs="Arial"/>
        </w:rPr>
      </w:pPr>
    </w:p>
    <w:p w14:paraId="00459321" w14:textId="599C1849" w:rsidR="00C005AE" w:rsidRPr="00223E80" w:rsidRDefault="005E1229" w:rsidP="00C005AE">
      <w:pPr>
        <w:tabs>
          <w:tab w:val="left" w:pos="1834"/>
        </w:tabs>
        <w:spacing w:after="0"/>
        <w:rPr>
          <w:rFonts w:eastAsia="Arial" w:cs="Arial"/>
        </w:rPr>
      </w:pPr>
      <w:r w:rsidRPr="00223E80">
        <w:rPr>
          <w:rFonts w:eastAsia="Arial" w:cs="Arial"/>
        </w:rPr>
        <w:t xml:space="preserve">Marca 2022 </w:t>
      </w:r>
      <w:r w:rsidR="00C005AE" w:rsidRPr="00223E80">
        <w:rPr>
          <w:rFonts w:eastAsia="Arial" w:cs="Arial"/>
        </w:rPr>
        <w:t>je</w:t>
      </w:r>
      <w:r w:rsidRPr="00223E80">
        <w:rPr>
          <w:rFonts w:eastAsia="Arial" w:cs="Arial"/>
        </w:rPr>
        <w:t xml:space="preserve"> bila sprejeta</w:t>
      </w:r>
      <w:r w:rsidR="00C005AE" w:rsidRPr="00223E80">
        <w:rPr>
          <w:rFonts w:eastAsia="Arial" w:cs="Arial"/>
        </w:rPr>
        <w:t xml:space="preserve"> nova Uredba o samooskrbi z električno energijo iz obnovljivih virov energije (Uradni list RS, št. </w:t>
      </w:r>
      <w:r w:rsidR="009334B9" w:rsidRPr="00223E80">
        <w:rPr>
          <w:rFonts w:eastAsia="Arial" w:cs="Arial"/>
        </w:rPr>
        <w:t>43</w:t>
      </w:r>
      <w:r w:rsidR="00C005AE" w:rsidRPr="00223E80">
        <w:rPr>
          <w:rFonts w:eastAsia="Arial" w:cs="Arial"/>
        </w:rPr>
        <w:t>/</w:t>
      </w:r>
      <w:r w:rsidR="009334B9" w:rsidRPr="00223E80">
        <w:rPr>
          <w:rFonts w:eastAsia="Arial" w:cs="Arial"/>
        </w:rPr>
        <w:t>2022</w:t>
      </w:r>
      <w:r w:rsidR="00097DCD" w:rsidRPr="00223E80">
        <w:rPr>
          <w:rFonts w:eastAsia="Arial" w:cs="Arial"/>
        </w:rPr>
        <w:t>, v nadaljevanju: Uredba SO</w:t>
      </w:r>
      <w:r w:rsidR="00C005AE" w:rsidRPr="00223E80">
        <w:rPr>
          <w:rFonts w:eastAsia="Arial" w:cs="Arial"/>
        </w:rPr>
        <w:t xml:space="preserve">) na podlagi V. poglavja ZSROVE. Osnovni koncept individualne in skupnostne samooskrbe ostaja nespremenjen in </w:t>
      </w:r>
      <w:r w:rsidR="002E037C" w:rsidRPr="00223E80">
        <w:rPr>
          <w:rFonts w:eastAsia="Arial" w:cs="Arial"/>
        </w:rPr>
        <w:t xml:space="preserve">je </w:t>
      </w:r>
      <w:r w:rsidR="00C005AE" w:rsidRPr="00223E80">
        <w:rPr>
          <w:rFonts w:eastAsia="Arial" w:cs="Arial"/>
        </w:rPr>
        <w:t>celo nadgrajen, saj za končne odjemalce s samooskrbo določa npr. oprostitve in delne oprostitve plačil določenih prispevkov, omogoča jim pridobitev potrdil o izvoru in podpor za proizvodn</w:t>
      </w:r>
      <w:r w:rsidR="002E037C" w:rsidRPr="00223E80">
        <w:rPr>
          <w:rFonts w:eastAsia="Arial" w:cs="Arial"/>
        </w:rPr>
        <w:t>j</w:t>
      </w:r>
      <w:r w:rsidR="00C005AE" w:rsidRPr="00223E80">
        <w:rPr>
          <w:rFonts w:eastAsia="Arial" w:cs="Arial"/>
        </w:rPr>
        <w:t>o električne energije iz OVE</w:t>
      </w:r>
      <w:r w:rsidR="002E037C" w:rsidRPr="00223E80">
        <w:rPr>
          <w:rFonts w:eastAsia="Arial" w:cs="Arial"/>
        </w:rPr>
        <w:t>.</w:t>
      </w:r>
      <w:r w:rsidR="00C005AE" w:rsidRPr="00223E80">
        <w:rPr>
          <w:rFonts w:eastAsia="Arial" w:cs="Arial"/>
        </w:rPr>
        <w:t xml:space="preserve"> </w:t>
      </w:r>
      <w:r w:rsidR="002E037C" w:rsidRPr="00223E80">
        <w:rPr>
          <w:rFonts w:eastAsia="Arial" w:cs="Arial"/>
        </w:rPr>
        <w:t>V</w:t>
      </w:r>
      <w:r w:rsidR="00C005AE" w:rsidRPr="00223E80">
        <w:rPr>
          <w:rFonts w:eastAsia="Arial" w:cs="Arial"/>
        </w:rPr>
        <w:t xml:space="preserve">stop v sistem samooskrbe se omogoča vsem končnim odjemalcem, ki so priključeni na distribucijsko omrežje (kar do </w:t>
      </w:r>
      <w:r w:rsidR="0090393F" w:rsidRPr="00223E80">
        <w:rPr>
          <w:rFonts w:eastAsia="Arial" w:cs="Arial"/>
        </w:rPr>
        <w:t>z</w:t>
      </w:r>
      <w:r w:rsidR="00C005AE" w:rsidRPr="00223E80">
        <w:rPr>
          <w:rFonts w:eastAsia="Arial" w:cs="Arial"/>
        </w:rPr>
        <w:t>daj ni bilo mogoče, saj je bil omejen le na gospodinjske in male poslovne odjemalce),</w:t>
      </w:r>
      <w:r w:rsidRPr="00223E80">
        <w:rPr>
          <w:rFonts w:eastAsia="Arial" w:cs="Arial"/>
        </w:rPr>
        <w:t xml:space="preserve"> prav tako za povezovanje </w:t>
      </w:r>
      <w:r w:rsidRPr="00223E80">
        <w:rPr>
          <w:rFonts w:eastAsia="Arial" w:cs="Arial"/>
        </w:rPr>
        <w:lastRenderedPageBreak/>
        <w:t>v samooskrbo skupnosti za oskrbo z energijo iz OVE ni več pogoj, da morajo biti prevzemno-predajna mesta priključena na NN omrežje iste transformatorske postaje kot naprava za samooskrbo,</w:t>
      </w:r>
      <w:r w:rsidR="00C005AE" w:rsidRPr="00223E80">
        <w:rPr>
          <w:rFonts w:eastAsia="Arial" w:cs="Arial"/>
        </w:rPr>
        <w:t xml:space="preserve"> investitorjem se omogoča naložbena pomoč v obliki nepovratnih sredstev itd. Ugodnosti za končne odjemalce s samooskrbo naj bi prinesli tudi novi predpisi Agencije za energijo, ki urejajo omrežnino, kar bo bistvenega pomena, saj bo treb</w:t>
      </w:r>
      <w:r w:rsidR="00833D00" w:rsidRPr="00223E80">
        <w:rPr>
          <w:rFonts w:eastAsia="Arial" w:cs="Arial"/>
        </w:rPr>
        <w:t>a</w:t>
      </w:r>
      <w:r w:rsidR="00C005AE" w:rsidRPr="00223E80">
        <w:rPr>
          <w:rFonts w:eastAsia="Arial" w:cs="Arial"/>
        </w:rPr>
        <w:t xml:space="preserve"> tudi po sistemu samooskrbe po ZSROVE zagotoviti dovolj spodbud, da bi se v čim večji meri spodbudilo investiranje v naprave za samooskrbo.</w:t>
      </w:r>
    </w:p>
    <w:p w14:paraId="082A049A" w14:textId="77777777" w:rsidR="006F58CE" w:rsidRPr="00223E80" w:rsidRDefault="006F58CE" w:rsidP="00C005AE">
      <w:pPr>
        <w:tabs>
          <w:tab w:val="left" w:pos="1834"/>
        </w:tabs>
        <w:spacing w:after="0"/>
        <w:rPr>
          <w:rFonts w:eastAsia="Arial" w:cs="Arial"/>
        </w:rPr>
      </w:pPr>
    </w:p>
    <w:p w14:paraId="4EFF307B" w14:textId="10C27F03" w:rsidR="006F58CE" w:rsidRPr="00223E80" w:rsidRDefault="003808F4" w:rsidP="00A520AC">
      <w:pPr>
        <w:pStyle w:val="Naslov3"/>
      </w:pPr>
      <w:bookmarkStart w:id="21" w:name="_Toc112143982"/>
      <w:r w:rsidRPr="00223E80">
        <w:t>4.</w:t>
      </w:r>
      <w:r w:rsidR="006F58CE" w:rsidRPr="00223E80">
        <w:t>2.2</w:t>
      </w:r>
      <w:r w:rsidR="007C5409" w:rsidRPr="00223E80">
        <w:t xml:space="preserve"> </w:t>
      </w:r>
      <w:r w:rsidR="00BC434A" w:rsidRPr="00223E80">
        <w:t xml:space="preserve">  </w:t>
      </w:r>
      <w:r w:rsidR="006F58CE" w:rsidRPr="00223E80">
        <w:t>Naložbena pomoč za samooskrbo</w:t>
      </w:r>
      <w:bookmarkEnd w:id="21"/>
      <w:r w:rsidR="004D1541" w:rsidRPr="00223E80">
        <w:t xml:space="preserve">   </w:t>
      </w:r>
    </w:p>
    <w:p w14:paraId="2EF3D12B" w14:textId="77777777" w:rsidR="006F58CE" w:rsidRPr="00223E80" w:rsidRDefault="006F58CE" w:rsidP="006F58CE">
      <w:pPr>
        <w:spacing w:after="0"/>
        <w:rPr>
          <w:rFonts w:eastAsia="Arial" w:cs="Arial"/>
        </w:rPr>
      </w:pPr>
    </w:p>
    <w:p w14:paraId="5AAC17CA" w14:textId="04DD0D66" w:rsidR="006F58CE" w:rsidRPr="00223E80" w:rsidRDefault="006F58CE" w:rsidP="006F58CE">
      <w:pPr>
        <w:overflowPunct w:val="0"/>
        <w:autoSpaceDE w:val="0"/>
        <w:autoSpaceDN w:val="0"/>
        <w:adjustRightInd w:val="0"/>
        <w:spacing w:after="0"/>
        <w:contextualSpacing/>
        <w:textAlignment w:val="baseline"/>
        <w:rPr>
          <w:rFonts w:eastAsia="Arial" w:cs="Arial"/>
        </w:rPr>
      </w:pPr>
      <w:r w:rsidRPr="00223E80">
        <w:rPr>
          <w:rFonts w:eastAsia="Arial" w:cs="Arial"/>
        </w:rPr>
        <w:t>Pomembna novost ZSROVE</w:t>
      </w:r>
      <w:r w:rsidRPr="00223E80">
        <w:t xml:space="preserve"> </w:t>
      </w:r>
      <w:r w:rsidRPr="00223E80">
        <w:rPr>
          <w:rFonts w:eastAsia="Arial" w:cs="Arial"/>
        </w:rPr>
        <w:t xml:space="preserve">skladno </w:t>
      </w:r>
      <w:r w:rsidR="0023228B" w:rsidRPr="00223E80">
        <w:rPr>
          <w:rFonts w:eastAsia="Arial" w:cs="Arial"/>
        </w:rPr>
        <w:t>s</w:t>
      </w:r>
      <w:r w:rsidRPr="00223E80">
        <w:rPr>
          <w:rFonts w:eastAsia="Arial" w:cs="Arial"/>
        </w:rPr>
        <w:t xml:space="preserve"> 37.</w:t>
      </w:r>
      <w:r w:rsidR="007B0837" w:rsidRPr="00223E80">
        <w:rPr>
          <w:rFonts w:eastAsia="Arial" w:cs="Arial"/>
        </w:rPr>
        <w:t xml:space="preserve"> </w:t>
      </w:r>
      <w:r w:rsidRPr="00223E80">
        <w:rPr>
          <w:rFonts w:eastAsia="Arial" w:cs="Arial"/>
        </w:rPr>
        <w:t>členom ZSROVE, ki jo podrobneje ureja Uredba SO, je možnost dodelitve naložbene pomoči, pri čemer gre za enkratno finančno pomoč, ki jo bo dodeljeval center za podpore</w:t>
      </w:r>
      <w:r w:rsidR="005A27D6" w:rsidRPr="00223E80">
        <w:rPr>
          <w:rFonts w:eastAsia="Arial" w:cs="Arial"/>
        </w:rPr>
        <w:t>,</w:t>
      </w:r>
      <w:r w:rsidRPr="00223E80">
        <w:rPr>
          <w:rFonts w:eastAsia="Arial" w:cs="Arial"/>
        </w:rPr>
        <w:t xml:space="preserve"> in sicer iz sredstev za podpore (točka c) četrtega odstavka 16. člena ZSROVE.  </w:t>
      </w:r>
    </w:p>
    <w:p w14:paraId="171990EE" w14:textId="77777777" w:rsidR="006F58CE" w:rsidRPr="00223E80" w:rsidRDefault="006F58CE" w:rsidP="00DB5150">
      <w:pPr>
        <w:overflowPunct w:val="0"/>
        <w:autoSpaceDE w:val="0"/>
        <w:autoSpaceDN w:val="0"/>
        <w:adjustRightInd w:val="0"/>
        <w:spacing w:after="0"/>
        <w:contextualSpacing/>
        <w:textAlignment w:val="baseline"/>
        <w:rPr>
          <w:rFonts w:eastAsia="Arial" w:cs="Arial"/>
        </w:rPr>
      </w:pPr>
    </w:p>
    <w:p w14:paraId="4AD9A731" w14:textId="77777777" w:rsidR="006F58CE" w:rsidRPr="00223E80" w:rsidRDefault="006F58CE" w:rsidP="006F58CE">
      <w:pPr>
        <w:overflowPunct w:val="0"/>
        <w:autoSpaceDE w:val="0"/>
        <w:autoSpaceDN w:val="0"/>
        <w:adjustRightInd w:val="0"/>
        <w:spacing w:after="0"/>
        <w:contextualSpacing/>
        <w:textAlignment w:val="baseline"/>
        <w:rPr>
          <w:rFonts w:eastAsia="Arial" w:cs="Arial"/>
        </w:rPr>
      </w:pPr>
      <w:r w:rsidRPr="00223E80">
        <w:rPr>
          <w:rFonts w:eastAsia="Arial" w:cs="Arial"/>
        </w:rPr>
        <w:t>Naložbena pomoč se bo dodeljevala končnim odjemalcem, ki so investitorji v naprave za samooskrbo. Upravičeni bodo vsi odjemalci, ki so fizične in pravne osebe, vključno z osebami javnega sektorja, ki imajo stvarno premoženje v svoji lasti, razen neposrednih uporabnikov državnega proračuna. Upravičenci, ki ne opravljajo pridobitne dejavnosti</w:t>
      </w:r>
      <w:r w:rsidR="00664679" w:rsidRPr="00223E80">
        <w:rPr>
          <w:rFonts w:eastAsia="Arial" w:cs="Arial"/>
        </w:rPr>
        <w:t>,</w:t>
      </w:r>
      <w:r w:rsidRPr="00223E80">
        <w:rPr>
          <w:rFonts w:eastAsia="Arial" w:cs="Arial"/>
        </w:rPr>
        <w:t xml:space="preserve"> bodo pravne osebe (lokalne skupnosti in drugi subjekti) ter fizične osebe, ki ne opravljajo dejavnosti (tj. občani), pri čemer bodo </w:t>
      </w:r>
      <w:r w:rsidR="00097DCD" w:rsidRPr="00223E80">
        <w:rPr>
          <w:rFonts w:eastAsia="Arial" w:cs="Arial"/>
        </w:rPr>
        <w:t xml:space="preserve">predvidene s tem v zvezi </w:t>
      </w:r>
      <w:r w:rsidRPr="00223E80">
        <w:rPr>
          <w:rFonts w:eastAsia="Arial" w:cs="Arial"/>
        </w:rPr>
        <w:t>tudi določene omejitve.</w:t>
      </w:r>
    </w:p>
    <w:p w14:paraId="1AEFED80" w14:textId="77777777" w:rsidR="006F58CE" w:rsidRPr="00223E80" w:rsidRDefault="006F58CE" w:rsidP="00DB5150">
      <w:pPr>
        <w:overflowPunct w:val="0"/>
        <w:autoSpaceDE w:val="0"/>
        <w:autoSpaceDN w:val="0"/>
        <w:adjustRightInd w:val="0"/>
        <w:spacing w:after="0"/>
        <w:contextualSpacing/>
        <w:textAlignment w:val="baseline"/>
        <w:rPr>
          <w:rFonts w:eastAsia="Arial" w:cs="Arial"/>
        </w:rPr>
      </w:pPr>
    </w:p>
    <w:p w14:paraId="01771428" w14:textId="0B109E20" w:rsidR="006F58CE" w:rsidRPr="00223E80" w:rsidRDefault="006F58CE" w:rsidP="006F58CE">
      <w:pPr>
        <w:overflowPunct w:val="0"/>
        <w:autoSpaceDE w:val="0"/>
        <w:autoSpaceDN w:val="0"/>
        <w:adjustRightInd w:val="0"/>
        <w:spacing w:after="0"/>
        <w:contextualSpacing/>
        <w:textAlignment w:val="baseline"/>
        <w:rPr>
          <w:rFonts w:eastAsia="Arial" w:cs="Arial"/>
        </w:rPr>
      </w:pPr>
      <w:r w:rsidRPr="00223E80">
        <w:rPr>
          <w:rFonts w:eastAsia="Arial" w:cs="Arial"/>
        </w:rPr>
        <w:t>Upravičencem, ki opravljajo pridobitno dejavnost</w:t>
      </w:r>
      <w:r w:rsidR="005A27D6" w:rsidRPr="00223E80">
        <w:rPr>
          <w:rFonts w:eastAsia="Arial" w:cs="Arial"/>
        </w:rPr>
        <w:t>,</w:t>
      </w:r>
      <w:r w:rsidRPr="00223E80">
        <w:rPr>
          <w:rFonts w:eastAsia="Arial" w:cs="Arial"/>
        </w:rPr>
        <w:t xml:space="preserve"> se bo pomoč dodeljevala po pravilih »de minimis«, pri čemer gre za pomoč v majhnih zneskih, ki se ne šteje za državno pomoč v ožjem pomenu, kot </w:t>
      </w:r>
      <w:r w:rsidR="004C7892" w:rsidRPr="00223E80">
        <w:rPr>
          <w:rFonts w:eastAsia="Arial" w:cs="Arial"/>
        </w:rPr>
        <w:t>to</w:t>
      </w:r>
      <w:r w:rsidRPr="00223E80">
        <w:rPr>
          <w:rFonts w:eastAsia="Arial" w:cs="Arial"/>
        </w:rPr>
        <w:t xml:space="preserve"> opredeljuje prvi odstavek 107. člena Pogodbe o delovanju Evropske unije, saj ne vpliva na trgovino in konkurenco med državami članicami EU. Zato je EU v več uredbah o pomoči »de minimis« opredelila najvišje zneske pomoči na podjetje in najvišje skupne zneske pomoči »de minimis« na državo članico, do katerih lahko dajalci pomoči v državah članicah EU dodelijo pomoč podjetjem, ne da bi za to morali ukrep pomoči priglasiti Evropski komisiji. </w:t>
      </w:r>
    </w:p>
    <w:p w14:paraId="504CEF0A" w14:textId="77777777" w:rsidR="006F58CE" w:rsidRPr="00223E80" w:rsidRDefault="006F58CE" w:rsidP="006F58CE">
      <w:pPr>
        <w:overflowPunct w:val="0"/>
        <w:autoSpaceDE w:val="0"/>
        <w:autoSpaceDN w:val="0"/>
        <w:adjustRightInd w:val="0"/>
        <w:spacing w:after="0"/>
        <w:ind w:left="284"/>
        <w:contextualSpacing/>
        <w:textAlignment w:val="baseline"/>
        <w:rPr>
          <w:rFonts w:eastAsia="Arial" w:cs="Arial"/>
        </w:rPr>
      </w:pPr>
    </w:p>
    <w:p w14:paraId="327B286E" w14:textId="0EE4ABB6" w:rsidR="006F58CE" w:rsidRPr="00223E80" w:rsidRDefault="006F58CE" w:rsidP="006F58CE">
      <w:pPr>
        <w:overflowPunct w:val="0"/>
        <w:autoSpaceDE w:val="0"/>
        <w:autoSpaceDN w:val="0"/>
        <w:adjustRightInd w:val="0"/>
        <w:spacing w:after="0"/>
        <w:contextualSpacing/>
        <w:textAlignment w:val="baseline"/>
        <w:rPr>
          <w:rFonts w:eastAsia="Arial" w:cs="Arial"/>
        </w:rPr>
      </w:pPr>
      <w:r w:rsidRPr="00223E80">
        <w:rPr>
          <w:rFonts w:eastAsia="Arial" w:cs="Arial"/>
        </w:rPr>
        <w:t xml:space="preserve">Skladno z devetim odstavkom 37. člena ZSROVE so v Uredbi SO določeni podrobnejši vsebinski pogoji za dodelitev naložbene pomoči ob upoštevanju pravil »de minimis«. Skladno </w:t>
      </w:r>
      <w:r w:rsidR="00B30DAC" w:rsidRPr="00223E80">
        <w:rPr>
          <w:rFonts w:eastAsia="Arial" w:cs="Arial"/>
        </w:rPr>
        <w:t xml:space="preserve">s </w:t>
      </w:r>
      <w:r w:rsidRPr="00223E80">
        <w:rPr>
          <w:rFonts w:eastAsia="Arial" w:cs="Arial"/>
        </w:rPr>
        <w:t>členom 18 (odstavek 2 in 8) ZSROVE pa bo podrobnejša ureditev izvajanja dodelitve naložbene pomoči (torej predvsem postopkovne določbe) določena v pravilih za delovanj</w:t>
      </w:r>
      <w:r w:rsidR="007D53CE" w:rsidRPr="00223E80">
        <w:rPr>
          <w:rFonts w:eastAsia="Arial" w:cs="Arial"/>
        </w:rPr>
        <w:t>e</w:t>
      </w:r>
      <w:r w:rsidRPr="00223E80">
        <w:rPr>
          <w:rFonts w:eastAsia="Arial" w:cs="Arial"/>
        </w:rPr>
        <w:t xml:space="preserve"> centra za podpore. </w:t>
      </w:r>
    </w:p>
    <w:p w14:paraId="39CAC214" w14:textId="77777777" w:rsidR="006F58CE" w:rsidRPr="00223E80" w:rsidRDefault="006F58CE" w:rsidP="006F58CE">
      <w:pPr>
        <w:overflowPunct w:val="0"/>
        <w:autoSpaceDE w:val="0"/>
        <w:autoSpaceDN w:val="0"/>
        <w:adjustRightInd w:val="0"/>
        <w:spacing w:after="0"/>
        <w:contextualSpacing/>
        <w:textAlignment w:val="baseline"/>
        <w:rPr>
          <w:rFonts w:eastAsia="Arial" w:cs="Arial"/>
        </w:rPr>
      </w:pPr>
    </w:p>
    <w:p w14:paraId="328442FF" w14:textId="3DF57330" w:rsidR="006F58CE" w:rsidRPr="00223E80" w:rsidRDefault="006F58CE" w:rsidP="006F58CE">
      <w:pPr>
        <w:spacing w:after="0"/>
        <w:rPr>
          <w:rFonts w:eastAsia="Arial" w:cs="Arial"/>
        </w:rPr>
      </w:pPr>
      <w:r w:rsidRPr="00223E80">
        <w:rPr>
          <w:rFonts w:eastAsia="Arial" w:cs="Arial"/>
        </w:rPr>
        <w:t xml:space="preserve">Trenutno se sofinancirajo naprave za samooskrbo v okviru sredstev Eko sklada. Predvideno je, da po vzpostavitvi naložbene pomoči za naprave za samooskrbo v okviru centra za podpore Eko sklad preneha </w:t>
      </w:r>
      <w:r w:rsidR="007D53CE" w:rsidRPr="00223E80">
        <w:rPr>
          <w:rFonts w:eastAsia="Arial" w:cs="Arial"/>
        </w:rPr>
        <w:t>s</w:t>
      </w:r>
      <w:r w:rsidRPr="00223E80">
        <w:rPr>
          <w:rFonts w:eastAsia="Arial" w:cs="Arial"/>
        </w:rPr>
        <w:t xml:space="preserve"> spodbujanjem naprav za samooskrbo in se usmeri v druge ukrepe obnovljivih virov energije</w:t>
      </w:r>
      <w:r w:rsidR="007D53CE" w:rsidRPr="00223E80">
        <w:rPr>
          <w:rFonts w:eastAsia="Arial" w:cs="Arial"/>
        </w:rPr>
        <w:t>,</w:t>
      </w:r>
      <w:r w:rsidRPr="00223E80">
        <w:rPr>
          <w:rFonts w:eastAsia="Arial" w:cs="Arial"/>
        </w:rPr>
        <w:t xml:space="preserve"> predvsem na stavbah</w:t>
      </w:r>
      <w:r w:rsidR="00800D24" w:rsidRPr="00223E80">
        <w:rPr>
          <w:rFonts w:eastAsia="Arial" w:cs="Arial"/>
        </w:rPr>
        <w:t>.</w:t>
      </w:r>
      <w:r w:rsidRPr="00223E80">
        <w:rPr>
          <w:rFonts w:eastAsia="Arial" w:cs="Arial"/>
        </w:rPr>
        <w:t xml:space="preserve"> </w:t>
      </w:r>
    </w:p>
    <w:p w14:paraId="170B004A" w14:textId="77777777" w:rsidR="006F58CE" w:rsidRPr="00223E80" w:rsidRDefault="006F58CE" w:rsidP="006F58CE">
      <w:pPr>
        <w:spacing w:after="0"/>
        <w:rPr>
          <w:rFonts w:eastAsia="Arial" w:cs="Arial"/>
        </w:rPr>
      </w:pPr>
    </w:p>
    <w:p w14:paraId="1C16CD95" w14:textId="77777777" w:rsidR="00C005AE" w:rsidRPr="00223E80" w:rsidRDefault="00C005AE" w:rsidP="00DB5150">
      <w:pPr>
        <w:spacing w:after="0"/>
        <w:rPr>
          <w:rFonts w:eastAsia="Arial" w:cs="Arial"/>
        </w:rPr>
      </w:pPr>
    </w:p>
    <w:p w14:paraId="38FB28D2" w14:textId="77777777" w:rsidR="00C6464A" w:rsidRDefault="00C6464A" w:rsidP="00A520AC">
      <w:pPr>
        <w:pStyle w:val="Naslov2"/>
      </w:pPr>
      <w:bookmarkStart w:id="22" w:name="_Toc112143983"/>
    </w:p>
    <w:p w14:paraId="31D99789" w14:textId="6FEB8285" w:rsidR="000A523A" w:rsidRPr="00223E80" w:rsidRDefault="00006FD4" w:rsidP="00A520AC">
      <w:pPr>
        <w:pStyle w:val="Naslov2"/>
      </w:pPr>
      <w:r w:rsidRPr="00223E80">
        <w:t>4</w:t>
      </w:r>
      <w:r w:rsidR="00BA51F2" w:rsidRPr="00223E80">
        <w:t>.3</w:t>
      </w:r>
      <w:r w:rsidR="00584D80" w:rsidRPr="00223E80">
        <w:t xml:space="preserve"> </w:t>
      </w:r>
      <w:r w:rsidR="000A523A" w:rsidRPr="00223E80">
        <w:t>E</w:t>
      </w:r>
      <w:r w:rsidR="00ED3983" w:rsidRPr="00223E80">
        <w:t>ko sklad</w:t>
      </w:r>
      <w:r w:rsidR="00E072FA" w:rsidRPr="00223E80">
        <w:t>, Sloven</w:t>
      </w:r>
      <w:r w:rsidR="00ED3983" w:rsidRPr="00223E80">
        <w:t>ski okoljski javni sklad</w:t>
      </w:r>
      <w:bookmarkEnd w:id="22"/>
    </w:p>
    <w:p w14:paraId="03972469" w14:textId="77777777" w:rsidR="008D138D" w:rsidRPr="00223E80" w:rsidRDefault="008D138D" w:rsidP="007E6ED7">
      <w:pPr>
        <w:spacing w:after="0"/>
        <w:rPr>
          <w:rFonts w:eastAsia="Arial" w:cs="Arial"/>
        </w:rPr>
      </w:pPr>
    </w:p>
    <w:p w14:paraId="585C881D" w14:textId="774D46B3" w:rsidR="00873F6E" w:rsidRPr="00223E80" w:rsidRDefault="00873F6E" w:rsidP="00873F6E">
      <w:pPr>
        <w:spacing w:after="0"/>
        <w:rPr>
          <w:rFonts w:eastAsia="Arial" w:cs="Arial"/>
        </w:rPr>
      </w:pPr>
      <w:r w:rsidRPr="00223E80">
        <w:rPr>
          <w:rFonts w:eastAsia="Arial" w:cs="Arial"/>
        </w:rPr>
        <w:t xml:space="preserve">Naloga </w:t>
      </w:r>
      <w:r w:rsidR="00693A16" w:rsidRPr="00223E80">
        <w:rPr>
          <w:rFonts w:eastAsia="Arial" w:cs="Arial"/>
        </w:rPr>
        <w:t xml:space="preserve">Eko sklada je </w:t>
      </w:r>
      <w:r w:rsidR="007D53CE" w:rsidRPr="00223E80">
        <w:rPr>
          <w:rFonts w:eastAsia="Arial" w:cs="Arial"/>
        </w:rPr>
        <w:t xml:space="preserve">z </w:t>
      </w:r>
      <w:r w:rsidRPr="00223E80">
        <w:rPr>
          <w:rFonts w:eastAsia="Arial" w:cs="Arial"/>
        </w:rPr>
        <w:t>instrument</w:t>
      </w:r>
      <w:r w:rsidR="007D53CE" w:rsidRPr="00223E80">
        <w:rPr>
          <w:rFonts w:eastAsia="Arial" w:cs="Arial"/>
        </w:rPr>
        <w:t>i</w:t>
      </w:r>
      <w:r w:rsidRPr="00223E80">
        <w:rPr>
          <w:rFonts w:eastAsia="Arial" w:cs="Arial"/>
        </w:rPr>
        <w:t xml:space="preserve"> kreditiranja in dodeljevanj</w:t>
      </w:r>
      <w:r w:rsidR="007D53CE" w:rsidRPr="00223E80">
        <w:rPr>
          <w:rFonts w:eastAsia="Arial" w:cs="Arial"/>
        </w:rPr>
        <w:t>em</w:t>
      </w:r>
      <w:r w:rsidRPr="00223E80">
        <w:rPr>
          <w:rFonts w:eastAsia="Arial" w:cs="Arial"/>
        </w:rPr>
        <w:t xml:space="preserve"> nepovratnih sredstev v okviru različnih okoljskih naložb krepiti</w:t>
      </w:r>
      <w:r w:rsidR="00693A16" w:rsidRPr="00223E80">
        <w:rPr>
          <w:rFonts w:eastAsia="Arial" w:cs="Arial"/>
        </w:rPr>
        <w:t xml:space="preserve"> </w:t>
      </w:r>
      <w:r w:rsidRPr="00223E80">
        <w:rPr>
          <w:rFonts w:eastAsia="Arial" w:cs="Arial"/>
        </w:rPr>
        <w:t>rabo iz obnovljivih virov energije</w:t>
      </w:r>
      <w:r w:rsidR="007B0837" w:rsidRPr="00223E80">
        <w:rPr>
          <w:rFonts w:eastAsia="Arial" w:cs="Arial"/>
        </w:rPr>
        <w:t>.</w:t>
      </w:r>
      <w:r w:rsidR="00A63FDC" w:rsidRPr="00223E80">
        <w:rPr>
          <w:rFonts w:eastAsia="Arial" w:cs="Arial"/>
        </w:rPr>
        <w:t xml:space="preserve"> </w:t>
      </w:r>
      <w:r w:rsidR="007B0837" w:rsidRPr="00223E80">
        <w:rPr>
          <w:rFonts w:eastAsia="Arial" w:cs="Arial"/>
        </w:rPr>
        <w:t>S</w:t>
      </w:r>
      <w:r w:rsidR="00A63FDC" w:rsidRPr="00223E80">
        <w:rPr>
          <w:rFonts w:eastAsia="Arial" w:cs="Arial"/>
        </w:rPr>
        <w:t xml:space="preserve">trateško se za </w:t>
      </w:r>
      <w:r w:rsidR="00D113E0" w:rsidRPr="00223E80">
        <w:rPr>
          <w:rFonts w:eastAsia="Arial" w:cs="Arial"/>
        </w:rPr>
        <w:t xml:space="preserve">obdobje do leta 2025 predvideva ugodno kreditiranje pravnih oseb zasebnega </w:t>
      </w:r>
      <w:r w:rsidR="00AA0B90" w:rsidRPr="00223E80">
        <w:rPr>
          <w:rFonts w:eastAsia="Arial" w:cs="Arial"/>
        </w:rPr>
        <w:t>in</w:t>
      </w:r>
      <w:r w:rsidR="00D113E0" w:rsidRPr="00223E80">
        <w:rPr>
          <w:rFonts w:eastAsia="Arial" w:cs="Arial"/>
        </w:rPr>
        <w:t xml:space="preserve"> javnega prava, samostojnih podjetnikov posameznikov in drugih fizičnih oseb, ki opravljajo registrirane dejavnosti za naložbe v povečano r</w:t>
      </w:r>
      <w:r w:rsidR="00A63FDC" w:rsidRPr="00223E80">
        <w:rPr>
          <w:rFonts w:eastAsia="Arial" w:cs="Arial"/>
        </w:rPr>
        <w:t xml:space="preserve">abo obnovljivih virov energije. </w:t>
      </w:r>
      <w:r w:rsidR="00CA6241" w:rsidRPr="00223E80">
        <w:rPr>
          <w:rFonts w:eastAsia="Arial" w:cs="Arial"/>
        </w:rPr>
        <w:t>Predvidena so</w:t>
      </w:r>
      <w:r w:rsidR="00A63FDC" w:rsidRPr="00223E80">
        <w:rPr>
          <w:rFonts w:eastAsia="Arial" w:cs="Arial"/>
        </w:rPr>
        <w:t xml:space="preserve"> tudi</w:t>
      </w:r>
      <w:r w:rsidRPr="00223E80">
        <w:rPr>
          <w:rFonts w:eastAsia="Arial" w:cs="Arial"/>
        </w:rPr>
        <w:t xml:space="preserve"> </w:t>
      </w:r>
      <w:r w:rsidR="00D113E0" w:rsidRPr="00223E80">
        <w:rPr>
          <w:rFonts w:eastAsia="Arial" w:cs="Arial"/>
        </w:rPr>
        <w:t xml:space="preserve">nepovratna sredstva občanom za naložbe URE in </w:t>
      </w:r>
      <w:r w:rsidRPr="00223E80">
        <w:rPr>
          <w:rFonts w:eastAsia="Arial" w:cs="Arial"/>
        </w:rPr>
        <w:t xml:space="preserve">OVE v stanovanjskih stavbah, </w:t>
      </w:r>
      <w:r w:rsidR="00A63FDC" w:rsidRPr="00223E80">
        <w:rPr>
          <w:rFonts w:eastAsia="Arial" w:cs="Arial"/>
        </w:rPr>
        <w:t xml:space="preserve">v ta okvir pa spada še </w:t>
      </w:r>
      <w:r w:rsidRPr="00223E80">
        <w:rPr>
          <w:rFonts w:eastAsia="Arial" w:cs="Arial"/>
        </w:rPr>
        <w:t>samooskrba in zasledovanje cilja zmanjševanja energetske revščine. Eko sklad bo s spodbudami za samooskrbo</w:t>
      </w:r>
      <w:r w:rsidR="00097DCD" w:rsidRPr="00223E80">
        <w:rPr>
          <w:rFonts w:eastAsia="Arial" w:cs="Arial"/>
        </w:rPr>
        <w:t xml:space="preserve"> nadaljeval tudi v prihodnj</w:t>
      </w:r>
      <w:r w:rsidR="00CA6241" w:rsidRPr="00223E80">
        <w:rPr>
          <w:rFonts w:eastAsia="Arial" w:cs="Arial"/>
        </w:rPr>
        <w:t>e, pri čemer bo</w:t>
      </w:r>
      <w:r w:rsidR="00AA0B90" w:rsidRPr="00223E80">
        <w:rPr>
          <w:rFonts w:eastAsia="Arial" w:cs="Arial"/>
        </w:rPr>
        <w:t>do</w:t>
      </w:r>
      <w:r w:rsidR="00CA6241" w:rsidRPr="00223E80">
        <w:rPr>
          <w:rFonts w:eastAsia="Arial" w:cs="Arial"/>
        </w:rPr>
        <w:t xml:space="preserve"> ukrep</w:t>
      </w:r>
      <w:r w:rsidR="00AA0B90" w:rsidRPr="00223E80">
        <w:rPr>
          <w:rFonts w:eastAsia="Arial" w:cs="Arial"/>
        </w:rPr>
        <w:t>i</w:t>
      </w:r>
      <w:r w:rsidR="00CA6241" w:rsidRPr="00223E80">
        <w:rPr>
          <w:rFonts w:eastAsia="Arial" w:cs="Arial"/>
        </w:rPr>
        <w:t xml:space="preserve"> EKO sklada usklaje</w:t>
      </w:r>
      <w:r w:rsidR="0084264B" w:rsidRPr="00223E80">
        <w:rPr>
          <w:rFonts w:eastAsia="Arial" w:cs="Arial"/>
        </w:rPr>
        <w:t>n</w:t>
      </w:r>
      <w:r w:rsidR="00AA0B90" w:rsidRPr="00223E80">
        <w:rPr>
          <w:rFonts w:eastAsia="Arial" w:cs="Arial"/>
        </w:rPr>
        <w:t>i</w:t>
      </w:r>
      <w:r w:rsidR="00CA6241" w:rsidRPr="00223E80">
        <w:rPr>
          <w:rFonts w:eastAsia="Arial" w:cs="Arial"/>
        </w:rPr>
        <w:t xml:space="preserve"> s potencialnimi novimi ukrepi na področju samooskrbe. </w:t>
      </w:r>
      <w:r w:rsidRPr="00223E80">
        <w:rPr>
          <w:rFonts w:eastAsia="Arial" w:cs="Arial"/>
        </w:rPr>
        <w:t xml:space="preserve"> </w:t>
      </w:r>
    </w:p>
    <w:p w14:paraId="70DEB4AC" w14:textId="77777777" w:rsidR="00ED3669" w:rsidRPr="00223E80" w:rsidRDefault="00ED3669" w:rsidP="00873F6E">
      <w:pPr>
        <w:spacing w:after="0"/>
        <w:rPr>
          <w:rFonts w:eastAsia="Arial" w:cs="Arial"/>
        </w:rPr>
      </w:pPr>
    </w:p>
    <w:p w14:paraId="2AC61928" w14:textId="77777777" w:rsidR="00740E4F" w:rsidRPr="00223E80" w:rsidRDefault="00BA51F2" w:rsidP="00A520AC">
      <w:pPr>
        <w:pStyle w:val="Naslov2"/>
      </w:pPr>
      <w:bookmarkStart w:id="23" w:name="_Toc112143984"/>
      <w:r w:rsidRPr="00223E80">
        <w:t>4.4</w:t>
      </w:r>
      <w:r w:rsidR="00584D80" w:rsidRPr="00223E80">
        <w:t xml:space="preserve"> </w:t>
      </w:r>
      <w:r w:rsidR="00ED3983" w:rsidRPr="00223E80">
        <w:t xml:space="preserve">Sklad </w:t>
      </w:r>
      <w:r w:rsidR="00CA6241" w:rsidRPr="00223E80">
        <w:t xml:space="preserve">za </w:t>
      </w:r>
      <w:r w:rsidR="00ED3983" w:rsidRPr="00223E80">
        <w:t>podnebne spremembe</w:t>
      </w:r>
      <w:bookmarkEnd w:id="23"/>
    </w:p>
    <w:p w14:paraId="0CBFD1F3" w14:textId="77777777" w:rsidR="007E6ED7" w:rsidRPr="00223E80" w:rsidRDefault="007E6ED7" w:rsidP="007E6ED7">
      <w:pPr>
        <w:keepNext/>
        <w:spacing w:after="0"/>
        <w:outlineLvl w:val="1"/>
        <w:rPr>
          <w:rFonts w:eastAsia="Times New Roman"/>
          <w:b/>
          <w:iCs/>
          <w:color w:val="3A4A3E"/>
          <w:sz w:val="28"/>
          <w:szCs w:val="24"/>
        </w:rPr>
      </w:pPr>
    </w:p>
    <w:p w14:paraId="35E61685" w14:textId="77777777" w:rsidR="00740E4F" w:rsidRPr="00223E80" w:rsidRDefault="00DA6399" w:rsidP="00281A21">
      <w:pPr>
        <w:rPr>
          <w:lang w:eastAsia="sl-SI"/>
        </w:rPr>
      </w:pPr>
      <w:r w:rsidRPr="00223E80">
        <w:rPr>
          <w:lang w:eastAsia="sl-SI"/>
        </w:rPr>
        <w:t>Sklad za podnebne spremembe</w:t>
      </w:r>
      <w:r w:rsidR="005A27D6" w:rsidRPr="00223E80">
        <w:rPr>
          <w:lang w:eastAsia="sl-SI"/>
        </w:rPr>
        <w:t xml:space="preserve"> (v nadaljevanju:</w:t>
      </w:r>
      <w:r w:rsidRPr="00223E80">
        <w:rPr>
          <w:lang w:eastAsia="sl-SI"/>
        </w:rPr>
        <w:t xml:space="preserve"> SPS</w:t>
      </w:r>
      <w:r w:rsidR="005A27D6" w:rsidRPr="00223E80">
        <w:rPr>
          <w:lang w:eastAsia="sl-SI"/>
        </w:rPr>
        <w:t>)</w:t>
      </w:r>
      <w:r w:rsidRPr="00223E80">
        <w:rPr>
          <w:lang w:eastAsia="sl-SI"/>
        </w:rPr>
        <w:t xml:space="preserve"> </w:t>
      </w:r>
      <w:r w:rsidR="00740E4F" w:rsidRPr="00223E80">
        <w:rPr>
          <w:lang w:eastAsia="sl-SI"/>
        </w:rPr>
        <w:t>je proračunski sklad</w:t>
      </w:r>
      <w:r w:rsidRPr="00223E80">
        <w:rPr>
          <w:lang w:eastAsia="sl-SI"/>
        </w:rPr>
        <w:t>. Za upravljanje SPS je pristojen MOP, viri financiranja SPS pa so prihodki</w:t>
      </w:r>
      <w:r w:rsidR="00811503" w:rsidRPr="00223E80">
        <w:rPr>
          <w:lang w:eastAsia="sl-SI"/>
        </w:rPr>
        <w:t>,</w:t>
      </w:r>
      <w:r w:rsidRPr="00223E80">
        <w:rPr>
          <w:lang w:eastAsia="sl-SI"/>
        </w:rPr>
        <w:t xml:space="preserve"> ustvarjeni s prodajo emisijskih kuponov. </w:t>
      </w:r>
    </w:p>
    <w:p w14:paraId="56FAAB7B" w14:textId="5BD23BC5" w:rsidR="00740E4F" w:rsidRPr="00223E80" w:rsidRDefault="00DA6399" w:rsidP="00281A21">
      <w:pPr>
        <w:rPr>
          <w:lang w:eastAsia="sl-SI"/>
        </w:rPr>
      </w:pPr>
      <w:r w:rsidRPr="00223E80">
        <w:rPr>
          <w:lang w:eastAsia="sl-SI"/>
        </w:rPr>
        <w:t xml:space="preserve">Sredstva so </w:t>
      </w:r>
      <w:r w:rsidR="00ED7A1B" w:rsidRPr="00223E80">
        <w:rPr>
          <w:lang w:eastAsia="sl-SI"/>
        </w:rPr>
        <w:t xml:space="preserve">med drugim </w:t>
      </w:r>
      <w:r w:rsidRPr="00223E80">
        <w:rPr>
          <w:lang w:eastAsia="sl-SI"/>
        </w:rPr>
        <w:t xml:space="preserve">namenjena za razvoj obnovljivih virov energije </w:t>
      </w:r>
      <w:r w:rsidR="00811503" w:rsidRPr="00223E80">
        <w:rPr>
          <w:lang w:eastAsia="sl-SI"/>
        </w:rPr>
        <w:t>in</w:t>
      </w:r>
      <w:r w:rsidRPr="00223E80">
        <w:rPr>
          <w:lang w:eastAsia="sl-SI"/>
        </w:rPr>
        <w:t xml:space="preserve"> razvoj drugih tehnologij, ki pripomorejo k prehodu v varno in trajnostno nizkoogljično gospodarstvo ter k izpolnitvi zaveze EU, da poveča energetsko učinkovitost na ravni, dogovorjeni v ustreznih zakonodajnih aktih.</w:t>
      </w:r>
    </w:p>
    <w:p w14:paraId="69916C3E" w14:textId="49A42CB6" w:rsidR="000F4694" w:rsidRPr="00223E80" w:rsidRDefault="00DA6399" w:rsidP="000F4694">
      <w:pPr>
        <w:rPr>
          <w:lang w:eastAsia="sl-SI"/>
        </w:rPr>
      </w:pPr>
      <w:r w:rsidRPr="00223E80">
        <w:rPr>
          <w:lang w:eastAsia="sl-SI"/>
        </w:rPr>
        <w:t xml:space="preserve">Na podlagi petega odstavka 129. člena </w:t>
      </w:r>
      <w:r w:rsidR="00854212" w:rsidRPr="00223E80">
        <w:rPr>
          <w:lang w:eastAsia="sl-SI"/>
        </w:rPr>
        <w:t>Z</w:t>
      </w:r>
      <w:r w:rsidR="00740E4F" w:rsidRPr="00223E80">
        <w:rPr>
          <w:lang w:eastAsia="sl-SI"/>
        </w:rPr>
        <w:t>VO-1</w:t>
      </w:r>
      <w:r w:rsidR="00854212" w:rsidRPr="00223E80">
        <w:rPr>
          <w:lang w:eastAsia="sl-SI"/>
        </w:rPr>
        <w:t xml:space="preserve"> je </w:t>
      </w:r>
      <w:r w:rsidR="005B0A83" w:rsidRPr="00223E80">
        <w:rPr>
          <w:lang w:eastAsia="sl-SI"/>
        </w:rPr>
        <w:t xml:space="preserve">bil </w:t>
      </w:r>
      <w:r w:rsidR="00854212" w:rsidRPr="00223E80">
        <w:rPr>
          <w:lang w:eastAsia="sl-SI"/>
        </w:rPr>
        <w:t xml:space="preserve">izdan </w:t>
      </w:r>
      <w:r w:rsidR="005B0A83" w:rsidRPr="00223E80">
        <w:rPr>
          <w:lang w:eastAsia="sl-SI"/>
        </w:rPr>
        <w:t xml:space="preserve">Vladni </w:t>
      </w:r>
      <w:r w:rsidR="00854212" w:rsidRPr="00223E80">
        <w:rPr>
          <w:lang w:eastAsia="sl-SI"/>
        </w:rPr>
        <w:t xml:space="preserve">Odlok o Programu porabe sredstev Sklada za podnebne spremembe v obdobju 2021–2023 (Uradni list RS, </w:t>
      </w:r>
      <w:r w:rsidR="00CA6241" w:rsidRPr="00223E80">
        <w:rPr>
          <w:lang w:eastAsia="sl-SI"/>
        </w:rPr>
        <w:t>št. </w:t>
      </w:r>
      <w:hyperlink r:id="rId13" w:tgtFrame="_blank" w:tooltip="Odlok o Programu porabe sredstev Sklada za podnebne spremembe v obdobju 2021–2023" w:history="1">
        <w:r w:rsidR="00CA6241" w:rsidRPr="00223E80">
          <w:rPr>
            <w:lang w:eastAsia="sl-SI"/>
          </w:rPr>
          <w:t>101/21</w:t>
        </w:r>
      </w:hyperlink>
      <w:r w:rsidR="00CA6241" w:rsidRPr="00223E80">
        <w:rPr>
          <w:lang w:eastAsia="sl-SI"/>
        </w:rPr>
        <w:t>, </w:t>
      </w:r>
      <w:hyperlink r:id="rId14" w:tgtFrame="_blank" w:tooltip="Zakon o varstvu okolja" w:history="1">
        <w:r w:rsidR="00CA6241" w:rsidRPr="00223E80">
          <w:rPr>
            <w:lang w:eastAsia="sl-SI"/>
          </w:rPr>
          <w:t>44/22</w:t>
        </w:r>
      </w:hyperlink>
      <w:r w:rsidR="00CA6241" w:rsidRPr="00223E80">
        <w:rPr>
          <w:lang w:eastAsia="sl-SI"/>
        </w:rPr>
        <w:t> – ZVO-2</w:t>
      </w:r>
      <w:r w:rsidR="00854212" w:rsidRPr="00223E80">
        <w:rPr>
          <w:lang w:eastAsia="sl-SI"/>
        </w:rPr>
        <w:t xml:space="preserve">), kjer </w:t>
      </w:r>
      <w:r w:rsidR="005B0A83" w:rsidRPr="00223E80">
        <w:rPr>
          <w:lang w:eastAsia="sl-SI"/>
        </w:rPr>
        <w:t xml:space="preserve">se </w:t>
      </w:r>
      <w:r w:rsidR="00854212" w:rsidRPr="00223E80">
        <w:rPr>
          <w:lang w:eastAsia="sl-SI"/>
        </w:rPr>
        <w:t xml:space="preserve">je za ukrep </w:t>
      </w:r>
      <w:r w:rsidR="005B0A83" w:rsidRPr="00223E80">
        <w:rPr>
          <w:i/>
          <w:lang w:eastAsia="sl-SI"/>
        </w:rPr>
        <w:t>»</w:t>
      </w:r>
      <w:r w:rsidR="00854212" w:rsidRPr="00223E80">
        <w:rPr>
          <w:i/>
          <w:lang w:eastAsia="sl-SI"/>
        </w:rPr>
        <w:t>Razogljičenje, obnovljivi viri energije</w:t>
      </w:r>
      <w:r w:rsidR="005B0A83" w:rsidRPr="00223E80">
        <w:rPr>
          <w:i/>
          <w:lang w:eastAsia="sl-SI"/>
        </w:rPr>
        <w:t>«</w:t>
      </w:r>
      <w:r w:rsidR="00854212" w:rsidRPr="00223E80">
        <w:rPr>
          <w:lang w:eastAsia="sl-SI"/>
        </w:rPr>
        <w:t xml:space="preserve"> v letih od 2021–2023 </w:t>
      </w:r>
      <w:r w:rsidR="00740E4F" w:rsidRPr="00223E80">
        <w:rPr>
          <w:lang w:eastAsia="sl-SI"/>
        </w:rPr>
        <w:t>predvid</w:t>
      </w:r>
      <w:r w:rsidR="005B0A83" w:rsidRPr="00223E80">
        <w:rPr>
          <w:lang w:eastAsia="sl-SI"/>
        </w:rPr>
        <w:t>elo</w:t>
      </w:r>
      <w:r w:rsidR="00740E4F" w:rsidRPr="00223E80">
        <w:rPr>
          <w:lang w:eastAsia="sl-SI"/>
        </w:rPr>
        <w:t xml:space="preserve"> </w:t>
      </w:r>
      <w:r w:rsidR="00854212" w:rsidRPr="00223E80">
        <w:rPr>
          <w:lang w:eastAsia="sl-SI"/>
        </w:rPr>
        <w:t>39</w:t>
      </w:r>
      <w:r w:rsidR="008C61DB" w:rsidRPr="00223E80">
        <w:rPr>
          <w:lang w:eastAsia="sl-SI"/>
        </w:rPr>
        <w:t>,2</w:t>
      </w:r>
      <w:r w:rsidR="00740E4F" w:rsidRPr="00223E80">
        <w:rPr>
          <w:lang w:eastAsia="sl-SI"/>
        </w:rPr>
        <w:t xml:space="preserve"> </w:t>
      </w:r>
      <w:r w:rsidR="00854212" w:rsidRPr="00223E80">
        <w:rPr>
          <w:lang w:eastAsia="sl-SI"/>
        </w:rPr>
        <w:t>mio EUR</w:t>
      </w:r>
      <w:r w:rsidR="008C61DB" w:rsidRPr="00223E80">
        <w:rPr>
          <w:lang w:eastAsia="sl-SI"/>
        </w:rPr>
        <w:t>, od katerih je bilo v letu 2021 porabljeno 1</w:t>
      </w:r>
      <w:r w:rsidR="00811503" w:rsidRPr="00223E80">
        <w:rPr>
          <w:lang w:eastAsia="sl-SI"/>
        </w:rPr>
        <w:t>,</w:t>
      </w:r>
      <w:r w:rsidR="007503C1" w:rsidRPr="00223E80">
        <w:rPr>
          <w:lang w:eastAsia="sl-SI"/>
        </w:rPr>
        <w:t>9</w:t>
      </w:r>
      <w:r w:rsidR="008C61DB" w:rsidRPr="00223E80">
        <w:rPr>
          <w:lang w:eastAsia="sl-SI"/>
        </w:rPr>
        <w:t xml:space="preserve"> mio EUR</w:t>
      </w:r>
      <w:r w:rsidR="00854212" w:rsidRPr="00223E80">
        <w:rPr>
          <w:lang w:eastAsia="sl-SI"/>
        </w:rPr>
        <w:t>.</w:t>
      </w:r>
      <w:r w:rsidR="00740E4F" w:rsidRPr="00223E80">
        <w:rPr>
          <w:lang w:eastAsia="sl-SI"/>
        </w:rPr>
        <w:t xml:space="preserve"> </w:t>
      </w:r>
      <w:r w:rsidR="00811503" w:rsidRPr="00223E80">
        <w:rPr>
          <w:lang w:eastAsia="sl-SI"/>
        </w:rPr>
        <w:t>V n</w:t>
      </w:r>
      <w:r w:rsidR="005B0A83" w:rsidRPr="00223E80">
        <w:rPr>
          <w:lang w:eastAsia="sl-SI"/>
        </w:rPr>
        <w:t>adalje</w:t>
      </w:r>
      <w:r w:rsidR="00811503" w:rsidRPr="00223E80">
        <w:rPr>
          <w:lang w:eastAsia="sl-SI"/>
        </w:rPr>
        <w:t>vanju</w:t>
      </w:r>
      <w:r w:rsidR="005B0A83" w:rsidRPr="00223E80">
        <w:rPr>
          <w:lang w:eastAsia="sl-SI"/>
        </w:rPr>
        <w:t xml:space="preserve"> je Vlada RS v letu 2022 sprejela nov Odlok o Programu porabe sredstev Sklada za podnebne spremembe za leti 2022 in 2023 (Uradni list RS, št. </w:t>
      </w:r>
      <w:hyperlink r:id="rId15" w:tgtFrame="_blank" w:tooltip="Odlok o Programu porabe sredstev Sklada za podnebne spremembe za leti 2022 in 2023" w:history="1">
        <w:r w:rsidR="005B0A83" w:rsidRPr="00223E80">
          <w:rPr>
            <w:lang w:eastAsia="sl-SI"/>
          </w:rPr>
          <w:t>49/22</w:t>
        </w:r>
      </w:hyperlink>
      <w:r w:rsidR="005B0A83" w:rsidRPr="00223E80">
        <w:rPr>
          <w:lang w:eastAsia="sl-SI"/>
        </w:rPr>
        <w:t xml:space="preserve">, v nadaljevanju: Odlok o Programu porabe sredstev), pri čemer so </w:t>
      </w:r>
      <w:r w:rsidR="00584603" w:rsidRPr="00223E80">
        <w:rPr>
          <w:lang w:eastAsia="sl-SI"/>
        </w:rPr>
        <w:t>bila</w:t>
      </w:r>
      <w:r w:rsidR="005B0A83" w:rsidRPr="00223E80">
        <w:rPr>
          <w:lang w:eastAsia="sl-SI"/>
        </w:rPr>
        <w:t xml:space="preserve"> sredstva </w:t>
      </w:r>
      <w:r w:rsidR="007503C1" w:rsidRPr="00223E80">
        <w:rPr>
          <w:lang w:eastAsia="sl-SI"/>
        </w:rPr>
        <w:t>sicer zmanjšana na okvirno 37 mio EUR,</w:t>
      </w:r>
      <w:r w:rsidR="00281A21" w:rsidRPr="00223E80">
        <w:rPr>
          <w:lang w:eastAsia="sl-SI"/>
        </w:rPr>
        <w:t xml:space="preserve"> </w:t>
      </w:r>
      <w:r w:rsidR="007503C1" w:rsidRPr="00223E80">
        <w:rPr>
          <w:lang w:eastAsia="sl-SI"/>
        </w:rPr>
        <w:t>v</w:t>
      </w:r>
      <w:r w:rsidR="00EB019F" w:rsidRPr="00223E80">
        <w:rPr>
          <w:lang w:eastAsia="sl-SI"/>
        </w:rPr>
        <w:t>endar pa t</w:t>
      </w:r>
      <w:r w:rsidR="00A77DD1" w:rsidRPr="00223E80">
        <w:rPr>
          <w:lang w:eastAsia="sl-SI"/>
        </w:rPr>
        <w:t xml:space="preserve">a načrt </w:t>
      </w:r>
      <w:r w:rsidR="00A011F5" w:rsidRPr="00223E80">
        <w:rPr>
          <w:lang w:eastAsia="sl-SI"/>
        </w:rPr>
        <w:t xml:space="preserve">po sprejetju </w:t>
      </w:r>
      <w:r w:rsidR="00EB019F" w:rsidRPr="00223E80">
        <w:rPr>
          <w:lang w:eastAsia="sl-SI"/>
        </w:rPr>
        <w:t>dopušča</w:t>
      </w:r>
      <w:r w:rsidR="00A77DD1" w:rsidRPr="00223E80">
        <w:rPr>
          <w:lang w:eastAsia="sl-SI"/>
        </w:rPr>
        <w:t xml:space="preserve"> </w:t>
      </w:r>
      <w:r w:rsidR="00EB019F" w:rsidRPr="00223E80">
        <w:rPr>
          <w:lang w:eastAsia="sl-SI"/>
        </w:rPr>
        <w:t>verjetna</w:t>
      </w:r>
      <w:r w:rsidR="00A77DD1" w:rsidRPr="00223E80">
        <w:rPr>
          <w:lang w:eastAsia="sl-SI"/>
        </w:rPr>
        <w:t xml:space="preserve"> povečanja sredstev iz </w:t>
      </w:r>
      <w:r w:rsidR="000F4694" w:rsidRPr="00223E80">
        <w:rPr>
          <w:lang w:eastAsia="sl-SI"/>
        </w:rPr>
        <w:t xml:space="preserve">tega </w:t>
      </w:r>
      <w:r w:rsidR="00A77DD1" w:rsidRPr="00223E80">
        <w:rPr>
          <w:lang w:eastAsia="sl-SI"/>
        </w:rPr>
        <w:t>naslova</w:t>
      </w:r>
      <w:r w:rsidR="000F4694" w:rsidRPr="00223E80">
        <w:rPr>
          <w:lang w:eastAsia="sl-SI"/>
        </w:rPr>
        <w:t xml:space="preserve">. </w:t>
      </w:r>
    </w:p>
    <w:p w14:paraId="0AF26935" w14:textId="7C32D89C" w:rsidR="00740E4F" w:rsidRPr="00223E80" w:rsidRDefault="00833D00" w:rsidP="00281A21">
      <w:pPr>
        <w:rPr>
          <w:lang w:eastAsia="sl-SI"/>
        </w:rPr>
      </w:pPr>
      <w:r w:rsidRPr="00223E80">
        <w:rPr>
          <w:lang w:eastAsia="sl-SI"/>
        </w:rPr>
        <w:t>T</w:t>
      </w:r>
      <w:r w:rsidR="00740E4F" w:rsidRPr="00223E80">
        <w:rPr>
          <w:lang w:eastAsia="sl-SI"/>
        </w:rPr>
        <w:t>reb</w:t>
      </w:r>
      <w:r w:rsidRPr="00223E80">
        <w:rPr>
          <w:lang w:eastAsia="sl-SI"/>
        </w:rPr>
        <w:t>a</w:t>
      </w:r>
      <w:r w:rsidR="00740E4F" w:rsidRPr="00223E80">
        <w:rPr>
          <w:lang w:eastAsia="sl-SI"/>
        </w:rPr>
        <w:t xml:space="preserve"> je </w:t>
      </w:r>
      <w:r w:rsidR="000F4694" w:rsidRPr="00223E80">
        <w:rPr>
          <w:lang w:eastAsia="sl-SI"/>
        </w:rPr>
        <w:t xml:space="preserve">še </w:t>
      </w:r>
      <w:r w:rsidR="00740E4F" w:rsidRPr="00223E80">
        <w:rPr>
          <w:lang w:eastAsia="sl-SI"/>
        </w:rPr>
        <w:t xml:space="preserve">izpostaviti, da se del dejavnosti Eko sklada izvaja na podlagi Programa porabe sredstev Sklada za podnebne spremembe. </w:t>
      </w:r>
    </w:p>
    <w:p w14:paraId="10BAD233" w14:textId="77777777" w:rsidR="007E6ED7" w:rsidRPr="00223E80" w:rsidRDefault="007E6ED7" w:rsidP="007E6ED7">
      <w:pPr>
        <w:keepNext/>
        <w:spacing w:after="0"/>
        <w:outlineLvl w:val="1"/>
        <w:rPr>
          <w:rFonts w:eastAsia="Arial" w:cs="Arial"/>
          <w:lang w:eastAsia="sl-SI"/>
        </w:rPr>
      </w:pPr>
    </w:p>
    <w:p w14:paraId="6A1EADFD" w14:textId="77777777" w:rsidR="008D138D" w:rsidRPr="00223E80" w:rsidRDefault="000E0189" w:rsidP="00A520AC">
      <w:pPr>
        <w:pStyle w:val="Naslov2"/>
      </w:pPr>
      <w:bookmarkStart w:id="24" w:name="_Toc112143985"/>
      <w:r w:rsidRPr="00223E80">
        <w:t>4.5</w:t>
      </w:r>
      <w:r w:rsidR="00584D80" w:rsidRPr="00223E80">
        <w:t xml:space="preserve"> </w:t>
      </w:r>
      <w:r w:rsidR="00E8049E" w:rsidRPr="00223E80">
        <w:t>Podporna shema za električno energijo iz obnovljivih virov in iz soproizvodnje z visokim izkoristkom</w:t>
      </w:r>
      <w:bookmarkEnd w:id="24"/>
    </w:p>
    <w:p w14:paraId="3605BD58" w14:textId="77777777" w:rsidR="007E6ED7" w:rsidRPr="00223E80" w:rsidRDefault="007E6ED7" w:rsidP="007E6ED7">
      <w:pPr>
        <w:keepNext/>
        <w:spacing w:after="0"/>
        <w:outlineLvl w:val="1"/>
        <w:rPr>
          <w:rFonts w:eastAsia="Times New Roman"/>
          <w:b/>
          <w:iCs/>
          <w:color w:val="3A4A3E"/>
        </w:rPr>
      </w:pPr>
    </w:p>
    <w:p w14:paraId="153DAB2B" w14:textId="77777777" w:rsidR="00B236FE" w:rsidRPr="00223E80" w:rsidRDefault="00B236FE" w:rsidP="00B236FE">
      <w:pPr>
        <w:shd w:val="clear" w:color="auto" w:fill="FFFFFF"/>
        <w:spacing w:after="0"/>
        <w:rPr>
          <w:rFonts w:cs="Arial"/>
          <w:color w:val="000000"/>
          <w:shd w:val="clear" w:color="auto" w:fill="FFFFFF"/>
        </w:rPr>
      </w:pPr>
      <w:r w:rsidRPr="00223E80">
        <w:rPr>
          <w:rFonts w:cs="Arial"/>
          <w:color w:val="000000"/>
          <w:shd w:val="clear" w:color="auto" w:fill="FFFFFF"/>
        </w:rPr>
        <w:t xml:space="preserve">Sistem podpor za proizvodnjo energije iz obnovljivih virov je bil na podlagi EU prava v Republiki Sloveniji uveden leta 2002. Nacionalni pravni okvir se je sproti prilagajal spremenjenim oz. posodobljenim zahtevam in politikam Unije, večje spremembe podporne </w:t>
      </w:r>
      <w:r w:rsidRPr="00223E80">
        <w:rPr>
          <w:rFonts w:cs="Arial"/>
          <w:color w:val="000000"/>
          <w:shd w:val="clear" w:color="auto" w:fill="FFFFFF"/>
        </w:rPr>
        <w:lastRenderedPageBreak/>
        <w:t xml:space="preserve">sheme pa so se zgodile v letu 2016, ko se je za prijavljene projekte uveljavil konkurenčni postopek. </w:t>
      </w:r>
    </w:p>
    <w:p w14:paraId="79DC4E0F" w14:textId="77777777" w:rsidR="00B236FE" w:rsidRPr="00223E80" w:rsidRDefault="00B236FE" w:rsidP="00B236FE">
      <w:pPr>
        <w:shd w:val="clear" w:color="auto" w:fill="FFFFFF"/>
        <w:spacing w:after="0"/>
        <w:rPr>
          <w:rFonts w:eastAsia="Times New Roman" w:cs="Arial"/>
          <w:lang w:eastAsia="sl-SI"/>
        </w:rPr>
      </w:pPr>
    </w:p>
    <w:p w14:paraId="13AB938E" w14:textId="3B49B2A0" w:rsidR="00B236FE" w:rsidRPr="00223E80" w:rsidRDefault="00B236FE" w:rsidP="00B236FE">
      <w:pPr>
        <w:shd w:val="clear" w:color="auto" w:fill="FFFFFF"/>
        <w:spacing w:after="0"/>
        <w:rPr>
          <w:rFonts w:eastAsia="Times New Roman" w:cs="Arial"/>
          <w:lang w:eastAsia="sl-SI"/>
        </w:rPr>
      </w:pPr>
      <w:r w:rsidRPr="00223E80">
        <w:rPr>
          <w:rFonts w:eastAsia="Times New Roman" w:cs="Arial"/>
          <w:lang w:eastAsia="sl-SI"/>
        </w:rPr>
        <w:t>V okviru podporne sheme se sredstva</w:t>
      </w:r>
      <w:r w:rsidR="005E1229" w:rsidRPr="00223E80">
        <w:rPr>
          <w:rFonts w:eastAsia="Times New Roman" w:cs="Arial"/>
          <w:lang w:eastAsia="sl-SI"/>
        </w:rPr>
        <w:t>,</w:t>
      </w:r>
      <w:r w:rsidRPr="00223E80">
        <w:rPr>
          <w:rFonts w:eastAsia="Times New Roman" w:cs="Arial"/>
          <w:lang w:eastAsia="sl-SI"/>
        </w:rPr>
        <w:t xml:space="preserve"> </w:t>
      </w:r>
      <w:r w:rsidR="005E1229" w:rsidRPr="00223E80">
        <w:rPr>
          <w:rFonts w:eastAsia="Times New Roman" w:cs="Arial"/>
          <w:lang w:eastAsia="sl-SI"/>
        </w:rPr>
        <w:t>ki se zagotavljajo iz virov</w:t>
      </w:r>
      <w:r w:rsidR="00181828" w:rsidRPr="00223E80">
        <w:rPr>
          <w:rFonts w:eastAsia="Times New Roman" w:cs="Arial"/>
          <w:lang w:eastAsia="sl-SI"/>
        </w:rPr>
        <w:t>,</w:t>
      </w:r>
      <w:r w:rsidR="005E1229" w:rsidRPr="00223E80">
        <w:rPr>
          <w:rFonts w:eastAsia="Times New Roman" w:cs="Arial"/>
          <w:lang w:eastAsia="sl-SI"/>
        </w:rPr>
        <w:t xml:space="preserve"> navedenih v tretjem odstavku 16. člena ZSROVE (sredstva za podpore), uporabljajo za zagotavljanje podpor</w:t>
      </w:r>
      <w:r w:rsidRPr="00223E80">
        <w:rPr>
          <w:rFonts w:eastAsia="Times New Roman" w:cs="Arial"/>
          <w:lang w:eastAsia="sl-SI"/>
        </w:rPr>
        <w:t xml:space="preserve">, pri čemer je izpostavljen pogoj, da stroški proizvodnje električne energije iz obnovljivih virov ali iz soproizvodnje z visokim izkoristkom, plinastih goriv, toplote za ogrevanje in hlajenje ter pogonskih tekočih in plinastih biogoriv iz obnovljivih virov energije, odvečne toplote in vodika, vključno z normalnim tržnim donosom na vložena sredstva, presegajo ceno energije, ki jo je za to energijo mogoče doseči na trgu. Primarno je pri spodbujanju rabe iz obnovljivih virov energije in učinkovite rabe treba upoštevati načelo stroškovne učinkovitosti. </w:t>
      </w:r>
      <w:r w:rsidR="005E1229" w:rsidRPr="00223E80">
        <w:rPr>
          <w:rFonts w:eastAsia="Times New Roman" w:cs="Arial"/>
          <w:lang w:eastAsia="sl-SI"/>
        </w:rPr>
        <w:t>Od 1.</w:t>
      </w:r>
      <w:r w:rsidR="00181828" w:rsidRPr="00223E80">
        <w:rPr>
          <w:rFonts w:eastAsia="Times New Roman" w:cs="Arial"/>
          <w:lang w:eastAsia="sl-SI"/>
        </w:rPr>
        <w:t xml:space="preserve"> </w:t>
      </w:r>
      <w:r w:rsidR="005E1229" w:rsidRPr="00223E80">
        <w:rPr>
          <w:rFonts w:eastAsia="Times New Roman" w:cs="Arial"/>
          <w:lang w:eastAsia="sl-SI"/>
        </w:rPr>
        <w:t xml:space="preserve">1. 2020 dalje Republika Slovenija izvaja podporno shemo na podlagi Odločbe Evropske komisije, s katero je ta dovolila podaljšanje podporne sheme za dobo šestih let </w:t>
      </w:r>
      <w:r w:rsidR="0077362F" w:rsidRPr="00223E80">
        <w:rPr>
          <w:rFonts w:eastAsia="Times New Roman" w:cs="Arial"/>
          <w:lang w:eastAsia="sl-SI"/>
        </w:rPr>
        <w:t>in</w:t>
      </w:r>
      <w:r w:rsidR="005E1229" w:rsidRPr="00223E80">
        <w:rPr>
          <w:rFonts w:eastAsia="Times New Roman" w:cs="Arial"/>
          <w:lang w:eastAsia="sl-SI"/>
        </w:rPr>
        <w:t xml:space="preserve"> odobrila, da se na razpisih agencije v obdobju od 2020 do konca leta 2025 podeli za 1,8 mlrd EUR podpor proizvodnim napravam.</w:t>
      </w:r>
    </w:p>
    <w:p w14:paraId="38487D09" w14:textId="77777777" w:rsidR="00B236FE" w:rsidRPr="00223E80" w:rsidRDefault="00B236FE" w:rsidP="00B236FE">
      <w:pPr>
        <w:shd w:val="clear" w:color="auto" w:fill="FFFFFF"/>
        <w:spacing w:after="0"/>
        <w:rPr>
          <w:rFonts w:eastAsia="Times New Roman" w:cs="Arial"/>
          <w:lang w:eastAsia="sl-SI"/>
        </w:rPr>
      </w:pPr>
    </w:p>
    <w:p w14:paraId="4FF1A2ED" w14:textId="29D1F56B" w:rsidR="00B236FE" w:rsidRPr="00223E80" w:rsidRDefault="00B236FE" w:rsidP="00B236FE">
      <w:pPr>
        <w:shd w:val="clear" w:color="auto" w:fill="FFFFFF"/>
        <w:spacing w:after="0"/>
        <w:rPr>
          <w:rFonts w:eastAsia="Times New Roman" w:cs="Arial"/>
          <w:lang w:eastAsia="sl-SI"/>
        </w:rPr>
      </w:pPr>
      <w:r w:rsidRPr="00223E80">
        <w:rPr>
          <w:rFonts w:eastAsia="Times New Roman" w:cs="Arial"/>
          <w:lang w:eastAsia="sl-SI"/>
        </w:rPr>
        <w:t>Proizvodne naprave, ki so že oziroma po uveljavitvi nove sheme šele bodo upravičene do podpor, morajo izpolnjevati tudi pogoje glede moči, pri čemer so nazivne električne moči teh naprav zamejene. Za proizvodnjo električne energije iz obnovljivih virov energije in za proizvodnjo električne energije v soproizvodnji z visokim izkoristkom po priglašeni shemi ni dopustno presegati 10 MW nazivne električne moči, razen za OVE proizvodne naprave za izrabo vetrne energije s 50 MW nazivne električne moči. V skladu z obstoječo oz. priglašeno shemo se upravičenje do podpor pridobi po konkurenčnem postopku, ki ga vodi agencija z</w:t>
      </w:r>
      <w:r w:rsidR="00AE005E" w:rsidRPr="00223E80">
        <w:rPr>
          <w:rFonts w:eastAsia="Times New Roman" w:cs="Arial"/>
          <w:lang w:eastAsia="sl-SI"/>
        </w:rPr>
        <w:t>a</w:t>
      </w:r>
      <w:r w:rsidRPr="00223E80">
        <w:rPr>
          <w:rFonts w:eastAsia="Times New Roman" w:cs="Arial"/>
          <w:lang w:eastAsia="sl-SI"/>
        </w:rPr>
        <w:t xml:space="preserve"> energijo</w:t>
      </w:r>
      <w:r w:rsidR="00AE005E" w:rsidRPr="00223E80">
        <w:rPr>
          <w:rFonts w:eastAsia="Times New Roman" w:cs="Arial"/>
          <w:lang w:eastAsia="sl-SI"/>
        </w:rPr>
        <w:t>, ki</w:t>
      </w:r>
      <w:r w:rsidRPr="00223E80">
        <w:rPr>
          <w:rFonts w:eastAsia="Times New Roman" w:cs="Arial"/>
          <w:lang w:eastAsia="sl-SI"/>
        </w:rPr>
        <w:t xml:space="preserve"> oprav</w:t>
      </w:r>
      <w:r w:rsidR="00AE005E" w:rsidRPr="00223E80">
        <w:rPr>
          <w:rFonts w:eastAsia="Times New Roman" w:cs="Arial"/>
          <w:lang w:eastAsia="sl-SI"/>
        </w:rPr>
        <w:t>i</w:t>
      </w:r>
      <w:r w:rsidRPr="00223E80">
        <w:rPr>
          <w:rFonts w:eastAsia="Times New Roman" w:cs="Arial"/>
          <w:lang w:eastAsia="sl-SI"/>
        </w:rPr>
        <w:t xml:space="preserve"> izbor prijavljenih projektov. Vse navedeno vpliva </w:t>
      </w:r>
      <w:r w:rsidR="00B430A9" w:rsidRPr="00223E80">
        <w:rPr>
          <w:rFonts w:eastAsia="Times New Roman" w:cs="Arial"/>
          <w:lang w:eastAsia="sl-SI"/>
        </w:rPr>
        <w:t>količino</w:t>
      </w:r>
      <w:r w:rsidRPr="00223E80">
        <w:rPr>
          <w:rFonts w:eastAsia="Times New Roman" w:cs="Arial"/>
          <w:lang w:eastAsia="sl-SI"/>
        </w:rPr>
        <w:t xml:space="preserve"> sredstev, namen</w:t>
      </w:r>
      <w:r w:rsidR="00B430A9" w:rsidRPr="00223E80">
        <w:rPr>
          <w:rFonts w:eastAsia="Times New Roman" w:cs="Arial"/>
          <w:lang w:eastAsia="sl-SI"/>
        </w:rPr>
        <w:t>jenih</w:t>
      </w:r>
      <w:r w:rsidRPr="00223E80">
        <w:rPr>
          <w:rFonts w:eastAsia="Times New Roman" w:cs="Arial"/>
          <w:lang w:eastAsia="sl-SI"/>
        </w:rPr>
        <w:t xml:space="preserve"> za vzpodbujanj</w:t>
      </w:r>
      <w:r w:rsidR="00B430A9" w:rsidRPr="00223E80">
        <w:rPr>
          <w:rFonts w:eastAsia="Times New Roman" w:cs="Arial"/>
          <w:lang w:eastAsia="sl-SI"/>
        </w:rPr>
        <w:t>e</w:t>
      </w:r>
      <w:r w:rsidRPr="00223E80">
        <w:rPr>
          <w:rFonts w:eastAsia="Times New Roman" w:cs="Arial"/>
          <w:lang w:eastAsia="sl-SI"/>
        </w:rPr>
        <w:t xml:space="preserve"> rabe OVE. </w:t>
      </w:r>
    </w:p>
    <w:p w14:paraId="04044414" w14:textId="77777777" w:rsidR="00B236FE" w:rsidRPr="00223E80" w:rsidRDefault="00B236FE" w:rsidP="00B236FE">
      <w:pPr>
        <w:shd w:val="clear" w:color="auto" w:fill="FFFFFF"/>
        <w:spacing w:after="0"/>
        <w:rPr>
          <w:rFonts w:eastAsia="Times New Roman" w:cs="Arial"/>
          <w:lang w:eastAsia="sl-SI"/>
        </w:rPr>
      </w:pPr>
    </w:p>
    <w:p w14:paraId="32B46EE9" w14:textId="1B4E9B2F" w:rsidR="00B236FE" w:rsidRPr="00223E80" w:rsidRDefault="00B236FE" w:rsidP="00B236FE">
      <w:pPr>
        <w:snapToGrid w:val="0"/>
        <w:spacing w:after="0"/>
        <w:rPr>
          <w:rFonts w:eastAsia="Arial" w:cs="Arial"/>
        </w:rPr>
      </w:pPr>
      <w:r w:rsidRPr="00223E80">
        <w:rPr>
          <w:rFonts w:eastAsia="Times New Roman" w:cs="Arial"/>
          <w:lang w:eastAsia="sl-SI"/>
        </w:rPr>
        <w:t>V prihajajočem obdobju se torej načrtuje nova oz. razširjena podporna shema za tehnologije, ki v staro shemo doslej niso bile vključene</w:t>
      </w:r>
      <w:r w:rsidR="005E1229" w:rsidRPr="00223E80">
        <w:rPr>
          <w:rFonts w:eastAsia="Times New Roman" w:cs="Arial"/>
          <w:lang w:eastAsia="sl-SI"/>
        </w:rPr>
        <w:t xml:space="preserve"> (ZSROVE v 15. členu določa, da se lahko podpore namenjajo npr. tudi za hranilnike električne energije)</w:t>
      </w:r>
      <w:r w:rsidRPr="00223E80">
        <w:rPr>
          <w:rFonts w:eastAsia="Times New Roman" w:cs="Arial"/>
          <w:lang w:eastAsia="sl-SI"/>
        </w:rPr>
        <w:t xml:space="preserve">, omogočala </w:t>
      </w:r>
      <w:r w:rsidR="00120B8E" w:rsidRPr="00223E80">
        <w:rPr>
          <w:rFonts w:eastAsia="Times New Roman" w:cs="Arial"/>
          <w:lang w:eastAsia="sl-SI"/>
        </w:rPr>
        <w:t xml:space="preserve">pa bo </w:t>
      </w:r>
      <w:r w:rsidRPr="00223E80">
        <w:rPr>
          <w:rFonts w:eastAsia="Times New Roman" w:cs="Arial"/>
          <w:lang w:eastAsia="sl-SI"/>
        </w:rPr>
        <w:t>neposredno dodelitev podpor tudi za proizvodne naprave z močjo</w:t>
      </w:r>
      <w:r w:rsidR="00896408" w:rsidRPr="00223E80">
        <w:rPr>
          <w:rFonts w:eastAsia="Times New Roman" w:cs="Arial"/>
          <w:lang w:eastAsia="sl-SI"/>
        </w:rPr>
        <w:t>,</w:t>
      </w:r>
      <w:r w:rsidRPr="00223E80">
        <w:rPr>
          <w:rFonts w:eastAsia="Times New Roman" w:cs="Arial"/>
          <w:lang w:eastAsia="sl-SI"/>
        </w:rPr>
        <w:t xml:space="preserve"> manjšo od 500 kW. Obseg porabe za ta namen določenih sredstev se bo v novi shemi povečal. Pri tem se bodo dosledno upoštevala pravila o državnih pomočeh, zlasti pa bodo ukrepi v skladu z revidiranimi Smernicami o državni pomoči za podnebje, varstvo okolje in energijo</w:t>
      </w:r>
      <w:r w:rsidR="008B357C" w:rsidRPr="00223E80">
        <w:rPr>
          <w:rFonts w:eastAsia="Times New Roman" w:cs="Arial"/>
          <w:lang w:eastAsia="sl-SI"/>
        </w:rPr>
        <w:t>,</w:t>
      </w:r>
      <w:r w:rsidR="00C462AF" w:rsidRPr="00223E80">
        <w:rPr>
          <w:rStyle w:val="Sprotnaopomba-sklic"/>
          <w:rFonts w:eastAsia="Times New Roman" w:cs="Arial"/>
          <w:lang w:eastAsia="sl-SI"/>
        </w:rPr>
        <w:footnoteReference w:id="6"/>
      </w:r>
      <w:r w:rsidRPr="00223E80">
        <w:rPr>
          <w:rFonts w:eastAsia="Times New Roman" w:cs="Arial"/>
          <w:lang w:eastAsia="sl-SI"/>
        </w:rPr>
        <w:t xml:space="preserve"> ki vsebujejo pomembne prilagoditve za uskladitev pravil s strateškimi prednostnimi nalogami Evropske komisije. Obstoječe sheme držav članic bodo morale biti z novimi pravili usklajene od leta 2024 dalje</w:t>
      </w:r>
      <w:r w:rsidRPr="00223E80">
        <w:rPr>
          <w:rFonts w:eastAsia="Arial" w:cs="Arial"/>
        </w:rPr>
        <w:t>.</w:t>
      </w:r>
    </w:p>
    <w:p w14:paraId="4F0FAA99" w14:textId="77777777" w:rsidR="00B236FE" w:rsidRPr="00223E80" w:rsidRDefault="00B236FE" w:rsidP="00B236FE">
      <w:pPr>
        <w:snapToGrid w:val="0"/>
        <w:spacing w:after="0"/>
        <w:rPr>
          <w:rFonts w:eastAsia="Arial" w:cs="Arial"/>
        </w:rPr>
      </w:pPr>
    </w:p>
    <w:p w14:paraId="27109423" w14:textId="77777777" w:rsidR="00A70FEA" w:rsidRPr="00223E80" w:rsidRDefault="00A70FEA" w:rsidP="007E6ED7">
      <w:pPr>
        <w:spacing w:after="0"/>
        <w:rPr>
          <w:rFonts w:eastAsia="Arial" w:cs="Arial"/>
        </w:rPr>
      </w:pPr>
      <w:r w:rsidRPr="00223E80">
        <w:rPr>
          <w:rFonts w:eastAsia="Arial" w:cs="Arial"/>
        </w:rPr>
        <w:t>Agencija</w:t>
      </w:r>
      <w:r w:rsidR="00E8049E" w:rsidRPr="00223E80">
        <w:rPr>
          <w:rFonts w:eastAsia="Arial" w:cs="Arial"/>
        </w:rPr>
        <w:t xml:space="preserve"> za energijo</w:t>
      </w:r>
      <w:r w:rsidRPr="00223E80">
        <w:rPr>
          <w:rFonts w:eastAsia="Arial" w:cs="Arial"/>
        </w:rPr>
        <w:t xml:space="preserve"> izvaja upravne in druge naloge, ki so določene z Energetskim zakonom, uredbami Evropske unije, ki določajo pristojnost nacionalnih regulatorjev na področju energije, ali s splošnim aktom agencije, sprejetim na podlagi zakona. Naloge agencije pa so med drugim tudi spodbujanje proizvodnje iz obnovljivih virov in soproizvodnje. Zato </w:t>
      </w:r>
      <w:r w:rsidR="00144416" w:rsidRPr="00223E80">
        <w:rPr>
          <w:rFonts w:eastAsia="Arial" w:cs="Arial"/>
        </w:rPr>
        <w:t xml:space="preserve">Agencija za energijo </w:t>
      </w:r>
      <w:r w:rsidRPr="00223E80">
        <w:rPr>
          <w:rFonts w:eastAsia="Arial" w:cs="Arial"/>
        </w:rPr>
        <w:t xml:space="preserve">operativno </w:t>
      </w:r>
      <w:r w:rsidR="00144416" w:rsidRPr="00223E80">
        <w:rPr>
          <w:rFonts w:eastAsia="Arial" w:cs="Arial"/>
        </w:rPr>
        <w:t xml:space="preserve">izvaja </w:t>
      </w:r>
      <w:r w:rsidRPr="00223E80">
        <w:rPr>
          <w:rFonts w:eastAsia="Arial" w:cs="Arial"/>
        </w:rPr>
        <w:t xml:space="preserve">tudi </w:t>
      </w:r>
      <w:r w:rsidR="00144416" w:rsidRPr="00223E80">
        <w:rPr>
          <w:rFonts w:eastAsia="Arial" w:cs="Arial"/>
        </w:rPr>
        <w:t>podporn</w:t>
      </w:r>
      <w:r w:rsidRPr="00223E80">
        <w:rPr>
          <w:rFonts w:eastAsia="Arial" w:cs="Arial"/>
        </w:rPr>
        <w:t>o</w:t>
      </w:r>
      <w:r w:rsidR="00144416" w:rsidRPr="00223E80">
        <w:rPr>
          <w:rFonts w:eastAsia="Arial" w:cs="Arial"/>
        </w:rPr>
        <w:t xml:space="preserve"> shem</w:t>
      </w:r>
      <w:r w:rsidR="00092759" w:rsidRPr="00223E80">
        <w:rPr>
          <w:rFonts w:eastAsia="Arial" w:cs="Arial"/>
        </w:rPr>
        <w:t>o</w:t>
      </w:r>
      <w:r w:rsidR="00144416" w:rsidRPr="00223E80">
        <w:rPr>
          <w:rFonts w:eastAsia="Arial" w:cs="Arial"/>
        </w:rPr>
        <w:t xml:space="preserve"> za električno energijo iz obnovljivih virov in iz soproizvodnje z visokim</w:t>
      </w:r>
      <w:r w:rsidRPr="00223E80">
        <w:rPr>
          <w:rFonts w:eastAsia="Arial" w:cs="Arial"/>
        </w:rPr>
        <w:t xml:space="preserve"> izkoristkom.</w:t>
      </w:r>
      <w:r w:rsidR="00144416" w:rsidRPr="00223E80">
        <w:rPr>
          <w:rFonts w:eastAsia="Arial" w:cs="Arial"/>
        </w:rPr>
        <w:t xml:space="preserve"> </w:t>
      </w:r>
    </w:p>
    <w:p w14:paraId="420FD36A" w14:textId="77777777" w:rsidR="007E6ED7" w:rsidRPr="00223E80" w:rsidRDefault="007E6ED7" w:rsidP="007E6ED7">
      <w:pPr>
        <w:spacing w:after="0"/>
        <w:rPr>
          <w:rFonts w:eastAsia="Arial" w:cs="Arial"/>
        </w:rPr>
      </w:pPr>
    </w:p>
    <w:p w14:paraId="742E5508" w14:textId="77777777" w:rsidR="000A523A" w:rsidRPr="00223E80" w:rsidRDefault="000A523A" w:rsidP="007E6ED7">
      <w:pPr>
        <w:spacing w:after="0"/>
        <w:rPr>
          <w:rFonts w:eastAsia="Arial" w:cs="Arial"/>
        </w:rPr>
      </w:pPr>
      <w:r w:rsidRPr="00223E80">
        <w:rPr>
          <w:rFonts w:eastAsia="Arial" w:cs="Arial"/>
        </w:rPr>
        <w:lastRenderedPageBreak/>
        <w:t xml:space="preserve">Energetski zakon </w:t>
      </w:r>
      <w:r w:rsidR="00CF5D1B" w:rsidRPr="00223E80">
        <w:rPr>
          <w:rFonts w:eastAsia="Arial" w:cs="Arial"/>
        </w:rPr>
        <w:t xml:space="preserve">(Uradni list RS, št. </w:t>
      </w:r>
      <w:hyperlink r:id="rId16" w:tgtFrame="_blank" w:tooltip="Energetski zakon (uradno prečiščeno besedilo)" w:history="1">
        <w:r w:rsidR="00CF5D1B" w:rsidRPr="00223E80">
          <w:rPr>
            <w:rFonts w:eastAsia="Arial" w:cs="Arial"/>
          </w:rPr>
          <w:t>60/19</w:t>
        </w:r>
      </w:hyperlink>
      <w:r w:rsidR="00CF5D1B" w:rsidRPr="00223E80">
        <w:rPr>
          <w:rFonts w:eastAsia="Arial" w:cs="Arial"/>
        </w:rPr>
        <w:t xml:space="preserve"> – uradno prečiščeno besedilo, </w:t>
      </w:r>
      <w:hyperlink r:id="rId17" w:tgtFrame="_blank" w:tooltip="Zakon o spremembah in dopolnitvah Energetskega zakona" w:history="1">
        <w:r w:rsidR="00CF5D1B" w:rsidRPr="00223E80">
          <w:rPr>
            <w:rFonts w:eastAsia="Arial" w:cs="Arial"/>
          </w:rPr>
          <w:t>65/20</w:t>
        </w:r>
      </w:hyperlink>
      <w:r w:rsidR="00CF5D1B" w:rsidRPr="00223E80">
        <w:rPr>
          <w:rFonts w:eastAsia="Arial" w:cs="Arial"/>
        </w:rPr>
        <w:t xml:space="preserve">, </w:t>
      </w:r>
      <w:hyperlink r:id="rId18" w:tgtFrame="_blank" w:tooltip="Zakon o učinkoviti rabi energije" w:history="1">
        <w:r w:rsidR="00CF5D1B" w:rsidRPr="00223E80">
          <w:rPr>
            <w:rFonts w:eastAsia="Arial" w:cs="Arial"/>
          </w:rPr>
          <w:t>158/20</w:t>
        </w:r>
      </w:hyperlink>
      <w:r w:rsidR="00CF5D1B" w:rsidRPr="00223E80">
        <w:rPr>
          <w:rFonts w:eastAsia="Arial" w:cs="Arial"/>
        </w:rPr>
        <w:t xml:space="preserve"> – ZURE, </w:t>
      </w:r>
      <w:hyperlink r:id="rId19" w:tgtFrame="_blank" w:tooltip="Zakon o spodbujanju rabe obnovljivih virov energije" w:history="1">
        <w:r w:rsidR="00CF5D1B" w:rsidRPr="00223E80">
          <w:rPr>
            <w:rFonts w:eastAsia="Arial" w:cs="Arial"/>
          </w:rPr>
          <w:t>121/21</w:t>
        </w:r>
      </w:hyperlink>
      <w:r w:rsidR="00CF5D1B" w:rsidRPr="00223E80">
        <w:rPr>
          <w:rFonts w:eastAsia="Arial" w:cs="Arial"/>
        </w:rPr>
        <w:t xml:space="preserve"> – ZSROVE, </w:t>
      </w:r>
      <w:hyperlink r:id="rId20" w:tgtFrame="_blank" w:tooltip="Zakon o oskrbi z električno energijo" w:history="1">
        <w:r w:rsidR="00CF5D1B" w:rsidRPr="00223E80">
          <w:rPr>
            <w:rFonts w:eastAsia="Arial" w:cs="Arial"/>
          </w:rPr>
          <w:t>172/21</w:t>
        </w:r>
      </w:hyperlink>
      <w:r w:rsidR="00CF5D1B" w:rsidRPr="00223E80">
        <w:rPr>
          <w:rFonts w:eastAsia="Arial" w:cs="Arial"/>
        </w:rPr>
        <w:t xml:space="preserve"> – ZOEE, </w:t>
      </w:r>
      <w:hyperlink r:id="rId21" w:tgtFrame="_blank" w:tooltip="Zakon o oskrbi s plini" w:history="1">
        <w:r w:rsidR="00CF5D1B" w:rsidRPr="00223E80">
          <w:rPr>
            <w:rFonts w:eastAsia="Arial" w:cs="Arial"/>
          </w:rPr>
          <w:t>204/21</w:t>
        </w:r>
      </w:hyperlink>
      <w:r w:rsidR="00CF5D1B" w:rsidRPr="00223E80">
        <w:rPr>
          <w:rFonts w:eastAsia="Arial" w:cs="Arial"/>
        </w:rPr>
        <w:t xml:space="preserve"> – ZOP in </w:t>
      </w:r>
      <w:hyperlink r:id="rId22" w:tgtFrame="_blank" w:tooltip="Zakon o oskrbi s toploto iz distribucijskih sistemov" w:history="1">
        <w:r w:rsidR="00CF5D1B" w:rsidRPr="00223E80">
          <w:rPr>
            <w:rFonts w:eastAsia="Arial" w:cs="Arial"/>
          </w:rPr>
          <w:t>44/22</w:t>
        </w:r>
      </w:hyperlink>
      <w:r w:rsidR="00CF5D1B" w:rsidRPr="00223E80">
        <w:rPr>
          <w:rFonts w:eastAsia="Arial" w:cs="Arial"/>
        </w:rPr>
        <w:t xml:space="preserve"> – ZOTDS</w:t>
      </w:r>
      <w:r w:rsidRPr="00223E80">
        <w:rPr>
          <w:rFonts w:eastAsia="Arial" w:cs="Arial"/>
        </w:rPr>
        <w:t xml:space="preserve">, v nadaljevanju: EZ-1) v tretjem odstavku 25. člena določa, da je obvezna sestavina letne energetske bilance tudi (1) načrt za delovanje podporne sheme za električno energijo iz obnovljivih virov in iz soproizvodnje z visokim izkoristkom ter (2) napoved razpoložljivih virov sredstev za doseganje predvidenih letnih ciljev podporne sheme.   </w:t>
      </w:r>
    </w:p>
    <w:p w14:paraId="308117B5" w14:textId="77777777" w:rsidR="007E6ED7" w:rsidRPr="00223E80" w:rsidRDefault="007E6ED7" w:rsidP="007E6ED7">
      <w:pPr>
        <w:spacing w:after="0"/>
        <w:rPr>
          <w:rFonts w:eastAsia="Arial" w:cs="Arial"/>
        </w:rPr>
      </w:pPr>
    </w:p>
    <w:p w14:paraId="637741B6" w14:textId="1463F7D8" w:rsidR="000A523A" w:rsidRPr="00223E80" w:rsidRDefault="000A523A" w:rsidP="007E6ED7">
      <w:pPr>
        <w:spacing w:after="0"/>
        <w:rPr>
          <w:rFonts w:eastAsia="Arial" w:cs="Arial"/>
        </w:rPr>
      </w:pPr>
      <w:r w:rsidRPr="00223E80">
        <w:rPr>
          <w:rFonts w:eastAsia="Arial" w:cs="Arial"/>
        </w:rPr>
        <w:t xml:space="preserve">Dne 7. 8. 2021 je v veljavo stopil </w:t>
      </w:r>
      <w:r w:rsidR="00A70FEA" w:rsidRPr="00223E80">
        <w:rPr>
          <w:rFonts w:eastAsia="Arial" w:cs="Arial"/>
        </w:rPr>
        <w:t>ZSROVE</w:t>
      </w:r>
      <w:r w:rsidRPr="00223E80">
        <w:rPr>
          <w:rFonts w:eastAsia="Arial" w:cs="Arial"/>
        </w:rPr>
        <w:t xml:space="preserve">, ki je razveljavil del EZ-1. </w:t>
      </w:r>
      <w:r w:rsidR="006144CA" w:rsidRPr="00223E80">
        <w:rPr>
          <w:rFonts w:eastAsia="Arial" w:cs="Arial"/>
        </w:rPr>
        <w:t xml:space="preserve">Ta </w:t>
      </w:r>
      <w:r w:rsidRPr="00223E80">
        <w:rPr>
          <w:rFonts w:eastAsia="Arial" w:cs="Arial"/>
        </w:rPr>
        <w:t>je krovno urejal področje energetske učinkovitosti in obnovljivih virov energije i</w:t>
      </w:r>
      <w:r w:rsidR="0087439A" w:rsidRPr="00223E80">
        <w:rPr>
          <w:rFonts w:eastAsia="Arial" w:cs="Arial"/>
        </w:rPr>
        <w:t>n</w:t>
      </w:r>
      <w:r w:rsidRPr="00223E80">
        <w:rPr>
          <w:rFonts w:eastAsia="Arial" w:cs="Arial"/>
        </w:rPr>
        <w:t xml:space="preserve"> je prene</w:t>
      </w:r>
      <w:r w:rsidR="004975C5" w:rsidRPr="00223E80">
        <w:rPr>
          <w:rFonts w:eastAsia="Arial" w:cs="Arial"/>
        </w:rPr>
        <w:t>s</w:t>
      </w:r>
      <w:r w:rsidRPr="00223E80">
        <w:rPr>
          <w:rFonts w:eastAsia="Arial" w:cs="Arial"/>
        </w:rPr>
        <w:t>en v ZSROVE</w:t>
      </w:r>
      <w:r w:rsidR="00097BB7" w:rsidRPr="00223E80">
        <w:rPr>
          <w:rFonts w:eastAsia="Arial" w:cs="Arial"/>
        </w:rPr>
        <w:t xml:space="preserve"> in ZURE</w:t>
      </w:r>
      <w:r w:rsidRPr="00223E80">
        <w:rPr>
          <w:rFonts w:eastAsia="Arial" w:cs="Arial"/>
        </w:rPr>
        <w:t xml:space="preserve">. </w:t>
      </w:r>
    </w:p>
    <w:p w14:paraId="7120BD7A" w14:textId="77777777" w:rsidR="007E6ED7" w:rsidRPr="00223E80" w:rsidRDefault="007E6ED7" w:rsidP="007E6ED7">
      <w:pPr>
        <w:spacing w:after="0"/>
        <w:rPr>
          <w:rFonts w:eastAsia="Arial" w:cs="Arial"/>
        </w:rPr>
      </w:pPr>
    </w:p>
    <w:p w14:paraId="1011F3C6" w14:textId="1252B4AA" w:rsidR="000A523A" w:rsidRPr="00223E80" w:rsidRDefault="00D863A8" w:rsidP="007E6ED7">
      <w:pPr>
        <w:spacing w:after="0"/>
        <w:rPr>
          <w:rFonts w:eastAsia="Arial" w:cs="Arial"/>
        </w:rPr>
      </w:pPr>
      <w:r w:rsidRPr="00223E80">
        <w:rPr>
          <w:rFonts w:eastAsia="Arial" w:cs="Arial"/>
        </w:rPr>
        <w:t>P</w:t>
      </w:r>
      <w:r w:rsidR="000A523A" w:rsidRPr="00223E80">
        <w:rPr>
          <w:rFonts w:eastAsia="Arial" w:cs="Arial"/>
        </w:rPr>
        <w:t>odporn</w:t>
      </w:r>
      <w:r w:rsidRPr="00223E80">
        <w:rPr>
          <w:rFonts w:eastAsia="Arial" w:cs="Arial"/>
        </w:rPr>
        <w:t>a</w:t>
      </w:r>
      <w:r w:rsidR="000A523A" w:rsidRPr="00223E80">
        <w:rPr>
          <w:rFonts w:eastAsia="Arial" w:cs="Arial"/>
        </w:rPr>
        <w:t xml:space="preserve"> shem</w:t>
      </w:r>
      <w:r w:rsidRPr="00223E80">
        <w:rPr>
          <w:rFonts w:eastAsia="Arial" w:cs="Arial"/>
        </w:rPr>
        <w:t>a</w:t>
      </w:r>
      <w:r w:rsidR="000A523A" w:rsidRPr="00223E80">
        <w:rPr>
          <w:rFonts w:eastAsia="Arial" w:cs="Arial"/>
        </w:rPr>
        <w:t>, s tem v zvezi pa tudi javni poziv</w:t>
      </w:r>
      <w:r w:rsidRPr="00223E80">
        <w:rPr>
          <w:rFonts w:eastAsia="Arial" w:cs="Arial"/>
        </w:rPr>
        <w:t>i</w:t>
      </w:r>
      <w:r w:rsidR="000A523A" w:rsidRPr="00223E80">
        <w:rPr>
          <w:rFonts w:eastAsia="Arial" w:cs="Arial"/>
        </w:rPr>
        <w:t xml:space="preserve"> Agencije za energijo, je do uveljavitve ZSROVE </w:t>
      </w:r>
      <w:r w:rsidRPr="00223E80">
        <w:rPr>
          <w:rFonts w:eastAsia="Arial" w:cs="Arial"/>
        </w:rPr>
        <w:t xml:space="preserve">delovala </w:t>
      </w:r>
      <w:r w:rsidR="000A523A" w:rsidRPr="00223E80">
        <w:rPr>
          <w:rFonts w:eastAsia="Arial" w:cs="Arial"/>
        </w:rPr>
        <w:t xml:space="preserve">na podlagi določil 373. člena EZ-1. Po novem </w:t>
      </w:r>
      <w:r w:rsidR="004A7771" w:rsidRPr="00223E80">
        <w:rPr>
          <w:rFonts w:eastAsia="Arial" w:cs="Arial"/>
        </w:rPr>
        <w:t>pa</w:t>
      </w:r>
      <w:r w:rsidR="000A523A" w:rsidRPr="00223E80">
        <w:rPr>
          <w:rFonts w:eastAsia="Arial" w:cs="Arial"/>
        </w:rPr>
        <w:t xml:space="preserve"> </w:t>
      </w:r>
      <w:r w:rsidR="004A7771" w:rsidRPr="00223E80">
        <w:rPr>
          <w:rFonts w:eastAsia="Arial" w:cs="Arial"/>
        </w:rPr>
        <w:t xml:space="preserve">imajo priglašene in potrjene sheme </w:t>
      </w:r>
      <w:r w:rsidR="000A523A" w:rsidRPr="00223E80">
        <w:rPr>
          <w:rFonts w:eastAsia="Arial" w:cs="Arial"/>
        </w:rPr>
        <w:t>pravn</w:t>
      </w:r>
      <w:r w:rsidR="004A7771" w:rsidRPr="00223E80">
        <w:rPr>
          <w:rFonts w:eastAsia="Arial" w:cs="Arial"/>
        </w:rPr>
        <w:t>o</w:t>
      </w:r>
      <w:r w:rsidR="000A523A" w:rsidRPr="00223E80">
        <w:rPr>
          <w:rFonts w:eastAsia="Arial" w:cs="Arial"/>
        </w:rPr>
        <w:t xml:space="preserve"> podlag</w:t>
      </w:r>
      <w:r w:rsidR="004A7771" w:rsidRPr="00223E80">
        <w:rPr>
          <w:rFonts w:eastAsia="Arial" w:cs="Arial"/>
        </w:rPr>
        <w:t>o</w:t>
      </w:r>
      <w:r w:rsidR="000A523A" w:rsidRPr="00223E80">
        <w:rPr>
          <w:rFonts w:eastAsia="Arial" w:cs="Arial"/>
        </w:rPr>
        <w:t xml:space="preserve"> </w:t>
      </w:r>
      <w:r w:rsidR="004A7771" w:rsidRPr="00223E80">
        <w:rPr>
          <w:rFonts w:eastAsia="Arial" w:cs="Arial"/>
        </w:rPr>
        <w:t>v</w:t>
      </w:r>
      <w:r w:rsidR="000A523A" w:rsidRPr="00223E80">
        <w:rPr>
          <w:rFonts w:eastAsia="Arial" w:cs="Arial"/>
        </w:rPr>
        <w:t xml:space="preserve"> določilih ZSROVE. </w:t>
      </w:r>
    </w:p>
    <w:p w14:paraId="1BC1AF8D" w14:textId="77777777" w:rsidR="000A523A" w:rsidRPr="00223E80" w:rsidRDefault="000A523A" w:rsidP="007E6ED7">
      <w:pPr>
        <w:spacing w:after="0"/>
        <w:rPr>
          <w:rFonts w:eastAsia="Arial" w:cs="Arial"/>
        </w:rPr>
      </w:pPr>
    </w:p>
    <w:p w14:paraId="707865AC" w14:textId="1E71D34A" w:rsidR="007E6ED7" w:rsidRPr="00223E80" w:rsidRDefault="000A523A" w:rsidP="007E6ED7">
      <w:pPr>
        <w:spacing w:after="0"/>
        <w:rPr>
          <w:rFonts w:eastAsia="Arial" w:cs="Arial"/>
        </w:rPr>
      </w:pPr>
      <w:r w:rsidRPr="00223E80">
        <w:rPr>
          <w:rFonts w:eastAsia="Arial" w:cs="Arial"/>
        </w:rPr>
        <w:t xml:space="preserve">Agencija je na podlagi določil EZ-1 do </w:t>
      </w:r>
      <w:r w:rsidR="00226C6C" w:rsidRPr="00223E80">
        <w:rPr>
          <w:rFonts w:eastAsia="Arial" w:cs="Arial"/>
        </w:rPr>
        <w:t>z</w:t>
      </w:r>
      <w:r w:rsidRPr="00223E80">
        <w:rPr>
          <w:rFonts w:eastAsia="Arial" w:cs="Arial"/>
        </w:rPr>
        <w:t>daj izvedla devet javnih pozivov, in sicer v decembru 2016, septembru 2017, februarju 2018, decembru 2018, juniju 2019, decembru 2019, juliju 2020, decembru 2020 in juliju 2021.</w:t>
      </w:r>
    </w:p>
    <w:p w14:paraId="55E17331" w14:textId="77777777" w:rsidR="000A523A" w:rsidRPr="00223E80" w:rsidRDefault="000A523A" w:rsidP="007E6ED7">
      <w:pPr>
        <w:spacing w:after="0"/>
        <w:rPr>
          <w:rFonts w:eastAsia="Arial" w:cs="Arial"/>
        </w:rPr>
      </w:pPr>
      <w:r w:rsidRPr="00223E80">
        <w:rPr>
          <w:rFonts w:eastAsia="Arial" w:cs="Arial"/>
        </w:rPr>
        <w:t xml:space="preserve"> </w:t>
      </w:r>
    </w:p>
    <w:p w14:paraId="450CF472" w14:textId="6EBC0F1C" w:rsidR="000A523A" w:rsidRPr="00223E80" w:rsidRDefault="000A523A" w:rsidP="007E6ED7">
      <w:pPr>
        <w:spacing w:after="0"/>
        <w:rPr>
          <w:rFonts w:eastAsia="Arial" w:cs="Arial"/>
        </w:rPr>
      </w:pPr>
      <w:r w:rsidRPr="00223E80">
        <w:rPr>
          <w:rFonts w:eastAsia="Arial" w:cs="Arial"/>
        </w:rPr>
        <w:t xml:space="preserve">Pogoj za vstop v podporno shemo že od uveljavitve EZ-1 </w:t>
      </w:r>
      <w:r w:rsidR="003B57CA" w:rsidRPr="00223E80">
        <w:rPr>
          <w:rFonts w:eastAsia="Arial" w:cs="Arial"/>
        </w:rPr>
        <w:t xml:space="preserve">temelji na </w:t>
      </w:r>
      <w:r w:rsidR="004A7771" w:rsidRPr="00223E80">
        <w:rPr>
          <w:rFonts w:eastAsia="Arial" w:cs="Arial"/>
        </w:rPr>
        <w:t>prijav</w:t>
      </w:r>
      <w:r w:rsidR="003B57CA" w:rsidRPr="00223E80">
        <w:rPr>
          <w:rFonts w:eastAsia="Arial" w:cs="Arial"/>
        </w:rPr>
        <w:t>i</w:t>
      </w:r>
      <w:r w:rsidR="004A7771" w:rsidRPr="00223E80">
        <w:rPr>
          <w:rFonts w:eastAsia="Arial" w:cs="Arial"/>
        </w:rPr>
        <w:t xml:space="preserve"> projekt</w:t>
      </w:r>
      <w:r w:rsidR="003B57CA" w:rsidRPr="00223E80">
        <w:rPr>
          <w:rFonts w:eastAsia="Arial" w:cs="Arial"/>
        </w:rPr>
        <w:t>ov</w:t>
      </w:r>
      <w:r w:rsidR="004A7771" w:rsidRPr="00223E80">
        <w:rPr>
          <w:rFonts w:eastAsia="Arial" w:cs="Arial"/>
        </w:rPr>
        <w:t xml:space="preserve"> </w:t>
      </w:r>
      <w:r w:rsidR="003B57CA" w:rsidRPr="00223E80">
        <w:rPr>
          <w:rFonts w:eastAsia="Arial" w:cs="Arial"/>
        </w:rPr>
        <w:t>v okviru</w:t>
      </w:r>
      <w:r w:rsidR="004A7771" w:rsidRPr="00223E80">
        <w:rPr>
          <w:rFonts w:eastAsia="Arial" w:cs="Arial"/>
        </w:rPr>
        <w:t xml:space="preserve"> </w:t>
      </w:r>
      <w:r w:rsidRPr="00223E80">
        <w:rPr>
          <w:rFonts w:eastAsia="Arial" w:cs="Arial"/>
        </w:rPr>
        <w:t xml:space="preserve">konkurenčnega postopka izbire na javni razpis, kar je podrobneje urejeno </w:t>
      </w:r>
      <w:r w:rsidR="00BA7CAF" w:rsidRPr="00223E80">
        <w:rPr>
          <w:rFonts w:eastAsia="Arial" w:cs="Arial"/>
        </w:rPr>
        <w:t xml:space="preserve">že </w:t>
      </w:r>
      <w:r w:rsidRPr="00223E80">
        <w:rPr>
          <w:rFonts w:eastAsia="Arial" w:cs="Arial"/>
        </w:rPr>
        <w:t>v Uredbi o podporah elektriki, proizvedeni iz obnovljivih virov energije in v soproizvodnji toplote in elektrike z visokim izkoristkom (Uradni list RS, št. 74/16, 74/20 in 121/21 – ZSROVE</w:t>
      </w:r>
      <w:r w:rsidR="00290F41" w:rsidRPr="00223E80">
        <w:rPr>
          <w:rFonts w:eastAsia="Arial" w:cs="Arial"/>
        </w:rPr>
        <w:t xml:space="preserve"> in 26/22</w:t>
      </w:r>
      <w:r w:rsidRPr="00223E80">
        <w:rPr>
          <w:rFonts w:eastAsia="Arial" w:cs="Arial"/>
        </w:rPr>
        <w:t>)</w:t>
      </w:r>
      <w:r w:rsidR="005A4BCE" w:rsidRPr="00223E80">
        <w:rPr>
          <w:rFonts w:eastAsia="Arial" w:cs="Arial"/>
        </w:rPr>
        <w:t>.</w:t>
      </w:r>
      <w:r w:rsidR="00BA7CAF" w:rsidRPr="00223E80">
        <w:rPr>
          <w:rFonts w:eastAsia="Arial" w:cs="Arial"/>
        </w:rPr>
        <w:t xml:space="preserve"> </w:t>
      </w:r>
      <w:r w:rsidR="005A4BCE" w:rsidRPr="00223E80">
        <w:rPr>
          <w:rFonts w:eastAsia="Arial" w:cs="Arial"/>
        </w:rPr>
        <w:t>V</w:t>
      </w:r>
      <w:r w:rsidR="00BA7CAF" w:rsidRPr="00223E80">
        <w:rPr>
          <w:rFonts w:eastAsia="Arial" w:cs="Arial"/>
        </w:rPr>
        <w:t xml:space="preserve">sebinsko isto </w:t>
      </w:r>
      <w:r w:rsidR="00DD6015" w:rsidRPr="00223E80">
        <w:rPr>
          <w:rFonts w:eastAsia="Arial" w:cs="Arial"/>
        </w:rPr>
        <w:t>določa</w:t>
      </w:r>
      <w:r w:rsidR="00BA7CAF" w:rsidRPr="00223E80">
        <w:rPr>
          <w:rFonts w:eastAsia="Arial" w:cs="Arial"/>
        </w:rPr>
        <w:t xml:space="preserve"> tudi nov</w:t>
      </w:r>
      <w:r w:rsidR="00DD6015" w:rsidRPr="00223E80">
        <w:rPr>
          <w:rFonts w:eastAsia="Arial" w:cs="Arial"/>
        </w:rPr>
        <w:t>a</w:t>
      </w:r>
      <w:r w:rsidR="00BA7CAF" w:rsidRPr="00223E80">
        <w:rPr>
          <w:rFonts w:eastAsia="Arial" w:cs="Arial"/>
        </w:rPr>
        <w:t xml:space="preserve"> Uredb</w:t>
      </w:r>
      <w:r w:rsidR="00DD6015" w:rsidRPr="00223E80">
        <w:rPr>
          <w:rFonts w:eastAsia="Arial" w:cs="Arial"/>
        </w:rPr>
        <w:t>a</w:t>
      </w:r>
      <w:r w:rsidR="00BA7CAF" w:rsidRPr="00223E80">
        <w:rPr>
          <w:rFonts w:eastAsia="Arial" w:cs="Arial"/>
        </w:rPr>
        <w:t xml:space="preserve"> o podporah električni energiji, proizvedeni iz obnovljivih virov energije in v soproizvodnji toplote in električne energije z visokim izkoristkom (Uradni list RS, št. 26/2022, v nadaljevanju: Uredba o podporah)</w:t>
      </w:r>
      <w:r w:rsidRPr="00223E80">
        <w:rPr>
          <w:rFonts w:eastAsia="Arial" w:cs="Arial"/>
        </w:rPr>
        <w:t xml:space="preserve">. Novi ZSROVE konkurenčen postopek v ključnih vsebinah ohranja. </w:t>
      </w:r>
    </w:p>
    <w:p w14:paraId="1D0A847F" w14:textId="77777777" w:rsidR="007E6ED7" w:rsidRPr="00223E80" w:rsidRDefault="007E6ED7" w:rsidP="007E6ED7">
      <w:pPr>
        <w:spacing w:after="0"/>
        <w:rPr>
          <w:rFonts w:eastAsia="Arial" w:cs="Arial"/>
        </w:rPr>
      </w:pPr>
    </w:p>
    <w:p w14:paraId="3789AFC3" w14:textId="481B8231" w:rsidR="007E6ED7" w:rsidRPr="00223E80" w:rsidRDefault="007D4347" w:rsidP="007E6ED7">
      <w:pPr>
        <w:spacing w:after="0"/>
        <w:rPr>
          <w:rFonts w:eastAsia="Arial" w:cs="Arial"/>
        </w:rPr>
      </w:pPr>
      <w:r w:rsidRPr="00223E80">
        <w:rPr>
          <w:rFonts w:eastAsia="Arial" w:cs="Arial"/>
        </w:rPr>
        <w:t>Od 1.</w:t>
      </w:r>
      <w:r w:rsidR="005A4BCE" w:rsidRPr="00223E80">
        <w:rPr>
          <w:rFonts w:eastAsia="Arial" w:cs="Arial"/>
        </w:rPr>
        <w:t xml:space="preserve"> </w:t>
      </w:r>
      <w:r w:rsidR="000A523A" w:rsidRPr="00223E80">
        <w:rPr>
          <w:rFonts w:eastAsia="Arial" w:cs="Arial"/>
        </w:rPr>
        <w:t xml:space="preserve">1. 2020 dalje Republika Slovenija izvaja podporno shemo na podlagi Odločbe Evropske komisije, s katero je ta dovolila podaljšanje podporne sheme za dobo šestih let </w:t>
      </w:r>
      <w:r w:rsidR="005A4BCE" w:rsidRPr="00223E80">
        <w:rPr>
          <w:rFonts w:eastAsia="Arial" w:cs="Arial"/>
        </w:rPr>
        <w:t>in</w:t>
      </w:r>
      <w:r w:rsidR="000A523A" w:rsidRPr="00223E80">
        <w:rPr>
          <w:rFonts w:eastAsia="Arial" w:cs="Arial"/>
        </w:rPr>
        <w:t xml:space="preserve"> odobrila, da se na razpisih agencije v obdobju od 2020 do konca leta 2025 podeli za 1,8 mlrd EUR podpor proizvodnim napravam, ki so </w:t>
      </w:r>
      <w:r w:rsidR="00DD6015" w:rsidRPr="00223E80">
        <w:rPr>
          <w:rFonts w:eastAsia="Arial" w:cs="Arial"/>
        </w:rPr>
        <w:t xml:space="preserve">do tega v skladu z Uredbo o podporah </w:t>
      </w:r>
      <w:r w:rsidR="000A523A" w:rsidRPr="00223E80">
        <w:rPr>
          <w:rFonts w:eastAsia="Arial" w:cs="Arial"/>
        </w:rPr>
        <w:t>upravičene</w:t>
      </w:r>
      <w:r w:rsidR="00DD6015" w:rsidRPr="00223E80">
        <w:rPr>
          <w:rFonts w:eastAsia="Arial" w:cs="Arial"/>
        </w:rPr>
        <w:t>.</w:t>
      </w:r>
      <w:r w:rsidR="000A523A" w:rsidRPr="00223E80">
        <w:rPr>
          <w:rFonts w:eastAsia="Arial" w:cs="Arial"/>
        </w:rPr>
        <w:t xml:space="preserve"> </w:t>
      </w:r>
    </w:p>
    <w:p w14:paraId="3828AB73" w14:textId="77777777" w:rsidR="00D67822" w:rsidRPr="00223E80" w:rsidRDefault="00D67822" w:rsidP="007E6ED7">
      <w:pPr>
        <w:spacing w:after="0"/>
        <w:rPr>
          <w:rFonts w:eastAsia="Arial" w:cs="Arial"/>
        </w:rPr>
      </w:pPr>
    </w:p>
    <w:p w14:paraId="0B462BEE" w14:textId="5CCF0163" w:rsidR="00D67822" w:rsidRPr="00223E80" w:rsidRDefault="00D67822" w:rsidP="00D67822">
      <w:pPr>
        <w:spacing w:after="0"/>
        <w:rPr>
          <w:rFonts w:eastAsia="Arial" w:cs="Arial"/>
        </w:rPr>
      </w:pPr>
      <w:r w:rsidRPr="00223E80">
        <w:rPr>
          <w:rFonts w:eastAsia="Arial" w:cs="Arial"/>
        </w:rPr>
        <w:t xml:space="preserve">V podporni shemi je bilo konec leta 2021 3.811 elektrarn s skupno nazivno močjo 415 MW, kar </w:t>
      </w:r>
      <w:r w:rsidR="009547D1" w:rsidRPr="00223E80">
        <w:rPr>
          <w:rFonts w:eastAsia="Arial" w:cs="Arial"/>
        </w:rPr>
        <w:t xml:space="preserve">je </w:t>
      </w:r>
      <w:r w:rsidRPr="00223E80">
        <w:rPr>
          <w:rFonts w:eastAsia="Arial" w:cs="Arial"/>
        </w:rPr>
        <w:t>približno 11,3 odstotk</w:t>
      </w:r>
      <w:r w:rsidR="009547D1" w:rsidRPr="00223E80">
        <w:rPr>
          <w:rFonts w:eastAsia="Arial" w:cs="Arial"/>
        </w:rPr>
        <w:t>a</w:t>
      </w:r>
      <w:r w:rsidRPr="00223E80">
        <w:rPr>
          <w:rFonts w:eastAsia="Arial" w:cs="Arial"/>
        </w:rPr>
        <w:t xml:space="preserve"> instaliranih zmogljivosti </w:t>
      </w:r>
      <w:r w:rsidR="00576A6A" w:rsidRPr="00223E80">
        <w:rPr>
          <w:rFonts w:eastAsia="Arial" w:cs="Arial"/>
        </w:rPr>
        <w:t xml:space="preserve">OVE </w:t>
      </w:r>
      <w:r w:rsidRPr="00223E80">
        <w:rPr>
          <w:rFonts w:eastAsia="Arial" w:cs="Arial"/>
        </w:rPr>
        <w:t>v Republiki Sloveniji, ki proizvedejo skupaj 973,2 GWh električne energije. Z ukrepi, ki so predvideni v skladu s tem dolgoročnim</w:t>
      </w:r>
      <w:r w:rsidR="00576A6A" w:rsidRPr="00223E80">
        <w:rPr>
          <w:rFonts w:eastAsia="Arial" w:cs="Arial"/>
        </w:rPr>
        <w:t xml:space="preserve"> časovnim</w:t>
      </w:r>
      <w:r w:rsidRPr="00223E80">
        <w:rPr>
          <w:rFonts w:eastAsia="Arial" w:cs="Arial"/>
        </w:rPr>
        <w:t xml:space="preserve"> načrtom, pa se predvideva občutn</w:t>
      </w:r>
      <w:r w:rsidR="00E70160" w:rsidRPr="00223E80">
        <w:rPr>
          <w:rFonts w:eastAsia="Arial" w:cs="Arial"/>
        </w:rPr>
        <w:t>o</w:t>
      </w:r>
      <w:r w:rsidRPr="00223E80">
        <w:rPr>
          <w:rFonts w:eastAsia="Arial" w:cs="Arial"/>
        </w:rPr>
        <w:t xml:space="preserve"> po</w:t>
      </w:r>
      <w:r w:rsidR="00E70160" w:rsidRPr="00223E80">
        <w:rPr>
          <w:rFonts w:eastAsia="Arial" w:cs="Arial"/>
        </w:rPr>
        <w:t>večanje</w:t>
      </w:r>
      <w:r w:rsidRPr="00223E80">
        <w:rPr>
          <w:rFonts w:eastAsia="Arial" w:cs="Arial"/>
        </w:rPr>
        <w:t xml:space="preserve"> proizvodnje</w:t>
      </w:r>
      <w:r w:rsidR="00E70160" w:rsidRPr="00223E80">
        <w:rPr>
          <w:rFonts w:eastAsia="Arial" w:cs="Arial"/>
        </w:rPr>
        <w:t>,</w:t>
      </w:r>
      <w:r w:rsidRPr="00223E80">
        <w:rPr>
          <w:rFonts w:eastAsia="Arial" w:cs="Arial"/>
        </w:rPr>
        <w:t xml:space="preserve"> zlasti v okviru novih podpornih shem. </w:t>
      </w:r>
    </w:p>
    <w:p w14:paraId="1E0FF213" w14:textId="77777777" w:rsidR="00D67822" w:rsidRPr="00223E80" w:rsidRDefault="00D67822" w:rsidP="00D67822">
      <w:pPr>
        <w:pStyle w:val="rkovnatokazaodstavkom"/>
        <w:numPr>
          <w:ilvl w:val="0"/>
          <w:numId w:val="0"/>
        </w:numPr>
        <w:spacing w:line="276" w:lineRule="auto"/>
        <w:rPr>
          <w:rFonts w:eastAsia="Arial"/>
          <w:lang w:eastAsia="en-US"/>
        </w:rPr>
      </w:pPr>
    </w:p>
    <w:p w14:paraId="64C6879C" w14:textId="6BF1CC05" w:rsidR="00D67822" w:rsidRPr="00223E80" w:rsidRDefault="00D67822" w:rsidP="00D67822">
      <w:pPr>
        <w:pStyle w:val="rkovnatokazaodstavkom"/>
        <w:numPr>
          <w:ilvl w:val="0"/>
          <w:numId w:val="0"/>
        </w:numPr>
        <w:spacing w:line="276" w:lineRule="auto"/>
        <w:ind w:firstLine="1"/>
        <w:rPr>
          <w:rFonts w:eastAsia="Arial"/>
          <w:lang w:eastAsia="en-US"/>
        </w:rPr>
      </w:pPr>
      <w:r w:rsidRPr="00223E80">
        <w:rPr>
          <w:rFonts w:eastAsia="Arial"/>
          <w:lang w:eastAsia="en-US"/>
        </w:rPr>
        <w:t xml:space="preserve">Glede dosedanjega razvoja podporne sheme je primerno omeniti, da je bilo na prvih devetih zaključenih javnih razpisih Agencije za energijo izbranih 437 projektov s skupno nazivno močjo 458 MW, pri čemer je bila realizacija vstopov v podporno shemo po številu proizvodnih naprav ob koncu leta 2021 na ravni </w:t>
      </w:r>
      <w:r w:rsidR="00833D00" w:rsidRPr="00223E80">
        <w:rPr>
          <w:rFonts w:eastAsia="Arial"/>
          <w:lang w:val="sl-SI" w:eastAsia="en-US"/>
        </w:rPr>
        <w:t>samo</w:t>
      </w:r>
      <w:r w:rsidR="00833D00" w:rsidRPr="00223E80">
        <w:rPr>
          <w:rFonts w:eastAsia="Arial"/>
          <w:lang w:eastAsia="en-US"/>
        </w:rPr>
        <w:t xml:space="preserve"> </w:t>
      </w:r>
      <w:r w:rsidRPr="00223E80">
        <w:rPr>
          <w:rFonts w:eastAsia="Arial"/>
          <w:lang w:eastAsia="en-US"/>
        </w:rPr>
        <w:t xml:space="preserve">21 odstotkov. V tem okviru je bilo izbranih tudi 62 vetrnih projektov, vendar pa v tem času ni bil z vstopom v podporno shemo realiziran še noben. Velja omeniti, da je energija vetra močan generator rasti OVE v državi, zato ocenjujemo, da je umeščanje </w:t>
      </w:r>
      <w:r w:rsidR="00EE7B39" w:rsidRPr="00223E80">
        <w:rPr>
          <w:rFonts w:eastAsia="Arial"/>
          <w:lang w:val="sl-SI" w:eastAsia="en-US"/>
        </w:rPr>
        <w:t xml:space="preserve">teh naprav in </w:t>
      </w:r>
      <w:r w:rsidR="00EE7B39" w:rsidRPr="00223E80">
        <w:rPr>
          <w:rFonts w:eastAsia="Arial"/>
          <w:lang w:eastAsia="en-US"/>
        </w:rPr>
        <w:t>tudi mal</w:t>
      </w:r>
      <w:r w:rsidR="00EE7B39" w:rsidRPr="00223E80">
        <w:rPr>
          <w:rFonts w:eastAsia="Arial"/>
          <w:lang w:val="sl-SI" w:eastAsia="en-US"/>
        </w:rPr>
        <w:t>ih</w:t>
      </w:r>
      <w:r w:rsidR="00EE7B39" w:rsidRPr="00223E80">
        <w:rPr>
          <w:rFonts w:eastAsia="Arial"/>
          <w:lang w:eastAsia="en-US"/>
        </w:rPr>
        <w:t xml:space="preserve"> hidroelektrarn </w:t>
      </w:r>
      <w:r w:rsidRPr="00223E80">
        <w:rPr>
          <w:rFonts w:eastAsia="Arial"/>
          <w:lang w:eastAsia="en-US"/>
        </w:rPr>
        <w:t xml:space="preserve">v prostor </w:t>
      </w:r>
      <w:r w:rsidR="008C61DB" w:rsidRPr="00223E80">
        <w:rPr>
          <w:rFonts w:eastAsia="Arial"/>
          <w:lang w:val="sl-SI" w:eastAsia="en-US"/>
        </w:rPr>
        <w:t>treb</w:t>
      </w:r>
      <w:r w:rsidR="00F71F42" w:rsidRPr="00223E80">
        <w:rPr>
          <w:rFonts w:eastAsia="Arial"/>
          <w:lang w:val="sl-SI" w:eastAsia="en-US"/>
        </w:rPr>
        <w:t>a</w:t>
      </w:r>
      <w:r w:rsidR="008C61DB" w:rsidRPr="00223E80">
        <w:rPr>
          <w:rFonts w:eastAsia="Arial"/>
          <w:lang w:val="sl-SI" w:eastAsia="en-US"/>
        </w:rPr>
        <w:t xml:space="preserve"> pospešiti</w:t>
      </w:r>
      <w:r w:rsidRPr="00223E80">
        <w:rPr>
          <w:rFonts w:eastAsia="Arial"/>
          <w:lang w:eastAsia="en-US"/>
        </w:rPr>
        <w:t>. Za projekcijo gibanja možne proizvodnje lahko ocen</w:t>
      </w:r>
      <w:r w:rsidR="00EE7B39" w:rsidRPr="00223E80">
        <w:rPr>
          <w:rFonts w:eastAsia="Arial"/>
          <w:lang w:val="sl-SI" w:eastAsia="en-US"/>
        </w:rPr>
        <w:t>im</w:t>
      </w:r>
      <w:r w:rsidRPr="00223E80">
        <w:rPr>
          <w:rFonts w:eastAsia="Arial"/>
          <w:lang w:eastAsia="en-US"/>
        </w:rPr>
        <w:t>o omenjenih 437 projektov, ki ima</w:t>
      </w:r>
      <w:r w:rsidR="00EE7B39" w:rsidRPr="00223E80">
        <w:rPr>
          <w:rFonts w:eastAsia="Arial"/>
          <w:lang w:val="sl-SI" w:eastAsia="en-US"/>
        </w:rPr>
        <w:t>jo</w:t>
      </w:r>
      <w:r w:rsidRPr="00223E80">
        <w:rPr>
          <w:rFonts w:eastAsia="Arial"/>
          <w:lang w:eastAsia="en-US"/>
        </w:rPr>
        <w:t xml:space="preserve"> </w:t>
      </w:r>
      <w:r w:rsidRPr="00223E80">
        <w:rPr>
          <w:rFonts w:eastAsia="Arial"/>
          <w:lang w:eastAsia="en-US"/>
        </w:rPr>
        <w:lastRenderedPageBreak/>
        <w:t>ocenjeno letno proizvodnjo do 1,2 TWh, medtem ko naprave v trenutni podporni shemi proizvedejo približno 0,95 TWh električne energije letno.</w:t>
      </w:r>
    </w:p>
    <w:p w14:paraId="2F4D5B2B" w14:textId="77777777" w:rsidR="00D67822" w:rsidRPr="00223E80" w:rsidRDefault="00D67822" w:rsidP="00D67822">
      <w:pPr>
        <w:pStyle w:val="rkovnatokazaodstavkom"/>
        <w:numPr>
          <w:ilvl w:val="0"/>
          <w:numId w:val="0"/>
        </w:numPr>
        <w:spacing w:line="276" w:lineRule="auto"/>
        <w:ind w:firstLine="1"/>
        <w:rPr>
          <w:rFonts w:eastAsia="Arial"/>
          <w:lang w:eastAsia="en-US"/>
        </w:rPr>
      </w:pPr>
    </w:p>
    <w:p w14:paraId="45AF3EE3" w14:textId="4980B763" w:rsidR="00D67822" w:rsidRPr="00223E80" w:rsidRDefault="00D67822" w:rsidP="00D67822">
      <w:pPr>
        <w:pStyle w:val="rkovnatokazaodstavkom"/>
        <w:numPr>
          <w:ilvl w:val="0"/>
          <w:numId w:val="0"/>
        </w:numPr>
        <w:spacing w:line="276" w:lineRule="auto"/>
        <w:ind w:firstLine="1"/>
        <w:rPr>
          <w:rFonts w:eastAsia="Arial"/>
          <w:lang w:eastAsia="en-US"/>
        </w:rPr>
      </w:pPr>
      <w:r w:rsidRPr="00223E80">
        <w:rPr>
          <w:rFonts w:eastAsia="Arial"/>
          <w:lang w:eastAsia="en-US"/>
        </w:rPr>
        <w:t>Ob uspešni realizaciji ukrepov na osnovi tega dolgoročnega načrta se bodo proizvodne zmogljivosti na podlagi novih vstopov ter na podlagi stare in nove sheme in podprtih drugih OVE projektov v letu 2026 lahko povišale na 3</w:t>
      </w:r>
      <w:r w:rsidR="008A0588" w:rsidRPr="00223E80">
        <w:rPr>
          <w:rFonts w:eastAsia="Arial"/>
          <w:lang w:val="sl-SI" w:eastAsia="en-US"/>
        </w:rPr>
        <w:t>–</w:t>
      </w:r>
      <w:r w:rsidRPr="00223E80">
        <w:rPr>
          <w:rFonts w:eastAsia="Arial"/>
          <w:lang w:eastAsia="en-US"/>
        </w:rPr>
        <w:t xml:space="preserve">4 GWh električne energije, seveda </w:t>
      </w:r>
      <w:r w:rsidR="008A0588" w:rsidRPr="00223E80">
        <w:rPr>
          <w:rFonts w:eastAsia="Arial"/>
          <w:lang w:eastAsia="en-US"/>
        </w:rPr>
        <w:t xml:space="preserve">ob </w:t>
      </w:r>
      <w:r w:rsidRPr="00223E80">
        <w:rPr>
          <w:rFonts w:eastAsia="Arial"/>
          <w:lang w:eastAsia="en-US"/>
        </w:rPr>
        <w:t>intenzivnejši porabi razpoložljivih sredstev in usklajeni okoljski politiki.</w:t>
      </w:r>
    </w:p>
    <w:p w14:paraId="6F0C6221" w14:textId="77777777" w:rsidR="00D67822" w:rsidRPr="00223E80" w:rsidRDefault="00D67822" w:rsidP="00D67822">
      <w:pPr>
        <w:spacing w:after="0"/>
        <w:rPr>
          <w:rFonts w:eastAsia="Arial" w:cs="Arial"/>
        </w:rPr>
      </w:pPr>
    </w:p>
    <w:p w14:paraId="491D79C2" w14:textId="4CA3E62E" w:rsidR="00D67822" w:rsidRPr="00223E80" w:rsidRDefault="00D67822" w:rsidP="00D67822">
      <w:pPr>
        <w:rPr>
          <w:rFonts w:eastAsia="Arial" w:cs="Arial"/>
        </w:rPr>
      </w:pPr>
      <w:r w:rsidRPr="00223E80">
        <w:rPr>
          <w:rFonts w:eastAsia="Arial" w:cs="Arial"/>
        </w:rPr>
        <w:t>Povprečna višina izplačane podpore je v prvih devetih mesecih leta 2021 znašala 137,4 EUR/MWh, kar je malce nižje od povprečne izplačane podpore v enakem obdobju leta 2019 (139,6 EUR/MWh). Glede na obdobje 2018</w:t>
      </w:r>
      <w:r w:rsidR="004021C5" w:rsidRPr="00223E80">
        <w:rPr>
          <w:rFonts w:eastAsia="Arial" w:cs="Arial"/>
        </w:rPr>
        <w:t>–</w:t>
      </w:r>
      <w:r w:rsidRPr="00223E80">
        <w:rPr>
          <w:rFonts w:eastAsia="Arial" w:cs="Arial"/>
        </w:rPr>
        <w:t>2020 (</w:t>
      </w:r>
      <w:r w:rsidR="005912CF" w:rsidRPr="00223E80">
        <w:rPr>
          <w:rFonts w:eastAsia="Arial" w:cs="Arial"/>
        </w:rPr>
        <w:t>preglednica</w:t>
      </w:r>
      <w:r w:rsidRPr="00223E80">
        <w:rPr>
          <w:rFonts w:eastAsia="Arial" w:cs="Arial"/>
        </w:rPr>
        <w:t xml:space="preserve"> spodaj) </w:t>
      </w:r>
      <w:r w:rsidR="00400A35" w:rsidRPr="00223E80">
        <w:rPr>
          <w:rFonts w:eastAsia="Arial" w:cs="Arial"/>
        </w:rPr>
        <w:t xml:space="preserve">se </w:t>
      </w:r>
      <w:r w:rsidRPr="00223E80">
        <w:rPr>
          <w:rFonts w:eastAsia="Arial" w:cs="Arial"/>
        </w:rPr>
        <w:t>je torej nekoliko po</w:t>
      </w:r>
      <w:r w:rsidR="00400A35" w:rsidRPr="00223E80">
        <w:rPr>
          <w:rFonts w:eastAsia="Arial" w:cs="Arial"/>
        </w:rPr>
        <w:t>večala</w:t>
      </w:r>
      <w:r w:rsidRPr="00223E80">
        <w:rPr>
          <w:rFonts w:eastAsia="Arial" w:cs="Arial"/>
        </w:rPr>
        <w:t xml:space="preserve">. </w:t>
      </w:r>
    </w:p>
    <w:p w14:paraId="0AD4E55E" w14:textId="77777777" w:rsidR="00D67822" w:rsidRPr="00223E80" w:rsidRDefault="00D67822" w:rsidP="00D67822">
      <w:pPr>
        <w:spacing w:after="0"/>
        <w:rPr>
          <w:rFonts w:eastAsia="Arial" w:cs="Arial"/>
        </w:rPr>
      </w:pPr>
    </w:p>
    <w:p w14:paraId="246FEB1E" w14:textId="467800D2" w:rsidR="00944182" w:rsidRPr="00223E80" w:rsidRDefault="00D67822" w:rsidP="00D67822">
      <w:pPr>
        <w:spacing w:after="0"/>
        <w:rPr>
          <w:rFonts w:eastAsia="Arial" w:cs="Arial"/>
        </w:rPr>
      </w:pPr>
      <w:r w:rsidRPr="00223E80">
        <w:rPr>
          <w:rFonts w:eastAsia="Arial" w:cs="Arial"/>
        </w:rPr>
        <w:t xml:space="preserve">Skupna nazivna moč projektov, ki bi glede na </w:t>
      </w:r>
      <w:r w:rsidR="00400A35" w:rsidRPr="00223E80">
        <w:rPr>
          <w:rFonts w:eastAsia="Arial" w:cs="Arial"/>
        </w:rPr>
        <w:t xml:space="preserve">načrt </w:t>
      </w:r>
      <w:r w:rsidRPr="00223E80">
        <w:rPr>
          <w:rFonts w:eastAsia="Arial" w:cs="Arial"/>
        </w:rPr>
        <w:t>morali biti realizirani, a niso, znaša po zadnjih podatkih okoli 470 MW, od tega gre večinoma za vetrne elektrarne.</w:t>
      </w:r>
    </w:p>
    <w:p w14:paraId="749B9890" w14:textId="77777777" w:rsidR="00944182" w:rsidRPr="00223E80" w:rsidRDefault="00944182" w:rsidP="00D67822">
      <w:pPr>
        <w:spacing w:after="0"/>
        <w:rPr>
          <w:rFonts w:eastAsia="Arial" w:cs="Arial"/>
        </w:rPr>
      </w:pPr>
    </w:p>
    <w:p w14:paraId="1038D523" w14:textId="77777777" w:rsidR="005912CF" w:rsidRPr="00223E80" w:rsidRDefault="005912CF" w:rsidP="005912CF">
      <w:pPr>
        <w:pStyle w:val="Napis"/>
        <w:rPr>
          <w:rFonts w:eastAsia="Arial" w:cs="Arial"/>
          <w:b w:val="0"/>
          <w:i/>
          <w:sz w:val="22"/>
          <w:szCs w:val="22"/>
        </w:rPr>
      </w:pPr>
      <w:bookmarkStart w:id="25" w:name="_Toc114043608"/>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1</w:t>
      </w:r>
      <w:r w:rsidRPr="00223E80">
        <w:rPr>
          <w:b w:val="0"/>
          <w:i/>
          <w:sz w:val="22"/>
          <w:szCs w:val="22"/>
        </w:rPr>
        <w:fldChar w:fldCharType="end"/>
      </w:r>
      <w:r w:rsidR="008B357C" w:rsidRPr="00223E80">
        <w:rPr>
          <w:b w:val="0"/>
          <w:i/>
          <w:sz w:val="22"/>
          <w:szCs w:val="22"/>
        </w:rPr>
        <w:t>:</w:t>
      </w:r>
      <w:r w:rsidRPr="00223E80">
        <w:rPr>
          <w:b w:val="0"/>
          <w:i/>
          <w:sz w:val="22"/>
          <w:szCs w:val="22"/>
        </w:rPr>
        <w:t xml:space="preserve"> Pregled za leto 2019 in leto 2020</w:t>
      </w:r>
      <w:bookmarkEnd w:id="25"/>
    </w:p>
    <w:p w14:paraId="6F5546E6" w14:textId="3A91614E" w:rsidR="00D67822" w:rsidRPr="00223E80" w:rsidRDefault="00E41443" w:rsidP="00D67822">
      <w:pPr>
        <w:pStyle w:val="rkovnatokazaodstavkom"/>
        <w:numPr>
          <w:ilvl w:val="0"/>
          <w:numId w:val="0"/>
        </w:numPr>
        <w:spacing w:line="276" w:lineRule="auto"/>
        <w:ind w:firstLine="1"/>
        <w:rPr>
          <w:rFonts w:eastAsia="Arial"/>
          <w:lang w:eastAsia="en-US"/>
        </w:rPr>
      </w:pPr>
      <w:r w:rsidRPr="00223E80">
        <w:rPr>
          <w:rFonts w:eastAsia="Arial"/>
          <w:noProof/>
          <w:lang w:val="sl-SI" w:eastAsia="sl-SI"/>
        </w:rPr>
        <w:drawing>
          <wp:inline distT="0" distB="0" distL="0" distR="0" wp14:anchorId="6301F786" wp14:editId="2D83F66C">
            <wp:extent cx="6022975" cy="2232660"/>
            <wp:effectExtent l="0" t="0" r="0" b="0"/>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2975" cy="2232660"/>
                    </a:xfrm>
                    <a:prstGeom prst="rect">
                      <a:avLst/>
                    </a:prstGeom>
                    <a:noFill/>
                    <a:ln>
                      <a:noFill/>
                    </a:ln>
                  </pic:spPr>
                </pic:pic>
              </a:graphicData>
            </a:graphic>
          </wp:inline>
        </w:drawing>
      </w:r>
    </w:p>
    <w:p w14:paraId="358DE5AF" w14:textId="77777777" w:rsidR="00D67822" w:rsidRPr="00223E80" w:rsidRDefault="00D67822" w:rsidP="003E099F">
      <w:pPr>
        <w:overflowPunct w:val="0"/>
        <w:autoSpaceDE w:val="0"/>
        <w:autoSpaceDN w:val="0"/>
        <w:adjustRightInd w:val="0"/>
        <w:spacing w:after="0"/>
        <w:contextualSpacing/>
        <w:jc w:val="right"/>
        <w:textAlignment w:val="baseline"/>
        <w:rPr>
          <w:rFonts w:eastAsia="Arial" w:cs="Arial"/>
          <w:sz w:val="16"/>
          <w:szCs w:val="16"/>
        </w:rPr>
      </w:pPr>
      <w:r w:rsidRPr="00223E80">
        <w:rPr>
          <w:rFonts w:eastAsia="Arial" w:cs="Arial"/>
          <w:sz w:val="16"/>
          <w:szCs w:val="16"/>
        </w:rPr>
        <w:t>Vir: Borzen</w:t>
      </w:r>
    </w:p>
    <w:p w14:paraId="1FB1356E" w14:textId="77777777" w:rsidR="00D67822" w:rsidRPr="00223E80" w:rsidRDefault="00D67822" w:rsidP="00D67822">
      <w:pPr>
        <w:overflowPunct w:val="0"/>
        <w:autoSpaceDE w:val="0"/>
        <w:autoSpaceDN w:val="0"/>
        <w:adjustRightInd w:val="0"/>
        <w:spacing w:after="0"/>
        <w:contextualSpacing/>
        <w:textAlignment w:val="baseline"/>
        <w:rPr>
          <w:rFonts w:eastAsia="Arial" w:cs="Arial"/>
        </w:rPr>
      </w:pPr>
    </w:p>
    <w:p w14:paraId="6C5B820B" w14:textId="0ECB446C" w:rsidR="00D67822" w:rsidRPr="00223E80" w:rsidRDefault="00800D24" w:rsidP="00D67822">
      <w:pPr>
        <w:rPr>
          <w:rFonts w:eastAsia="Arial" w:cs="Arial"/>
        </w:rPr>
      </w:pPr>
      <w:r w:rsidRPr="00223E80">
        <w:rPr>
          <w:rFonts w:eastAsia="Arial" w:cs="Arial"/>
        </w:rPr>
        <w:t>Z vidika analize razvoja podporne sheme je primerno dodati, da se je p</w:t>
      </w:r>
      <w:r w:rsidR="00683164" w:rsidRPr="00223E80">
        <w:rPr>
          <w:rFonts w:eastAsia="Arial" w:cs="Arial"/>
        </w:rPr>
        <w:t xml:space="preserve">ovprečna </w:t>
      </w:r>
      <w:r w:rsidR="00D67822" w:rsidRPr="00223E80">
        <w:rPr>
          <w:rFonts w:eastAsia="Arial" w:cs="Arial"/>
        </w:rPr>
        <w:t xml:space="preserve">podpora v prvih letih podporne sheme skokovito povečevala, predvsem zaradi vključevanja novih sončnih elektrarn z </w:t>
      </w:r>
      <w:r w:rsidR="00400A35" w:rsidRPr="00223E80">
        <w:rPr>
          <w:rFonts w:eastAsia="Arial" w:cs="Arial"/>
        </w:rPr>
        <w:t xml:space="preserve">razmeroma </w:t>
      </w:r>
      <w:r w:rsidR="00D67822" w:rsidRPr="00223E80">
        <w:rPr>
          <w:rFonts w:eastAsia="Arial" w:cs="Arial"/>
        </w:rPr>
        <w:t>visokimi ravnmi podpore. Primerjava let od 2013 do 2020 pa kaže, da s</w:t>
      </w:r>
      <w:r w:rsidR="00A90F70" w:rsidRPr="00223E80">
        <w:rPr>
          <w:rFonts w:eastAsia="Arial" w:cs="Arial"/>
        </w:rPr>
        <w:t>o</w:t>
      </w:r>
      <w:r w:rsidR="00D67822" w:rsidRPr="00223E80">
        <w:rPr>
          <w:rFonts w:eastAsia="Arial" w:cs="Arial"/>
        </w:rPr>
        <w:t xml:space="preserve"> se proizvodnja in posledično tudi izplačila stabiliziral</w:t>
      </w:r>
      <w:r w:rsidR="00A90F70" w:rsidRPr="00223E80">
        <w:rPr>
          <w:rFonts w:eastAsia="Arial" w:cs="Arial"/>
        </w:rPr>
        <w:t>i</w:t>
      </w:r>
      <w:r w:rsidR="00D67822" w:rsidRPr="00223E80">
        <w:rPr>
          <w:rFonts w:eastAsia="Arial" w:cs="Arial"/>
        </w:rPr>
        <w:t>, nato pa tudi upadl</w:t>
      </w:r>
      <w:r w:rsidR="00A90F70" w:rsidRPr="00223E80">
        <w:rPr>
          <w:rFonts w:eastAsia="Arial" w:cs="Arial"/>
        </w:rPr>
        <w:t>i</w:t>
      </w:r>
      <w:r w:rsidR="00D67822" w:rsidRPr="00223E80">
        <w:rPr>
          <w:rFonts w:eastAsia="Arial" w:cs="Arial"/>
        </w:rPr>
        <w:t xml:space="preserve">. V sistem so namreč začele vstopati enote, ki so bile izbrane prek razpisov in ki imajo ceno določeno glede na pogoje razpisa. </w:t>
      </w:r>
      <w:r w:rsidR="00A90F70" w:rsidRPr="00223E80">
        <w:rPr>
          <w:rFonts w:eastAsia="Arial" w:cs="Arial"/>
        </w:rPr>
        <w:t xml:space="preserve">Ugotovimo </w:t>
      </w:r>
      <w:r w:rsidR="00D67822" w:rsidRPr="00223E80">
        <w:rPr>
          <w:rFonts w:eastAsia="Arial" w:cs="Arial"/>
        </w:rPr>
        <w:t>lahko, da v zadnjih nekaj letih na povprečno izplačano podporo najbolj vpliva proizvodnja, ki je odvisna od vremenskih vplivov</w:t>
      </w:r>
      <w:r w:rsidR="00A90F70" w:rsidRPr="00223E80">
        <w:rPr>
          <w:rFonts w:eastAsia="Arial" w:cs="Arial"/>
        </w:rPr>
        <w:t>,</w:t>
      </w:r>
      <w:r w:rsidR="00D67822" w:rsidRPr="00223E80">
        <w:rPr>
          <w:rFonts w:eastAsia="Arial" w:cs="Arial"/>
        </w:rPr>
        <w:t xml:space="preserve"> in pa elementi na trgu, ki vplivajo na višino podpore (cene energentov), ne pa toliko vstopi naprav – se pa lahko to hitro spremeni.</w:t>
      </w:r>
      <w:r w:rsidR="009570AF" w:rsidRPr="00223E80">
        <w:rPr>
          <w:rFonts w:eastAsia="Arial" w:cs="Arial"/>
        </w:rPr>
        <w:t xml:space="preserve"> Gledano od leta 2009 dalje se raven podpor v shemi glede na proizvedeno količino energije znižuje. </w:t>
      </w:r>
    </w:p>
    <w:p w14:paraId="0D98CBF9" w14:textId="77777777" w:rsidR="00D67822" w:rsidRPr="00223E80" w:rsidRDefault="00D67822" w:rsidP="00D67822">
      <w:pPr>
        <w:rPr>
          <w:rFonts w:eastAsia="Arial" w:cs="Arial"/>
        </w:rPr>
      </w:pPr>
    </w:p>
    <w:p w14:paraId="39D5B931" w14:textId="77777777" w:rsidR="003E099F" w:rsidRPr="00223E80" w:rsidRDefault="005912CF" w:rsidP="005912CF">
      <w:pPr>
        <w:pStyle w:val="Napis"/>
        <w:rPr>
          <w:rFonts w:eastAsia="Arial" w:cs="Arial"/>
          <w:b w:val="0"/>
          <w:i/>
          <w:sz w:val="22"/>
          <w:szCs w:val="22"/>
        </w:rPr>
      </w:pPr>
      <w:bookmarkStart w:id="26" w:name="_Toc114043609"/>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2</w:t>
      </w:r>
      <w:r w:rsidRPr="00223E80">
        <w:rPr>
          <w:b w:val="0"/>
          <w:i/>
          <w:sz w:val="22"/>
          <w:szCs w:val="22"/>
        </w:rPr>
        <w:fldChar w:fldCharType="end"/>
      </w:r>
      <w:r w:rsidR="003342E4" w:rsidRPr="00223E80">
        <w:rPr>
          <w:b w:val="0"/>
          <w:i/>
          <w:sz w:val="22"/>
          <w:szCs w:val="22"/>
        </w:rPr>
        <w:t>:</w:t>
      </w:r>
      <w:r w:rsidRPr="00223E80">
        <w:rPr>
          <w:b w:val="0"/>
          <w:i/>
          <w:sz w:val="22"/>
          <w:szCs w:val="22"/>
        </w:rPr>
        <w:t xml:space="preserve"> Pregled po tipih naprav</w:t>
      </w:r>
      <w:bookmarkEnd w:id="26"/>
    </w:p>
    <w:p w14:paraId="572E6D4F" w14:textId="1092568A" w:rsidR="00D67822" w:rsidRPr="00223E80" w:rsidRDefault="00E41443" w:rsidP="00D67822">
      <w:pPr>
        <w:rPr>
          <w:rFonts w:eastAsia="Arial" w:cs="Arial"/>
        </w:rPr>
      </w:pPr>
      <w:r w:rsidRPr="00223E80">
        <w:rPr>
          <w:rFonts w:eastAsia="Arial" w:cs="Arial"/>
          <w:noProof/>
          <w:lang w:eastAsia="sl-SI"/>
        </w:rPr>
        <w:lastRenderedPageBreak/>
        <w:drawing>
          <wp:inline distT="0" distB="0" distL="0" distR="0" wp14:anchorId="5D81C4B7" wp14:editId="2405E0EB">
            <wp:extent cx="5756910" cy="2171065"/>
            <wp:effectExtent l="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910" cy="2171065"/>
                    </a:xfrm>
                    <a:prstGeom prst="rect">
                      <a:avLst/>
                    </a:prstGeom>
                    <a:noFill/>
                    <a:ln>
                      <a:noFill/>
                    </a:ln>
                  </pic:spPr>
                </pic:pic>
              </a:graphicData>
            </a:graphic>
          </wp:inline>
        </w:drawing>
      </w:r>
    </w:p>
    <w:p w14:paraId="2B2447BE" w14:textId="77777777" w:rsidR="00D67822" w:rsidRPr="00223E80" w:rsidRDefault="00D67822" w:rsidP="003E099F">
      <w:pPr>
        <w:jc w:val="right"/>
        <w:rPr>
          <w:rFonts w:eastAsia="Arial" w:cs="Arial"/>
          <w:sz w:val="16"/>
          <w:szCs w:val="16"/>
        </w:rPr>
      </w:pPr>
      <w:r w:rsidRPr="00223E80">
        <w:rPr>
          <w:rFonts w:eastAsia="Arial" w:cs="Arial"/>
          <w:sz w:val="16"/>
          <w:szCs w:val="16"/>
        </w:rPr>
        <w:t>Vir: Borzen</w:t>
      </w:r>
    </w:p>
    <w:p w14:paraId="29E107E9" w14:textId="222D001F" w:rsidR="005912CF" w:rsidRPr="00223E80" w:rsidRDefault="005912CF" w:rsidP="00D67822">
      <w:pPr>
        <w:spacing w:after="0"/>
        <w:rPr>
          <w:rFonts w:eastAsia="Arial" w:cs="Arial"/>
        </w:rPr>
      </w:pPr>
      <w:r w:rsidRPr="00223E80">
        <w:rPr>
          <w:rFonts w:eastAsia="Arial" w:cs="Arial"/>
        </w:rPr>
        <w:t>Preglednica</w:t>
      </w:r>
      <w:r w:rsidR="00D67822" w:rsidRPr="00223E80">
        <w:rPr>
          <w:rFonts w:eastAsia="Arial" w:cs="Arial"/>
        </w:rPr>
        <w:t xml:space="preserve"> prikazuje število v shemo vključenih naprav po stari EZ ureditvi in dalje po novi EZ-1 ureditvi. Zaradi večjih donosov je število naprav po stari shemi občutno višje, skrbi</w:t>
      </w:r>
      <w:r w:rsidR="00E764B9" w:rsidRPr="00223E80">
        <w:rPr>
          <w:rFonts w:eastAsia="Arial" w:cs="Arial"/>
        </w:rPr>
        <w:t>jo</w:t>
      </w:r>
      <w:r w:rsidR="00D67822" w:rsidRPr="00223E80">
        <w:rPr>
          <w:rFonts w:eastAsia="Arial" w:cs="Arial"/>
        </w:rPr>
        <w:t xml:space="preserve"> pa postopn</w:t>
      </w:r>
      <w:r w:rsidR="00E764B9" w:rsidRPr="00223E80">
        <w:rPr>
          <w:rFonts w:eastAsia="Arial" w:cs="Arial"/>
        </w:rPr>
        <w:t>i</w:t>
      </w:r>
      <w:r w:rsidR="00D67822" w:rsidRPr="00223E80">
        <w:rPr>
          <w:rFonts w:eastAsia="Arial" w:cs="Arial"/>
        </w:rPr>
        <w:t xml:space="preserve"> izstop</w:t>
      </w:r>
      <w:r w:rsidR="00E764B9" w:rsidRPr="00223E80">
        <w:rPr>
          <w:rFonts w:eastAsia="Arial" w:cs="Arial"/>
        </w:rPr>
        <w:t>i</w:t>
      </w:r>
      <w:r w:rsidR="00D67822" w:rsidRPr="00223E80">
        <w:rPr>
          <w:rFonts w:eastAsia="Arial" w:cs="Arial"/>
        </w:rPr>
        <w:t xml:space="preserve"> teh naprav iz podporne sheme po poteku sklenjenih pogodb (doba 10–15 let od sklenitve pogodbe o podpori). </w:t>
      </w:r>
    </w:p>
    <w:p w14:paraId="38F93EDA" w14:textId="77777777" w:rsidR="005912CF" w:rsidRPr="00223E80" w:rsidRDefault="005912CF" w:rsidP="00D67822">
      <w:pPr>
        <w:spacing w:after="0"/>
        <w:rPr>
          <w:rFonts w:eastAsia="Arial" w:cs="Arial"/>
        </w:rPr>
      </w:pPr>
    </w:p>
    <w:p w14:paraId="4CECF66E" w14:textId="77777777" w:rsidR="005912CF" w:rsidRPr="00223E80" w:rsidRDefault="005912CF" w:rsidP="00D67822">
      <w:pPr>
        <w:spacing w:after="0"/>
        <w:rPr>
          <w:rFonts w:eastAsia="Arial" w:cs="Arial"/>
        </w:rPr>
      </w:pPr>
    </w:p>
    <w:p w14:paraId="39B6AD82" w14:textId="77777777" w:rsidR="005912CF" w:rsidRPr="00223E80" w:rsidRDefault="005912CF" w:rsidP="005912CF">
      <w:pPr>
        <w:pStyle w:val="Napis"/>
        <w:rPr>
          <w:rFonts w:eastAsia="Arial" w:cs="Arial"/>
          <w:b w:val="0"/>
          <w:i/>
          <w:sz w:val="22"/>
          <w:szCs w:val="22"/>
        </w:rPr>
      </w:pPr>
      <w:bookmarkStart w:id="27" w:name="_Toc114043610"/>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3</w:t>
      </w:r>
      <w:r w:rsidRPr="00223E80">
        <w:rPr>
          <w:b w:val="0"/>
          <w:i/>
          <w:sz w:val="22"/>
          <w:szCs w:val="22"/>
        </w:rPr>
        <w:fldChar w:fldCharType="end"/>
      </w:r>
      <w:r w:rsidR="00043C36" w:rsidRPr="00223E80">
        <w:rPr>
          <w:b w:val="0"/>
          <w:i/>
          <w:sz w:val="22"/>
          <w:szCs w:val="22"/>
        </w:rPr>
        <w:t>:</w:t>
      </w:r>
      <w:r w:rsidRPr="00223E80">
        <w:rPr>
          <w:b w:val="0"/>
          <w:i/>
          <w:sz w:val="22"/>
          <w:szCs w:val="22"/>
        </w:rPr>
        <w:t xml:space="preserve"> Pričakovano stanje elektrarn v podporni shemi na dan 1.</w:t>
      </w:r>
      <w:r w:rsidR="00E764B9" w:rsidRPr="00223E80">
        <w:rPr>
          <w:b w:val="0"/>
          <w:i/>
          <w:sz w:val="22"/>
          <w:szCs w:val="22"/>
        </w:rPr>
        <w:t xml:space="preserve"> </w:t>
      </w:r>
      <w:r w:rsidRPr="00223E80">
        <w:rPr>
          <w:b w:val="0"/>
          <w:i/>
          <w:sz w:val="22"/>
          <w:szCs w:val="22"/>
        </w:rPr>
        <w:t>1.</w:t>
      </w:r>
      <w:r w:rsidR="00E764B9" w:rsidRPr="00223E80">
        <w:rPr>
          <w:b w:val="0"/>
          <w:i/>
          <w:sz w:val="22"/>
          <w:szCs w:val="22"/>
        </w:rPr>
        <w:t xml:space="preserve"> </w:t>
      </w:r>
      <w:r w:rsidRPr="00223E80">
        <w:rPr>
          <w:b w:val="0"/>
          <w:i/>
          <w:sz w:val="22"/>
          <w:szCs w:val="22"/>
        </w:rPr>
        <w:t>2022</w:t>
      </w:r>
      <w:bookmarkEnd w:id="27"/>
    </w:p>
    <w:p w14:paraId="302B1C02" w14:textId="5912191A" w:rsidR="00D67822" w:rsidRPr="00223E80" w:rsidRDefault="00E41443" w:rsidP="00D67822">
      <w:pPr>
        <w:spacing w:after="0"/>
        <w:rPr>
          <w:rFonts w:eastAsia="Arial" w:cs="Arial"/>
        </w:rPr>
      </w:pPr>
      <w:r w:rsidRPr="00223E80">
        <w:rPr>
          <w:rFonts w:eastAsia="Arial" w:cs="Arial"/>
          <w:noProof/>
          <w:lang w:eastAsia="sl-SI"/>
        </w:rPr>
        <w:drawing>
          <wp:inline distT="0" distB="0" distL="0" distR="0" wp14:anchorId="5664960B" wp14:editId="2FD35289">
            <wp:extent cx="5756910" cy="1471295"/>
            <wp:effectExtent l="0" t="0" r="0" b="0"/>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5">
                      <a:extLst>
                        <a:ext uri="{28A0092B-C50C-407E-A947-70E740481C1C}">
                          <a14:useLocalDpi xmlns:a14="http://schemas.microsoft.com/office/drawing/2010/main" val="0"/>
                        </a:ext>
                      </a:extLst>
                    </a:blip>
                    <a:srcRect b="17049"/>
                    <a:stretch>
                      <a:fillRect/>
                    </a:stretch>
                  </pic:blipFill>
                  <pic:spPr bwMode="auto">
                    <a:xfrm>
                      <a:off x="0" y="0"/>
                      <a:ext cx="5756910" cy="1471295"/>
                    </a:xfrm>
                    <a:prstGeom prst="rect">
                      <a:avLst/>
                    </a:prstGeom>
                    <a:noFill/>
                    <a:ln>
                      <a:noFill/>
                    </a:ln>
                  </pic:spPr>
                </pic:pic>
              </a:graphicData>
            </a:graphic>
          </wp:inline>
        </w:drawing>
      </w:r>
    </w:p>
    <w:p w14:paraId="00DE5305" w14:textId="77777777" w:rsidR="00D67822" w:rsidRPr="00223E80" w:rsidRDefault="00D67822" w:rsidP="003E099F">
      <w:pPr>
        <w:jc w:val="right"/>
        <w:rPr>
          <w:rFonts w:eastAsia="Arial" w:cs="Arial"/>
          <w:sz w:val="16"/>
          <w:szCs w:val="16"/>
        </w:rPr>
      </w:pPr>
      <w:r w:rsidRPr="00223E80">
        <w:rPr>
          <w:rFonts w:eastAsia="Arial" w:cs="Arial"/>
          <w:sz w:val="16"/>
          <w:szCs w:val="16"/>
        </w:rPr>
        <w:t>Vir: Borzen</w:t>
      </w:r>
    </w:p>
    <w:p w14:paraId="6C239592" w14:textId="5792C715" w:rsidR="00D67822" w:rsidRPr="00223E80" w:rsidRDefault="00D67822" w:rsidP="00D67822">
      <w:pPr>
        <w:spacing w:after="0"/>
        <w:rPr>
          <w:rFonts w:eastAsia="Arial" w:cs="Arial"/>
        </w:rPr>
      </w:pPr>
      <w:r w:rsidRPr="00223E80">
        <w:rPr>
          <w:rFonts w:eastAsia="Arial" w:cs="Arial"/>
        </w:rPr>
        <w:t xml:space="preserve">Glede na </w:t>
      </w:r>
      <w:r w:rsidR="00CA3EF0" w:rsidRPr="00223E80">
        <w:rPr>
          <w:rFonts w:eastAsia="Arial" w:cs="Arial"/>
        </w:rPr>
        <w:t xml:space="preserve">prikazane </w:t>
      </w:r>
      <w:r w:rsidRPr="00223E80">
        <w:rPr>
          <w:rFonts w:eastAsia="Arial" w:cs="Arial"/>
        </w:rPr>
        <w:t>deleže skrb</w:t>
      </w:r>
      <w:r w:rsidR="0030100E" w:rsidRPr="00223E80">
        <w:rPr>
          <w:rFonts w:eastAsia="Arial" w:cs="Arial"/>
        </w:rPr>
        <w:t xml:space="preserve"> zbuja </w:t>
      </w:r>
      <w:r w:rsidRPr="00223E80">
        <w:rPr>
          <w:rFonts w:eastAsia="Arial" w:cs="Arial"/>
        </w:rPr>
        <w:t xml:space="preserve">stanje na področju SPTE, saj je </w:t>
      </w:r>
      <w:r w:rsidR="0030100E" w:rsidRPr="00223E80">
        <w:rPr>
          <w:rFonts w:eastAsia="Arial" w:cs="Arial"/>
        </w:rPr>
        <w:t>glede</w:t>
      </w:r>
      <w:r w:rsidRPr="00223E80">
        <w:rPr>
          <w:rFonts w:eastAsia="Arial" w:cs="Arial"/>
        </w:rPr>
        <w:t xml:space="preserve"> zaostrenih razmer na trgu zemeljskega plina </w:t>
      </w:r>
      <w:r w:rsidR="00A304CA" w:rsidRPr="00223E80">
        <w:rPr>
          <w:rFonts w:eastAsia="Arial" w:cs="Arial"/>
        </w:rPr>
        <w:t>in</w:t>
      </w:r>
      <w:r w:rsidRPr="00223E80">
        <w:rPr>
          <w:rFonts w:eastAsia="Arial" w:cs="Arial"/>
        </w:rPr>
        <w:t xml:space="preserve"> </w:t>
      </w:r>
      <w:r w:rsidR="0030100E" w:rsidRPr="00223E80">
        <w:rPr>
          <w:rFonts w:eastAsia="Arial" w:cs="Arial"/>
        </w:rPr>
        <w:t xml:space="preserve">njegovega </w:t>
      </w:r>
      <w:r w:rsidRPr="00223E80">
        <w:rPr>
          <w:rFonts w:eastAsia="Arial" w:cs="Arial"/>
        </w:rPr>
        <w:t xml:space="preserve">možnega pomanjkanja, posledično pa zelo visokih cen pričakovati občutno višje stroške proizvodnje iz tega vira. Temu dodatno se bodo </w:t>
      </w:r>
      <w:r w:rsidR="00A304CA" w:rsidRPr="00223E80">
        <w:rPr>
          <w:rFonts w:eastAsia="Arial" w:cs="Arial"/>
        </w:rPr>
        <w:t xml:space="preserve">do leta 2023 </w:t>
      </w:r>
      <w:r w:rsidRPr="00223E80">
        <w:rPr>
          <w:rFonts w:eastAsia="Arial" w:cs="Arial"/>
        </w:rPr>
        <w:t xml:space="preserve">v shemo vključile nove proizvodne enote, ki </w:t>
      </w:r>
      <w:r w:rsidR="00A304CA" w:rsidRPr="00223E80">
        <w:rPr>
          <w:rFonts w:eastAsia="Arial" w:cs="Arial"/>
        </w:rPr>
        <w:t>jih</w:t>
      </w:r>
      <w:r w:rsidRPr="00223E80">
        <w:rPr>
          <w:rFonts w:eastAsia="Arial" w:cs="Arial"/>
        </w:rPr>
        <w:t xml:space="preserve"> </w:t>
      </w:r>
      <w:r w:rsidR="00800D24" w:rsidRPr="00223E80">
        <w:rPr>
          <w:rFonts w:eastAsia="Arial" w:cs="Arial"/>
        </w:rPr>
        <w:t xml:space="preserve">ta čas še </w:t>
      </w:r>
      <w:r w:rsidRPr="00223E80">
        <w:rPr>
          <w:rFonts w:eastAsia="Arial" w:cs="Arial"/>
        </w:rPr>
        <w:t>grad</w:t>
      </w:r>
      <w:r w:rsidR="00A304CA" w:rsidRPr="00223E80">
        <w:rPr>
          <w:rFonts w:eastAsia="Arial" w:cs="Arial"/>
        </w:rPr>
        <w:t>ijo</w:t>
      </w:r>
      <w:r w:rsidRPr="00223E80">
        <w:rPr>
          <w:rFonts w:eastAsia="Arial" w:cs="Arial"/>
        </w:rPr>
        <w:t xml:space="preserve">. </w:t>
      </w:r>
      <w:r w:rsidR="006263D3" w:rsidRPr="00223E80">
        <w:rPr>
          <w:rFonts w:eastAsia="Arial" w:cs="Arial"/>
        </w:rPr>
        <w:t>Gre za SPTE enote s predvidenim vstopom v podporno shemo v letu 2023</w:t>
      </w:r>
      <w:r w:rsidR="006551D8" w:rsidRPr="00223E80">
        <w:rPr>
          <w:rFonts w:eastAsia="Arial" w:cs="Arial"/>
        </w:rPr>
        <w:t>.</w:t>
      </w:r>
    </w:p>
    <w:p w14:paraId="2C2DE911" w14:textId="77777777" w:rsidR="006263D3" w:rsidRPr="00223E80" w:rsidRDefault="006263D3" w:rsidP="00D67822">
      <w:pPr>
        <w:spacing w:after="0"/>
        <w:rPr>
          <w:rFonts w:eastAsia="Arial" w:cs="Arial"/>
        </w:rPr>
      </w:pPr>
    </w:p>
    <w:p w14:paraId="78530D42" w14:textId="6269A6C1" w:rsidR="00D67822" w:rsidRPr="00223E80" w:rsidRDefault="005546D2" w:rsidP="00D67822">
      <w:pPr>
        <w:spacing w:after="0"/>
        <w:rPr>
          <w:rFonts w:eastAsia="Arial" w:cs="Arial"/>
        </w:rPr>
      </w:pPr>
      <w:r w:rsidRPr="00223E80">
        <w:rPr>
          <w:rFonts w:eastAsia="Arial" w:cs="Arial"/>
        </w:rPr>
        <w:t>To</w:t>
      </w:r>
      <w:r w:rsidR="00D67822" w:rsidRPr="00223E80">
        <w:rPr>
          <w:rFonts w:eastAsia="Arial" w:cs="Arial"/>
        </w:rPr>
        <w:t xml:space="preserve"> </w:t>
      </w:r>
      <w:r w:rsidRPr="00223E80">
        <w:rPr>
          <w:rFonts w:eastAsia="Arial" w:cs="Arial"/>
        </w:rPr>
        <w:t xml:space="preserve">pa je </w:t>
      </w:r>
      <w:r w:rsidR="00D67822" w:rsidRPr="00223E80">
        <w:rPr>
          <w:rFonts w:eastAsia="Arial" w:cs="Arial"/>
        </w:rPr>
        <w:t>znatn</w:t>
      </w:r>
      <w:r w:rsidRPr="00223E80">
        <w:rPr>
          <w:rFonts w:eastAsia="Arial" w:cs="Arial"/>
        </w:rPr>
        <w:t>a</w:t>
      </w:r>
      <w:r w:rsidR="00D67822" w:rsidRPr="00223E80">
        <w:rPr>
          <w:rFonts w:eastAsia="Arial" w:cs="Arial"/>
        </w:rPr>
        <w:t xml:space="preserve"> obremenitev sredstev iz podporne sheme. </w:t>
      </w:r>
      <w:r w:rsidR="005C6EED" w:rsidRPr="00223E80">
        <w:rPr>
          <w:rFonts w:eastAsia="Arial" w:cs="Arial"/>
        </w:rPr>
        <w:t xml:space="preserve">Po oceni družbe Borzen, ki pa je ob upoštevanju </w:t>
      </w:r>
      <w:r w:rsidR="00D475A2" w:rsidRPr="00223E80">
        <w:rPr>
          <w:rFonts w:eastAsia="Arial" w:cs="Arial"/>
        </w:rPr>
        <w:t xml:space="preserve">sedanjih </w:t>
      </w:r>
      <w:r w:rsidR="005C6EED" w:rsidRPr="00223E80">
        <w:rPr>
          <w:rFonts w:eastAsia="Arial" w:cs="Arial"/>
        </w:rPr>
        <w:t>razmer na trgu zemeljskega plina negotova, se</w:t>
      </w:r>
      <w:r w:rsidR="003C58A1" w:rsidRPr="00223E80">
        <w:rPr>
          <w:rFonts w:eastAsia="Arial" w:cs="Arial"/>
        </w:rPr>
        <w:t xml:space="preserve"> v</w:t>
      </w:r>
      <w:r w:rsidR="005C6EED" w:rsidRPr="00223E80">
        <w:rPr>
          <w:rFonts w:eastAsia="Arial" w:cs="Arial"/>
        </w:rPr>
        <w:t xml:space="preserve"> primerja</w:t>
      </w:r>
      <w:r w:rsidR="003C58A1" w:rsidRPr="00223E80">
        <w:rPr>
          <w:rFonts w:eastAsia="Arial" w:cs="Arial"/>
        </w:rPr>
        <w:t>vi z</w:t>
      </w:r>
      <w:r w:rsidR="005C6EED" w:rsidRPr="00223E80">
        <w:rPr>
          <w:rFonts w:eastAsia="Arial" w:cs="Arial"/>
        </w:rPr>
        <w:t xml:space="preserve"> let</w:t>
      </w:r>
      <w:r w:rsidR="003C58A1" w:rsidRPr="00223E80">
        <w:rPr>
          <w:rFonts w:eastAsia="Arial" w:cs="Arial"/>
        </w:rPr>
        <w:t>oma</w:t>
      </w:r>
      <w:r w:rsidR="005C6EED" w:rsidRPr="00223E80">
        <w:rPr>
          <w:rFonts w:eastAsia="Arial" w:cs="Arial"/>
        </w:rPr>
        <w:t xml:space="preserve"> 2021 </w:t>
      </w:r>
      <w:r w:rsidR="003C58A1" w:rsidRPr="00223E80">
        <w:rPr>
          <w:rFonts w:eastAsia="Arial" w:cs="Arial"/>
        </w:rPr>
        <w:t>in</w:t>
      </w:r>
      <w:r w:rsidR="005C6EED" w:rsidRPr="00223E80">
        <w:rPr>
          <w:rFonts w:eastAsia="Arial" w:cs="Arial"/>
        </w:rPr>
        <w:t xml:space="preserve"> 2022 pričakuje izdatek med 10 in 15 mio</w:t>
      </w:r>
      <w:r w:rsidR="006263D3" w:rsidRPr="00223E80">
        <w:rPr>
          <w:rFonts w:eastAsia="Arial" w:cs="Arial"/>
        </w:rPr>
        <w:t xml:space="preserve"> EUR</w:t>
      </w:r>
      <w:r w:rsidR="005C6EED" w:rsidRPr="00223E80">
        <w:rPr>
          <w:rFonts w:eastAsia="Arial" w:cs="Arial"/>
        </w:rPr>
        <w:t xml:space="preserve">, upoštevaje pri tem predvideno proizvodnjo. </w:t>
      </w:r>
    </w:p>
    <w:p w14:paraId="2530A63F" w14:textId="77777777" w:rsidR="00D67822" w:rsidRPr="00223E80" w:rsidRDefault="00D67822" w:rsidP="00D67822">
      <w:pPr>
        <w:spacing w:after="0"/>
        <w:rPr>
          <w:rFonts w:eastAsia="Arial" w:cs="Arial"/>
        </w:rPr>
      </w:pPr>
    </w:p>
    <w:p w14:paraId="2C71EA69" w14:textId="77777777" w:rsidR="00C6464A" w:rsidRDefault="00C6464A" w:rsidP="005912CF">
      <w:pPr>
        <w:pStyle w:val="Napis"/>
        <w:rPr>
          <w:b w:val="0"/>
          <w:i/>
          <w:sz w:val="22"/>
          <w:szCs w:val="22"/>
        </w:rPr>
      </w:pPr>
      <w:bookmarkStart w:id="28" w:name="_Toc114043611"/>
    </w:p>
    <w:p w14:paraId="7CB492DF" w14:textId="77777777" w:rsidR="00C6464A" w:rsidRDefault="00C6464A" w:rsidP="005912CF">
      <w:pPr>
        <w:pStyle w:val="Napis"/>
        <w:rPr>
          <w:b w:val="0"/>
          <w:i/>
          <w:sz w:val="22"/>
          <w:szCs w:val="22"/>
        </w:rPr>
      </w:pPr>
    </w:p>
    <w:p w14:paraId="26493811" w14:textId="77777777" w:rsidR="00C6464A" w:rsidRDefault="00C6464A" w:rsidP="005912CF">
      <w:pPr>
        <w:pStyle w:val="Napis"/>
        <w:rPr>
          <w:b w:val="0"/>
          <w:i/>
          <w:sz w:val="22"/>
          <w:szCs w:val="22"/>
        </w:rPr>
      </w:pPr>
    </w:p>
    <w:p w14:paraId="56668FBC" w14:textId="3F89D8A6" w:rsidR="005912CF" w:rsidRPr="00223E80" w:rsidRDefault="005912CF" w:rsidP="005912CF">
      <w:pPr>
        <w:pStyle w:val="Napis"/>
        <w:rPr>
          <w:rFonts w:eastAsia="Arial" w:cs="Arial"/>
          <w:b w:val="0"/>
          <w:i/>
          <w:sz w:val="22"/>
          <w:szCs w:val="22"/>
        </w:rPr>
      </w:pPr>
      <w:r w:rsidRPr="00223E80">
        <w:rPr>
          <w:b w:val="0"/>
          <w:i/>
          <w:sz w:val="22"/>
          <w:szCs w:val="22"/>
        </w:rPr>
        <w:lastRenderedPageBreak/>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4</w:t>
      </w:r>
      <w:r w:rsidRPr="00223E80">
        <w:rPr>
          <w:b w:val="0"/>
          <w:i/>
          <w:sz w:val="22"/>
          <w:szCs w:val="22"/>
        </w:rPr>
        <w:fldChar w:fldCharType="end"/>
      </w:r>
      <w:r w:rsidR="00043C36" w:rsidRPr="00223E80">
        <w:rPr>
          <w:b w:val="0"/>
          <w:i/>
          <w:sz w:val="22"/>
          <w:szCs w:val="22"/>
        </w:rPr>
        <w:t>:</w:t>
      </w:r>
      <w:r w:rsidRPr="00223E80">
        <w:rPr>
          <w:b w:val="0"/>
          <w:i/>
          <w:sz w:val="22"/>
          <w:szCs w:val="22"/>
        </w:rPr>
        <w:t xml:space="preserve"> Projekcija pričakovanega stanja ob začetku določenega leta (vrednosti v kW)</w:t>
      </w:r>
      <w:bookmarkEnd w:id="28"/>
    </w:p>
    <w:p w14:paraId="37A4F8C3" w14:textId="53ABC922" w:rsidR="00D67822" w:rsidRPr="00223E80" w:rsidRDefault="00E41443" w:rsidP="00D67822">
      <w:pPr>
        <w:spacing w:after="0"/>
        <w:rPr>
          <w:rFonts w:eastAsia="Arial" w:cs="Arial"/>
        </w:rPr>
      </w:pPr>
      <w:r w:rsidRPr="00223E80">
        <w:rPr>
          <w:rFonts w:eastAsia="Arial" w:cs="Arial"/>
          <w:noProof/>
          <w:lang w:eastAsia="sl-SI"/>
        </w:rPr>
        <w:drawing>
          <wp:inline distT="0" distB="0" distL="0" distR="0" wp14:anchorId="6BDCFD9C" wp14:editId="712C8308">
            <wp:extent cx="5761990" cy="2426335"/>
            <wp:effectExtent l="0" t="0" r="0" b="0"/>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6">
                      <a:extLst>
                        <a:ext uri="{28A0092B-C50C-407E-A947-70E740481C1C}">
                          <a14:useLocalDpi xmlns:a14="http://schemas.microsoft.com/office/drawing/2010/main" val="0"/>
                        </a:ext>
                      </a:extLst>
                    </a:blip>
                    <a:srcRect b="8417"/>
                    <a:stretch>
                      <a:fillRect/>
                    </a:stretch>
                  </pic:blipFill>
                  <pic:spPr bwMode="auto">
                    <a:xfrm>
                      <a:off x="0" y="0"/>
                      <a:ext cx="5761990" cy="2426335"/>
                    </a:xfrm>
                    <a:prstGeom prst="rect">
                      <a:avLst/>
                    </a:prstGeom>
                    <a:noFill/>
                    <a:ln>
                      <a:noFill/>
                    </a:ln>
                  </pic:spPr>
                </pic:pic>
              </a:graphicData>
            </a:graphic>
          </wp:inline>
        </w:drawing>
      </w:r>
    </w:p>
    <w:p w14:paraId="4EE82608" w14:textId="77777777" w:rsidR="00D67822" w:rsidRPr="00223E80" w:rsidRDefault="00D67822" w:rsidP="00D67822">
      <w:pPr>
        <w:spacing w:after="0"/>
        <w:rPr>
          <w:rStyle w:val="fontstyle01"/>
        </w:rPr>
      </w:pPr>
    </w:p>
    <w:p w14:paraId="3B07EEE7" w14:textId="77777777" w:rsidR="00D67822" w:rsidRPr="00223E80" w:rsidRDefault="00D67822" w:rsidP="003E099F">
      <w:pPr>
        <w:jc w:val="right"/>
        <w:rPr>
          <w:rFonts w:eastAsia="Arial" w:cs="Arial"/>
          <w:sz w:val="16"/>
          <w:szCs w:val="16"/>
        </w:rPr>
      </w:pPr>
      <w:r w:rsidRPr="00223E80">
        <w:rPr>
          <w:rFonts w:eastAsia="Arial" w:cs="Arial"/>
          <w:sz w:val="16"/>
          <w:szCs w:val="16"/>
        </w:rPr>
        <w:t>Vir: Borzen</w:t>
      </w:r>
    </w:p>
    <w:p w14:paraId="3A64E045" w14:textId="5ADBAE56" w:rsidR="00D67822" w:rsidRPr="00223E80" w:rsidRDefault="00D67822" w:rsidP="00D67822">
      <w:pPr>
        <w:rPr>
          <w:rFonts w:eastAsia="Arial" w:cs="Arial"/>
        </w:rPr>
      </w:pPr>
      <w:r w:rsidRPr="00223E80">
        <w:rPr>
          <w:rFonts w:eastAsia="Arial" w:cs="Arial"/>
        </w:rPr>
        <w:t xml:space="preserve">V </w:t>
      </w:r>
      <w:r w:rsidR="00D475A2" w:rsidRPr="00223E80">
        <w:rPr>
          <w:rFonts w:eastAsia="Arial" w:cs="Arial"/>
        </w:rPr>
        <w:t xml:space="preserve">tej </w:t>
      </w:r>
      <w:r w:rsidRPr="00223E80">
        <w:rPr>
          <w:rFonts w:eastAsia="Arial" w:cs="Arial"/>
        </w:rPr>
        <w:t xml:space="preserve">tabeli novi vstopi niso upoštevani, odražajo </w:t>
      </w:r>
      <w:r w:rsidR="003D5C58" w:rsidRPr="00223E80">
        <w:rPr>
          <w:rFonts w:eastAsia="Arial" w:cs="Arial"/>
        </w:rPr>
        <w:t xml:space="preserve">pa </w:t>
      </w:r>
      <w:r w:rsidRPr="00223E80">
        <w:rPr>
          <w:rFonts w:eastAsia="Arial" w:cs="Arial"/>
        </w:rPr>
        <w:t>stanje sheme</w:t>
      </w:r>
      <w:r w:rsidR="0029290E" w:rsidRPr="00223E80">
        <w:rPr>
          <w:rFonts w:eastAsia="Arial" w:cs="Arial"/>
        </w:rPr>
        <w:t>,</w:t>
      </w:r>
      <w:r w:rsidRPr="00223E80">
        <w:rPr>
          <w:rFonts w:eastAsia="Arial" w:cs="Arial"/>
        </w:rPr>
        <w:t xml:space="preserve"> </w:t>
      </w:r>
      <w:r w:rsidR="0029290E" w:rsidRPr="00223E80">
        <w:rPr>
          <w:rFonts w:eastAsia="Arial" w:cs="Arial"/>
        </w:rPr>
        <w:t>če</w:t>
      </w:r>
      <w:r w:rsidRPr="00223E80">
        <w:rPr>
          <w:rFonts w:eastAsia="Arial" w:cs="Arial"/>
        </w:rPr>
        <w:t xml:space="preserve"> </w:t>
      </w:r>
      <w:r w:rsidR="0029290E" w:rsidRPr="00223E80">
        <w:rPr>
          <w:rFonts w:eastAsia="Arial" w:cs="Arial"/>
        </w:rPr>
        <w:t xml:space="preserve">ne bo </w:t>
      </w:r>
      <w:r w:rsidRPr="00223E80">
        <w:rPr>
          <w:rFonts w:eastAsia="Arial" w:cs="Arial"/>
        </w:rPr>
        <w:t>novih vstopov.</w:t>
      </w:r>
    </w:p>
    <w:p w14:paraId="4AFC946D" w14:textId="6FFB5CDA" w:rsidR="00D67822" w:rsidRPr="00223E80" w:rsidRDefault="00D67822" w:rsidP="00D67822">
      <w:pPr>
        <w:rPr>
          <w:rFonts w:eastAsia="Arial" w:cs="Arial"/>
        </w:rPr>
      </w:pPr>
      <w:r w:rsidRPr="00223E80">
        <w:rPr>
          <w:rFonts w:eastAsia="Arial" w:cs="Arial"/>
        </w:rPr>
        <w:t xml:space="preserve">Za leto 2021 se upošteva, da </w:t>
      </w:r>
      <w:r w:rsidR="00FD3764" w:rsidRPr="00223E80">
        <w:rPr>
          <w:rFonts w:eastAsia="Arial" w:cs="Arial"/>
        </w:rPr>
        <w:t>je</w:t>
      </w:r>
      <w:r w:rsidRPr="00223E80">
        <w:rPr>
          <w:rFonts w:eastAsia="Arial" w:cs="Arial"/>
        </w:rPr>
        <w:t xml:space="preserve"> bil</w:t>
      </w:r>
      <w:r w:rsidR="00FD3764" w:rsidRPr="00223E80">
        <w:rPr>
          <w:rFonts w:eastAsia="Arial" w:cs="Arial"/>
        </w:rPr>
        <w:t>a</w:t>
      </w:r>
      <w:r w:rsidRPr="00223E80">
        <w:rPr>
          <w:rFonts w:eastAsia="Arial" w:cs="Arial"/>
        </w:rPr>
        <w:t xml:space="preserve"> generator izplačil predvsem večja proizvodnja relativno cenejših virov (hidroelektrarne, SPTE na fosilna goriva, elektrarne na lesno biomaso) kot tudi nižja referenčna cena električne energije glede na leto 2020</w:t>
      </w:r>
      <w:r w:rsidR="00FD3764" w:rsidRPr="00223E80">
        <w:rPr>
          <w:rFonts w:eastAsia="Arial" w:cs="Arial"/>
        </w:rPr>
        <w:t>;</w:t>
      </w:r>
      <w:r w:rsidRPr="00223E80">
        <w:rPr>
          <w:rFonts w:eastAsia="Arial" w:cs="Arial"/>
        </w:rPr>
        <w:t xml:space="preserve"> posledica</w:t>
      </w:r>
      <w:r w:rsidR="006E5EAC" w:rsidRPr="00223E80">
        <w:rPr>
          <w:rFonts w:eastAsia="Arial" w:cs="Arial"/>
        </w:rPr>
        <w:t xml:space="preserve"> tega</w:t>
      </w:r>
      <w:r w:rsidRPr="00223E80">
        <w:rPr>
          <w:rFonts w:eastAsia="Arial" w:cs="Arial"/>
        </w:rPr>
        <w:t xml:space="preserve"> je prav tako večje izplačilo podpor (padec referenčne cene vpliva na višje obsege izplačil zarad</w:t>
      </w:r>
      <w:r w:rsidR="00BC4442" w:rsidRPr="00223E80">
        <w:rPr>
          <w:rFonts w:eastAsia="Arial" w:cs="Arial"/>
        </w:rPr>
        <w:t xml:space="preserve">i višjih obratovalnih podpor). </w:t>
      </w:r>
    </w:p>
    <w:p w14:paraId="56D6FFE0" w14:textId="77777777" w:rsidR="003E099F" w:rsidRPr="00223E80" w:rsidRDefault="003E099F" w:rsidP="003E099F">
      <w:pPr>
        <w:spacing w:after="0"/>
        <w:rPr>
          <w:rFonts w:eastAsia="Arial" w:cs="Arial"/>
        </w:rPr>
      </w:pPr>
    </w:p>
    <w:p w14:paraId="11230BE5" w14:textId="77777777" w:rsidR="005912CF" w:rsidRPr="00223E80" w:rsidRDefault="005912CF" w:rsidP="005912CF">
      <w:pPr>
        <w:pStyle w:val="Napis"/>
        <w:rPr>
          <w:rFonts w:eastAsia="Arial"/>
          <w:b w:val="0"/>
          <w:i/>
          <w:sz w:val="22"/>
          <w:szCs w:val="22"/>
        </w:rPr>
      </w:pPr>
      <w:bookmarkStart w:id="29" w:name="_Toc114043612"/>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5</w:t>
      </w:r>
      <w:r w:rsidRPr="00223E80">
        <w:rPr>
          <w:b w:val="0"/>
          <w:i/>
          <w:sz w:val="22"/>
          <w:szCs w:val="22"/>
        </w:rPr>
        <w:fldChar w:fldCharType="end"/>
      </w:r>
      <w:r w:rsidR="00043C36" w:rsidRPr="00223E80">
        <w:rPr>
          <w:b w:val="0"/>
          <w:i/>
          <w:sz w:val="22"/>
          <w:szCs w:val="22"/>
        </w:rPr>
        <w:t>:</w:t>
      </w:r>
      <w:r w:rsidRPr="00223E80">
        <w:rPr>
          <w:b w:val="0"/>
          <w:i/>
          <w:sz w:val="22"/>
          <w:szCs w:val="22"/>
        </w:rPr>
        <w:t xml:space="preserve"> Referenčne cene električne energije, zemeljskega plina, lesne biomase in substrata koruzne silaže za leto 2022</w:t>
      </w:r>
      <w:bookmarkEnd w:id="29"/>
    </w:p>
    <w:p w14:paraId="088C09AA" w14:textId="07B1863B" w:rsidR="00D67822" w:rsidRPr="00223E80" w:rsidRDefault="00E41443" w:rsidP="00D67822">
      <w:pPr>
        <w:rPr>
          <w:rFonts w:eastAsia="Arial"/>
        </w:rPr>
      </w:pPr>
      <w:r w:rsidRPr="00223E80">
        <w:rPr>
          <w:rFonts w:eastAsia="Arial"/>
          <w:noProof/>
          <w:lang w:eastAsia="sl-SI"/>
        </w:rPr>
        <w:drawing>
          <wp:inline distT="0" distB="0" distL="0" distR="0" wp14:anchorId="17FA2CCE" wp14:editId="127E05CF">
            <wp:extent cx="4745990" cy="1450975"/>
            <wp:effectExtent l="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7">
                      <a:extLst>
                        <a:ext uri="{28A0092B-C50C-407E-A947-70E740481C1C}">
                          <a14:useLocalDpi xmlns:a14="http://schemas.microsoft.com/office/drawing/2010/main" val="0"/>
                        </a:ext>
                      </a:extLst>
                    </a:blip>
                    <a:srcRect t="16296"/>
                    <a:stretch>
                      <a:fillRect/>
                    </a:stretch>
                  </pic:blipFill>
                  <pic:spPr bwMode="auto">
                    <a:xfrm>
                      <a:off x="0" y="0"/>
                      <a:ext cx="4745990" cy="1450975"/>
                    </a:xfrm>
                    <a:prstGeom prst="rect">
                      <a:avLst/>
                    </a:prstGeom>
                    <a:noFill/>
                    <a:ln>
                      <a:noFill/>
                    </a:ln>
                  </pic:spPr>
                </pic:pic>
              </a:graphicData>
            </a:graphic>
          </wp:inline>
        </w:drawing>
      </w:r>
    </w:p>
    <w:p w14:paraId="7F5B7E71" w14:textId="77777777" w:rsidR="00D67822" w:rsidRPr="00223E80" w:rsidRDefault="00D67822" w:rsidP="003E099F">
      <w:pPr>
        <w:jc w:val="right"/>
        <w:rPr>
          <w:rFonts w:eastAsia="Arial" w:cs="Arial"/>
          <w:sz w:val="16"/>
          <w:szCs w:val="16"/>
        </w:rPr>
      </w:pPr>
      <w:r w:rsidRPr="00223E80">
        <w:rPr>
          <w:rFonts w:eastAsia="Arial" w:cs="Arial"/>
          <w:sz w:val="16"/>
          <w:szCs w:val="16"/>
        </w:rPr>
        <w:t>Vir: Agen</w:t>
      </w:r>
      <w:r w:rsidR="007D5D1F" w:rsidRPr="00223E80">
        <w:rPr>
          <w:rFonts w:eastAsia="Arial" w:cs="Arial"/>
          <w:sz w:val="16"/>
          <w:szCs w:val="16"/>
        </w:rPr>
        <w:t>cija za energijo</w:t>
      </w:r>
    </w:p>
    <w:p w14:paraId="740EC463" w14:textId="77777777" w:rsidR="008D138D" w:rsidRPr="00223E80" w:rsidRDefault="000638D3" w:rsidP="00A520AC">
      <w:pPr>
        <w:pStyle w:val="Naslov2"/>
      </w:pPr>
      <w:bookmarkStart w:id="30" w:name="_Toc112143986"/>
      <w:r w:rsidRPr="00223E80">
        <w:t>4.6</w:t>
      </w:r>
      <w:r w:rsidR="00DB5150" w:rsidRPr="00223E80">
        <w:t xml:space="preserve"> </w:t>
      </w:r>
      <w:r w:rsidR="00ED3983" w:rsidRPr="00223E80">
        <w:t>Evropska finančna sredstva</w:t>
      </w:r>
      <w:bookmarkEnd w:id="30"/>
    </w:p>
    <w:p w14:paraId="7590F63C" w14:textId="77777777" w:rsidR="007E6ED7" w:rsidRPr="00223E80" w:rsidRDefault="007E6ED7" w:rsidP="007E6ED7">
      <w:pPr>
        <w:keepNext/>
        <w:spacing w:after="0"/>
        <w:outlineLvl w:val="1"/>
        <w:rPr>
          <w:rFonts w:eastAsia="Times New Roman"/>
          <w:b/>
          <w:iCs/>
          <w:color w:val="3A4A3E"/>
        </w:rPr>
      </w:pPr>
    </w:p>
    <w:p w14:paraId="554347C4" w14:textId="77777777" w:rsidR="00516246" w:rsidRPr="00223E80" w:rsidRDefault="00516246" w:rsidP="007E6ED7">
      <w:pPr>
        <w:spacing w:after="0"/>
        <w:rPr>
          <w:rFonts w:eastAsia="Arial" w:cs="Arial"/>
        </w:rPr>
      </w:pPr>
      <w:r w:rsidRPr="00223E80">
        <w:rPr>
          <w:rFonts w:eastAsia="Arial" w:cs="Arial"/>
        </w:rPr>
        <w:t>V nadaljevanju so predstavljeni pomembnejši finančni viri po posameznih virih</w:t>
      </w:r>
      <w:r w:rsidR="006E5EAC" w:rsidRPr="00223E80">
        <w:rPr>
          <w:rFonts w:eastAsia="Arial" w:cs="Arial"/>
        </w:rPr>
        <w:t>,</w:t>
      </w:r>
      <w:r w:rsidRPr="00223E80">
        <w:rPr>
          <w:rFonts w:eastAsia="Arial" w:cs="Arial"/>
        </w:rPr>
        <w:t xml:space="preserve"> v okviru katerih Evropska unija spodbuja tudi </w:t>
      </w:r>
      <w:r w:rsidR="009D5F71" w:rsidRPr="00223E80">
        <w:rPr>
          <w:rFonts w:eastAsia="Arial" w:cs="Arial"/>
        </w:rPr>
        <w:t>OVE</w:t>
      </w:r>
      <w:r w:rsidRPr="00223E80">
        <w:rPr>
          <w:rFonts w:eastAsia="Arial" w:cs="Arial"/>
        </w:rPr>
        <w:t>.</w:t>
      </w:r>
    </w:p>
    <w:p w14:paraId="112520AB" w14:textId="77777777" w:rsidR="007E6ED7" w:rsidRPr="00223E80" w:rsidRDefault="007E6ED7" w:rsidP="007E6ED7">
      <w:pPr>
        <w:spacing w:after="0"/>
        <w:rPr>
          <w:rFonts w:eastAsia="Arial" w:cs="Arial"/>
        </w:rPr>
      </w:pPr>
    </w:p>
    <w:p w14:paraId="5862FA44" w14:textId="60F9BD26" w:rsidR="00516246" w:rsidRPr="00223E80" w:rsidRDefault="00516246" w:rsidP="007E6ED7">
      <w:pPr>
        <w:spacing w:after="0"/>
        <w:rPr>
          <w:rFonts w:cs="Arial"/>
          <w:b/>
          <w:color w:val="000000"/>
          <w:sz w:val="24"/>
          <w:szCs w:val="24"/>
        </w:rPr>
      </w:pPr>
      <w:r w:rsidRPr="00223E80">
        <w:rPr>
          <w:rFonts w:cs="Arial"/>
          <w:b/>
          <w:color w:val="000000"/>
          <w:sz w:val="24"/>
          <w:szCs w:val="24"/>
        </w:rPr>
        <w:t>Evropska kohezijska politika (EKP) 2014</w:t>
      </w:r>
      <w:r w:rsidR="006E5EAC" w:rsidRPr="00223E80">
        <w:rPr>
          <w:rFonts w:cs="Arial"/>
          <w:b/>
          <w:color w:val="000000"/>
          <w:sz w:val="24"/>
          <w:szCs w:val="24"/>
        </w:rPr>
        <w:t>–</w:t>
      </w:r>
      <w:r w:rsidRPr="00223E80">
        <w:rPr>
          <w:rFonts w:cs="Arial"/>
          <w:b/>
          <w:color w:val="000000"/>
          <w:sz w:val="24"/>
          <w:szCs w:val="24"/>
        </w:rPr>
        <w:t>2020</w:t>
      </w:r>
    </w:p>
    <w:p w14:paraId="6827DABE" w14:textId="67DA4A98" w:rsidR="00516246" w:rsidRPr="00223E80" w:rsidRDefault="00516246" w:rsidP="007E6ED7">
      <w:pPr>
        <w:spacing w:after="0"/>
        <w:rPr>
          <w:rFonts w:eastAsia="Arial" w:cs="Arial"/>
        </w:rPr>
      </w:pPr>
      <w:r w:rsidRPr="00223E80">
        <w:rPr>
          <w:rFonts w:eastAsia="Arial" w:cs="Arial"/>
        </w:rPr>
        <w:t xml:space="preserve">V okviru prednostne naložbe 4.2. – Spodbujanje proizvodnje in distribucije </w:t>
      </w:r>
      <w:r w:rsidR="009D5F71" w:rsidRPr="00223E80">
        <w:rPr>
          <w:rFonts w:eastAsia="Arial" w:cs="Arial"/>
        </w:rPr>
        <w:t>OVE</w:t>
      </w:r>
      <w:r w:rsidRPr="00223E80">
        <w:rPr>
          <w:rFonts w:eastAsia="Arial" w:cs="Arial"/>
        </w:rPr>
        <w:t xml:space="preserve"> </w:t>
      </w:r>
      <w:r w:rsidR="007F7527" w:rsidRPr="00223E80">
        <w:rPr>
          <w:rFonts w:eastAsia="Arial" w:cs="Arial"/>
          <w:lang w:eastAsia="sl-SI"/>
        </w:rPr>
        <w:t xml:space="preserve">Republika </w:t>
      </w:r>
      <w:r w:rsidRPr="00223E80">
        <w:rPr>
          <w:rFonts w:eastAsia="Arial" w:cs="Arial"/>
        </w:rPr>
        <w:t xml:space="preserve">Slovenija razpolaga </w:t>
      </w:r>
      <w:r w:rsidR="00226A6F" w:rsidRPr="00223E80">
        <w:rPr>
          <w:rFonts w:eastAsia="Arial" w:cs="Arial"/>
        </w:rPr>
        <w:t>s</w:t>
      </w:r>
      <w:r w:rsidRPr="00223E80">
        <w:rPr>
          <w:rFonts w:eastAsia="Arial" w:cs="Arial"/>
        </w:rPr>
        <w:t xml:space="preserve"> 55,34 mio EUR EU sredstev, podpore pa so namenjene za:</w:t>
      </w:r>
    </w:p>
    <w:p w14:paraId="5BFF9545" w14:textId="46015415" w:rsidR="00516246" w:rsidRPr="00223E80" w:rsidRDefault="005B6C7F" w:rsidP="007E6ED7">
      <w:pPr>
        <w:numPr>
          <w:ilvl w:val="0"/>
          <w:numId w:val="12"/>
        </w:numPr>
        <w:spacing w:after="0"/>
        <w:ind w:left="426"/>
        <w:contextualSpacing/>
        <w:rPr>
          <w:rFonts w:eastAsia="Arial" w:cs="Arial"/>
        </w:rPr>
      </w:pPr>
      <w:r w:rsidRPr="00223E80">
        <w:rPr>
          <w:rFonts w:eastAsia="Arial" w:cs="Arial"/>
        </w:rPr>
        <w:lastRenderedPageBreak/>
        <w:t>T</w:t>
      </w:r>
      <w:r w:rsidR="00516246" w:rsidRPr="00223E80">
        <w:rPr>
          <w:rFonts w:eastAsia="Arial" w:cs="Arial"/>
        </w:rPr>
        <w:t>oploto za ogrevanje in hlajenje ter visoko učinkovito soproizvodnjo, ki podpira vlaganja v grad</w:t>
      </w:r>
      <w:r w:rsidR="00226A6F" w:rsidRPr="00223E80">
        <w:rPr>
          <w:rFonts w:eastAsia="Arial" w:cs="Arial"/>
        </w:rPr>
        <w:t>itev</w:t>
      </w:r>
      <w:r w:rsidR="00516246" w:rsidRPr="00223E80">
        <w:rPr>
          <w:rFonts w:eastAsia="Arial" w:cs="Arial"/>
        </w:rPr>
        <w:t xml:space="preserve"> novih in rekonstrukcijo obstoječih sistemov za ogrevanje, ter spodbude za priklop novih uporabnikov na že obstoječe kapacitete (geotermalni ogrevalni sistemi, sončni kolektorji, kotli na lesno biomaso v javnem sektorju, storitvenih dejavnostih in industriji, sistemi daljinskega ogrevanja na lesno biomaso DOLB nad 1 MW moči, lokalni sistemi DOLB do 1 MW moči, toplotne črpalke). Velik potencial predstavljajo daljinski sistemi ogrevanja na lesno biomaso, kjer so izraziti sinergijski učinki tako z vidika uporabe razpoložljivega energenta, zmanjševanja emisij prašnih delcev in grad</w:t>
      </w:r>
      <w:r w:rsidRPr="00223E80">
        <w:rPr>
          <w:rFonts w:eastAsia="Arial" w:cs="Arial"/>
        </w:rPr>
        <w:t>itve</w:t>
      </w:r>
      <w:r w:rsidR="00516246" w:rsidRPr="00223E80">
        <w:rPr>
          <w:rFonts w:eastAsia="Arial" w:cs="Arial"/>
        </w:rPr>
        <w:t xml:space="preserve"> lesno-predelovalne verige ter s tem povezano ustvarjanje novih delovnih mest.</w:t>
      </w:r>
    </w:p>
    <w:p w14:paraId="770E67A2" w14:textId="36E42499" w:rsidR="00516246" w:rsidRPr="00223E80" w:rsidRDefault="005B6C7F" w:rsidP="007E6ED7">
      <w:pPr>
        <w:numPr>
          <w:ilvl w:val="1"/>
          <w:numId w:val="11"/>
        </w:numPr>
        <w:spacing w:after="0"/>
        <w:ind w:left="426"/>
        <w:contextualSpacing/>
        <w:rPr>
          <w:rFonts w:eastAsia="Arial" w:cs="Arial"/>
        </w:rPr>
      </w:pPr>
      <w:r w:rsidRPr="00223E80">
        <w:rPr>
          <w:rFonts w:eastAsia="Arial" w:cs="Arial"/>
        </w:rPr>
        <w:t>E</w:t>
      </w:r>
      <w:r w:rsidR="00516246" w:rsidRPr="00223E80">
        <w:rPr>
          <w:rFonts w:eastAsia="Arial" w:cs="Arial"/>
        </w:rPr>
        <w:t>lektričn</w:t>
      </w:r>
      <w:r w:rsidR="009A1A15" w:rsidRPr="00223E80">
        <w:rPr>
          <w:rFonts w:eastAsia="Arial" w:cs="Arial"/>
        </w:rPr>
        <w:t>o</w:t>
      </w:r>
      <w:r w:rsidR="00516246" w:rsidRPr="00223E80">
        <w:rPr>
          <w:rFonts w:eastAsia="Arial" w:cs="Arial"/>
        </w:rPr>
        <w:t xml:space="preserve"> energij</w:t>
      </w:r>
      <w:r w:rsidR="009A1A15" w:rsidRPr="00223E80">
        <w:rPr>
          <w:rFonts w:eastAsia="Arial" w:cs="Arial"/>
        </w:rPr>
        <w:t>o</w:t>
      </w:r>
      <w:r w:rsidR="00532030" w:rsidRPr="00223E80">
        <w:rPr>
          <w:rFonts w:eastAsia="Arial" w:cs="Arial"/>
        </w:rPr>
        <w:t>,</w:t>
      </w:r>
      <w:r w:rsidR="00516246" w:rsidRPr="00223E80">
        <w:rPr>
          <w:rFonts w:eastAsia="Arial" w:cs="Arial"/>
        </w:rPr>
        <w:t xml:space="preserve"> in sicer s spodbujanjem investicij v grad</w:t>
      </w:r>
      <w:r w:rsidRPr="00223E80">
        <w:rPr>
          <w:rFonts w:eastAsia="Arial" w:cs="Arial"/>
        </w:rPr>
        <w:t>itev</w:t>
      </w:r>
      <w:r w:rsidR="00516246" w:rsidRPr="00223E80">
        <w:rPr>
          <w:rFonts w:eastAsia="Arial" w:cs="Arial"/>
        </w:rPr>
        <w:t xml:space="preserve"> novih manjših objektov za proizvodnjo električne energije iz OVE (energija vetra, sončna energij</w:t>
      </w:r>
      <w:r w:rsidRPr="00223E80">
        <w:rPr>
          <w:rFonts w:eastAsia="Arial" w:cs="Arial"/>
        </w:rPr>
        <w:t>a</w:t>
      </w:r>
      <w:r w:rsidR="00516246" w:rsidRPr="00223E80">
        <w:rPr>
          <w:rFonts w:eastAsia="Arial" w:cs="Arial"/>
        </w:rPr>
        <w:t xml:space="preserve">, biomasa in male HE do 10 MW moči). </w:t>
      </w:r>
    </w:p>
    <w:p w14:paraId="7EAA9D72" w14:textId="77777777" w:rsidR="009A1A15" w:rsidRPr="00223E80" w:rsidRDefault="009A1A15" w:rsidP="007E6ED7">
      <w:pPr>
        <w:spacing w:after="0"/>
        <w:ind w:left="426"/>
        <w:contextualSpacing/>
        <w:rPr>
          <w:rFonts w:eastAsia="Arial" w:cs="Arial"/>
        </w:rPr>
      </w:pPr>
    </w:p>
    <w:p w14:paraId="72671852" w14:textId="16BC2215" w:rsidR="00516246" w:rsidRPr="00223E80" w:rsidRDefault="00516246" w:rsidP="007E6ED7">
      <w:pPr>
        <w:spacing w:after="0"/>
        <w:rPr>
          <w:rFonts w:cs="Arial"/>
          <w:b/>
          <w:color w:val="000000"/>
          <w:sz w:val="24"/>
          <w:szCs w:val="24"/>
        </w:rPr>
      </w:pPr>
      <w:r w:rsidRPr="00223E80">
        <w:rPr>
          <w:rFonts w:cs="Arial"/>
          <w:b/>
          <w:color w:val="000000"/>
          <w:sz w:val="24"/>
          <w:szCs w:val="24"/>
        </w:rPr>
        <w:t>Evropska kohezijska politika (EKP) 2021</w:t>
      </w:r>
      <w:r w:rsidR="009C1355" w:rsidRPr="00223E80">
        <w:rPr>
          <w:rFonts w:cs="Arial"/>
          <w:b/>
          <w:color w:val="000000"/>
          <w:sz w:val="24"/>
          <w:szCs w:val="24"/>
        </w:rPr>
        <w:t>–</w:t>
      </w:r>
      <w:r w:rsidRPr="00223E80">
        <w:rPr>
          <w:rFonts w:cs="Arial"/>
          <w:b/>
          <w:color w:val="000000"/>
          <w:sz w:val="24"/>
          <w:szCs w:val="24"/>
        </w:rPr>
        <w:t>2027</w:t>
      </w:r>
    </w:p>
    <w:p w14:paraId="781CF001" w14:textId="13BEECC1" w:rsidR="00516246" w:rsidRPr="00223E80" w:rsidRDefault="00516246" w:rsidP="007E6ED7">
      <w:pPr>
        <w:spacing w:after="0"/>
        <w:rPr>
          <w:rFonts w:eastAsia="Arial" w:cs="Arial"/>
        </w:rPr>
      </w:pPr>
      <w:r w:rsidRPr="00223E80">
        <w:rPr>
          <w:rFonts w:eastAsia="Arial" w:cs="Arial"/>
        </w:rPr>
        <w:t>Program za obdobje 2021</w:t>
      </w:r>
      <w:r w:rsidR="00532030" w:rsidRPr="00223E80">
        <w:rPr>
          <w:rFonts w:eastAsia="Arial" w:cs="Arial"/>
        </w:rPr>
        <w:t>–</w:t>
      </w:r>
      <w:r w:rsidRPr="00223E80">
        <w:rPr>
          <w:rFonts w:eastAsia="Arial" w:cs="Arial"/>
        </w:rPr>
        <w:t xml:space="preserve">2027 je še v usklajevanju z Evropsko komisijo, naši predlogi </w:t>
      </w:r>
      <w:r w:rsidR="000B23A4" w:rsidRPr="00223E80">
        <w:rPr>
          <w:rFonts w:eastAsia="Arial" w:cs="Arial"/>
        </w:rPr>
        <w:t>s</w:t>
      </w:r>
      <w:r w:rsidRPr="00223E80">
        <w:rPr>
          <w:rFonts w:eastAsia="Arial" w:cs="Arial"/>
        </w:rPr>
        <w:t xml:space="preserve"> področja obnovljivih virov energije so znotraj specifičnega cilja 3.2 – Spodbujanje energije iz obnovljivih virov</w:t>
      </w:r>
      <w:r w:rsidR="009D5F71" w:rsidRPr="00223E80">
        <w:rPr>
          <w:rFonts w:eastAsia="Arial" w:cs="Arial"/>
        </w:rPr>
        <w:t>. Predviden predlog</w:t>
      </w:r>
      <w:r w:rsidRPr="00223E80">
        <w:rPr>
          <w:rFonts w:eastAsia="Arial" w:cs="Arial"/>
        </w:rPr>
        <w:t xml:space="preserve"> sredst</w:t>
      </w:r>
      <w:r w:rsidR="000B23A4" w:rsidRPr="00223E80">
        <w:rPr>
          <w:rFonts w:eastAsia="Arial" w:cs="Arial"/>
        </w:rPr>
        <w:t>e</w:t>
      </w:r>
      <w:r w:rsidRPr="00223E80">
        <w:rPr>
          <w:rFonts w:eastAsia="Arial" w:cs="Arial"/>
        </w:rPr>
        <w:t xml:space="preserve">v </w:t>
      </w:r>
      <w:r w:rsidR="000B23A4" w:rsidRPr="00223E80">
        <w:rPr>
          <w:rFonts w:eastAsia="Arial" w:cs="Arial"/>
        </w:rPr>
        <w:t>znaša</w:t>
      </w:r>
      <w:r w:rsidRPr="00223E80">
        <w:rPr>
          <w:rFonts w:eastAsia="Arial" w:cs="Arial"/>
        </w:rPr>
        <w:t xml:space="preserve"> 116 mio EUR EU</w:t>
      </w:r>
      <w:r w:rsidR="009D5F71" w:rsidRPr="00223E80">
        <w:rPr>
          <w:rFonts w:eastAsia="Arial" w:cs="Arial"/>
        </w:rPr>
        <w:t xml:space="preserve">. Poleg tega so predlogi </w:t>
      </w:r>
      <w:r w:rsidR="004C6C16" w:rsidRPr="00223E80">
        <w:rPr>
          <w:rFonts w:eastAsia="Arial" w:cs="Arial"/>
        </w:rPr>
        <w:t>s</w:t>
      </w:r>
      <w:r w:rsidR="009D5F71" w:rsidRPr="00223E80">
        <w:rPr>
          <w:rFonts w:eastAsia="Arial" w:cs="Arial"/>
        </w:rPr>
        <w:t xml:space="preserve"> področja obnovljivih virov energije tudi v okviru</w:t>
      </w:r>
      <w:r w:rsidRPr="00223E80">
        <w:rPr>
          <w:rFonts w:eastAsia="Arial" w:cs="Arial"/>
        </w:rPr>
        <w:t xml:space="preserve"> specifičnega cilja 3.3 – Razvoj pametnih energetskih sistemov, omrežij ter hrambe zunaj vseevropskega energetskega omrežja (TEN-E)</w:t>
      </w:r>
      <w:r w:rsidR="009D5F71" w:rsidRPr="00223E80">
        <w:rPr>
          <w:rFonts w:eastAsia="Arial" w:cs="Arial"/>
        </w:rPr>
        <w:t xml:space="preserve">, kjer je predlog </w:t>
      </w:r>
      <w:r w:rsidRPr="00223E80">
        <w:rPr>
          <w:rFonts w:eastAsia="Arial" w:cs="Arial"/>
        </w:rPr>
        <w:t>v vrednosti 44,65 mio EUR EU sredstev.</w:t>
      </w:r>
    </w:p>
    <w:p w14:paraId="09305E10" w14:textId="77777777" w:rsidR="00405A84" w:rsidRPr="00223E80" w:rsidRDefault="00405A84" w:rsidP="007E6ED7">
      <w:pPr>
        <w:spacing w:after="0"/>
        <w:rPr>
          <w:rFonts w:eastAsia="Arial" w:cs="Arial"/>
        </w:rPr>
      </w:pPr>
    </w:p>
    <w:p w14:paraId="1F953D7E" w14:textId="77446B45" w:rsidR="009D5F71" w:rsidRPr="00223E80" w:rsidRDefault="009D5F71" w:rsidP="007E6ED7">
      <w:pPr>
        <w:spacing w:after="0"/>
        <w:rPr>
          <w:rFonts w:eastAsia="Arial" w:cs="Arial"/>
        </w:rPr>
      </w:pPr>
      <w:r w:rsidRPr="00223E80">
        <w:rPr>
          <w:rFonts w:eastAsia="Arial" w:cs="Arial"/>
        </w:rPr>
        <w:t xml:space="preserve">Vsebine po posameznih delih so </w:t>
      </w:r>
      <w:r w:rsidR="004C6C16" w:rsidRPr="00223E80">
        <w:rPr>
          <w:rFonts w:eastAsia="Arial" w:cs="Arial"/>
        </w:rPr>
        <w:t>naslednje</w:t>
      </w:r>
      <w:r w:rsidRPr="00223E80">
        <w:rPr>
          <w:rFonts w:eastAsia="Arial" w:cs="Arial"/>
        </w:rPr>
        <w:t>:</w:t>
      </w:r>
    </w:p>
    <w:p w14:paraId="3B64CEA9" w14:textId="77777777" w:rsidR="00516246" w:rsidRPr="00223E80" w:rsidRDefault="009D5F71" w:rsidP="007E6ED7">
      <w:pPr>
        <w:numPr>
          <w:ilvl w:val="0"/>
          <w:numId w:val="13"/>
        </w:numPr>
        <w:spacing w:after="0"/>
        <w:rPr>
          <w:rFonts w:eastAsia="Arial" w:cs="Arial"/>
        </w:rPr>
      </w:pPr>
      <w:r w:rsidRPr="00223E80">
        <w:rPr>
          <w:rFonts w:eastAsia="Arial" w:cs="Arial"/>
        </w:rPr>
        <w:t xml:space="preserve">Specifični cilj </w:t>
      </w:r>
      <w:r w:rsidR="00516246" w:rsidRPr="00223E80">
        <w:rPr>
          <w:rFonts w:eastAsia="Arial" w:cs="Arial"/>
        </w:rPr>
        <w:t>3.2 – Spodbujanje energije iz obnovljivih virov:</w:t>
      </w:r>
    </w:p>
    <w:p w14:paraId="2558F29A" w14:textId="77777777" w:rsidR="00516246" w:rsidRPr="00223E80" w:rsidRDefault="009D5F71" w:rsidP="007E6ED7">
      <w:pPr>
        <w:numPr>
          <w:ilvl w:val="0"/>
          <w:numId w:val="14"/>
        </w:numPr>
        <w:spacing w:after="0"/>
        <w:contextualSpacing/>
        <w:rPr>
          <w:rFonts w:eastAsia="Arial" w:cs="Arial"/>
        </w:rPr>
      </w:pPr>
      <w:r w:rsidRPr="00223E80">
        <w:rPr>
          <w:rFonts w:eastAsia="Arial" w:cs="Arial"/>
        </w:rPr>
        <w:t>s</w:t>
      </w:r>
      <w:r w:rsidR="00516246" w:rsidRPr="00223E80">
        <w:rPr>
          <w:rFonts w:eastAsia="Arial" w:cs="Arial"/>
        </w:rPr>
        <w:t>podbujanje proizvodnje električne energije iz OVE: sončne in vetrne elektrarne (predvidena EU sredstva: 76 mio EUR);</w:t>
      </w:r>
    </w:p>
    <w:p w14:paraId="605FC32D" w14:textId="7E1BA17B" w:rsidR="00516246" w:rsidRPr="00223E80" w:rsidRDefault="009D5F71" w:rsidP="007E6ED7">
      <w:pPr>
        <w:numPr>
          <w:ilvl w:val="0"/>
          <w:numId w:val="14"/>
        </w:numPr>
        <w:spacing w:after="0"/>
        <w:contextualSpacing/>
        <w:rPr>
          <w:rFonts w:eastAsia="Arial" w:cs="Arial"/>
        </w:rPr>
      </w:pPr>
      <w:r w:rsidRPr="00223E80">
        <w:rPr>
          <w:rFonts w:eastAsia="Arial" w:cs="Arial"/>
        </w:rPr>
        <w:t>s</w:t>
      </w:r>
      <w:r w:rsidR="00516246" w:rsidRPr="00223E80">
        <w:rPr>
          <w:rFonts w:eastAsia="Arial" w:cs="Arial"/>
        </w:rPr>
        <w:t>podbujanje novih daljinskih sistemov na OVE (ogrevanje in hlajenje): predvidene so finančne spodbude za grad</w:t>
      </w:r>
      <w:r w:rsidR="004C6C16" w:rsidRPr="00223E80">
        <w:rPr>
          <w:rFonts w:eastAsia="Arial" w:cs="Arial"/>
        </w:rPr>
        <w:t>itev</w:t>
      </w:r>
      <w:r w:rsidR="00516246" w:rsidRPr="00223E80">
        <w:rPr>
          <w:rFonts w:eastAsia="Arial" w:cs="Arial"/>
        </w:rPr>
        <w:t xml:space="preserve"> novih trajnostnih sistemov DO, ki bodo učinkoviti in konkurenčni. Podpiralo se bo uvajanje najnaprednejših tehnoloških rešitev za izrabo (odpadne) biomase, pri katerih je mogoče kombinirati pridobivanje električne in toplotne energije in ki so zasnovane tako, da prispevajo tudi k izboljšanju kakovosti zraka. Podpora bo namenjena tudi/predvsem vzpostavitvi večjih sistemov, ki imajo boljše izkoristke, tudi na račun boljšega izkoriščanja odvečne toplote (predvidena sredstva 28 mio EUR);</w:t>
      </w:r>
    </w:p>
    <w:p w14:paraId="54CF8F41" w14:textId="265A0DC9" w:rsidR="00516246" w:rsidRPr="00223E80" w:rsidRDefault="009D5F71" w:rsidP="007E6ED7">
      <w:pPr>
        <w:numPr>
          <w:ilvl w:val="0"/>
          <w:numId w:val="14"/>
        </w:numPr>
        <w:spacing w:after="0"/>
        <w:contextualSpacing/>
        <w:rPr>
          <w:rFonts w:eastAsia="Arial" w:cs="Arial"/>
        </w:rPr>
      </w:pPr>
      <w:r w:rsidRPr="00223E80">
        <w:rPr>
          <w:rFonts w:eastAsia="Arial" w:cs="Arial"/>
        </w:rPr>
        <w:t>s</w:t>
      </w:r>
      <w:r w:rsidR="00516246" w:rsidRPr="00223E80">
        <w:rPr>
          <w:rFonts w:eastAsia="Arial" w:cs="Arial"/>
        </w:rPr>
        <w:t xml:space="preserve">podbujanje izkoriščanja tekočih in plinastih biogoriv: </w:t>
      </w:r>
      <w:r w:rsidR="00B355B4" w:rsidRPr="00223E80">
        <w:rPr>
          <w:rFonts w:eastAsia="Arial" w:cs="Arial"/>
        </w:rPr>
        <w:t>v</w:t>
      </w:r>
      <w:r w:rsidR="00516246" w:rsidRPr="00223E80">
        <w:rPr>
          <w:rFonts w:eastAsia="Arial" w:cs="Arial"/>
        </w:rPr>
        <w:t>zpostavljeni bodo mehanizmi spodbud za izkoriščanje naprednih biogoriv (tekočih in plinastih) ter sintetičnih biogoriv (predvidena sredstva 12 mio EUR)</w:t>
      </w:r>
      <w:r w:rsidR="00B355B4" w:rsidRPr="00223E80">
        <w:rPr>
          <w:rFonts w:eastAsia="Arial" w:cs="Arial"/>
        </w:rPr>
        <w:t>.</w:t>
      </w:r>
    </w:p>
    <w:p w14:paraId="39B79EC2" w14:textId="77777777" w:rsidR="00516246" w:rsidRPr="00223E80" w:rsidRDefault="00516246" w:rsidP="007E6ED7">
      <w:pPr>
        <w:spacing w:after="0"/>
        <w:ind w:left="720"/>
        <w:contextualSpacing/>
        <w:rPr>
          <w:rFonts w:eastAsia="Arial" w:cs="Arial"/>
        </w:rPr>
      </w:pPr>
    </w:p>
    <w:p w14:paraId="545252C4" w14:textId="77777777" w:rsidR="00516246" w:rsidRPr="00223E80" w:rsidRDefault="009D5F71" w:rsidP="007E6ED7">
      <w:pPr>
        <w:numPr>
          <w:ilvl w:val="0"/>
          <w:numId w:val="13"/>
        </w:numPr>
        <w:spacing w:after="0"/>
        <w:rPr>
          <w:rFonts w:eastAsia="Arial" w:cs="Arial"/>
        </w:rPr>
      </w:pPr>
      <w:r w:rsidRPr="00223E80">
        <w:rPr>
          <w:rFonts w:eastAsia="Arial" w:cs="Arial"/>
        </w:rPr>
        <w:t xml:space="preserve">Specifični cilj </w:t>
      </w:r>
      <w:r w:rsidR="00516246" w:rsidRPr="00223E80">
        <w:rPr>
          <w:rFonts w:eastAsia="Arial" w:cs="Arial"/>
        </w:rPr>
        <w:t>3.3 – Razvoj pametnih energetskih sistemov, omrežij ter hrambe zunaj vseevropskega energetskega omrežja (TEN-E):</w:t>
      </w:r>
    </w:p>
    <w:p w14:paraId="753DFE52" w14:textId="234F3E5F" w:rsidR="00516246" w:rsidRPr="00223E80" w:rsidRDefault="00516246" w:rsidP="007E6ED7">
      <w:pPr>
        <w:spacing w:after="0"/>
        <w:ind w:left="708"/>
        <w:rPr>
          <w:rFonts w:eastAsia="Arial" w:cs="Arial"/>
        </w:rPr>
      </w:pPr>
      <w:r w:rsidRPr="00223E80">
        <w:rPr>
          <w:rFonts w:eastAsia="Arial" w:cs="Arial"/>
        </w:rPr>
        <w:t xml:space="preserve">Spodbujalo se bo naložbe za pospešitev novih energetskih skupnosti, pretvorbo viškov električne energije iz OVE </w:t>
      </w:r>
      <w:r w:rsidR="00B355B4" w:rsidRPr="00223E80">
        <w:rPr>
          <w:rFonts w:eastAsia="Arial" w:cs="Arial"/>
        </w:rPr>
        <w:t>in</w:t>
      </w:r>
      <w:r w:rsidRPr="00223E80">
        <w:rPr>
          <w:rFonts w:eastAsia="Arial" w:cs="Arial"/>
        </w:rPr>
        <w:t xml:space="preserve"> za povezovanje omrežij za potrebe shranjevanja energije: </w:t>
      </w:r>
    </w:p>
    <w:p w14:paraId="665276D0" w14:textId="77777777" w:rsidR="00516246" w:rsidRPr="00223E80" w:rsidRDefault="00516246" w:rsidP="007E6ED7">
      <w:pPr>
        <w:numPr>
          <w:ilvl w:val="0"/>
          <w:numId w:val="15"/>
        </w:numPr>
        <w:spacing w:after="0"/>
        <w:contextualSpacing/>
        <w:rPr>
          <w:rFonts w:eastAsia="Arial" w:cs="Arial"/>
        </w:rPr>
      </w:pPr>
      <w:r w:rsidRPr="00223E80">
        <w:rPr>
          <w:rFonts w:eastAsia="Arial" w:cs="Arial"/>
        </w:rPr>
        <w:t>spodbujanje energetskih skupnosti na področju izrabe energije iz OVE v lokalnem okolju (predvidena sredstva 20 mio EUR),</w:t>
      </w:r>
    </w:p>
    <w:p w14:paraId="04A5007A" w14:textId="77777777" w:rsidR="00516246" w:rsidRPr="00223E80" w:rsidRDefault="00516246" w:rsidP="007E6ED7">
      <w:pPr>
        <w:numPr>
          <w:ilvl w:val="0"/>
          <w:numId w:val="15"/>
        </w:numPr>
        <w:spacing w:after="0"/>
        <w:contextualSpacing/>
        <w:rPr>
          <w:rFonts w:eastAsia="Arial" w:cs="Arial"/>
        </w:rPr>
      </w:pPr>
      <w:r w:rsidRPr="00223E80">
        <w:rPr>
          <w:rFonts w:eastAsia="Arial" w:cs="Arial"/>
        </w:rPr>
        <w:lastRenderedPageBreak/>
        <w:t>spodbujanje naložb in tehnologij za pretvorbo viškov energije iz OVE ter povezovanje omrežij za potrebe shranjevanja energije ob pretvorbi (predvidena sredstva 24,65 mio EUR)</w:t>
      </w:r>
      <w:r w:rsidR="00E108A3" w:rsidRPr="00223E80">
        <w:rPr>
          <w:rFonts w:eastAsia="Arial" w:cs="Arial"/>
        </w:rPr>
        <w:t>.</w:t>
      </w:r>
    </w:p>
    <w:p w14:paraId="491005E9" w14:textId="3E26E4D4" w:rsidR="00AF437B" w:rsidRPr="00223E80" w:rsidRDefault="00AF437B" w:rsidP="00AF437B">
      <w:pPr>
        <w:spacing w:beforeAutospacing="1" w:after="0"/>
        <w:rPr>
          <w:rFonts w:eastAsia="Arial" w:cs="Arial"/>
        </w:rPr>
      </w:pPr>
      <w:r w:rsidRPr="00223E80">
        <w:rPr>
          <w:rFonts w:eastAsia="Arial" w:cs="Arial"/>
        </w:rPr>
        <w:t>Upoštev</w:t>
      </w:r>
      <w:r w:rsidR="00E108A3" w:rsidRPr="00223E80">
        <w:rPr>
          <w:rFonts w:eastAsia="Arial" w:cs="Arial"/>
        </w:rPr>
        <w:t>a</w:t>
      </w:r>
      <w:r w:rsidRPr="00223E80">
        <w:rPr>
          <w:rFonts w:eastAsia="Arial" w:cs="Arial"/>
        </w:rPr>
        <w:t>n bo tudi Instrument za povezovanje Evrope 2021</w:t>
      </w:r>
      <w:r w:rsidR="00E108A3" w:rsidRPr="00223E80">
        <w:rPr>
          <w:rFonts w:eastAsia="Arial" w:cs="Arial"/>
        </w:rPr>
        <w:t>–</w:t>
      </w:r>
      <w:r w:rsidRPr="00223E80">
        <w:rPr>
          <w:rFonts w:eastAsia="Arial" w:cs="Arial"/>
        </w:rPr>
        <w:t xml:space="preserve">2027 za področje prometa in energije (Connecting Europe Facility </w:t>
      </w:r>
      <w:r w:rsidR="00E108A3" w:rsidRPr="00223E80">
        <w:rPr>
          <w:rFonts w:eastAsia="Arial" w:cs="Arial"/>
        </w:rPr>
        <w:t>–</w:t>
      </w:r>
      <w:r w:rsidRPr="00223E80">
        <w:rPr>
          <w:rFonts w:eastAsia="Arial" w:cs="Arial"/>
        </w:rPr>
        <w:t xml:space="preserve"> CEF)</w:t>
      </w:r>
      <w:r w:rsidR="00E108A3" w:rsidRPr="00223E80">
        <w:rPr>
          <w:rFonts w:eastAsia="Arial" w:cs="Arial"/>
        </w:rPr>
        <w:t>.</w:t>
      </w:r>
      <w:r w:rsidRPr="00223E80">
        <w:rPr>
          <w:rFonts w:eastAsia="Arial" w:cs="Arial"/>
        </w:rPr>
        <w:t xml:space="preserve"> </w:t>
      </w:r>
      <w:r w:rsidR="00E108A3" w:rsidRPr="00223E80">
        <w:rPr>
          <w:rFonts w:eastAsia="Arial" w:cs="Arial"/>
        </w:rPr>
        <w:t xml:space="preserve">Njegov </w:t>
      </w:r>
      <w:r w:rsidRPr="00223E80">
        <w:rPr>
          <w:rFonts w:eastAsia="Arial" w:cs="Arial"/>
        </w:rPr>
        <w:t xml:space="preserve">namen je pospešiti naložbe tudi na področju vseevropskih omrežij v sektorjih energije, ki bodo olajšale čezmejne povezave, spodbudile večjo </w:t>
      </w:r>
      <w:r w:rsidR="00E108A3" w:rsidRPr="00223E80">
        <w:rPr>
          <w:rFonts w:eastAsia="Arial" w:cs="Arial"/>
        </w:rPr>
        <w:t>gospodarsko</w:t>
      </w:r>
      <w:r w:rsidRPr="00223E80">
        <w:rPr>
          <w:rFonts w:eastAsia="Arial" w:cs="Arial"/>
        </w:rPr>
        <w:t>, socialno in teritorialno kohezijo ter prispevale k bolj konkurenčnemu in trajnostnemu socialnemu tržnemu gospodarstvu in boju proti podnebnim spremembam. Za področje energije EU načrtuje nameniti 5,84 milijard</w:t>
      </w:r>
      <w:r w:rsidR="00E108A3" w:rsidRPr="00223E80">
        <w:rPr>
          <w:rFonts w:eastAsia="Arial" w:cs="Arial"/>
        </w:rPr>
        <w:t>e</w:t>
      </w:r>
      <w:r w:rsidRPr="00223E80">
        <w:rPr>
          <w:rFonts w:eastAsia="Arial" w:cs="Arial"/>
        </w:rPr>
        <w:t xml:space="preserve"> evrov.</w:t>
      </w:r>
    </w:p>
    <w:p w14:paraId="06BFA153" w14:textId="77777777" w:rsidR="009D5F71" w:rsidRPr="00223E80" w:rsidRDefault="009D5F71" w:rsidP="007E6ED7">
      <w:pPr>
        <w:spacing w:after="0"/>
        <w:contextualSpacing/>
        <w:rPr>
          <w:rFonts w:eastAsia="Arial" w:cs="Arial"/>
        </w:rPr>
      </w:pPr>
    </w:p>
    <w:p w14:paraId="009CB34A" w14:textId="77777777" w:rsidR="00516246" w:rsidRPr="00223E80" w:rsidRDefault="00006FD4" w:rsidP="007E6ED7">
      <w:pPr>
        <w:spacing w:after="0"/>
        <w:contextualSpacing/>
        <w:rPr>
          <w:rFonts w:cs="Arial"/>
          <w:b/>
          <w:color w:val="000000"/>
          <w:sz w:val="24"/>
          <w:szCs w:val="24"/>
        </w:rPr>
      </w:pPr>
      <w:r w:rsidRPr="00223E80">
        <w:rPr>
          <w:rFonts w:cs="Arial"/>
          <w:b/>
          <w:color w:val="000000"/>
          <w:sz w:val="24"/>
          <w:szCs w:val="24"/>
        </w:rPr>
        <w:t>Sklad za pravičen</w:t>
      </w:r>
      <w:r w:rsidR="007E6ED7" w:rsidRPr="00223E80">
        <w:rPr>
          <w:rFonts w:cs="Arial"/>
          <w:b/>
          <w:color w:val="000000"/>
          <w:sz w:val="24"/>
          <w:szCs w:val="24"/>
        </w:rPr>
        <w:t xml:space="preserve"> prehod</w:t>
      </w:r>
    </w:p>
    <w:p w14:paraId="1696D1F6" w14:textId="1A983308" w:rsidR="00516246" w:rsidRPr="00223E80" w:rsidRDefault="000A73E1" w:rsidP="007E6ED7">
      <w:pPr>
        <w:spacing w:after="0"/>
        <w:rPr>
          <w:rFonts w:eastAsia="Arial" w:cs="Arial"/>
        </w:rPr>
      </w:pPr>
      <w:r w:rsidRPr="00223E80">
        <w:rPr>
          <w:rFonts w:cs="Arial"/>
          <w:bCs/>
        </w:rPr>
        <w:t>P</w:t>
      </w:r>
      <w:r w:rsidRPr="00223E80">
        <w:rPr>
          <w:rFonts w:cs="Arial"/>
        </w:rPr>
        <w:t xml:space="preserve">rehod bo povzročil znatne strukturne spremembe v poslovnih modelih, zahtevah glede usposobljenosti in relativnih cenah. Mobilizacijo javnih in zasebnih naložb je treba zagotoviti deloma </w:t>
      </w:r>
      <w:r w:rsidR="001A7F13" w:rsidRPr="00223E80">
        <w:rPr>
          <w:rFonts w:cs="Arial"/>
        </w:rPr>
        <w:t xml:space="preserve">z </w:t>
      </w:r>
      <w:r w:rsidRPr="00223E80">
        <w:rPr>
          <w:rFonts w:cs="Arial"/>
        </w:rPr>
        <w:t>nepovratni</w:t>
      </w:r>
      <w:r w:rsidR="001A7F13" w:rsidRPr="00223E80">
        <w:rPr>
          <w:rFonts w:cs="Arial"/>
        </w:rPr>
        <w:t>mi</w:t>
      </w:r>
      <w:r w:rsidRPr="00223E80">
        <w:rPr>
          <w:rFonts w:cs="Arial"/>
        </w:rPr>
        <w:t xml:space="preserve"> sredstv</w:t>
      </w:r>
      <w:r w:rsidR="001A7F13" w:rsidRPr="00223E80">
        <w:rPr>
          <w:rFonts w:cs="Arial"/>
        </w:rPr>
        <w:t>i</w:t>
      </w:r>
      <w:r w:rsidRPr="00223E80">
        <w:rPr>
          <w:rFonts w:cs="Arial"/>
        </w:rPr>
        <w:t xml:space="preserve"> iz proračuna EU, kjer bo potrebno tudi sofinanciranje </w:t>
      </w:r>
      <w:r w:rsidR="001A7F13" w:rsidRPr="00223E80">
        <w:rPr>
          <w:rFonts w:cs="Arial"/>
        </w:rPr>
        <w:t>od</w:t>
      </w:r>
      <w:r w:rsidRPr="00223E80">
        <w:rPr>
          <w:rFonts w:cs="Arial"/>
        </w:rPr>
        <w:t xml:space="preserve"> držav članic, deloma pa </w:t>
      </w:r>
      <w:r w:rsidR="001A7F13" w:rsidRPr="00223E80">
        <w:rPr>
          <w:rFonts w:cs="Arial"/>
        </w:rPr>
        <w:t xml:space="preserve">z </w:t>
      </w:r>
      <w:r w:rsidRPr="00223E80">
        <w:rPr>
          <w:rFonts w:cs="Arial"/>
        </w:rPr>
        <w:t>garancij</w:t>
      </w:r>
      <w:r w:rsidR="001A7F13" w:rsidRPr="00223E80">
        <w:rPr>
          <w:rFonts w:cs="Arial"/>
        </w:rPr>
        <w:t>ami</w:t>
      </w:r>
      <w:r w:rsidRPr="00223E80">
        <w:rPr>
          <w:rFonts w:cs="Arial"/>
        </w:rPr>
        <w:t xml:space="preserve"> v okviru instrumenta Invest EU </w:t>
      </w:r>
      <w:r w:rsidR="001A7F13" w:rsidRPr="00223E80">
        <w:rPr>
          <w:rFonts w:cs="Arial"/>
        </w:rPr>
        <w:t>in</w:t>
      </w:r>
      <w:r w:rsidRPr="00223E80">
        <w:rPr>
          <w:rFonts w:cs="Arial"/>
        </w:rPr>
        <w:t xml:space="preserve"> </w:t>
      </w:r>
      <w:r w:rsidR="001A7F13" w:rsidRPr="00223E80">
        <w:rPr>
          <w:rFonts w:cs="Arial"/>
        </w:rPr>
        <w:t xml:space="preserve">s </w:t>
      </w:r>
      <w:r w:rsidRPr="00223E80">
        <w:rPr>
          <w:rFonts w:cs="Arial"/>
        </w:rPr>
        <w:t>posojil</w:t>
      </w:r>
      <w:r w:rsidR="001A7F13" w:rsidRPr="00223E80">
        <w:rPr>
          <w:rFonts w:cs="Arial"/>
        </w:rPr>
        <w:t>i</w:t>
      </w:r>
      <w:r w:rsidRPr="00223E80">
        <w:rPr>
          <w:rFonts w:cs="Arial"/>
        </w:rPr>
        <w:t xml:space="preserve"> EIB.</w:t>
      </w:r>
      <w:r w:rsidRPr="00223E80">
        <w:rPr>
          <w:rFonts w:ascii="Times New Roman" w:hAnsi="Times New Roman"/>
          <w:color w:val="000000"/>
          <w:sz w:val="24"/>
          <w:szCs w:val="24"/>
        </w:rPr>
        <w:t xml:space="preserve"> </w:t>
      </w:r>
      <w:r w:rsidR="00516246" w:rsidRPr="00223E80">
        <w:rPr>
          <w:rFonts w:eastAsia="Arial" w:cs="Arial"/>
        </w:rPr>
        <w:t xml:space="preserve">Spodbujanje naložb v zvezi z OVE se načrtuje tudi v sklopu Sklada za pravični prehod, kjer se še pripravljata območna načrta za pravični prehod obeh regij, ki bosta določila vrste predvidenih operacij za doseganje ciljev, ki so opredeljeni glede na evidentirane razvojnih potreb. </w:t>
      </w:r>
      <w:r w:rsidR="00AF437B" w:rsidRPr="00223E80">
        <w:rPr>
          <w:rFonts w:eastAsia="Arial" w:cs="Arial"/>
        </w:rPr>
        <w:t xml:space="preserve">Prek tega sklada bo državam članicam na voljo 17,5 milijarde evrov. </w:t>
      </w:r>
      <w:r w:rsidR="00516246" w:rsidRPr="00223E80">
        <w:rPr>
          <w:rFonts w:eastAsia="Arial" w:cs="Arial"/>
        </w:rPr>
        <w:t>Trenutno predlagani ukrepi, povezani z OVE, na tem področju so:</w:t>
      </w:r>
    </w:p>
    <w:p w14:paraId="33018710" w14:textId="77777777" w:rsidR="00516246" w:rsidRPr="00223E80" w:rsidRDefault="00516246" w:rsidP="007E6ED7">
      <w:pPr>
        <w:widowControl w:val="0"/>
        <w:numPr>
          <w:ilvl w:val="0"/>
          <w:numId w:val="16"/>
        </w:numPr>
        <w:autoSpaceDE w:val="0"/>
        <w:autoSpaceDN w:val="0"/>
        <w:spacing w:after="0"/>
        <w:rPr>
          <w:rFonts w:eastAsia="Arial" w:cs="Arial"/>
        </w:rPr>
      </w:pPr>
      <w:r w:rsidRPr="00223E80">
        <w:rPr>
          <w:rFonts w:eastAsia="Arial" w:cs="Arial"/>
        </w:rPr>
        <w:t>celovita preureditev sistema daljinskega ogrevanja, ki bo zagotavljal cenovno dostopen vir energije za ogrevanje in hlajenje ob hkratnem ohranjanju kakovosti zraka;</w:t>
      </w:r>
    </w:p>
    <w:p w14:paraId="5CA734BC" w14:textId="139CCD6F" w:rsidR="00516246" w:rsidRPr="00223E80" w:rsidRDefault="00516246" w:rsidP="007E6ED7">
      <w:pPr>
        <w:widowControl w:val="0"/>
        <w:numPr>
          <w:ilvl w:val="0"/>
          <w:numId w:val="16"/>
        </w:numPr>
        <w:autoSpaceDE w:val="0"/>
        <w:autoSpaceDN w:val="0"/>
        <w:spacing w:after="0"/>
        <w:rPr>
          <w:rFonts w:eastAsia="Arial" w:cs="Arial"/>
        </w:rPr>
      </w:pPr>
      <w:r w:rsidRPr="00223E80">
        <w:rPr>
          <w:rFonts w:eastAsia="Arial" w:cs="Arial"/>
        </w:rPr>
        <w:t xml:space="preserve">naložbe v dvig proizvodnih zmogljivosti za proizvodnjo električne energije iz OVE, vzpostavitvi OVE skupnosti z namenom zmanjšanja energetske revščine in </w:t>
      </w:r>
      <w:r w:rsidR="00747BBC" w:rsidRPr="00223E80">
        <w:rPr>
          <w:rFonts w:eastAsia="Arial" w:cs="Arial"/>
        </w:rPr>
        <w:t xml:space="preserve">oživitve </w:t>
      </w:r>
      <w:r w:rsidRPr="00223E80">
        <w:rPr>
          <w:rFonts w:eastAsia="Arial" w:cs="Arial"/>
        </w:rPr>
        <w:t xml:space="preserve">prostorsko in okoljsko degradiranih območij (v skladu z načelom onesnaževalec plača), </w:t>
      </w:r>
      <w:r w:rsidR="00D60700" w:rsidRPr="00223E80">
        <w:rPr>
          <w:rFonts w:eastAsia="Arial" w:cs="Arial"/>
        </w:rPr>
        <w:t xml:space="preserve">v </w:t>
      </w:r>
      <w:r w:rsidRPr="00223E80">
        <w:rPr>
          <w:rFonts w:eastAsia="Arial" w:cs="Arial"/>
        </w:rPr>
        <w:t>digitalizacij</w:t>
      </w:r>
      <w:r w:rsidR="00151CFE" w:rsidRPr="00223E80">
        <w:rPr>
          <w:rFonts w:eastAsia="Arial" w:cs="Arial"/>
        </w:rPr>
        <w:t>o</w:t>
      </w:r>
      <w:r w:rsidRPr="00223E80">
        <w:rPr>
          <w:rFonts w:eastAsia="Arial" w:cs="Arial"/>
        </w:rPr>
        <w:t xml:space="preserve"> in vzpostavit</w:t>
      </w:r>
      <w:r w:rsidR="00151CFE" w:rsidRPr="00223E80">
        <w:rPr>
          <w:rFonts w:eastAsia="Arial" w:cs="Arial"/>
        </w:rPr>
        <w:t>e</w:t>
      </w:r>
      <w:r w:rsidRPr="00223E80">
        <w:rPr>
          <w:rFonts w:eastAsia="Arial" w:cs="Arial"/>
        </w:rPr>
        <w:t>v pametne energetske infrastrukture v kombinaciji z mobilnostjo in porabniki</w:t>
      </w:r>
      <w:r w:rsidR="00151CFE" w:rsidRPr="00223E80">
        <w:rPr>
          <w:rFonts w:eastAsia="Arial" w:cs="Arial"/>
        </w:rPr>
        <w:t>;</w:t>
      </w:r>
      <w:r w:rsidRPr="00223E80">
        <w:rPr>
          <w:rFonts w:eastAsia="Arial" w:cs="Arial"/>
        </w:rPr>
        <w:t xml:space="preserve"> naložb</w:t>
      </w:r>
      <w:r w:rsidR="008A0DE3" w:rsidRPr="00223E80">
        <w:rPr>
          <w:rFonts w:eastAsia="Arial" w:cs="Arial"/>
        </w:rPr>
        <w:t>e</w:t>
      </w:r>
      <w:r w:rsidRPr="00223E80">
        <w:rPr>
          <w:rFonts w:eastAsia="Arial" w:cs="Arial"/>
        </w:rPr>
        <w:t xml:space="preserve"> v kapacitete za shranjevanje viškov energije iz OVE ter pilotn</w:t>
      </w:r>
      <w:r w:rsidR="008A0DE3" w:rsidRPr="00223E80">
        <w:rPr>
          <w:rFonts w:eastAsia="Arial" w:cs="Arial"/>
        </w:rPr>
        <w:t>e</w:t>
      </w:r>
      <w:r w:rsidRPr="00223E80">
        <w:rPr>
          <w:rFonts w:eastAsia="Arial" w:cs="Arial"/>
        </w:rPr>
        <w:t xml:space="preserve"> projekt</w:t>
      </w:r>
      <w:r w:rsidR="008A0DE3" w:rsidRPr="00223E80">
        <w:rPr>
          <w:rFonts w:eastAsia="Arial" w:cs="Arial"/>
        </w:rPr>
        <w:t>e</w:t>
      </w:r>
      <w:r w:rsidRPr="00223E80">
        <w:rPr>
          <w:rFonts w:eastAsia="Arial" w:cs="Arial"/>
        </w:rPr>
        <w:t xml:space="preserve"> za proizvodnjo energije iz OVE</w:t>
      </w:r>
      <w:r w:rsidR="008A0DE3" w:rsidRPr="00223E80">
        <w:rPr>
          <w:rFonts w:eastAsia="Arial" w:cs="Arial"/>
        </w:rPr>
        <w:t>,</w:t>
      </w:r>
      <w:r w:rsidRPr="00223E80">
        <w:rPr>
          <w:rFonts w:eastAsia="Arial" w:cs="Arial"/>
        </w:rPr>
        <w:t xml:space="preserve"> oziroma razvoj rešitev na področju shranjevanja električne energije tudi v povezavi s spodbujanjem e-mobilnosti, pilotnih projektov za proizvodnjo sintetičnega metana in vodika.</w:t>
      </w:r>
    </w:p>
    <w:p w14:paraId="159EF02C" w14:textId="77777777" w:rsidR="00516246" w:rsidRPr="00223E80" w:rsidRDefault="00516246" w:rsidP="007E6ED7">
      <w:pPr>
        <w:widowControl w:val="0"/>
        <w:autoSpaceDE w:val="0"/>
        <w:autoSpaceDN w:val="0"/>
        <w:spacing w:after="0"/>
        <w:ind w:left="720"/>
        <w:rPr>
          <w:rFonts w:eastAsia="Arial" w:cs="Arial"/>
        </w:rPr>
      </w:pPr>
    </w:p>
    <w:p w14:paraId="0D7077F1" w14:textId="77777777" w:rsidR="00516246" w:rsidRPr="00223E80" w:rsidRDefault="00516246" w:rsidP="007E6ED7">
      <w:pPr>
        <w:spacing w:after="0"/>
        <w:contextualSpacing/>
        <w:rPr>
          <w:rFonts w:cs="Arial"/>
          <w:b/>
          <w:color w:val="000000"/>
          <w:sz w:val="24"/>
          <w:szCs w:val="24"/>
        </w:rPr>
      </w:pPr>
      <w:r w:rsidRPr="00223E80">
        <w:rPr>
          <w:rFonts w:cs="Arial"/>
          <w:b/>
          <w:color w:val="000000"/>
          <w:sz w:val="24"/>
          <w:szCs w:val="24"/>
        </w:rPr>
        <w:t>Načrt za okrevanje in odpornost</w:t>
      </w:r>
    </w:p>
    <w:p w14:paraId="2EB6159E" w14:textId="53A743D3" w:rsidR="00516246" w:rsidRPr="00223E80" w:rsidRDefault="00516246" w:rsidP="007E6ED7">
      <w:pPr>
        <w:spacing w:after="0"/>
        <w:rPr>
          <w:rFonts w:eastAsia="Arial" w:cs="Arial"/>
        </w:rPr>
      </w:pPr>
      <w:r w:rsidRPr="00223E80">
        <w:rPr>
          <w:rFonts w:eastAsia="Arial" w:cs="Arial"/>
        </w:rPr>
        <w:t xml:space="preserve">V okviru Načrta za okrevanje in odpornost razpolagamo </w:t>
      </w:r>
      <w:r w:rsidR="00CA0285" w:rsidRPr="00223E80">
        <w:rPr>
          <w:rFonts w:eastAsia="Arial" w:cs="Arial"/>
        </w:rPr>
        <w:t>s</w:t>
      </w:r>
      <w:r w:rsidRPr="00223E80">
        <w:rPr>
          <w:rFonts w:eastAsia="Arial" w:cs="Arial"/>
        </w:rPr>
        <w:t xml:space="preserve"> 141 mio EUR EU sredstev</w:t>
      </w:r>
      <w:r w:rsidR="00136585" w:rsidRPr="00223E80">
        <w:rPr>
          <w:rFonts w:eastAsia="Arial" w:cs="Arial"/>
        </w:rPr>
        <w:t>,</w:t>
      </w:r>
      <w:r w:rsidRPr="00223E80">
        <w:rPr>
          <w:rFonts w:eastAsia="Arial" w:cs="Arial"/>
        </w:rPr>
        <w:t xml:space="preserve"> namenjenih obravnavi več izzivov, s katerimi se soočajo proizvajalci in odjemalci energije iz OVE,</w:t>
      </w:r>
      <w:r w:rsidR="00CA0285" w:rsidRPr="00223E80">
        <w:rPr>
          <w:rFonts w:eastAsia="Arial" w:cs="Arial"/>
        </w:rPr>
        <w:t xml:space="preserve"> da odpravimo</w:t>
      </w:r>
      <w:r w:rsidRPr="00223E80">
        <w:rPr>
          <w:rFonts w:eastAsia="Arial" w:cs="Arial"/>
        </w:rPr>
        <w:t xml:space="preserve"> neučinkovite sisteme daljinskega ogrevanja ter izgube v distribucijskem sistemu električne energije in </w:t>
      </w:r>
      <w:r w:rsidR="00223E80" w:rsidRPr="00223E80">
        <w:t xml:space="preserve">odpravimo omejeno uporabo </w:t>
      </w:r>
      <w:r w:rsidRPr="00223E80">
        <w:rPr>
          <w:rFonts w:eastAsia="Arial" w:cs="Arial"/>
        </w:rPr>
        <w:t xml:space="preserve">sistemov upravljanja z energijo. Cilji komponente so povečati rabo obnovljivih virov energije, izboljšati energetsko učinkovitost in zmanjšati emisije toplogrednih plinov. Poleg reformnega dela so predvidene investicije v: </w:t>
      </w:r>
    </w:p>
    <w:p w14:paraId="1A6829AA" w14:textId="77777777" w:rsidR="00516246" w:rsidRPr="00223E80" w:rsidRDefault="00735ECC" w:rsidP="007E6ED7">
      <w:pPr>
        <w:numPr>
          <w:ilvl w:val="0"/>
          <w:numId w:val="17"/>
        </w:numPr>
        <w:spacing w:after="0"/>
        <w:contextualSpacing/>
        <w:rPr>
          <w:rFonts w:eastAsia="Arial" w:cs="Arial"/>
        </w:rPr>
      </w:pPr>
      <w:r w:rsidRPr="00223E80">
        <w:rPr>
          <w:rFonts w:eastAsia="Arial" w:cs="Arial"/>
        </w:rPr>
        <w:t>e</w:t>
      </w:r>
      <w:r w:rsidR="00516246" w:rsidRPr="00223E80">
        <w:rPr>
          <w:rFonts w:eastAsia="Arial" w:cs="Arial"/>
        </w:rPr>
        <w:t>nergetsko učinkovito prestrukturiranje sistemov daljinskega ogrevanja na obnovljive vire energije</w:t>
      </w:r>
      <w:r w:rsidRPr="00223E80">
        <w:rPr>
          <w:rFonts w:eastAsia="Arial" w:cs="Arial"/>
        </w:rPr>
        <w:t xml:space="preserve"> (</w:t>
      </w:r>
      <w:r w:rsidR="00516246" w:rsidRPr="00223E80">
        <w:rPr>
          <w:rFonts w:eastAsia="Arial" w:cs="Arial"/>
        </w:rPr>
        <w:t xml:space="preserve">11 mio EUR sredstev NOO bo razdeljenih na javnem razpisu, ki bo predvidoma objavljen konec </w:t>
      </w:r>
      <w:r w:rsidRPr="00223E80">
        <w:rPr>
          <w:rFonts w:eastAsia="Arial" w:cs="Arial"/>
        </w:rPr>
        <w:t>leta 2022),</w:t>
      </w:r>
    </w:p>
    <w:p w14:paraId="29131B60" w14:textId="14139CD6" w:rsidR="00516246" w:rsidRPr="00223E80" w:rsidRDefault="00735ECC" w:rsidP="007E6ED7">
      <w:pPr>
        <w:numPr>
          <w:ilvl w:val="0"/>
          <w:numId w:val="17"/>
        </w:numPr>
        <w:spacing w:after="0"/>
        <w:contextualSpacing/>
        <w:rPr>
          <w:rFonts w:eastAsia="Arial" w:cs="Arial"/>
        </w:rPr>
      </w:pPr>
      <w:r w:rsidRPr="00223E80">
        <w:rPr>
          <w:rFonts w:eastAsia="Arial" w:cs="Arial"/>
        </w:rPr>
        <w:lastRenderedPageBreak/>
        <w:t>p</w:t>
      </w:r>
      <w:r w:rsidR="00516246" w:rsidRPr="00223E80">
        <w:rPr>
          <w:rFonts w:eastAsia="Arial" w:cs="Arial"/>
        </w:rPr>
        <w:t xml:space="preserve">roizvodnjo elektrike iz </w:t>
      </w:r>
      <w:r w:rsidRPr="00223E80">
        <w:rPr>
          <w:rFonts w:eastAsia="Arial" w:cs="Arial"/>
        </w:rPr>
        <w:t>OVE (</w:t>
      </w:r>
      <w:r w:rsidR="00516246" w:rsidRPr="00223E80">
        <w:rPr>
          <w:rFonts w:eastAsia="Arial" w:cs="Arial"/>
        </w:rPr>
        <w:t xml:space="preserve">javni razpis v višini 50 mio sredstev NOO </w:t>
      </w:r>
      <w:r w:rsidR="00B90B82" w:rsidRPr="00223E80">
        <w:rPr>
          <w:rFonts w:eastAsia="Arial" w:cs="Arial"/>
        </w:rPr>
        <w:t xml:space="preserve">– </w:t>
      </w:r>
      <w:r w:rsidR="00516246" w:rsidRPr="00223E80">
        <w:rPr>
          <w:rFonts w:eastAsia="Arial" w:cs="Arial"/>
        </w:rPr>
        <w:t>geotermalna tehnologija in hidroelektrarne</w:t>
      </w:r>
      <w:r w:rsidR="00D222F2" w:rsidRPr="00223E80">
        <w:rPr>
          <w:rFonts w:eastAsia="Arial" w:cs="Arial"/>
        </w:rPr>
        <w:t xml:space="preserve"> –</w:t>
      </w:r>
      <w:r w:rsidR="00516246" w:rsidRPr="00223E80">
        <w:rPr>
          <w:rFonts w:eastAsia="Arial" w:cs="Arial"/>
        </w:rPr>
        <w:t xml:space="preserve"> bo objavljen predvidoma v </w:t>
      </w:r>
      <w:r w:rsidRPr="00223E80">
        <w:rPr>
          <w:rFonts w:eastAsia="Arial" w:cs="Arial"/>
        </w:rPr>
        <w:t>letu 2023</w:t>
      </w:r>
      <w:r w:rsidR="00D222F2" w:rsidRPr="00223E80">
        <w:rPr>
          <w:rFonts w:eastAsia="Arial" w:cs="Arial"/>
        </w:rPr>
        <w:t>)</w:t>
      </w:r>
      <w:r w:rsidRPr="00223E80">
        <w:rPr>
          <w:rFonts w:eastAsia="Arial" w:cs="Arial"/>
        </w:rPr>
        <w:t xml:space="preserve">. </w:t>
      </w:r>
      <w:r w:rsidR="0029290E" w:rsidRPr="00223E80">
        <w:rPr>
          <w:rFonts w:eastAsia="Arial" w:cs="Arial"/>
        </w:rPr>
        <w:t>Če</w:t>
      </w:r>
      <w:r w:rsidR="00516246" w:rsidRPr="00223E80">
        <w:rPr>
          <w:rFonts w:eastAsia="Arial" w:cs="Arial"/>
        </w:rPr>
        <w:t xml:space="preserve"> sredstva ne bodo v celoti </w:t>
      </w:r>
      <w:r w:rsidRPr="00223E80">
        <w:rPr>
          <w:rFonts w:eastAsia="Arial" w:cs="Arial"/>
        </w:rPr>
        <w:t>porabljena</w:t>
      </w:r>
      <w:r w:rsidR="00516246" w:rsidRPr="00223E80">
        <w:rPr>
          <w:rFonts w:eastAsia="Arial" w:cs="Arial"/>
        </w:rPr>
        <w:t>, se v nadaljevanju predvideva vlaganj</w:t>
      </w:r>
      <w:r w:rsidRPr="00223E80">
        <w:rPr>
          <w:rFonts w:eastAsia="Arial" w:cs="Arial"/>
        </w:rPr>
        <w:t>e</w:t>
      </w:r>
      <w:r w:rsidR="00516246" w:rsidRPr="00223E80">
        <w:rPr>
          <w:rFonts w:eastAsia="Arial" w:cs="Arial"/>
        </w:rPr>
        <w:t xml:space="preserve"> </w:t>
      </w:r>
      <w:r w:rsidRPr="00223E80">
        <w:rPr>
          <w:rFonts w:eastAsia="Arial" w:cs="Arial"/>
        </w:rPr>
        <w:t>preostanka sredstev v</w:t>
      </w:r>
      <w:r w:rsidR="00516246" w:rsidRPr="00223E80">
        <w:rPr>
          <w:rFonts w:eastAsia="Arial" w:cs="Arial"/>
        </w:rPr>
        <w:t xml:space="preserve"> sončno </w:t>
      </w:r>
      <w:r w:rsidRPr="00223E80">
        <w:rPr>
          <w:rFonts w:eastAsia="Arial" w:cs="Arial"/>
        </w:rPr>
        <w:t>energijo za javne stavbe,</w:t>
      </w:r>
    </w:p>
    <w:p w14:paraId="5D0E09B1" w14:textId="4F74836D" w:rsidR="009570AF" w:rsidRPr="00223E80" w:rsidRDefault="00735ECC" w:rsidP="007E6ED7">
      <w:pPr>
        <w:numPr>
          <w:ilvl w:val="0"/>
          <w:numId w:val="17"/>
        </w:numPr>
        <w:spacing w:after="0"/>
        <w:contextualSpacing/>
        <w:rPr>
          <w:rFonts w:eastAsia="Arial" w:cs="Arial"/>
        </w:rPr>
      </w:pPr>
      <w:r w:rsidRPr="00223E80">
        <w:rPr>
          <w:rFonts w:eastAsia="Arial" w:cs="Arial"/>
        </w:rPr>
        <w:t>k</w:t>
      </w:r>
      <w:r w:rsidR="00516246" w:rsidRPr="00223E80">
        <w:rPr>
          <w:rFonts w:eastAsia="Arial" w:cs="Arial"/>
        </w:rPr>
        <w:t xml:space="preserve">repitev distribucijskega omrežja električne energije v skladu z naraščajočo porabo električne energije iz </w:t>
      </w:r>
      <w:r w:rsidRPr="00223E80">
        <w:rPr>
          <w:rFonts w:eastAsia="Arial" w:cs="Arial"/>
        </w:rPr>
        <w:t xml:space="preserve">OVE. Predvideno je podpreti </w:t>
      </w:r>
      <w:r w:rsidR="00516246" w:rsidRPr="00223E80">
        <w:rPr>
          <w:rFonts w:eastAsia="Arial" w:cs="Arial"/>
        </w:rPr>
        <w:t xml:space="preserve">980 novih transformatorskih postaj in 1520 km </w:t>
      </w:r>
      <w:r w:rsidRPr="00223E80">
        <w:rPr>
          <w:rFonts w:eastAsia="Arial" w:cs="Arial"/>
        </w:rPr>
        <w:t>novega nizkonapetostnega omrežja (javn</w:t>
      </w:r>
      <w:r w:rsidR="00C43B6C" w:rsidRPr="00223E80">
        <w:rPr>
          <w:rFonts w:eastAsia="Arial" w:cs="Arial"/>
        </w:rPr>
        <w:t>a</w:t>
      </w:r>
      <w:r w:rsidR="00516246" w:rsidRPr="00223E80">
        <w:rPr>
          <w:rFonts w:eastAsia="Arial" w:cs="Arial"/>
        </w:rPr>
        <w:t xml:space="preserve"> razpis</w:t>
      </w:r>
      <w:r w:rsidR="00C43B6C" w:rsidRPr="00223E80">
        <w:rPr>
          <w:rFonts w:eastAsia="Arial" w:cs="Arial"/>
        </w:rPr>
        <w:t>a</w:t>
      </w:r>
      <w:r w:rsidR="00516246" w:rsidRPr="00223E80">
        <w:rPr>
          <w:rFonts w:eastAsia="Arial" w:cs="Arial"/>
        </w:rPr>
        <w:t xml:space="preserve"> v višin</w:t>
      </w:r>
      <w:r w:rsidRPr="00223E80">
        <w:rPr>
          <w:rFonts w:eastAsia="Arial" w:cs="Arial"/>
        </w:rPr>
        <w:t>i</w:t>
      </w:r>
      <w:r w:rsidR="00516246" w:rsidRPr="00223E80">
        <w:rPr>
          <w:rFonts w:eastAsia="Arial" w:cs="Arial"/>
        </w:rPr>
        <w:t xml:space="preserve"> 80 mio EUR sredstev NOO bosta objavljena predvidoma konec </w:t>
      </w:r>
      <w:r w:rsidRPr="00223E80">
        <w:rPr>
          <w:rFonts w:eastAsia="Arial" w:cs="Arial"/>
        </w:rPr>
        <w:t>leta 2022)</w:t>
      </w:r>
      <w:r w:rsidR="009570AF" w:rsidRPr="00223E80">
        <w:rPr>
          <w:rFonts w:eastAsia="Arial" w:cs="Arial"/>
        </w:rPr>
        <w:t>.</w:t>
      </w:r>
    </w:p>
    <w:p w14:paraId="7E96A0A4" w14:textId="77777777" w:rsidR="000A73E1" w:rsidRPr="00223E80" w:rsidRDefault="000A73E1" w:rsidP="000A73E1">
      <w:pPr>
        <w:spacing w:after="0"/>
        <w:contextualSpacing/>
        <w:rPr>
          <w:rFonts w:eastAsia="Arial" w:cs="Arial"/>
        </w:rPr>
      </w:pPr>
    </w:p>
    <w:p w14:paraId="739DAF82" w14:textId="77777777" w:rsidR="000A73E1" w:rsidRPr="00223E80" w:rsidRDefault="000A73E1" w:rsidP="000A73E1">
      <w:pPr>
        <w:spacing w:after="0"/>
        <w:contextualSpacing/>
        <w:rPr>
          <w:rFonts w:eastAsia="Arial" w:cs="Arial"/>
        </w:rPr>
      </w:pPr>
      <w:r w:rsidRPr="00223E80">
        <w:rPr>
          <w:rFonts w:eastAsia="Arial" w:cs="Arial"/>
        </w:rPr>
        <w:t>V</w:t>
      </w:r>
      <w:r w:rsidRPr="00223E80">
        <w:rPr>
          <w:rFonts w:cs="Arial"/>
          <w:noProof/>
        </w:rPr>
        <w:t xml:space="preserve"> okviru naložbenega načrta za trajnostno Evropo so predvideni različni viri financiranja zelenega prehoda, in sicer v okviru proračuna EU in različnih skladov, pa tudi skupine EIB. Naložbeni načrt za trajnostno Evropo bo predvidoma v tem desetletju iz proračuna EU in povezanih instrumentov mobiliziral zasebne in javne trajnostne naložbe v višini vsaj 1 000 milijard EUR. Za doseganje sedanjih podnebnih in energetskih ciljev za leto 2030 bodo na ravni EU potrebne letne naložbe v višini približno 1,5 % BDP.</w:t>
      </w:r>
    </w:p>
    <w:p w14:paraId="0362F8DB" w14:textId="77777777" w:rsidR="00516246" w:rsidRPr="00223E80" w:rsidRDefault="00516246" w:rsidP="008F77A8">
      <w:pPr>
        <w:spacing w:after="0"/>
        <w:contextualSpacing/>
        <w:rPr>
          <w:rFonts w:eastAsia="Arial" w:cs="Arial"/>
        </w:rPr>
      </w:pPr>
    </w:p>
    <w:p w14:paraId="06F188F5" w14:textId="77777777" w:rsidR="00F82DAF" w:rsidRPr="00223E80" w:rsidRDefault="00F82DAF" w:rsidP="009570AF">
      <w:pPr>
        <w:shd w:val="clear" w:color="auto" w:fill="FFFFFF"/>
        <w:spacing w:after="0" w:line="240" w:lineRule="auto"/>
        <w:rPr>
          <w:rFonts w:cs="Arial"/>
          <w:b/>
          <w:color w:val="000000"/>
          <w:sz w:val="24"/>
          <w:szCs w:val="24"/>
        </w:rPr>
      </w:pPr>
      <w:r w:rsidRPr="00223E80">
        <w:rPr>
          <w:rFonts w:cs="Arial"/>
          <w:b/>
          <w:color w:val="000000"/>
          <w:sz w:val="24"/>
          <w:szCs w:val="24"/>
        </w:rPr>
        <w:t>Načrt REPowerEU</w:t>
      </w:r>
    </w:p>
    <w:p w14:paraId="7B1FD699" w14:textId="77777777" w:rsidR="00F82DAF" w:rsidRPr="00223E80" w:rsidRDefault="00F82DAF" w:rsidP="001C1DE2">
      <w:pPr>
        <w:shd w:val="clear" w:color="auto" w:fill="FFFFFF"/>
        <w:spacing w:after="0"/>
        <w:rPr>
          <w:rFonts w:eastAsia="Arial" w:cs="Arial"/>
        </w:rPr>
      </w:pPr>
      <w:r w:rsidRPr="00223E80">
        <w:rPr>
          <w:rFonts w:eastAsia="Arial" w:cs="Arial"/>
        </w:rPr>
        <w:t>Nova geopolitična realnost in realnost na trgu energije zahtevata pospešen prehod na čisto energijo ter povečanje energijske neodvisnosti Unije od nezanesljivih dobaviteljev in fosilnih goriv, za katera so značilna izredna nihanja cen. REPowerEU je načrt Evropske komisije, da glede na rusko invazijo na Ukrajino Uniji zagotovi neodvisnost od ruskih fosilnih goriv precej pred letom 2030. Ta načrt predvideva vrsto ukrepov za hitro zmanjšanje odvisnosti od ruskih fosilnih goriv in pospešen zeleni prehod ter za hkratno povečanje odpornosti energetskega sistema na ravni EU.</w:t>
      </w:r>
    </w:p>
    <w:p w14:paraId="0F78A33F" w14:textId="77777777" w:rsidR="005E1229" w:rsidRPr="00223E80" w:rsidRDefault="005E1229" w:rsidP="001C1DE2">
      <w:pPr>
        <w:shd w:val="clear" w:color="auto" w:fill="FFFFFF"/>
        <w:spacing w:after="0"/>
        <w:rPr>
          <w:rFonts w:eastAsia="Arial" w:cs="Arial"/>
        </w:rPr>
      </w:pPr>
    </w:p>
    <w:p w14:paraId="221B5E83" w14:textId="77777777" w:rsidR="005E1229" w:rsidRPr="00223E80" w:rsidRDefault="005E1229" w:rsidP="005E1229">
      <w:pPr>
        <w:shd w:val="clear" w:color="auto" w:fill="FFFFFF"/>
        <w:spacing w:after="0"/>
        <w:rPr>
          <w:rFonts w:eastAsia="Arial" w:cs="Arial"/>
          <w:b/>
        </w:rPr>
      </w:pPr>
      <w:r w:rsidRPr="00223E80">
        <w:rPr>
          <w:rFonts w:eastAsia="Arial" w:cs="Arial"/>
          <w:b/>
        </w:rPr>
        <w:t>Norveški finančni mehanizem in Finančni mehanizem EGP 2014–2021</w:t>
      </w:r>
    </w:p>
    <w:p w14:paraId="0F058B07" w14:textId="3727CCE9" w:rsidR="005E1229" w:rsidRPr="00223E80" w:rsidRDefault="005E1229" w:rsidP="005E1229">
      <w:pPr>
        <w:shd w:val="clear" w:color="auto" w:fill="FFFFFF"/>
        <w:spacing w:after="0"/>
        <w:rPr>
          <w:rFonts w:eastAsia="Arial" w:cs="Arial"/>
        </w:rPr>
      </w:pPr>
      <w:r w:rsidRPr="00223E80">
        <w:rPr>
          <w:rFonts w:eastAsia="Arial" w:cs="Arial"/>
        </w:rPr>
        <w:t xml:space="preserve">Slovenija je v obdobju </w:t>
      </w:r>
      <w:r w:rsidR="008C7D25" w:rsidRPr="00223E80">
        <w:rPr>
          <w:rFonts w:eastAsia="Arial" w:cs="Arial"/>
        </w:rPr>
        <w:t xml:space="preserve">2014–2021 </w:t>
      </w:r>
      <w:r w:rsidRPr="00223E80">
        <w:rPr>
          <w:rFonts w:eastAsia="Arial" w:cs="Arial"/>
        </w:rPr>
        <w:t>upravičena do 37,7 milijona evrov sredstev iz obeh finančnih mehanizmov.</w:t>
      </w:r>
    </w:p>
    <w:p w14:paraId="62B3514D" w14:textId="77777777" w:rsidR="00F82DAF" w:rsidRPr="00223E80" w:rsidRDefault="00F82DAF" w:rsidP="00F82DAF">
      <w:pPr>
        <w:spacing w:after="0"/>
        <w:contextualSpacing/>
        <w:rPr>
          <w:rFonts w:eastAsia="Arial" w:cs="Arial"/>
        </w:rPr>
      </w:pPr>
    </w:p>
    <w:p w14:paraId="1442D4F0" w14:textId="77777777" w:rsidR="009E3DC6" w:rsidRPr="00223E80" w:rsidRDefault="000638D3" w:rsidP="00A520AC">
      <w:pPr>
        <w:pStyle w:val="Naslov2"/>
      </w:pPr>
      <w:bookmarkStart w:id="31" w:name="_Toc112143987"/>
      <w:r w:rsidRPr="00223E80">
        <w:t>4.7</w:t>
      </w:r>
      <w:r w:rsidR="00584D80" w:rsidRPr="00223E80">
        <w:t xml:space="preserve"> </w:t>
      </w:r>
      <w:r w:rsidR="00ED3983" w:rsidRPr="00223E80">
        <w:t>Drugi pomembnejši ukrepi in viri sredstev</w:t>
      </w:r>
      <w:bookmarkEnd w:id="31"/>
    </w:p>
    <w:p w14:paraId="62EFA61F" w14:textId="77777777" w:rsidR="006243C4" w:rsidRPr="00223E80" w:rsidRDefault="006243C4" w:rsidP="007E6ED7">
      <w:pPr>
        <w:keepNext/>
        <w:spacing w:after="0"/>
        <w:outlineLvl w:val="1"/>
        <w:rPr>
          <w:rFonts w:eastAsia="Arial" w:cs="Arial"/>
        </w:rPr>
      </w:pPr>
    </w:p>
    <w:p w14:paraId="1EC4D02D" w14:textId="29590C8A" w:rsidR="006243C4" w:rsidRPr="00223E80" w:rsidRDefault="006243C4" w:rsidP="00281A21">
      <w:r w:rsidRPr="00223E80">
        <w:t>V nadaljevanju so predstavljeni še drugi pomembnejši ukrepi in viri</w:t>
      </w:r>
      <w:r w:rsidR="00C20C80" w:rsidRPr="00223E80">
        <w:t>,</w:t>
      </w:r>
      <w:r w:rsidRPr="00223E80">
        <w:t xml:space="preserve"> s pomočjo katerih se spodbujajo </w:t>
      </w:r>
      <w:r w:rsidR="00735ECC" w:rsidRPr="00223E80">
        <w:t>OVE</w:t>
      </w:r>
      <w:r w:rsidRPr="00223E80">
        <w:t xml:space="preserve">. </w:t>
      </w:r>
      <w:r w:rsidR="00F71F42" w:rsidRPr="00223E80">
        <w:t>T</w:t>
      </w:r>
      <w:r w:rsidR="00F8143A" w:rsidRPr="00223E80">
        <w:t>reb</w:t>
      </w:r>
      <w:r w:rsidR="00F71F42" w:rsidRPr="00223E80">
        <w:t>a</w:t>
      </w:r>
      <w:r w:rsidR="00F8143A" w:rsidRPr="00223E80">
        <w:t xml:space="preserve"> je izpostaviti, da se spodbujajo </w:t>
      </w:r>
      <w:r w:rsidR="00735ECC" w:rsidRPr="00223E80">
        <w:t>OVE</w:t>
      </w:r>
      <w:r w:rsidR="00F8143A" w:rsidRPr="00223E80">
        <w:t xml:space="preserve"> tudi prek drugih trajnostnih in zelenih politik (npr. raziskave in razvoj, industrijska politika, kmetijska politika,</w:t>
      </w:r>
      <w:r w:rsidR="00F71F42" w:rsidRPr="00223E80">
        <w:t xml:space="preserve"> </w:t>
      </w:r>
      <w:r w:rsidR="00F8143A" w:rsidRPr="00223E80">
        <w:t>…)</w:t>
      </w:r>
      <w:r w:rsidR="00735ECC" w:rsidRPr="00223E80">
        <w:t>, ki pa niso predstavljen</w:t>
      </w:r>
      <w:r w:rsidR="00421F0E" w:rsidRPr="00223E80">
        <w:t>e</w:t>
      </w:r>
      <w:r w:rsidR="00735ECC" w:rsidRPr="00223E80">
        <w:t xml:space="preserve"> v okviru tega dolgoročnega </w:t>
      </w:r>
      <w:r w:rsidR="003F5A36" w:rsidRPr="00223E80">
        <w:t xml:space="preserve">časovnega </w:t>
      </w:r>
      <w:r w:rsidR="00735ECC" w:rsidRPr="00223E80">
        <w:t>načrta</w:t>
      </w:r>
      <w:r w:rsidR="00F8143A" w:rsidRPr="00223E80">
        <w:t xml:space="preserve">. </w:t>
      </w:r>
    </w:p>
    <w:p w14:paraId="7F730AD0" w14:textId="77777777" w:rsidR="007D5D1F" w:rsidRPr="00223E80" w:rsidRDefault="007D5D1F" w:rsidP="00A520AC">
      <w:pPr>
        <w:pStyle w:val="Naslov3"/>
      </w:pPr>
    </w:p>
    <w:p w14:paraId="7B72BDCD" w14:textId="77777777" w:rsidR="00DB6628" w:rsidRPr="00223E80" w:rsidRDefault="00DB6628" w:rsidP="00DB6628">
      <w:pPr>
        <w:rPr>
          <w:lang w:eastAsia="x-none"/>
        </w:rPr>
      </w:pPr>
    </w:p>
    <w:p w14:paraId="7BE86591" w14:textId="77777777" w:rsidR="004D20F6" w:rsidRPr="00223E80" w:rsidRDefault="00325D81" w:rsidP="00A520AC">
      <w:pPr>
        <w:pStyle w:val="Naslov3"/>
      </w:pPr>
      <w:bookmarkStart w:id="32" w:name="_Toc112143988"/>
      <w:r w:rsidRPr="00223E80">
        <w:t>4.7</w:t>
      </w:r>
      <w:r w:rsidR="00006FD4" w:rsidRPr="00223E80">
        <w:t>.</w:t>
      </w:r>
      <w:r w:rsidR="001858EF" w:rsidRPr="00223E80">
        <w:t xml:space="preserve">1 </w:t>
      </w:r>
      <w:r w:rsidR="00281A21" w:rsidRPr="00223E80">
        <w:t xml:space="preserve">  </w:t>
      </w:r>
      <w:r w:rsidR="00275EE8" w:rsidRPr="00223E80">
        <w:t>K</w:t>
      </w:r>
      <w:r w:rsidR="009E3DC6" w:rsidRPr="00223E80">
        <w:t>ontaktn</w:t>
      </w:r>
      <w:r w:rsidR="00275EE8" w:rsidRPr="00223E80">
        <w:t>a</w:t>
      </w:r>
      <w:r w:rsidR="009E3DC6" w:rsidRPr="00223E80">
        <w:t xml:space="preserve"> točk</w:t>
      </w:r>
      <w:r w:rsidR="00275EE8" w:rsidRPr="00223E80">
        <w:t>a</w:t>
      </w:r>
      <w:r w:rsidR="009E3DC6" w:rsidRPr="00223E80">
        <w:t xml:space="preserve"> za spodbujanje rabe obnovljivih virov energije</w:t>
      </w:r>
      <w:bookmarkEnd w:id="32"/>
    </w:p>
    <w:p w14:paraId="1D8D74DF" w14:textId="77777777" w:rsidR="007E6ED7" w:rsidRPr="00963C64" w:rsidRDefault="007E6ED7" w:rsidP="007E6ED7">
      <w:pPr>
        <w:keepNext/>
        <w:spacing w:after="0"/>
        <w:outlineLvl w:val="1"/>
        <w:rPr>
          <w:rFonts w:eastAsia="Times New Roman"/>
          <w:b/>
          <w:iCs/>
          <w:color w:val="3A4A3E"/>
        </w:rPr>
      </w:pPr>
    </w:p>
    <w:p w14:paraId="56C958F7" w14:textId="77777777" w:rsidR="004D20F6" w:rsidRPr="00223E80" w:rsidRDefault="004677B6" w:rsidP="007E6ED7">
      <w:pPr>
        <w:spacing w:after="0"/>
        <w:rPr>
          <w:rFonts w:eastAsia="Arial" w:cs="Arial"/>
        </w:rPr>
      </w:pPr>
      <w:r w:rsidRPr="00223E80">
        <w:rPr>
          <w:rFonts w:eastAsia="Arial" w:cs="Arial"/>
        </w:rPr>
        <w:t>ZSROVE</w:t>
      </w:r>
      <w:r w:rsidR="004D20F6" w:rsidRPr="00223E80">
        <w:rPr>
          <w:rFonts w:eastAsia="Arial" w:cs="Arial"/>
        </w:rPr>
        <w:t xml:space="preserve"> v 51. členu </w:t>
      </w:r>
      <w:r w:rsidR="00735ECC" w:rsidRPr="00223E80">
        <w:rPr>
          <w:rFonts w:eastAsia="Arial" w:cs="Arial"/>
        </w:rPr>
        <w:t>predpisuje</w:t>
      </w:r>
      <w:r w:rsidR="004D20F6" w:rsidRPr="00223E80">
        <w:rPr>
          <w:rFonts w:eastAsia="Arial" w:cs="Arial"/>
        </w:rPr>
        <w:t xml:space="preserve"> kontaktno točko in njene naloge z namenom, da se pomaga vlagatelju pri komuniciranju s pristojnimi organi v postopkih pri uresničevanju investicije v proizvodno napravo na </w:t>
      </w:r>
      <w:r w:rsidR="00735ECC" w:rsidRPr="00223E80">
        <w:rPr>
          <w:rFonts w:eastAsia="Arial" w:cs="Arial"/>
        </w:rPr>
        <w:t>OVE</w:t>
      </w:r>
      <w:r w:rsidR="004D20F6" w:rsidRPr="00223E80">
        <w:rPr>
          <w:rFonts w:eastAsia="Arial" w:cs="Arial"/>
        </w:rPr>
        <w:t xml:space="preserve"> ter v hranilnike v povezavi s proizvodnimi napravami na </w:t>
      </w:r>
      <w:r w:rsidR="00735ECC" w:rsidRPr="00223E80">
        <w:rPr>
          <w:rFonts w:eastAsia="Arial" w:cs="Arial"/>
        </w:rPr>
        <w:t>OVE</w:t>
      </w:r>
      <w:r w:rsidR="004D20F6" w:rsidRPr="00223E80">
        <w:rPr>
          <w:rFonts w:eastAsia="Arial" w:cs="Arial"/>
        </w:rPr>
        <w:t>.</w:t>
      </w:r>
    </w:p>
    <w:p w14:paraId="0566E04A" w14:textId="77777777" w:rsidR="004D20F6" w:rsidRPr="00223E80" w:rsidRDefault="004D20F6" w:rsidP="007E6ED7">
      <w:pPr>
        <w:spacing w:after="0"/>
        <w:rPr>
          <w:rFonts w:eastAsia="Arial" w:cs="Arial"/>
        </w:rPr>
      </w:pPr>
    </w:p>
    <w:p w14:paraId="56B72137" w14:textId="67943257" w:rsidR="004D20F6" w:rsidRPr="00223E80" w:rsidRDefault="000A73E1" w:rsidP="007E6ED7">
      <w:pPr>
        <w:spacing w:after="0"/>
        <w:rPr>
          <w:rFonts w:eastAsia="Arial" w:cs="Arial"/>
        </w:rPr>
      </w:pPr>
      <w:r w:rsidRPr="00223E80">
        <w:rPr>
          <w:rFonts w:eastAsia="Arial" w:cs="Arial"/>
        </w:rPr>
        <w:lastRenderedPageBreak/>
        <w:t xml:space="preserve">Na podlagi obstoječe zakonodaje so umeščanje </w:t>
      </w:r>
      <w:r w:rsidR="004D20F6" w:rsidRPr="00223E80">
        <w:rPr>
          <w:rFonts w:eastAsia="Arial" w:cs="Arial"/>
        </w:rPr>
        <w:t>v prostor, upravni in drugi postopki ter usklajevanj</w:t>
      </w:r>
      <w:r w:rsidR="00421F0E" w:rsidRPr="00223E80">
        <w:rPr>
          <w:rFonts w:eastAsia="Arial" w:cs="Arial"/>
        </w:rPr>
        <w:t>a</w:t>
      </w:r>
      <w:r w:rsidR="004D20F6" w:rsidRPr="00223E80">
        <w:rPr>
          <w:rFonts w:eastAsia="Arial" w:cs="Arial"/>
        </w:rPr>
        <w:t xml:space="preserve"> med različnimi organi za izdajo dovoljenj in drugih aktov </w:t>
      </w:r>
      <w:r w:rsidRPr="00223E80">
        <w:rPr>
          <w:rFonts w:eastAsia="Arial" w:cs="Arial"/>
        </w:rPr>
        <w:t>dolgotrajni</w:t>
      </w:r>
      <w:r w:rsidR="00DA48CC" w:rsidRPr="00223E80">
        <w:rPr>
          <w:rFonts w:eastAsia="Arial" w:cs="Arial"/>
        </w:rPr>
        <w:t xml:space="preserve">. </w:t>
      </w:r>
      <w:r w:rsidR="004D20F6" w:rsidRPr="00223E80">
        <w:rPr>
          <w:rFonts w:eastAsia="Arial" w:cs="Arial"/>
        </w:rPr>
        <w:t xml:space="preserve">Ti postopki so kompleksni, med seboj prepleteni in povzročajo </w:t>
      </w:r>
      <w:r w:rsidR="00C44E5F" w:rsidRPr="00223E80">
        <w:rPr>
          <w:rFonts w:eastAsia="Arial" w:cs="Arial"/>
        </w:rPr>
        <w:t xml:space="preserve">investitorjem </w:t>
      </w:r>
      <w:r w:rsidR="004D20F6" w:rsidRPr="00223E80">
        <w:rPr>
          <w:rFonts w:eastAsia="Arial" w:cs="Arial"/>
        </w:rPr>
        <w:t>dodatne stroške.</w:t>
      </w:r>
    </w:p>
    <w:p w14:paraId="4A822CDF" w14:textId="77777777" w:rsidR="004D20F6" w:rsidRPr="00223E80" w:rsidRDefault="004D20F6" w:rsidP="007E6ED7">
      <w:pPr>
        <w:spacing w:after="0"/>
        <w:rPr>
          <w:rFonts w:eastAsia="Arial" w:cs="Arial"/>
        </w:rPr>
      </w:pPr>
    </w:p>
    <w:p w14:paraId="7F004472" w14:textId="6D58ACC5" w:rsidR="00DA48CC" w:rsidRPr="00223E80" w:rsidRDefault="006261AD" w:rsidP="007E6ED7">
      <w:pPr>
        <w:spacing w:after="0"/>
        <w:rPr>
          <w:rFonts w:eastAsia="Arial" w:cs="Arial"/>
        </w:rPr>
      </w:pPr>
      <w:r w:rsidRPr="00223E80">
        <w:rPr>
          <w:rFonts w:eastAsia="Arial" w:cs="Arial"/>
        </w:rPr>
        <w:t xml:space="preserve">Kontaktne točke bodo </w:t>
      </w:r>
      <w:r w:rsidR="00421F0E" w:rsidRPr="00223E80">
        <w:rPr>
          <w:rFonts w:eastAsia="Arial" w:cs="Arial"/>
        </w:rPr>
        <w:t>z</w:t>
      </w:r>
      <w:r w:rsidR="00DA48CC" w:rsidRPr="00223E80">
        <w:rPr>
          <w:rFonts w:eastAsia="Arial" w:cs="Arial"/>
        </w:rPr>
        <w:t>agotovi</w:t>
      </w:r>
      <w:r w:rsidRPr="00223E80">
        <w:rPr>
          <w:rFonts w:eastAsia="Arial" w:cs="Arial"/>
        </w:rPr>
        <w:t>l</w:t>
      </w:r>
      <w:r w:rsidR="00DA48CC" w:rsidRPr="00223E80">
        <w:rPr>
          <w:rFonts w:eastAsia="Arial" w:cs="Arial"/>
        </w:rPr>
        <w:t xml:space="preserve">e </w:t>
      </w:r>
      <w:r w:rsidRPr="00223E80">
        <w:rPr>
          <w:rFonts w:eastAsia="Arial" w:cs="Arial"/>
        </w:rPr>
        <w:t xml:space="preserve">vložniku </w:t>
      </w:r>
      <w:r w:rsidR="00DA48CC" w:rsidRPr="00223E80">
        <w:rPr>
          <w:rFonts w:eastAsia="Arial" w:cs="Arial"/>
        </w:rPr>
        <w:t>brezplačn</w:t>
      </w:r>
      <w:r w:rsidRPr="00223E80">
        <w:rPr>
          <w:rFonts w:eastAsia="Arial" w:cs="Arial"/>
        </w:rPr>
        <w:t>o</w:t>
      </w:r>
      <w:r w:rsidR="00DA48CC" w:rsidRPr="00223E80">
        <w:rPr>
          <w:rFonts w:eastAsia="Arial" w:cs="Arial"/>
        </w:rPr>
        <w:t xml:space="preserve"> strokovn</w:t>
      </w:r>
      <w:r w:rsidRPr="00223E80">
        <w:rPr>
          <w:rFonts w:eastAsia="Arial" w:cs="Arial"/>
        </w:rPr>
        <w:t>o</w:t>
      </w:r>
      <w:r w:rsidR="00DA48CC" w:rsidRPr="00223E80">
        <w:rPr>
          <w:rFonts w:eastAsia="Arial" w:cs="Arial"/>
        </w:rPr>
        <w:t xml:space="preserve"> pomoč </w:t>
      </w:r>
      <w:r w:rsidRPr="00223E80">
        <w:rPr>
          <w:rFonts w:eastAsia="Arial" w:cs="Arial"/>
        </w:rPr>
        <w:t xml:space="preserve">v </w:t>
      </w:r>
      <w:r w:rsidR="00DA48CC" w:rsidRPr="00223E80">
        <w:rPr>
          <w:rFonts w:eastAsia="Arial" w:cs="Arial"/>
        </w:rPr>
        <w:t>upravn</w:t>
      </w:r>
      <w:r w:rsidRPr="00223E80">
        <w:rPr>
          <w:rFonts w:eastAsia="Arial" w:cs="Arial"/>
        </w:rPr>
        <w:t>ih</w:t>
      </w:r>
      <w:r w:rsidR="00DA48CC" w:rsidRPr="00223E80">
        <w:rPr>
          <w:rFonts w:eastAsia="Arial" w:cs="Arial"/>
        </w:rPr>
        <w:t xml:space="preserve"> in drug</w:t>
      </w:r>
      <w:r w:rsidRPr="00223E80">
        <w:rPr>
          <w:rFonts w:eastAsia="Arial" w:cs="Arial"/>
        </w:rPr>
        <w:t>ih</w:t>
      </w:r>
      <w:r w:rsidR="00DA48CC" w:rsidRPr="00223E80">
        <w:rPr>
          <w:rFonts w:eastAsia="Arial" w:cs="Arial"/>
        </w:rPr>
        <w:t xml:space="preserve"> postopk</w:t>
      </w:r>
      <w:r w:rsidRPr="00223E80">
        <w:rPr>
          <w:rFonts w:eastAsia="Arial" w:cs="Arial"/>
        </w:rPr>
        <w:t>ih</w:t>
      </w:r>
      <w:r w:rsidR="00DA48CC" w:rsidRPr="00223E80">
        <w:rPr>
          <w:rFonts w:eastAsia="Arial" w:cs="Arial"/>
        </w:rPr>
        <w:t xml:space="preserve"> za izdajo dovoljenj in drugih aktov</w:t>
      </w:r>
      <w:r w:rsidR="0001322C" w:rsidRPr="00223E80">
        <w:rPr>
          <w:rFonts w:eastAsia="Arial" w:cs="Arial"/>
        </w:rPr>
        <w:t>,</w:t>
      </w:r>
      <w:r w:rsidR="00DA48CC" w:rsidRPr="00223E80">
        <w:rPr>
          <w:rFonts w:eastAsia="Arial" w:cs="Arial"/>
        </w:rPr>
        <w:t xml:space="preserve"> </w:t>
      </w:r>
      <w:r w:rsidR="0001322C" w:rsidRPr="00223E80">
        <w:rPr>
          <w:rFonts w:eastAsia="Arial" w:cs="Arial"/>
        </w:rPr>
        <w:t>kar</w:t>
      </w:r>
      <w:r w:rsidR="00DA48CC" w:rsidRPr="00223E80">
        <w:rPr>
          <w:rFonts w:eastAsia="Arial" w:cs="Arial"/>
        </w:rPr>
        <w:t xml:space="preserve"> </w:t>
      </w:r>
      <w:r w:rsidR="003F5A36" w:rsidRPr="00223E80">
        <w:rPr>
          <w:rFonts w:eastAsia="Arial" w:cs="Arial"/>
        </w:rPr>
        <w:t xml:space="preserve">bo imelo </w:t>
      </w:r>
      <w:r w:rsidR="00DA48CC" w:rsidRPr="00223E80">
        <w:rPr>
          <w:rFonts w:eastAsia="Arial" w:cs="Arial"/>
        </w:rPr>
        <w:t>pozitivne učinke na povečanje deleža OVE in s tem na doseganje zavezujočih nacionalnih ciljev.</w:t>
      </w:r>
    </w:p>
    <w:p w14:paraId="484EB6A9" w14:textId="77777777" w:rsidR="004677B6" w:rsidRPr="00223E80" w:rsidRDefault="004677B6" w:rsidP="007E6ED7">
      <w:pPr>
        <w:spacing w:after="0"/>
        <w:rPr>
          <w:rFonts w:eastAsia="Arial" w:cs="Arial"/>
        </w:rPr>
      </w:pPr>
    </w:p>
    <w:p w14:paraId="0EC244F1" w14:textId="428A9788" w:rsidR="00DA48CC" w:rsidRPr="00223E80" w:rsidRDefault="004D20F6" w:rsidP="007E6ED7">
      <w:pPr>
        <w:spacing w:after="0"/>
        <w:rPr>
          <w:rFonts w:eastAsia="Arial" w:cs="Arial"/>
        </w:rPr>
      </w:pPr>
      <w:r w:rsidRPr="00223E80">
        <w:rPr>
          <w:rFonts w:eastAsia="Arial" w:cs="Arial"/>
        </w:rPr>
        <w:t>Naloge kontaktne točke skladn</w:t>
      </w:r>
      <w:r w:rsidR="004677B6" w:rsidRPr="00223E80">
        <w:rPr>
          <w:rFonts w:eastAsia="Arial" w:cs="Arial"/>
        </w:rPr>
        <w:t>o z 18. členom ZSROVE opravlja</w:t>
      </w:r>
      <w:r w:rsidRPr="00223E80">
        <w:rPr>
          <w:rFonts w:eastAsia="Arial" w:cs="Arial"/>
        </w:rPr>
        <w:t xml:space="preserve"> gospodarska družba, ki opravlja dejavnost centra za podpore. </w:t>
      </w:r>
      <w:r w:rsidR="00D30872" w:rsidRPr="00223E80">
        <w:rPr>
          <w:rFonts w:eastAsia="Arial" w:cs="Arial"/>
        </w:rPr>
        <w:t>K</w:t>
      </w:r>
      <w:r w:rsidRPr="00223E80">
        <w:rPr>
          <w:rFonts w:eastAsia="Arial" w:cs="Arial"/>
        </w:rPr>
        <w:t>ontaktne točke se bodo financirale iz sredstev za podpore v skladu s 16. členom ZSROVE.</w:t>
      </w:r>
      <w:r w:rsidR="00735ECC" w:rsidRPr="00223E80">
        <w:rPr>
          <w:rFonts w:eastAsia="Arial" w:cs="Arial"/>
        </w:rPr>
        <w:t xml:space="preserve"> </w:t>
      </w:r>
      <w:r w:rsidR="00097BB7" w:rsidRPr="00223E80">
        <w:rPr>
          <w:rFonts w:eastAsia="Arial" w:cs="Arial"/>
        </w:rPr>
        <w:t xml:space="preserve">Podrobneje so vsebine kontaktne točke urejene v Uredbi o določitvi nalog kontaktne točke za spodbujanje rabe obnovljivih virov energije (Uradni list RS, št. 50/22). </w:t>
      </w:r>
    </w:p>
    <w:p w14:paraId="4DDB9955" w14:textId="77777777" w:rsidR="007E6ED7" w:rsidRPr="00223E80" w:rsidRDefault="007E6ED7" w:rsidP="007E6ED7">
      <w:pPr>
        <w:spacing w:after="0"/>
        <w:rPr>
          <w:rFonts w:eastAsia="Arial" w:cs="Arial"/>
        </w:rPr>
      </w:pPr>
    </w:p>
    <w:p w14:paraId="7C962C2A" w14:textId="52E83981" w:rsidR="00275EE8" w:rsidRPr="00223E80" w:rsidRDefault="00A021FE" w:rsidP="00A520AC">
      <w:pPr>
        <w:pStyle w:val="Naslov3"/>
      </w:pPr>
      <w:bookmarkStart w:id="33" w:name="_Toc112143989"/>
      <w:r w:rsidRPr="00223E80">
        <w:t>4.7.2</w:t>
      </w:r>
      <w:r w:rsidR="00006FD4" w:rsidRPr="00223E80">
        <w:t xml:space="preserve">   Ukrep U</w:t>
      </w:r>
      <w:r w:rsidR="00275EE8" w:rsidRPr="00223E80">
        <w:t>pravljanje z energijo v javnem sektorju</w:t>
      </w:r>
      <w:bookmarkEnd w:id="33"/>
    </w:p>
    <w:p w14:paraId="282942BE" w14:textId="77777777" w:rsidR="007E6ED7" w:rsidRPr="00223E80" w:rsidRDefault="007E6ED7" w:rsidP="007E6ED7">
      <w:pPr>
        <w:keepNext/>
        <w:spacing w:after="0"/>
        <w:outlineLvl w:val="1"/>
        <w:rPr>
          <w:rFonts w:eastAsia="Arial" w:cs="Arial"/>
        </w:rPr>
      </w:pPr>
    </w:p>
    <w:p w14:paraId="51F233B0" w14:textId="702EA0C0" w:rsidR="00275EE8" w:rsidRPr="00223E80" w:rsidRDefault="00275EE8" w:rsidP="00281A21">
      <w:r w:rsidRPr="00223E80">
        <w:t xml:space="preserve">Nacionalna obveznost vzpostavitve sistema upravljanja z energijo v stavbah javnega sektorja je določena v 15. členu Zakona o učinkoviti rabi energije (Uradni list RS, št. </w:t>
      </w:r>
      <w:hyperlink r:id="rId28" w:tgtFrame="_blank" w:tooltip="Zakon o učinkoviti rabi energije (ZURE)" w:history="1">
        <w:r w:rsidRPr="00223E80">
          <w:t>158/20</w:t>
        </w:r>
      </w:hyperlink>
      <w:r w:rsidRPr="00223E80">
        <w:t xml:space="preserve">) </w:t>
      </w:r>
      <w:r w:rsidR="00B15A2D" w:rsidRPr="00223E80">
        <w:t>in</w:t>
      </w:r>
      <w:r w:rsidRPr="00223E80">
        <w:t xml:space="preserve"> podzakonskem aktu Uredba o upravljanju z energijo v javnem sektorju (Uradni list RS, št. </w:t>
      </w:r>
      <w:hyperlink r:id="rId29" w:tgtFrame="_blank" w:tooltip="Uredba o upravljanju z energijo v javnem sektorju" w:history="1">
        <w:r w:rsidRPr="00223E80">
          <w:t>52/16</w:t>
        </w:r>
      </w:hyperlink>
      <w:r w:rsidRPr="00223E80">
        <w:t xml:space="preserve">, </w:t>
      </w:r>
      <w:hyperlink r:id="rId30" w:tgtFrame="_blank" w:tooltip="Uredba o spremembi in dopolnitvah Uredbe o upravljanju z energijo v javnem sektorju" w:history="1">
        <w:r w:rsidRPr="00223E80">
          <w:t>116/20</w:t>
        </w:r>
      </w:hyperlink>
      <w:r w:rsidRPr="00223E80">
        <w:t xml:space="preserve"> in </w:t>
      </w:r>
      <w:hyperlink r:id="rId31" w:tgtFrame="_blank" w:tooltip="Zakon o učinkoviti rabi energije" w:history="1">
        <w:r w:rsidRPr="00223E80">
          <w:t>158/20</w:t>
        </w:r>
      </w:hyperlink>
      <w:r w:rsidRPr="00223E80">
        <w:t xml:space="preserve"> – ZURE). Ukrep uredbe in izvajanje energetskega knjigovodstva sta pomembni aktivnosti za spremljanje stanja nacionalnega javnega stavbnega fonda na področju energetske učinkovitosti. Javne stavbe kot vzor </w:t>
      </w:r>
      <w:r w:rsidR="000A73E1" w:rsidRPr="00223E80">
        <w:rPr>
          <w:rFonts w:cs="Arial"/>
        </w:rPr>
        <w:t>na področju bolj trajnostnih odločitev</w:t>
      </w:r>
      <w:r w:rsidR="000A73E1" w:rsidRPr="00223E80">
        <w:t xml:space="preserve"> </w:t>
      </w:r>
      <w:r w:rsidRPr="00223E80">
        <w:t>morajo začeti bolj int</w:t>
      </w:r>
      <w:r w:rsidR="007E6ED7" w:rsidRPr="00223E80">
        <w:t>enzivn</w:t>
      </w:r>
      <w:r w:rsidR="00B15A2D" w:rsidRPr="00223E80">
        <w:t>o</w:t>
      </w:r>
      <w:r w:rsidR="007E6ED7" w:rsidRPr="00223E80">
        <w:t xml:space="preserve"> vključeva</w:t>
      </w:r>
      <w:r w:rsidR="00B15A2D" w:rsidRPr="00223E80">
        <w:t>ti</w:t>
      </w:r>
      <w:r w:rsidR="007E6ED7" w:rsidRPr="00223E80">
        <w:t xml:space="preserve"> OVE vir</w:t>
      </w:r>
      <w:r w:rsidR="00B15A2D" w:rsidRPr="00223E80">
        <w:t>e</w:t>
      </w:r>
      <w:r w:rsidRPr="00223E80">
        <w:t xml:space="preserve"> </w:t>
      </w:r>
      <w:r w:rsidR="000A73E1" w:rsidRPr="00223E80">
        <w:t xml:space="preserve">v </w:t>
      </w:r>
      <w:r w:rsidRPr="00223E80">
        <w:t xml:space="preserve">svoje energetske sisteme. </w:t>
      </w:r>
      <w:r w:rsidR="000A73E1" w:rsidRPr="00223E80">
        <w:rPr>
          <w:rFonts w:cs="Arial"/>
        </w:rPr>
        <w:t xml:space="preserve">Slovenija ima </w:t>
      </w:r>
      <w:r w:rsidR="00ED2FEB" w:rsidRPr="00223E80">
        <w:rPr>
          <w:rFonts w:cs="Arial"/>
        </w:rPr>
        <w:t xml:space="preserve">za obnovo javnih zgradb </w:t>
      </w:r>
      <w:r w:rsidR="000A73E1" w:rsidRPr="00223E80">
        <w:rPr>
          <w:rFonts w:cs="Arial"/>
        </w:rPr>
        <w:t xml:space="preserve">vzpostavljen model javno-zasebnega partnerstva. Z mobilizacijo zasebnih sredstev pri prenovi stanovanjskega fonda, javnih stavb </w:t>
      </w:r>
      <w:r w:rsidR="00ED2FEB" w:rsidRPr="00223E80">
        <w:rPr>
          <w:rFonts w:cs="Arial"/>
        </w:rPr>
        <w:t>in</w:t>
      </w:r>
      <w:r w:rsidR="000A73E1" w:rsidRPr="00223E80">
        <w:rPr>
          <w:rFonts w:cs="Arial"/>
        </w:rPr>
        <w:t xml:space="preserve"> industrijskih objektov bo Slovenija nadaljevala tudi v prihodnje, zato je pomembno, da so čim prej dorečeni različni mehanizmi podpore. </w:t>
      </w:r>
      <w:r w:rsidRPr="00223E80">
        <w:t xml:space="preserve">V ta namen se </w:t>
      </w:r>
      <w:r w:rsidR="00C64198" w:rsidRPr="00223E80">
        <w:t xml:space="preserve">izvajajo </w:t>
      </w:r>
      <w:r w:rsidRPr="00223E80">
        <w:t>aktivnosti, ki bodo identificiral</w:t>
      </w:r>
      <w:r w:rsidR="00C64198" w:rsidRPr="00223E80">
        <w:t>e</w:t>
      </w:r>
      <w:r w:rsidRPr="00223E80">
        <w:t xml:space="preserve"> stanje, potrebe in ovire za implementacijo več OVE v sektor javnih stavb. </w:t>
      </w:r>
    </w:p>
    <w:p w14:paraId="53B5B769" w14:textId="401ED7DF" w:rsidR="00275EE8" w:rsidRPr="00223E80" w:rsidRDefault="00275EE8" w:rsidP="00281A21">
      <w:r w:rsidRPr="00223E80">
        <w:t>Temu primerno bodo treb</w:t>
      </w:r>
      <w:r w:rsidR="00AC708E" w:rsidRPr="00223E80">
        <w:t>a</w:t>
      </w:r>
      <w:r w:rsidRPr="00223E80">
        <w:t xml:space="preserve"> v prihodnje oblikova</w:t>
      </w:r>
      <w:r w:rsidR="00AC708E" w:rsidRPr="00223E80">
        <w:t>t</w:t>
      </w:r>
      <w:r w:rsidRPr="00223E80">
        <w:t>i specifično usmerjen</w:t>
      </w:r>
      <w:r w:rsidR="00AC708E" w:rsidRPr="00223E80">
        <w:t>e</w:t>
      </w:r>
      <w:r w:rsidRPr="00223E80">
        <w:t xml:space="preserve"> program</w:t>
      </w:r>
      <w:r w:rsidR="00AC708E" w:rsidRPr="00223E80">
        <w:t>e</w:t>
      </w:r>
      <w:r w:rsidRPr="00223E80">
        <w:t>, ki bodo dodatno usmerjeni v povečevanje deleža OVE v javnih stavbah.</w:t>
      </w:r>
    </w:p>
    <w:p w14:paraId="7D4A1421" w14:textId="77777777" w:rsidR="00BF623B" w:rsidRPr="00223E80" w:rsidRDefault="00A021FE" w:rsidP="00A520AC">
      <w:pPr>
        <w:pStyle w:val="Naslov3"/>
      </w:pPr>
      <w:bookmarkStart w:id="34" w:name="_Toc112143990"/>
      <w:r w:rsidRPr="00223E80">
        <w:t>4.7.3</w:t>
      </w:r>
      <w:r w:rsidR="00BC434A" w:rsidRPr="00223E80">
        <w:t xml:space="preserve">  </w:t>
      </w:r>
      <w:r w:rsidR="00575FA9" w:rsidRPr="00223E80">
        <w:t>Pravna poenostavitev postopka</w:t>
      </w:r>
      <w:r w:rsidR="00325D81" w:rsidRPr="00223E80">
        <w:t xml:space="preserve"> glede manjših naprav</w:t>
      </w:r>
      <w:r w:rsidR="00BF623B" w:rsidRPr="00223E80">
        <w:t xml:space="preserve"> za proizv</w:t>
      </w:r>
      <w:r w:rsidR="00275EE8" w:rsidRPr="00223E80">
        <w:t xml:space="preserve">odnjo električne energije iz </w:t>
      </w:r>
      <w:r w:rsidR="00ED3983" w:rsidRPr="00223E80">
        <w:t>obnovljivih virov energije</w:t>
      </w:r>
      <w:r w:rsidR="00BF623B" w:rsidRPr="00223E80">
        <w:t xml:space="preserve"> ali SPTE</w:t>
      </w:r>
      <w:bookmarkEnd w:id="34"/>
    </w:p>
    <w:p w14:paraId="1DF31FCA" w14:textId="77777777" w:rsidR="007E6ED7" w:rsidRPr="00963C64" w:rsidRDefault="007E6ED7" w:rsidP="007E6ED7">
      <w:pPr>
        <w:keepNext/>
        <w:spacing w:after="0"/>
        <w:outlineLvl w:val="1"/>
        <w:rPr>
          <w:rFonts w:eastAsia="Times New Roman"/>
          <w:b/>
          <w:iCs/>
          <w:color w:val="3A4A3E"/>
        </w:rPr>
      </w:pPr>
    </w:p>
    <w:p w14:paraId="13174E25" w14:textId="6CEC8823" w:rsidR="00BF623B" w:rsidRPr="00223E80" w:rsidRDefault="004A1409" w:rsidP="007E6ED7">
      <w:pPr>
        <w:pStyle w:val="Odstavek0"/>
        <w:spacing w:before="0" w:line="276" w:lineRule="auto"/>
        <w:ind w:firstLine="0"/>
        <w:rPr>
          <w:rFonts w:eastAsia="Arial"/>
          <w:lang w:eastAsia="en-US"/>
        </w:rPr>
      </w:pPr>
      <w:r w:rsidRPr="00223E80">
        <w:rPr>
          <w:rFonts w:eastAsia="Arial"/>
          <w:lang w:eastAsia="en-US"/>
        </w:rPr>
        <w:t>Zaradi zapletov in nejasnosti, ali se lahko manjše naprave, ki proizvajajo električno energijo iz OVE ali SPTE</w:t>
      </w:r>
      <w:r w:rsidR="00575FA9" w:rsidRPr="00223E80">
        <w:rPr>
          <w:rFonts w:eastAsia="Arial"/>
          <w:lang w:eastAsia="en-US"/>
        </w:rPr>
        <w:t xml:space="preserve">, vgradijo </w:t>
      </w:r>
      <w:r w:rsidRPr="00223E80">
        <w:rPr>
          <w:rFonts w:eastAsia="Arial"/>
          <w:lang w:eastAsia="en-US"/>
        </w:rPr>
        <w:t>brez pridobljenega gradbenega dovoljenja</w:t>
      </w:r>
      <w:r w:rsidR="00BF623B" w:rsidRPr="00223E80">
        <w:rPr>
          <w:rFonts w:eastAsia="Arial"/>
          <w:lang w:eastAsia="en-US"/>
        </w:rPr>
        <w:t xml:space="preserve">, je bila leta 2020 sprejeta Uredba o manjših napravah za proizvodnjo električne energije iz obnovljivih virov energije ali s soproizvodnjo z visokim izkoristkom (Uradni list RS, št. </w:t>
      </w:r>
      <w:hyperlink r:id="rId32" w:tgtFrame="_blank" w:tooltip="Uredba o manjših napravah za proizvodnjo električne energije iz obnovljivih virov energije ali s soproizvodnjo z visokim izkoristkom" w:history="1">
        <w:r w:rsidR="00BF623B" w:rsidRPr="00223E80">
          <w:rPr>
            <w:rFonts w:eastAsia="Arial"/>
            <w:lang w:eastAsia="en-US"/>
          </w:rPr>
          <w:t>14/20</w:t>
        </w:r>
      </w:hyperlink>
      <w:r w:rsidR="00BF623B" w:rsidRPr="00223E80">
        <w:rPr>
          <w:rFonts w:eastAsia="Arial"/>
          <w:lang w:eastAsia="en-US"/>
        </w:rPr>
        <w:t xml:space="preserve"> in </w:t>
      </w:r>
      <w:hyperlink r:id="rId33" w:tgtFrame="_blank" w:tooltip="Zakon o spodbujanju rabe obnovljivih virov energije" w:history="1">
        <w:r w:rsidR="00BF623B" w:rsidRPr="00223E80">
          <w:rPr>
            <w:rFonts w:eastAsia="Arial"/>
            <w:lang w:eastAsia="en-US"/>
          </w:rPr>
          <w:t>121/21</w:t>
        </w:r>
      </w:hyperlink>
      <w:r w:rsidR="00BF623B" w:rsidRPr="00223E80">
        <w:rPr>
          <w:rFonts w:eastAsia="Arial"/>
          <w:lang w:eastAsia="en-US"/>
        </w:rPr>
        <w:t xml:space="preserve"> – ZSROVE)</w:t>
      </w:r>
      <w:r w:rsidR="00C64198" w:rsidRPr="00223E80">
        <w:rPr>
          <w:rFonts w:eastAsia="Arial"/>
          <w:lang w:eastAsia="en-US"/>
        </w:rPr>
        <w:t xml:space="preserve">. Ta akt </w:t>
      </w:r>
      <w:r w:rsidR="00BF623B" w:rsidRPr="00223E80">
        <w:rPr>
          <w:rFonts w:eastAsia="Arial"/>
          <w:lang w:eastAsia="en-US"/>
        </w:rPr>
        <w:t>določa vrste, velikost ter pogoje za montažo in priključitev naprav za proizvodnjo električne energije iz OVE ali SPTE, za katere ni treb</w:t>
      </w:r>
      <w:r w:rsidR="00AC708E" w:rsidRPr="00223E80">
        <w:rPr>
          <w:rFonts w:eastAsia="Arial"/>
          <w:lang w:val="sl-SI" w:eastAsia="en-US"/>
        </w:rPr>
        <w:t>a</w:t>
      </w:r>
      <w:r w:rsidR="00BF623B" w:rsidRPr="00223E80">
        <w:rPr>
          <w:rFonts w:eastAsia="Arial"/>
          <w:lang w:eastAsia="en-US"/>
        </w:rPr>
        <w:t xml:space="preserve"> </w:t>
      </w:r>
      <w:r w:rsidR="00C64198" w:rsidRPr="00223E80">
        <w:rPr>
          <w:rFonts w:eastAsia="Arial"/>
          <w:lang w:eastAsia="en-US"/>
        </w:rPr>
        <w:t xml:space="preserve">pridobiti </w:t>
      </w:r>
      <w:r w:rsidR="00BF623B" w:rsidRPr="00223E80">
        <w:rPr>
          <w:rFonts w:eastAsia="Arial"/>
          <w:lang w:eastAsia="en-US"/>
        </w:rPr>
        <w:t>gradben</w:t>
      </w:r>
      <w:r w:rsidR="00AC708E" w:rsidRPr="00223E80">
        <w:rPr>
          <w:rFonts w:eastAsia="Arial"/>
          <w:lang w:val="sl-SI" w:eastAsia="en-US"/>
        </w:rPr>
        <w:t>ega</w:t>
      </w:r>
      <w:r w:rsidR="00BF623B" w:rsidRPr="00223E80">
        <w:rPr>
          <w:rFonts w:eastAsia="Arial"/>
          <w:lang w:eastAsia="en-US"/>
        </w:rPr>
        <w:t xml:space="preserve"> dovoljenj</w:t>
      </w:r>
      <w:r w:rsidR="00AC708E" w:rsidRPr="00223E80">
        <w:rPr>
          <w:rFonts w:eastAsia="Arial"/>
          <w:lang w:val="sl-SI" w:eastAsia="en-US"/>
        </w:rPr>
        <w:t>a</w:t>
      </w:r>
      <w:r w:rsidR="00BF623B" w:rsidRPr="00223E80">
        <w:rPr>
          <w:rFonts w:eastAsia="Arial"/>
          <w:lang w:eastAsia="en-US"/>
        </w:rPr>
        <w:t xml:space="preserve"> skladno s predpisi, ki urejajo graditev objektov ter pogoje za njihovo montažo in priključitev.</w:t>
      </w:r>
    </w:p>
    <w:p w14:paraId="001D990B" w14:textId="779FB098" w:rsidR="00BF623B" w:rsidRPr="00223E80" w:rsidRDefault="00BF623B" w:rsidP="007E6ED7">
      <w:pPr>
        <w:pStyle w:val="Odstavek0"/>
        <w:spacing w:before="0" w:line="276" w:lineRule="auto"/>
        <w:ind w:firstLine="0"/>
        <w:rPr>
          <w:rFonts w:eastAsia="Arial"/>
          <w:lang w:eastAsia="en-US"/>
        </w:rPr>
      </w:pPr>
      <w:r w:rsidRPr="00223E80">
        <w:rPr>
          <w:rFonts w:eastAsia="Arial"/>
          <w:lang w:eastAsia="en-US"/>
        </w:rPr>
        <w:t xml:space="preserve">S tem ukrepom so se upravni postopki </w:t>
      </w:r>
      <w:r w:rsidR="00C00C11" w:rsidRPr="00223E80">
        <w:rPr>
          <w:rFonts w:eastAsia="Arial"/>
          <w:lang w:eastAsia="en-US"/>
        </w:rPr>
        <w:t xml:space="preserve">poenostavili </w:t>
      </w:r>
      <w:r w:rsidR="00FF4957" w:rsidRPr="00223E80">
        <w:rPr>
          <w:rFonts w:eastAsia="Arial"/>
          <w:lang w:val="sl-SI" w:eastAsia="en-US"/>
        </w:rPr>
        <w:t>in</w:t>
      </w:r>
      <w:r w:rsidRPr="00223E80">
        <w:rPr>
          <w:rFonts w:eastAsia="Arial"/>
          <w:lang w:eastAsia="en-US"/>
        </w:rPr>
        <w:t xml:space="preserve"> stroški </w:t>
      </w:r>
      <w:r w:rsidR="000B2984" w:rsidRPr="00223E80">
        <w:rPr>
          <w:rFonts w:eastAsia="Arial"/>
          <w:lang w:val="sl-SI" w:eastAsia="en-US"/>
        </w:rPr>
        <w:t>za</w:t>
      </w:r>
      <w:r w:rsidRPr="00223E80">
        <w:rPr>
          <w:rFonts w:eastAsia="Arial"/>
          <w:lang w:eastAsia="en-US"/>
        </w:rPr>
        <w:t xml:space="preserve"> investicije </w:t>
      </w:r>
      <w:r w:rsidR="000B2984" w:rsidRPr="00223E80">
        <w:rPr>
          <w:rFonts w:eastAsia="Arial"/>
          <w:lang w:val="sl-SI" w:eastAsia="en-US"/>
        </w:rPr>
        <w:t xml:space="preserve">v </w:t>
      </w:r>
      <w:r w:rsidRPr="00223E80">
        <w:rPr>
          <w:rFonts w:eastAsia="Arial"/>
          <w:lang w:eastAsia="en-US"/>
        </w:rPr>
        <w:t>naprav</w:t>
      </w:r>
      <w:r w:rsidR="000B2984" w:rsidRPr="00223E80">
        <w:rPr>
          <w:rFonts w:eastAsia="Arial"/>
          <w:lang w:val="sl-SI" w:eastAsia="en-US"/>
        </w:rPr>
        <w:t>e</w:t>
      </w:r>
      <w:r w:rsidRPr="00223E80">
        <w:rPr>
          <w:rFonts w:eastAsia="Arial"/>
          <w:lang w:eastAsia="en-US"/>
        </w:rPr>
        <w:t xml:space="preserve"> na obnovljive vire</w:t>
      </w:r>
      <w:r w:rsidR="00C00C11" w:rsidRPr="00223E80">
        <w:rPr>
          <w:rFonts w:eastAsia="Arial"/>
          <w:lang w:eastAsia="en-US"/>
        </w:rPr>
        <w:t xml:space="preserve"> zmanjšali</w:t>
      </w:r>
      <w:r w:rsidR="00E10B17" w:rsidRPr="00223E80">
        <w:rPr>
          <w:rFonts w:eastAsia="Arial"/>
          <w:lang w:eastAsia="en-US"/>
        </w:rPr>
        <w:t>.</w:t>
      </w:r>
    </w:p>
    <w:p w14:paraId="0A84E5EF" w14:textId="77777777" w:rsidR="008D138D" w:rsidRPr="00223E80" w:rsidRDefault="008D138D" w:rsidP="007E6ED7">
      <w:pPr>
        <w:pStyle w:val="Odstavek0"/>
        <w:spacing w:before="0" w:line="276" w:lineRule="auto"/>
        <w:ind w:firstLine="0"/>
        <w:rPr>
          <w:rFonts w:eastAsia="Arial"/>
          <w:lang w:eastAsia="en-US"/>
        </w:rPr>
      </w:pPr>
    </w:p>
    <w:p w14:paraId="2775B860" w14:textId="77777777" w:rsidR="0094084E" w:rsidRPr="00223E80" w:rsidRDefault="00A021FE" w:rsidP="00A520AC">
      <w:pPr>
        <w:pStyle w:val="Naslov3"/>
      </w:pPr>
      <w:bookmarkStart w:id="35" w:name="_Toc112143991"/>
      <w:r w:rsidRPr="00223E80">
        <w:lastRenderedPageBreak/>
        <w:t>4.7.4</w:t>
      </w:r>
      <w:r w:rsidR="00006FD4" w:rsidRPr="00223E80">
        <w:t xml:space="preserve">   </w:t>
      </w:r>
      <w:r w:rsidR="00E10B17" w:rsidRPr="00223E80">
        <w:t>Ukrep o prispevku za vetrno energijo</w:t>
      </w:r>
      <w:bookmarkEnd w:id="35"/>
    </w:p>
    <w:p w14:paraId="6A2F05B7" w14:textId="77777777" w:rsidR="007E6ED7" w:rsidRPr="00963C64" w:rsidRDefault="007E6ED7" w:rsidP="007E6ED7">
      <w:pPr>
        <w:pStyle w:val="Odstavek0"/>
        <w:spacing w:before="0" w:line="276" w:lineRule="auto"/>
        <w:ind w:firstLine="0"/>
        <w:rPr>
          <w:b/>
          <w:iCs/>
          <w:color w:val="3A4A3E"/>
        </w:rPr>
      </w:pPr>
    </w:p>
    <w:p w14:paraId="28FB400B" w14:textId="3D0CD93E" w:rsidR="00B4600A" w:rsidRPr="00223E80" w:rsidRDefault="00B4600A" w:rsidP="007E6ED7">
      <w:pPr>
        <w:shd w:val="clear" w:color="auto" w:fill="FFFFFF"/>
        <w:spacing w:after="0"/>
        <w:rPr>
          <w:rFonts w:eastAsia="Arial" w:cs="Arial"/>
        </w:rPr>
      </w:pPr>
      <w:r w:rsidRPr="00223E80">
        <w:rPr>
          <w:rFonts w:eastAsia="Arial" w:cs="Arial"/>
        </w:rPr>
        <w:t xml:space="preserve">Po novem ZSROVE v skladu z 21. členom omogoča tudi nadomestilo za izrabo prostora za proizvodno napravo na veter; določeno je, da </w:t>
      </w:r>
      <w:r w:rsidR="0029290E" w:rsidRPr="00223E80">
        <w:rPr>
          <w:rFonts w:eastAsia="Arial" w:cs="Arial"/>
        </w:rPr>
        <w:t>če</w:t>
      </w:r>
      <w:r w:rsidRPr="00223E80">
        <w:rPr>
          <w:rFonts w:eastAsia="Arial" w:cs="Arial"/>
        </w:rPr>
        <w:t xml:space="preserve"> proizvajalec električne energije iz vetrne energije postavi proizvodno napravo ali več takih naprav na območju lokalne skupnosti oz. občine, mora</w:t>
      </w:r>
      <w:r w:rsidR="005546D2" w:rsidRPr="00223E80">
        <w:rPr>
          <w:rFonts w:eastAsia="Arial" w:cs="Arial"/>
        </w:rPr>
        <w:t xml:space="preserve"> </w:t>
      </w:r>
      <w:r w:rsidRPr="00223E80">
        <w:rPr>
          <w:rFonts w:eastAsia="Times New Roman" w:cs="Arial"/>
          <w:lang w:eastAsia="sl-SI"/>
        </w:rPr>
        <w:t xml:space="preserve">plačati nadomestilo za izrabo prostora za proizvodnjo električne energije ne glede na druge javne dajatve, ki jih je dolžan plačevati v zvezi s to </w:t>
      </w:r>
      <w:r w:rsidRPr="00223E80">
        <w:rPr>
          <w:rFonts w:eastAsia="Arial" w:cs="Arial"/>
        </w:rPr>
        <w:t xml:space="preserve">proizvodno napravo. Nadomestilo iz prejšnjega stavka je torej javna dajatev, ki pripada občini, krepi pa zlasti pripravljenost lokalnih skupnosti k temu, da se na primernih lokacijah dovoli postavitev takih proizvodnih naprav. </w:t>
      </w:r>
    </w:p>
    <w:p w14:paraId="49D4C036" w14:textId="77777777" w:rsidR="00575FA9" w:rsidRPr="00223E80" w:rsidRDefault="00575FA9" w:rsidP="007E6ED7">
      <w:pPr>
        <w:shd w:val="clear" w:color="auto" w:fill="FFFFFF"/>
        <w:spacing w:after="0"/>
        <w:rPr>
          <w:rFonts w:eastAsia="Arial" w:cs="Arial"/>
        </w:rPr>
      </w:pPr>
    </w:p>
    <w:p w14:paraId="01DEA5C6" w14:textId="30F6F159" w:rsidR="00575FA9" w:rsidRPr="00223E80" w:rsidRDefault="00575FA9" w:rsidP="007E6ED7">
      <w:pPr>
        <w:shd w:val="clear" w:color="auto" w:fill="FFFFFF"/>
        <w:spacing w:after="0"/>
        <w:rPr>
          <w:rFonts w:eastAsia="Arial" w:cs="Arial"/>
        </w:rPr>
      </w:pPr>
      <w:r w:rsidRPr="00223E80">
        <w:rPr>
          <w:rFonts w:eastAsia="Arial" w:cs="Arial"/>
        </w:rPr>
        <w:t xml:space="preserve">Vlada RS </w:t>
      </w:r>
      <w:r w:rsidR="008A437E" w:rsidRPr="00223E80">
        <w:rPr>
          <w:rFonts w:eastAsia="Arial" w:cs="Arial"/>
        </w:rPr>
        <w:t xml:space="preserve">je </w:t>
      </w:r>
      <w:r w:rsidRPr="00223E80">
        <w:rPr>
          <w:rFonts w:eastAsia="Arial" w:cs="Arial"/>
        </w:rPr>
        <w:t xml:space="preserve">z </w:t>
      </w:r>
      <w:r w:rsidR="008A437E" w:rsidRPr="00223E80">
        <w:rPr>
          <w:rFonts w:eastAsia="Arial" w:cs="Arial"/>
        </w:rPr>
        <w:t>Uredbo o nadomestilu za izrabo prostora za proizvodno napravo na veter (Uradni list RS, št. 50/22)</w:t>
      </w:r>
      <w:r w:rsidR="008A437E" w:rsidRPr="00223E80" w:rsidDel="008A437E">
        <w:rPr>
          <w:rFonts w:eastAsia="Arial" w:cs="Arial"/>
        </w:rPr>
        <w:t xml:space="preserve"> </w:t>
      </w:r>
      <w:r w:rsidRPr="00223E80">
        <w:rPr>
          <w:rFonts w:cs="Arial"/>
          <w:color w:val="000000"/>
          <w:shd w:val="clear" w:color="auto" w:fill="FFFFFF"/>
        </w:rPr>
        <w:t>podrobneje predpisala odmero in plačevanje nadomestila v zvezi</w:t>
      </w:r>
      <w:r w:rsidR="00253B93" w:rsidRPr="00223E80">
        <w:rPr>
          <w:rFonts w:cs="Arial"/>
          <w:color w:val="000000"/>
          <w:shd w:val="clear" w:color="auto" w:fill="FFFFFF"/>
        </w:rPr>
        <w:t xml:space="preserve"> s tem</w:t>
      </w:r>
      <w:r w:rsidR="00931347" w:rsidRPr="00223E80">
        <w:rPr>
          <w:rFonts w:cs="Arial"/>
          <w:color w:val="000000"/>
          <w:shd w:val="clear" w:color="auto" w:fill="FFFFFF"/>
        </w:rPr>
        <w:t>.</w:t>
      </w:r>
    </w:p>
    <w:p w14:paraId="558A3B59" w14:textId="77777777" w:rsidR="007E6ED7" w:rsidRPr="00223E80" w:rsidRDefault="007E6ED7" w:rsidP="007E6ED7">
      <w:pPr>
        <w:pStyle w:val="Odstavek0"/>
        <w:spacing w:before="0" w:line="276" w:lineRule="auto"/>
        <w:ind w:firstLine="0"/>
        <w:rPr>
          <w:rFonts w:eastAsia="Arial"/>
          <w:lang w:eastAsia="en-US"/>
        </w:rPr>
      </w:pPr>
    </w:p>
    <w:p w14:paraId="3313BBCC" w14:textId="77777777" w:rsidR="00CD1DB5" w:rsidRPr="00223E80" w:rsidRDefault="00325D81" w:rsidP="00A520AC">
      <w:pPr>
        <w:pStyle w:val="Naslov3"/>
      </w:pPr>
      <w:bookmarkStart w:id="36" w:name="_Toc112143992"/>
      <w:r w:rsidRPr="00223E80">
        <w:t>4.7</w:t>
      </w:r>
      <w:r w:rsidR="009E3DC6" w:rsidRPr="00223E80">
        <w:t>.</w:t>
      </w:r>
      <w:r w:rsidR="00A021FE" w:rsidRPr="00223E80">
        <w:t>5</w:t>
      </w:r>
      <w:r w:rsidR="00BC434A" w:rsidRPr="00223E80">
        <w:t xml:space="preserve">   Ostali ukrepi na področju obnovljivih virov energije</w:t>
      </w:r>
      <w:bookmarkEnd w:id="36"/>
    </w:p>
    <w:p w14:paraId="17185242" w14:textId="77777777" w:rsidR="007E6ED7" w:rsidRPr="00963C64" w:rsidRDefault="007E6ED7" w:rsidP="007E6ED7">
      <w:pPr>
        <w:pStyle w:val="Odstavek0"/>
        <w:spacing w:before="0" w:line="276" w:lineRule="auto"/>
        <w:ind w:firstLine="0"/>
        <w:rPr>
          <w:b/>
          <w:iCs/>
          <w:color w:val="3A4A3E"/>
        </w:rPr>
      </w:pPr>
    </w:p>
    <w:p w14:paraId="1B187CF4" w14:textId="77777777" w:rsidR="007E6ED7" w:rsidRPr="00223E80" w:rsidRDefault="007D3D9D" w:rsidP="00281A21">
      <w:r w:rsidRPr="00223E80">
        <w:t>V</w:t>
      </w:r>
      <w:r w:rsidR="001E474E" w:rsidRPr="00223E80">
        <w:t xml:space="preserve"> nadaljevanju </w:t>
      </w:r>
      <w:r w:rsidRPr="00223E80">
        <w:t xml:space="preserve">so </w:t>
      </w:r>
      <w:r w:rsidR="001E474E" w:rsidRPr="00223E80">
        <w:t xml:space="preserve">izpostavljeni </w:t>
      </w:r>
      <w:r w:rsidR="00CD68CD" w:rsidRPr="00223E80">
        <w:t>samo nekateri pomembnejši povezani</w:t>
      </w:r>
      <w:r w:rsidR="001E474E" w:rsidRPr="00223E80">
        <w:t xml:space="preserve"> OVE ukrepi:</w:t>
      </w:r>
    </w:p>
    <w:p w14:paraId="157E615A" w14:textId="5FFD673C" w:rsidR="008A437E" w:rsidRPr="00223E80" w:rsidRDefault="00636E4D" w:rsidP="005C42F7">
      <w:pPr>
        <w:numPr>
          <w:ilvl w:val="0"/>
          <w:numId w:val="32"/>
        </w:numPr>
      </w:pPr>
      <w:r w:rsidRPr="00223E80">
        <w:t>n</w:t>
      </w:r>
      <w:r w:rsidR="001E474E" w:rsidRPr="00223E80">
        <w:t xml:space="preserve">adgradnja kmetijske politike – integracija podnebne politike in prilagajanja podnebnim spremembam z uvajanjem naprednih metod in nove </w:t>
      </w:r>
      <w:r w:rsidR="00CD1DB5" w:rsidRPr="00223E80">
        <w:t xml:space="preserve">(zelene) kmetijske tehnologije </w:t>
      </w:r>
      <w:r w:rsidR="001E474E" w:rsidRPr="00223E80">
        <w:t>2021–2030 in zagotavljanjem spodbud za zbiranje kmetijske biomase (ostanki poljščin, gnojevka itd.) na lokac</w:t>
      </w:r>
      <w:r w:rsidRPr="00223E80">
        <w:t>ijah večjih bioplinskih naprav</w:t>
      </w:r>
      <w:r w:rsidR="00A478F1" w:rsidRPr="00223E80">
        <w:t>;</w:t>
      </w:r>
      <w:r w:rsidR="00931347" w:rsidRPr="00223E80">
        <w:t xml:space="preserve"> </w:t>
      </w:r>
    </w:p>
    <w:p w14:paraId="2C6982D4" w14:textId="7AA973EC" w:rsidR="007E6ED7" w:rsidRPr="00223E80" w:rsidRDefault="008A437E" w:rsidP="005C42F7">
      <w:pPr>
        <w:numPr>
          <w:ilvl w:val="0"/>
          <w:numId w:val="32"/>
        </w:numPr>
      </w:pPr>
      <w:r w:rsidRPr="00223E80">
        <w:t xml:space="preserve">dodatni </w:t>
      </w:r>
      <w:r w:rsidR="001E474E" w:rsidRPr="00223E80">
        <w:t>ukrepi na področju odpadkov – predvi</w:t>
      </w:r>
      <w:r w:rsidR="00931347" w:rsidRPr="00223E80">
        <w:t>deva</w:t>
      </w:r>
      <w:r w:rsidR="001E474E" w:rsidRPr="00223E80">
        <w:t xml:space="preserve"> se strateška usmeritev za </w:t>
      </w:r>
      <w:r w:rsidR="00931347" w:rsidRPr="00223E80">
        <w:t>i</w:t>
      </w:r>
      <w:r w:rsidR="001E474E" w:rsidRPr="00223E80">
        <w:t>zvedbene vidike energetske izrabe odpadkov</w:t>
      </w:r>
      <w:r w:rsidR="00931347" w:rsidRPr="00223E80">
        <w:t>,</w:t>
      </w:r>
      <w:r w:rsidR="001E474E" w:rsidRPr="00223E80">
        <w:t xml:space="preserve"> skladno s Programom ravnanja z odpadki in Programom preprečevanja odpadkov (prenova programov), predvsem z odpadki lesnopredelovalne industrije in odpadnih produktov odreza</w:t>
      </w:r>
      <w:r w:rsidR="00931347" w:rsidRPr="00223E80">
        <w:t xml:space="preserve"> </w:t>
      </w:r>
      <w:r w:rsidR="001E474E" w:rsidRPr="00223E80">
        <w:t xml:space="preserve">z namenom </w:t>
      </w:r>
      <w:r w:rsidR="00636E4D" w:rsidRPr="00223E80">
        <w:t>uporabe kot energetsk</w:t>
      </w:r>
      <w:r w:rsidR="00902B20" w:rsidRPr="00223E80">
        <w:t>ega</w:t>
      </w:r>
      <w:r w:rsidR="00636E4D" w:rsidRPr="00223E80">
        <w:t xml:space="preserve"> material</w:t>
      </w:r>
      <w:r w:rsidR="00902B20" w:rsidRPr="00223E80">
        <w:t>a</w:t>
      </w:r>
      <w:r w:rsidR="00931347" w:rsidRPr="00223E80">
        <w:t xml:space="preserve"> oz. proizvodn</w:t>
      </w:r>
      <w:r w:rsidR="00902B20" w:rsidRPr="00223E80">
        <w:t>ega</w:t>
      </w:r>
      <w:r w:rsidR="00931347" w:rsidRPr="00223E80">
        <w:t xml:space="preserve"> vir</w:t>
      </w:r>
      <w:r w:rsidR="00902B20" w:rsidRPr="00223E80">
        <w:t>a;</w:t>
      </w:r>
    </w:p>
    <w:p w14:paraId="66CCBD47" w14:textId="51D12C6E" w:rsidR="007E6ED7" w:rsidRPr="00223E80" w:rsidRDefault="00636E4D" w:rsidP="005C42F7">
      <w:pPr>
        <w:numPr>
          <w:ilvl w:val="0"/>
          <w:numId w:val="32"/>
        </w:numPr>
      </w:pPr>
      <w:r w:rsidRPr="00223E80">
        <w:t>p</w:t>
      </w:r>
      <w:r w:rsidR="001E474E" w:rsidRPr="00223E80">
        <w:t xml:space="preserve">odročje zelenega gospodarskega razvoja </w:t>
      </w:r>
      <w:r w:rsidR="00902B20" w:rsidRPr="00223E80">
        <w:t>–</w:t>
      </w:r>
      <w:r w:rsidR="001E474E" w:rsidRPr="00223E80">
        <w:t xml:space="preserve"> </w:t>
      </w:r>
      <w:r w:rsidR="008A437E" w:rsidRPr="00223E80">
        <w:t xml:space="preserve">spodbujanje </w:t>
      </w:r>
      <w:r w:rsidR="001E474E" w:rsidRPr="00223E80">
        <w:t>energetske učinkovitosti in izkoriščanja obnovljivih virov energije v okviru drugih dajatev na energente z nadgradnjo sistema oprostitev pri plačilu prispevka za zagotavljanje podpor proizvodnji elek</w:t>
      </w:r>
      <w:r w:rsidRPr="00223E80">
        <w:t>trični energije iz OVE in SPTE</w:t>
      </w:r>
      <w:r w:rsidR="00931347" w:rsidRPr="00223E80">
        <w:t>;</w:t>
      </w:r>
    </w:p>
    <w:p w14:paraId="57864AD2" w14:textId="77777777" w:rsidR="007E6ED7" w:rsidRPr="00223E80" w:rsidRDefault="00636E4D" w:rsidP="005C42F7">
      <w:pPr>
        <w:numPr>
          <w:ilvl w:val="0"/>
          <w:numId w:val="32"/>
        </w:numPr>
      </w:pPr>
      <w:r w:rsidRPr="00223E80">
        <w:t>n</w:t>
      </w:r>
      <w:r w:rsidR="001E474E" w:rsidRPr="00223E80">
        <w:t>adaljevanje in nadgradnja tehničnih meril, postopkov in tarif za priključe</w:t>
      </w:r>
      <w:r w:rsidRPr="00223E80">
        <w:t>vanje enot OVE na omrežje</w:t>
      </w:r>
      <w:r w:rsidR="00931347" w:rsidRPr="00223E80">
        <w:t>;</w:t>
      </w:r>
    </w:p>
    <w:p w14:paraId="55F1480F" w14:textId="77777777" w:rsidR="007E6ED7" w:rsidRPr="00223E80" w:rsidRDefault="00636E4D" w:rsidP="005C42F7">
      <w:pPr>
        <w:numPr>
          <w:ilvl w:val="0"/>
          <w:numId w:val="32"/>
        </w:numPr>
      </w:pPr>
      <w:r w:rsidRPr="00223E80">
        <w:t>p</w:t>
      </w:r>
      <w:r w:rsidR="001E474E" w:rsidRPr="00223E80">
        <w:t>roaktivna vloga države pri identifikaciji in prostorskem umeščanju okoljsko sprejemljivih lokacij za izkoriščanje OVE (</w:t>
      </w:r>
      <w:r w:rsidR="008A437E" w:rsidRPr="00223E80">
        <w:t xml:space="preserve">identifikacija primernih lokacij za priključevanje, </w:t>
      </w:r>
      <w:r w:rsidRPr="00223E80">
        <w:t>u</w:t>
      </w:r>
      <w:r w:rsidR="001E474E" w:rsidRPr="00223E80">
        <w:t xml:space="preserve">sposabljanje deležnikov/informiranje ter </w:t>
      </w:r>
      <w:r w:rsidRPr="00223E80">
        <w:t>i</w:t>
      </w:r>
      <w:r w:rsidR="001E474E" w:rsidRPr="00223E80">
        <w:t>zboljšanje zakonodaje)</w:t>
      </w:r>
      <w:r w:rsidR="00931347" w:rsidRPr="00223E80">
        <w:t>;</w:t>
      </w:r>
    </w:p>
    <w:p w14:paraId="24664543" w14:textId="60A25000" w:rsidR="005E1229" w:rsidRPr="00223E80" w:rsidRDefault="00636E4D" w:rsidP="005C42F7">
      <w:pPr>
        <w:numPr>
          <w:ilvl w:val="0"/>
          <w:numId w:val="32"/>
        </w:numPr>
      </w:pPr>
      <w:r w:rsidRPr="00223E80">
        <w:t>v</w:t>
      </w:r>
      <w:r w:rsidR="001E474E" w:rsidRPr="00223E80">
        <w:t>zpostavitev sheme za spodbujanje razvoja lokalnih energetskih skupnosti (med drugim v okviru ESRR), vključno s tehnično in kadrovsko podporo</w:t>
      </w:r>
      <w:r w:rsidR="001A7E74" w:rsidRPr="00223E80">
        <w:t>,</w:t>
      </w:r>
      <w:r w:rsidR="001E474E" w:rsidRPr="00223E80">
        <w:t xml:space="preserve"> in drugih projektov na lokalni ravni ter </w:t>
      </w:r>
      <w:r w:rsidRPr="00223E80">
        <w:t>s</w:t>
      </w:r>
      <w:r w:rsidR="001E474E" w:rsidRPr="00223E80">
        <w:t>podbude za hitrejši razvoj skupnost</w:t>
      </w:r>
      <w:r w:rsidRPr="00223E80">
        <w:t>i OVE</w:t>
      </w:r>
      <w:r w:rsidR="005E1229" w:rsidRPr="00223E80">
        <w:t>;</w:t>
      </w:r>
    </w:p>
    <w:p w14:paraId="027BDEB4" w14:textId="0CCE6135" w:rsidR="005E1229" w:rsidRPr="00223E80" w:rsidRDefault="005E1229" w:rsidP="005C42F7">
      <w:pPr>
        <w:numPr>
          <w:ilvl w:val="0"/>
          <w:numId w:val="32"/>
        </w:numPr>
      </w:pPr>
      <w:r w:rsidRPr="00223E80">
        <w:lastRenderedPageBreak/>
        <w:t xml:space="preserve">spodbujanje in sofinanciranje razvoja </w:t>
      </w:r>
      <w:r w:rsidR="00777181" w:rsidRPr="00223E80">
        <w:t xml:space="preserve">in raziskav, </w:t>
      </w:r>
      <w:r w:rsidRPr="00223E80">
        <w:t>povezanih z OVE in povezanih storitev;</w:t>
      </w:r>
    </w:p>
    <w:p w14:paraId="651B5E2E" w14:textId="4FB2918F" w:rsidR="005E1229" w:rsidRPr="00223E80" w:rsidRDefault="005E1229" w:rsidP="005C42F7">
      <w:pPr>
        <w:numPr>
          <w:ilvl w:val="0"/>
          <w:numId w:val="32"/>
        </w:numPr>
      </w:pPr>
      <w:r w:rsidRPr="00223E80">
        <w:t>spodbujanje in sofinanciranje gospodarskih dejavnosti slovenskih podjet</w:t>
      </w:r>
      <w:r w:rsidR="00777181" w:rsidRPr="00223E80">
        <w:t>i</w:t>
      </w:r>
      <w:r w:rsidRPr="00223E80">
        <w:t xml:space="preserve">j z namenom povečanja lastnih produktov; </w:t>
      </w:r>
    </w:p>
    <w:p w14:paraId="65F8ECCB" w14:textId="23B4A334" w:rsidR="001F1AF5" w:rsidRPr="00223E80" w:rsidRDefault="00293B40" w:rsidP="005C42F7">
      <w:pPr>
        <w:numPr>
          <w:ilvl w:val="0"/>
          <w:numId w:val="32"/>
        </w:numPr>
      </w:pPr>
      <w:r w:rsidRPr="00223E80">
        <w:t>v</w:t>
      </w:r>
      <w:r w:rsidR="005E1229" w:rsidRPr="00223E80">
        <w:t>zpostavljanje in sofinanciranje slovenskih velikih demonstracijskih projektov z namenom razvoja OVE in povezanih storitev, ki omogočajo vključevanje velikega števila OVE v omrežje</w:t>
      </w:r>
      <w:r w:rsidRPr="00223E80">
        <w:t>.</w:t>
      </w:r>
    </w:p>
    <w:p w14:paraId="19A10FAD" w14:textId="77777777" w:rsidR="00574686" w:rsidRPr="00223E80" w:rsidRDefault="009E3DC6" w:rsidP="00A520AC">
      <w:pPr>
        <w:pStyle w:val="Naslov1"/>
      </w:pPr>
      <w:bookmarkStart w:id="37" w:name="_Toc112143993"/>
      <w:r w:rsidRPr="00223E80">
        <w:t>5</w:t>
      </w:r>
      <w:r w:rsidR="007D3D9D" w:rsidRPr="00223E80">
        <w:t xml:space="preserve">  </w:t>
      </w:r>
      <w:r w:rsidR="00574686" w:rsidRPr="00223E80">
        <w:t xml:space="preserve">OBSEG SREDSTEV, ZBRANIH IZ VIROV SREDSTEV ZA PODPORE V LETIH </w:t>
      </w:r>
      <w:r w:rsidR="00B56D0E" w:rsidRPr="00223E80">
        <w:t xml:space="preserve">OD </w:t>
      </w:r>
      <w:r w:rsidR="00574686" w:rsidRPr="00223E80">
        <w:t>2022 DO 202</w:t>
      </w:r>
      <w:r w:rsidR="004514C2" w:rsidRPr="00223E80">
        <w:t>6</w:t>
      </w:r>
      <w:bookmarkEnd w:id="37"/>
    </w:p>
    <w:p w14:paraId="52E310DA" w14:textId="77777777" w:rsidR="007E6ED7" w:rsidRPr="00223E80" w:rsidRDefault="007E6ED7" w:rsidP="007E6ED7">
      <w:pPr>
        <w:keepNext/>
        <w:spacing w:after="0"/>
        <w:outlineLvl w:val="1"/>
        <w:rPr>
          <w:rFonts w:eastAsia="Times New Roman"/>
          <w:b/>
          <w:iCs/>
          <w:color w:val="3A4A3E"/>
          <w:sz w:val="28"/>
          <w:szCs w:val="24"/>
        </w:rPr>
      </w:pPr>
    </w:p>
    <w:p w14:paraId="6C0A4D17" w14:textId="69EDBD90" w:rsidR="001B27C3" w:rsidRPr="00223E80" w:rsidRDefault="001B27C3" w:rsidP="007E6ED7">
      <w:pPr>
        <w:shd w:val="clear" w:color="auto" w:fill="FFFFFF"/>
        <w:spacing w:after="0"/>
        <w:rPr>
          <w:rFonts w:eastAsia="Arial" w:cs="Arial"/>
        </w:rPr>
      </w:pPr>
      <w:r w:rsidRPr="00223E80">
        <w:rPr>
          <w:rFonts w:eastAsia="Arial" w:cs="Arial"/>
        </w:rPr>
        <w:t xml:space="preserve">Sredstva za podpore so namenska sredstva, ki se zagotavljajo v skladu </w:t>
      </w:r>
      <w:r w:rsidR="0023228B" w:rsidRPr="00223E80">
        <w:rPr>
          <w:rFonts w:eastAsia="Arial" w:cs="Arial"/>
        </w:rPr>
        <w:t>s</w:t>
      </w:r>
      <w:r w:rsidRPr="00223E80">
        <w:rPr>
          <w:rFonts w:eastAsia="Arial" w:cs="Arial"/>
        </w:rPr>
        <w:t xml:space="preserve"> 16. členom ZSROVE</w:t>
      </w:r>
      <w:r w:rsidR="00C94408" w:rsidRPr="00223E80">
        <w:rPr>
          <w:rFonts w:eastAsia="Arial" w:cs="Arial"/>
        </w:rPr>
        <w:t xml:space="preserve">. </w:t>
      </w:r>
      <w:r w:rsidR="00931347" w:rsidRPr="00223E80">
        <w:rPr>
          <w:rFonts w:eastAsia="Arial" w:cs="Arial"/>
        </w:rPr>
        <w:t>U</w:t>
      </w:r>
      <w:r w:rsidR="00C94408" w:rsidRPr="00223E80">
        <w:rPr>
          <w:rFonts w:eastAsia="Arial" w:cs="Arial"/>
        </w:rPr>
        <w:t xml:space="preserve">porabljajo </w:t>
      </w:r>
      <w:r w:rsidR="00931347" w:rsidRPr="00223E80">
        <w:rPr>
          <w:rFonts w:eastAsia="Arial" w:cs="Arial"/>
        </w:rPr>
        <w:t xml:space="preserve">se </w:t>
      </w:r>
      <w:r w:rsidR="00C92447" w:rsidRPr="00223E80">
        <w:rPr>
          <w:rFonts w:eastAsia="Arial" w:cs="Arial"/>
        </w:rPr>
        <w:t>na podlagi</w:t>
      </w:r>
      <w:r w:rsidRPr="00223E80">
        <w:rPr>
          <w:rFonts w:eastAsia="Arial" w:cs="Arial"/>
        </w:rPr>
        <w:t xml:space="preserve"> določil Uredbe o načinu določanja in obračunavanja prispevkov za zagotavljanje podpor proizvodnji električne energije v soproizvodnji z visokim izkoristkom in iz obnovljivih virov energije (Uradni list RS, št. </w:t>
      </w:r>
      <w:hyperlink r:id="rId34" w:tgtFrame="_blank" w:tooltip="Uredba o načinu določanja in obračunavanja prispevkov za zagotavljanje podpor proizvodnji električne energije v soproizvodnji z visokim izkoristkom in iz obnovljivih virov energije" w:history="1">
        <w:r w:rsidR="006E360F" w:rsidRPr="00223E80">
          <w:rPr>
            <w:rFonts w:eastAsia="Arial" w:cs="Arial"/>
          </w:rPr>
          <w:t>184/21</w:t>
        </w:r>
      </w:hyperlink>
      <w:r w:rsidRPr="00223E80">
        <w:rPr>
          <w:rFonts w:eastAsia="Arial" w:cs="Arial"/>
        </w:rPr>
        <w:t>). Namenjena so zlasti za zagotavljanje podpor, pa tudi za druge namene, določene s citiranim č</w:t>
      </w:r>
      <w:r w:rsidR="00C31AC9" w:rsidRPr="00223E80">
        <w:rPr>
          <w:rFonts w:eastAsia="Arial" w:cs="Arial"/>
        </w:rPr>
        <w:t>lenom zakona. Z njimi upravlja c</w:t>
      </w:r>
      <w:r w:rsidRPr="00223E80">
        <w:rPr>
          <w:rFonts w:eastAsia="Arial" w:cs="Arial"/>
        </w:rPr>
        <w:t>enter za podpore, ki deluje v okviru družbe BORZEN</w:t>
      </w:r>
      <w:r w:rsidR="00570EFC" w:rsidRPr="00223E80">
        <w:rPr>
          <w:rFonts w:eastAsia="Arial" w:cs="Arial"/>
        </w:rPr>
        <w:t>,</w:t>
      </w:r>
      <w:r w:rsidRPr="00223E80">
        <w:rPr>
          <w:rFonts w:eastAsia="Arial" w:cs="Arial"/>
        </w:rPr>
        <w:t xml:space="preserve"> d.</w:t>
      </w:r>
      <w:r w:rsidR="00570EFC" w:rsidRPr="00223E80">
        <w:rPr>
          <w:rFonts w:eastAsia="Arial" w:cs="Arial"/>
        </w:rPr>
        <w:t xml:space="preserve"> </w:t>
      </w:r>
      <w:r w:rsidRPr="00223E80">
        <w:rPr>
          <w:rFonts w:eastAsia="Arial" w:cs="Arial"/>
        </w:rPr>
        <w:t>o.</w:t>
      </w:r>
      <w:r w:rsidR="00570EFC" w:rsidRPr="00223E80">
        <w:rPr>
          <w:rFonts w:eastAsia="Arial" w:cs="Arial"/>
        </w:rPr>
        <w:t xml:space="preserve"> </w:t>
      </w:r>
      <w:r w:rsidRPr="00223E80">
        <w:rPr>
          <w:rFonts w:eastAsia="Arial" w:cs="Arial"/>
        </w:rPr>
        <w:t>o</w:t>
      </w:r>
      <w:r w:rsidR="007E6ED7" w:rsidRPr="00223E80">
        <w:rPr>
          <w:rFonts w:eastAsia="Arial" w:cs="Arial"/>
        </w:rPr>
        <w:t>.</w:t>
      </w:r>
      <w:r w:rsidRPr="00223E80">
        <w:rPr>
          <w:rFonts w:eastAsia="Arial" w:cs="Arial"/>
        </w:rPr>
        <w:t xml:space="preserve"> </w:t>
      </w:r>
    </w:p>
    <w:p w14:paraId="623C59A6" w14:textId="77777777" w:rsidR="0026385D" w:rsidRPr="00223E80" w:rsidRDefault="0026385D" w:rsidP="007E6ED7">
      <w:pPr>
        <w:shd w:val="clear" w:color="auto" w:fill="FFFFFF"/>
        <w:spacing w:after="0"/>
        <w:rPr>
          <w:rFonts w:eastAsia="Arial" w:cs="Arial"/>
        </w:rPr>
      </w:pPr>
    </w:p>
    <w:p w14:paraId="40481D88" w14:textId="2A815233" w:rsidR="0026385D" w:rsidRPr="00223E80" w:rsidRDefault="0026385D" w:rsidP="0026385D">
      <w:pPr>
        <w:spacing w:after="0"/>
        <w:rPr>
          <w:rFonts w:eastAsia="Arial" w:cs="Arial"/>
          <w:b/>
        </w:rPr>
      </w:pPr>
      <w:r w:rsidRPr="00223E80">
        <w:rPr>
          <w:rFonts w:eastAsia="Arial" w:cs="Arial"/>
        </w:rPr>
        <w:t xml:space="preserve">V letu </w:t>
      </w:r>
      <w:r w:rsidR="00F82DAF" w:rsidRPr="00223E80">
        <w:rPr>
          <w:rFonts w:eastAsia="Arial" w:cs="Arial"/>
        </w:rPr>
        <w:t>2021</w:t>
      </w:r>
      <w:r w:rsidRPr="00223E80">
        <w:rPr>
          <w:rFonts w:eastAsia="Arial" w:cs="Arial"/>
        </w:rPr>
        <w:t xml:space="preserve"> je center za podpore zbral </w:t>
      </w:r>
      <w:r w:rsidR="0003063B" w:rsidRPr="00223E80">
        <w:rPr>
          <w:rFonts w:eastAsia="Arial" w:cs="Arial"/>
        </w:rPr>
        <w:t>179,60</w:t>
      </w:r>
      <w:r w:rsidRPr="00223E80">
        <w:rPr>
          <w:rFonts w:eastAsia="Arial" w:cs="Arial"/>
        </w:rPr>
        <w:t xml:space="preserve"> mio EUR neto prispevka </w:t>
      </w:r>
      <w:r w:rsidR="001A7E74" w:rsidRPr="00223E80">
        <w:rPr>
          <w:rFonts w:eastAsia="Arial" w:cs="Arial"/>
        </w:rPr>
        <w:t xml:space="preserve">za </w:t>
      </w:r>
      <w:r w:rsidRPr="00223E80">
        <w:rPr>
          <w:rFonts w:eastAsia="Arial" w:cs="Arial"/>
        </w:rPr>
        <w:t xml:space="preserve">OVE in SPTE. V prispevku OVE in SPTE so zajeta tudi sredstva iz prispevka za končne odjemalce daljinske toplote in kupce fosilnih goriv, in sicer v višini </w:t>
      </w:r>
      <w:r w:rsidR="0003063B" w:rsidRPr="00223E80">
        <w:rPr>
          <w:rFonts w:eastAsia="Arial" w:cs="Arial"/>
        </w:rPr>
        <w:t>35</w:t>
      </w:r>
      <w:r w:rsidRPr="00223E80">
        <w:rPr>
          <w:rFonts w:eastAsia="Arial" w:cs="Arial"/>
        </w:rPr>
        <w:t>,</w:t>
      </w:r>
      <w:r w:rsidR="0003063B" w:rsidRPr="00223E80">
        <w:rPr>
          <w:rFonts w:eastAsia="Arial" w:cs="Arial"/>
        </w:rPr>
        <w:t>75</w:t>
      </w:r>
      <w:r w:rsidRPr="00223E80">
        <w:rPr>
          <w:rFonts w:eastAsia="Arial" w:cs="Arial"/>
        </w:rPr>
        <w:t xml:space="preserve"> mio EUR. </w:t>
      </w:r>
      <w:r w:rsidR="0003063B" w:rsidRPr="00223E80">
        <w:rPr>
          <w:rFonts w:eastAsia="Arial" w:cs="Arial"/>
        </w:rPr>
        <w:t>Ta p</w:t>
      </w:r>
      <w:r w:rsidRPr="00223E80">
        <w:rPr>
          <w:rFonts w:eastAsia="Arial" w:cs="Arial"/>
        </w:rPr>
        <w:t xml:space="preserve">rispevek v letu </w:t>
      </w:r>
      <w:r w:rsidR="005312EE" w:rsidRPr="00223E80">
        <w:rPr>
          <w:rFonts w:eastAsia="Arial" w:cs="Arial"/>
        </w:rPr>
        <w:t>2021</w:t>
      </w:r>
      <w:r w:rsidRPr="00223E80">
        <w:rPr>
          <w:rFonts w:eastAsia="Arial" w:cs="Arial"/>
        </w:rPr>
        <w:t xml:space="preserve"> za </w:t>
      </w:r>
      <w:r w:rsidR="0003063B" w:rsidRPr="00223E80">
        <w:rPr>
          <w:rFonts w:eastAsia="Arial" w:cs="Arial"/>
        </w:rPr>
        <w:t>okvirno</w:t>
      </w:r>
      <w:r w:rsidR="005312EE" w:rsidRPr="00223E80">
        <w:rPr>
          <w:rFonts w:eastAsia="Arial" w:cs="Arial"/>
        </w:rPr>
        <w:t xml:space="preserve"> 23 mio EUR presega</w:t>
      </w:r>
      <w:r w:rsidRPr="00223E80">
        <w:rPr>
          <w:rFonts w:eastAsia="Arial" w:cs="Arial"/>
        </w:rPr>
        <w:t xml:space="preserve"> </w:t>
      </w:r>
      <w:r w:rsidR="005312EE" w:rsidRPr="00223E80">
        <w:rPr>
          <w:rFonts w:eastAsia="Arial" w:cs="Arial"/>
        </w:rPr>
        <w:t xml:space="preserve">realizacijo zbranih sredstev iz </w:t>
      </w:r>
      <w:r w:rsidRPr="00223E80">
        <w:rPr>
          <w:rFonts w:eastAsia="Arial" w:cs="Arial"/>
        </w:rPr>
        <w:t xml:space="preserve">leta </w:t>
      </w:r>
      <w:r w:rsidR="005312EE" w:rsidRPr="00223E80">
        <w:rPr>
          <w:rFonts w:eastAsia="Arial" w:cs="Arial"/>
        </w:rPr>
        <w:t>2020</w:t>
      </w:r>
      <w:r w:rsidR="00DF4767" w:rsidRPr="00223E80">
        <w:rPr>
          <w:rFonts w:eastAsia="Arial" w:cs="Arial"/>
        </w:rPr>
        <w:t xml:space="preserve"> ob pojasnilu: </w:t>
      </w:r>
      <w:r w:rsidR="005312EE" w:rsidRPr="00223E80">
        <w:rPr>
          <w:rFonts w:eastAsia="Arial" w:cs="Arial"/>
        </w:rPr>
        <w:t xml:space="preserve">Vlada RS </w:t>
      </w:r>
      <w:r w:rsidR="0003063B" w:rsidRPr="00223E80">
        <w:rPr>
          <w:rFonts w:eastAsia="Arial" w:cs="Arial"/>
        </w:rPr>
        <w:t xml:space="preserve">je </w:t>
      </w:r>
      <w:r w:rsidR="005312EE" w:rsidRPr="00223E80">
        <w:rPr>
          <w:rFonts w:eastAsia="Arial" w:cs="Arial"/>
        </w:rPr>
        <w:t xml:space="preserve">v letu 2020 </w:t>
      </w:r>
      <w:r w:rsidRPr="00223E80">
        <w:rPr>
          <w:rFonts w:eastAsia="Arial" w:cs="Arial"/>
        </w:rPr>
        <w:t xml:space="preserve">izdala </w:t>
      </w:r>
      <w:r w:rsidR="00DF4767" w:rsidRPr="00223E80">
        <w:rPr>
          <w:rFonts w:eastAsia="Arial" w:cs="Arial"/>
        </w:rPr>
        <w:t xml:space="preserve">Odlok o začasni oprostitvi plačila prispevka za zagotavljanje podpor proizvodnji električne energije v soproizvodnji z visokim izkoristkom in iz obnovljivih virov energije za končne odjemalce odjemne skupine NN brez merjenja moči in gospodinjske odjemalce električne energije (Uradni list RS, št. </w:t>
      </w:r>
      <w:hyperlink r:id="rId35" w:tgtFrame="_blank" w:tooltip="Odlok o začasni oprostitvi plačila prispevka za zagotavljanje podpor proizvodnji električne energije v soproizvodnji z visokim izkoristkom in iz obnovljivih virov energije za končne odjemalce odjemne skupine NN brez merjenja moči in gospodinjske odjemalce elek" w:history="1">
        <w:r w:rsidR="00DF4767" w:rsidRPr="00223E80">
          <w:rPr>
            <w:rFonts w:eastAsia="Arial"/>
          </w:rPr>
          <w:t>32/20</w:t>
        </w:r>
      </w:hyperlink>
      <w:r w:rsidR="00DF4767" w:rsidRPr="00223E80">
        <w:rPr>
          <w:rFonts w:eastAsia="Arial" w:cs="Arial"/>
        </w:rPr>
        <w:t>)</w:t>
      </w:r>
      <w:r w:rsidRPr="00223E80">
        <w:rPr>
          <w:rFonts w:eastAsia="Arial" w:cs="Arial"/>
        </w:rPr>
        <w:t xml:space="preserve"> za odjemno skupino ‘ostali odjem brez merjenja moči’ in ‘gospodinjsk</w:t>
      </w:r>
      <w:r w:rsidR="004C0A86" w:rsidRPr="00223E80">
        <w:rPr>
          <w:rFonts w:eastAsia="Arial" w:cs="Arial"/>
        </w:rPr>
        <w:t>i</w:t>
      </w:r>
      <w:r w:rsidRPr="00223E80">
        <w:rPr>
          <w:rFonts w:eastAsia="Arial" w:cs="Arial"/>
        </w:rPr>
        <w:t xml:space="preserve"> odjem električne energije’ za čas od 1. marca do 31. maja 2020</w:t>
      </w:r>
      <w:r w:rsidR="0003063B" w:rsidRPr="00223E80">
        <w:rPr>
          <w:rFonts w:eastAsia="Arial" w:cs="Arial"/>
        </w:rPr>
        <w:t xml:space="preserve">, kar je </w:t>
      </w:r>
      <w:r w:rsidR="001C2D43" w:rsidRPr="00223E80">
        <w:rPr>
          <w:rFonts w:eastAsia="Arial" w:cs="Arial"/>
        </w:rPr>
        <w:t xml:space="preserve">povzročilo </w:t>
      </w:r>
      <w:r w:rsidR="0003063B" w:rsidRPr="00223E80">
        <w:rPr>
          <w:rFonts w:eastAsia="Arial" w:cs="Arial"/>
        </w:rPr>
        <w:t>izpad zbranih sredstev</w:t>
      </w:r>
      <w:r w:rsidRPr="00223E80">
        <w:rPr>
          <w:rFonts w:eastAsia="Arial" w:cs="Arial"/>
        </w:rPr>
        <w:t>.</w:t>
      </w:r>
      <w:r w:rsidR="00160B79" w:rsidRPr="00223E80">
        <w:rPr>
          <w:rFonts w:eastAsia="Arial" w:cs="Arial"/>
        </w:rPr>
        <w:t xml:space="preserve"> V prihodkih centra za podpore se ločeno prikazujejo prejeta sredstva od prodaje električne energije Eko bilančne skupine, ki je bila v letu 2020 prodana posredno </w:t>
      </w:r>
      <w:r w:rsidR="001C2D43" w:rsidRPr="00223E80">
        <w:rPr>
          <w:rFonts w:eastAsia="Arial" w:cs="Arial"/>
        </w:rPr>
        <w:t>tako</w:t>
      </w:r>
      <w:r w:rsidR="00160B79" w:rsidRPr="00223E80">
        <w:rPr>
          <w:rFonts w:eastAsia="Arial" w:cs="Arial"/>
        </w:rPr>
        <w:t>, da je center za podpore Eko bilančno skupino prenesel v bilančno skupino drugega člana bilančne sheme.</w:t>
      </w:r>
    </w:p>
    <w:p w14:paraId="29A1B749" w14:textId="77777777" w:rsidR="00376C84" w:rsidRPr="00223E80" w:rsidRDefault="00376C84" w:rsidP="0003063B">
      <w:pPr>
        <w:shd w:val="clear" w:color="auto" w:fill="FFFFFF"/>
        <w:spacing w:after="0"/>
        <w:rPr>
          <w:rFonts w:eastAsia="Arial" w:cs="Arial"/>
        </w:rPr>
      </w:pPr>
    </w:p>
    <w:p w14:paraId="3C012CEF" w14:textId="77777777" w:rsidR="00376C84" w:rsidRPr="00223E80" w:rsidRDefault="00376C84" w:rsidP="00376C84">
      <w:pPr>
        <w:shd w:val="clear" w:color="auto" w:fill="FFFFFF"/>
        <w:spacing w:after="0"/>
        <w:rPr>
          <w:rFonts w:eastAsia="Arial" w:cs="Arial"/>
        </w:rPr>
      </w:pPr>
      <w:r w:rsidRPr="00223E80">
        <w:rPr>
          <w:rFonts w:eastAsia="Arial" w:cs="Arial"/>
        </w:rPr>
        <w:t>Po zadnjih razpoložljivih podatkih družbe BORZEN</w:t>
      </w:r>
      <w:r w:rsidR="004C0A86" w:rsidRPr="00223E80">
        <w:rPr>
          <w:rFonts w:eastAsia="Arial" w:cs="Arial"/>
        </w:rPr>
        <w:t>,</w:t>
      </w:r>
      <w:r w:rsidRPr="00223E80">
        <w:rPr>
          <w:rFonts w:eastAsia="Arial" w:cs="Arial"/>
        </w:rPr>
        <w:t xml:space="preserve"> d.</w:t>
      </w:r>
      <w:r w:rsidR="004C0A86" w:rsidRPr="00223E80">
        <w:rPr>
          <w:rFonts w:eastAsia="Arial" w:cs="Arial"/>
        </w:rPr>
        <w:t xml:space="preserve"> </w:t>
      </w:r>
      <w:r w:rsidRPr="00223E80">
        <w:rPr>
          <w:rFonts w:eastAsia="Arial" w:cs="Arial"/>
        </w:rPr>
        <w:t>o.</w:t>
      </w:r>
      <w:r w:rsidR="004C0A86" w:rsidRPr="00223E80">
        <w:rPr>
          <w:rFonts w:eastAsia="Arial" w:cs="Arial"/>
        </w:rPr>
        <w:t xml:space="preserve"> </w:t>
      </w:r>
      <w:r w:rsidRPr="00223E80">
        <w:rPr>
          <w:rFonts w:eastAsia="Arial" w:cs="Arial"/>
        </w:rPr>
        <w:t>o.</w:t>
      </w:r>
      <w:r w:rsidR="004C0A86" w:rsidRPr="00223E80">
        <w:rPr>
          <w:rFonts w:eastAsia="Arial" w:cs="Arial"/>
        </w:rPr>
        <w:t>,</w:t>
      </w:r>
      <w:r w:rsidRPr="00223E80">
        <w:rPr>
          <w:rFonts w:eastAsia="Arial" w:cs="Arial"/>
        </w:rPr>
        <w:t xml:space="preserve"> so znašala v letu 2021 zbrana sredstva (1) iz naslova prispevka za zagotavljanje podpor proizvodnji energije v soproizvodnji z visokim izkoristkom in iz obnovljivih virov energije 143.846.042,27 EUR, (2) iz naslova prispevka za zagotavljanje podpor proizvodnji energije v soproizvodnji z visokim izkoristkom in iz obnovljivih virov energije, ki bremeni trda in tekoča fosilna goriva, utekočinjeni naftni plin ter utekočinjeni zemeljski plin in daljinsko toploto 35.754.211,34 EUR, ter (3) iz naslova prodaje ovrednotenega odkupa električne energije 5.526.034,24 EUR. </w:t>
      </w:r>
    </w:p>
    <w:p w14:paraId="14259642" w14:textId="77777777" w:rsidR="00376C84" w:rsidRPr="00223E80" w:rsidRDefault="00376C84" w:rsidP="00376C84">
      <w:pPr>
        <w:shd w:val="clear" w:color="auto" w:fill="FFFFFF"/>
        <w:spacing w:after="0"/>
        <w:rPr>
          <w:rFonts w:eastAsia="Arial" w:cs="Arial"/>
        </w:rPr>
      </w:pPr>
    </w:p>
    <w:p w14:paraId="010215C2" w14:textId="5304EEFA" w:rsidR="00376C84" w:rsidRPr="00223E80" w:rsidRDefault="00376C84" w:rsidP="00376C84">
      <w:pPr>
        <w:shd w:val="clear" w:color="auto" w:fill="FFFFFF"/>
        <w:spacing w:after="0"/>
        <w:rPr>
          <w:rFonts w:eastAsia="Arial" w:cs="Arial"/>
        </w:rPr>
      </w:pPr>
      <w:r w:rsidRPr="00223E80">
        <w:rPr>
          <w:rFonts w:eastAsia="Arial" w:cs="Arial"/>
        </w:rPr>
        <w:t xml:space="preserve">Ob upoštevanju presežka neporabljenih sredstev iz obdobja </w:t>
      </w:r>
      <w:r w:rsidR="00E85FDE" w:rsidRPr="00223E80">
        <w:rPr>
          <w:rFonts w:eastAsia="Arial" w:cs="Arial"/>
        </w:rPr>
        <w:t>od</w:t>
      </w:r>
      <w:r w:rsidRPr="00223E80">
        <w:rPr>
          <w:rFonts w:eastAsia="Arial" w:cs="Arial"/>
        </w:rPr>
        <w:t xml:space="preserve"> 2009 do 2020, ki znaša skupaj 240.481.489,44 EUR, ter vseh odlivov v letu 2021, izvedenih za potrebe izplačila podpor ter ostalih stroškov, </w:t>
      </w:r>
      <w:r w:rsidR="00A576FD" w:rsidRPr="00223E80">
        <w:rPr>
          <w:rFonts w:eastAsia="Arial" w:cs="Arial"/>
        </w:rPr>
        <w:t xml:space="preserve">je </w:t>
      </w:r>
      <w:r w:rsidRPr="00223E80">
        <w:rPr>
          <w:rFonts w:eastAsia="Arial" w:cs="Arial"/>
        </w:rPr>
        <w:t>znaša</w:t>
      </w:r>
      <w:r w:rsidR="00A576FD" w:rsidRPr="00223E80">
        <w:rPr>
          <w:rFonts w:eastAsia="Arial" w:cs="Arial"/>
        </w:rPr>
        <w:t>l</w:t>
      </w:r>
      <w:r w:rsidRPr="00223E80">
        <w:rPr>
          <w:rFonts w:eastAsia="Arial" w:cs="Arial"/>
        </w:rPr>
        <w:t xml:space="preserve"> presežek neporabljenih sredstev konec leta 2021 skupaj 292.113.017,00 EUR.</w:t>
      </w:r>
    </w:p>
    <w:p w14:paraId="4809544C" w14:textId="77777777" w:rsidR="007E6ED7" w:rsidRPr="00223E80" w:rsidRDefault="007E6ED7" w:rsidP="007E6ED7">
      <w:pPr>
        <w:shd w:val="clear" w:color="auto" w:fill="FFFFFF"/>
        <w:spacing w:after="0"/>
        <w:ind w:left="720"/>
        <w:rPr>
          <w:rFonts w:eastAsia="Arial" w:cs="Arial"/>
        </w:rPr>
      </w:pPr>
    </w:p>
    <w:p w14:paraId="28F3B084" w14:textId="0D88A640" w:rsidR="00FB1FDB" w:rsidRPr="00223E80" w:rsidRDefault="00FB1FDB" w:rsidP="007E6ED7">
      <w:pPr>
        <w:snapToGrid w:val="0"/>
        <w:spacing w:after="0"/>
        <w:rPr>
          <w:rFonts w:eastAsia="Arial" w:cs="Arial"/>
        </w:rPr>
      </w:pPr>
      <w:r w:rsidRPr="00223E80">
        <w:rPr>
          <w:rFonts w:eastAsia="Arial" w:cs="Arial"/>
        </w:rPr>
        <w:t>Ministrstvo za infrastrukturo</w:t>
      </w:r>
      <w:r w:rsidR="00341959" w:rsidRPr="00223E80">
        <w:rPr>
          <w:rFonts w:eastAsia="Arial" w:cs="Arial"/>
        </w:rPr>
        <w:t xml:space="preserve"> kot </w:t>
      </w:r>
      <w:r w:rsidR="00C92447" w:rsidRPr="00223E80">
        <w:rPr>
          <w:rFonts w:eastAsia="Arial" w:cs="Arial"/>
        </w:rPr>
        <w:t xml:space="preserve">resorno </w:t>
      </w:r>
      <w:r w:rsidR="006E360F" w:rsidRPr="00223E80">
        <w:rPr>
          <w:rFonts w:eastAsia="Arial" w:cs="Arial"/>
        </w:rPr>
        <w:t xml:space="preserve">pristojno </w:t>
      </w:r>
      <w:r w:rsidR="00341959" w:rsidRPr="00223E80">
        <w:rPr>
          <w:rFonts w:eastAsia="Arial" w:cs="Arial"/>
        </w:rPr>
        <w:t xml:space="preserve">ministrstvo </w:t>
      </w:r>
      <w:r w:rsidRPr="00223E80">
        <w:rPr>
          <w:rFonts w:eastAsia="Arial" w:cs="Arial"/>
        </w:rPr>
        <w:t xml:space="preserve">na podlagi podatkov o načrtovanih in realiziranih prilivih sredstev na eni strani ter podatkov o izplačilih upravičencem na drugi strani ocenjuje, da </w:t>
      </w:r>
      <w:r w:rsidR="00741AC4" w:rsidRPr="00223E80">
        <w:rPr>
          <w:rFonts w:eastAsia="Arial" w:cs="Arial"/>
        </w:rPr>
        <w:t xml:space="preserve">naj </w:t>
      </w:r>
      <w:r w:rsidR="00C92447" w:rsidRPr="00223E80">
        <w:rPr>
          <w:rFonts w:eastAsia="Arial" w:cs="Arial"/>
        </w:rPr>
        <w:t xml:space="preserve">se </w:t>
      </w:r>
      <w:r w:rsidR="00F93FF9" w:rsidRPr="00223E80">
        <w:rPr>
          <w:rFonts w:eastAsia="Arial" w:cs="Arial"/>
        </w:rPr>
        <w:t xml:space="preserve">skladno z ZSROVE </w:t>
      </w:r>
      <w:r w:rsidR="00FD7334" w:rsidRPr="00223E80">
        <w:rPr>
          <w:rFonts w:eastAsia="Arial" w:cs="Arial"/>
        </w:rPr>
        <w:t>zagotovi</w:t>
      </w:r>
      <w:r w:rsidRPr="00223E80">
        <w:rPr>
          <w:rFonts w:eastAsia="Arial" w:cs="Arial"/>
        </w:rPr>
        <w:t xml:space="preserve"> toliko sredstev, kot jih prikazuje</w:t>
      </w:r>
      <w:r w:rsidR="00E17435" w:rsidRPr="00223E80">
        <w:rPr>
          <w:rFonts w:eastAsia="Arial" w:cs="Arial"/>
        </w:rPr>
        <w:t>ta</w:t>
      </w:r>
      <w:r w:rsidRPr="00223E80">
        <w:rPr>
          <w:rFonts w:eastAsia="Arial" w:cs="Arial"/>
        </w:rPr>
        <w:t xml:space="preserve"> spodnj</w:t>
      </w:r>
      <w:r w:rsidR="00E17435" w:rsidRPr="00223E80">
        <w:rPr>
          <w:rFonts w:eastAsia="Arial" w:cs="Arial"/>
        </w:rPr>
        <w:t>i</w:t>
      </w:r>
      <w:r w:rsidRPr="00223E80">
        <w:rPr>
          <w:rFonts w:eastAsia="Arial" w:cs="Arial"/>
        </w:rPr>
        <w:t xml:space="preserve"> tabel</w:t>
      </w:r>
      <w:r w:rsidR="00E17435" w:rsidRPr="00223E80">
        <w:rPr>
          <w:rFonts w:eastAsia="Arial" w:cs="Arial"/>
        </w:rPr>
        <w:t>i</w:t>
      </w:r>
      <w:r w:rsidR="00FD7334" w:rsidRPr="00223E80">
        <w:rPr>
          <w:rFonts w:eastAsia="Arial" w:cs="Arial"/>
        </w:rPr>
        <w:t>.</w:t>
      </w:r>
    </w:p>
    <w:p w14:paraId="27C79325" w14:textId="77777777" w:rsidR="007E6ED7" w:rsidRPr="00223E80" w:rsidRDefault="007E6ED7" w:rsidP="007E6ED7">
      <w:pPr>
        <w:spacing w:after="0"/>
        <w:rPr>
          <w:rFonts w:eastAsia="Arial" w:cs="Arial"/>
        </w:rPr>
      </w:pPr>
    </w:p>
    <w:p w14:paraId="2E64A817" w14:textId="77777777" w:rsidR="00196EA8" w:rsidRPr="00223E80" w:rsidRDefault="00196EA8" w:rsidP="00196EA8">
      <w:pPr>
        <w:pStyle w:val="Napis"/>
        <w:rPr>
          <w:b w:val="0"/>
          <w:i/>
          <w:sz w:val="22"/>
          <w:szCs w:val="22"/>
        </w:rPr>
      </w:pPr>
      <w:bookmarkStart w:id="38" w:name="_Toc114043613"/>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6</w:t>
      </w:r>
      <w:r w:rsidRPr="00223E80">
        <w:rPr>
          <w:b w:val="0"/>
          <w:i/>
          <w:sz w:val="22"/>
          <w:szCs w:val="22"/>
        </w:rPr>
        <w:fldChar w:fldCharType="end"/>
      </w:r>
      <w:r w:rsidR="00043C36" w:rsidRPr="00223E80">
        <w:rPr>
          <w:b w:val="0"/>
          <w:i/>
          <w:sz w:val="22"/>
          <w:szCs w:val="22"/>
        </w:rPr>
        <w:t>:</w:t>
      </w:r>
      <w:r w:rsidRPr="00223E80">
        <w:rPr>
          <w:b w:val="0"/>
          <w:i/>
          <w:sz w:val="22"/>
          <w:szCs w:val="22"/>
        </w:rPr>
        <w:t xml:space="preserve"> Obseg sredstev, zbranih iz virov sredstev za podpore v letih</w:t>
      </w:r>
      <w:r w:rsidR="00043C36" w:rsidRPr="00223E80">
        <w:rPr>
          <w:b w:val="0"/>
          <w:i/>
          <w:sz w:val="22"/>
          <w:szCs w:val="22"/>
        </w:rPr>
        <w:t xml:space="preserve"> od</w:t>
      </w:r>
      <w:r w:rsidRPr="00223E80">
        <w:rPr>
          <w:b w:val="0"/>
          <w:i/>
          <w:sz w:val="22"/>
          <w:szCs w:val="22"/>
        </w:rPr>
        <w:t xml:space="preserve"> 2022 do 2026</w:t>
      </w:r>
      <w:bookmarkEnd w:id="38"/>
    </w:p>
    <w:tbl>
      <w:tblPr>
        <w:tblpPr w:leftFromText="141" w:rightFromText="141" w:vertAnchor="text" w:horzAnchor="margin" w:tblpX="108" w:tblpY="1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134"/>
        <w:gridCol w:w="1167"/>
        <w:gridCol w:w="1134"/>
        <w:gridCol w:w="1101"/>
      </w:tblGrid>
      <w:tr w:rsidR="00133EDE" w:rsidRPr="00223E80" w14:paraId="53F835A8" w14:textId="77777777" w:rsidTr="009C3453">
        <w:tc>
          <w:tcPr>
            <w:tcW w:w="3369" w:type="dxa"/>
            <w:shd w:val="clear" w:color="auto" w:fill="auto"/>
          </w:tcPr>
          <w:p w14:paraId="6691564A" w14:textId="77777777" w:rsidR="00133EDE" w:rsidRPr="00223E80" w:rsidRDefault="00133EDE" w:rsidP="007E6ED7">
            <w:pPr>
              <w:spacing w:after="0"/>
              <w:ind w:right="565"/>
              <w:rPr>
                <w:rFonts w:eastAsia="Arial" w:cs="Arial"/>
                <w:b/>
              </w:rPr>
            </w:pPr>
            <w:r w:rsidRPr="00223E80">
              <w:rPr>
                <w:rFonts w:eastAsia="Arial" w:cs="Arial"/>
                <w:b/>
              </w:rPr>
              <w:t>Leto</w:t>
            </w:r>
          </w:p>
        </w:tc>
        <w:tc>
          <w:tcPr>
            <w:tcW w:w="1134" w:type="dxa"/>
          </w:tcPr>
          <w:p w14:paraId="70A85036" w14:textId="77777777" w:rsidR="00133EDE" w:rsidRPr="00223E80" w:rsidRDefault="00133EDE" w:rsidP="007E6ED7">
            <w:pPr>
              <w:spacing w:after="0"/>
              <w:ind w:right="334"/>
              <w:rPr>
                <w:rFonts w:eastAsia="Arial" w:cs="Arial"/>
                <w:b/>
              </w:rPr>
            </w:pPr>
            <w:r w:rsidRPr="00223E80">
              <w:rPr>
                <w:rFonts w:eastAsia="Arial" w:cs="Arial"/>
                <w:b/>
              </w:rPr>
              <w:t>2022</w:t>
            </w:r>
          </w:p>
        </w:tc>
        <w:tc>
          <w:tcPr>
            <w:tcW w:w="1134" w:type="dxa"/>
          </w:tcPr>
          <w:p w14:paraId="041A2713" w14:textId="77777777" w:rsidR="00133EDE" w:rsidRPr="00223E80" w:rsidRDefault="00133EDE" w:rsidP="007E6ED7">
            <w:pPr>
              <w:spacing w:after="0"/>
              <w:ind w:right="334"/>
              <w:rPr>
                <w:rFonts w:eastAsia="Arial" w:cs="Arial"/>
                <w:b/>
              </w:rPr>
            </w:pPr>
            <w:r w:rsidRPr="00223E80">
              <w:rPr>
                <w:rFonts w:eastAsia="Arial" w:cs="Arial"/>
                <w:b/>
              </w:rPr>
              <w:t>2023</w:t>
            </w:r>
          </w:p>
        </w:tc>
        <w:tc>
          <w:tcPr>
            <w:tcW w:w="1167" w:type="dxa"/>
          </w:tcPr>
          <w:p w14:paraId="7A59B653" w14:textId="77777777" w:rsidR="00133EDE" w:rsidRPr="00223E80" w:rsidRDefault="00133EDE" w:rsidP="007E6ED7">
            <w:pPr>
              <w:spacing w:after="0"/>
              <w:ind w:right="334"/>
              <w:rPr>
                <w:rFonts w:eastAsia="Arial" w:cs="Arial"/>
                <w:b/>
              </w:rPr>
            </w:pPr>
            <w:r w:rsidRPr="00223E80">
              <w:rPr>
                <w:rFonts w:eastAsia="Arial" w:cs="Arial"/>
                <w:b/>
              </w:rPr>
              <w:t>2024</w:t>
            </w:r>
          </w:p>
        </w:tc>
        <w:tc>
          <w:tcPr>
            <w:tcW w:w="1134" w:type="dxa"/>
          </w:tcPr>
          <w:p w14:paraId="5EB497B8" w14:textId="77777777" w:rsidR="00133EDE" w:rsidRPr="00223E80" w:rsidRDefault="00133EDE" w:rsidP="007E6ED7">
            <w:pPr>
              <w:spacing w:after="0"/>
              <w:ind w:right="334"/>
              <w:rPr>
                <w:rFonts w:eastAsia="Arial" w:cs="Arial"/>
                <w:b/>
              </w:rPr>
            </w:pPr>
            <w:r w:rsidRPr="00223E80">
              <w:rPr>
                <w:rFonts w:eastAsia="Arial" w:cs="Arial"/>
                <w:b/>
              </w:rPr>
              <w:t>2025</w:t>
            </w:r>
          </w:p>
        </w:tc>
        <w:tc>
          <w:tcPr>
            <w:tcW w:w="1101" w:type="dxa"/>
          </w:tcPr>
          <w:p w14:paraId="512D5A90" w14:textId="77777777" w:rsidR="00133EDE" w:rsidRPr="00223E80" w:rsidRDefault="00133EDE" w:rsidP="007E6ED7">
            <w:pPr>
              <w:spacing w:after="0"/>
              <w:ind w:right="334"/>
              <w:rPr>
                <w:rFonts w:eastAsia="Arial" w:cs="Arial"/>
                <w:b/>
              </w:rPr>
            </w:pPr>
            <w:r w:rsidRPr="00223E80">
              <w:rPr>
                <w:rFonts w:eastAsia="Arial" w:cs="Arial"/>
                <w:b/>
              </w:rPr>
              <w:t>2026</w:t>
            </w:r>
          </w:p>
        </w:tc>
      </w:tr>
      <w:tr w:rsidR="00133EDE" w:rsidRPr="00223E80" w14:paraId="4849B689" w14:textId="77777777" w:rsidTr="009C3453">
        <w:tc>
          <w:tcPr>
            <w:tcW w:w="3369" w:type="dxa"/>
            <w:shd w:val="clear" w:color="auto" w:fill="auto"/>
          </w:tcPr>
          <w:p w14:paraId="742F44B8" w14:textId="77777777" w:rsidR="00133EDE" w:rsidRPr="00223E80" w:rsidRDefault="00133EDE" w:rsidP="007E6ED7">
            <w:pPr>
              <w:spacing w:after="0"/>
              <w:ind w:right="33"/>
              <w:rPr>
                <w:rFonts w:eastAsia="Arial" w:cs="Arial"/>
              </w:rPr>
            </w:pPr>
            <w:r w:rsidRPr="00223E80">
              <w:rPr>
                <w:rFonts w:eastAsia="Arial" w:cs="Arial"/>
              </w:rPr>
              <w:t xml:space="preserve">Prispevki končnih odjemalcev električne energije, zemeljskega plina in drugih energetskih plinov iz omrežja in daljinske toplote ter daljinskega hlajenja (mio €) </w:t>
            </w:r>
          </w:p>
        </w:tc>
        <w:tc>
          <w:tcPr>
            <w:tcW w:w="1134" w:type="dxa"/>
          </w:tcPr>
          <w:p w14:paraId="546C4D1D" w14:textId="77777777" w:rsidR="00133EDE" w:rsidRPr="00223E80" w:rsidRDefault="00133EDE" w:rsidP="007E6ED7">
            <w:pPr>
              <w:spacing w:after="0"/>
              <w:ind w:right="334"/>
              <w:jc w:val="center"/>
              <w:rPr>
                <w:rFonts w:eastAsia="Arial" w:cs="Arial"/>
              </w:rPr>
            </w:pPr>
            <w:r w:rsidRPr="00223E80">
              <w:rPr>
                <w:rFonts w:eastAsia="Arial" w:cs="Arial"/>
              </w:rPr>
              <w:t>92</w:t>
            </w:r>
          </w:p>
        </w:tc>
        <w:tc>
          <w:tcPr>
            <w:tcW w:w="1134" w:type="dxa"/>
          </w:tcPr>
          <w:p w14:paraId="59D73E8E" w14:textId="77777777" w:rsidR="00133EDE" w:rsidRPr="00223E80" w:rsidRDefault="00133EDE" w:rsidP="007E6ED7">
            <w:pPr>
              <w:spacing w:after="0"/>
              <w:jc w:val="center"/>
              <w:rPr>
                <w:rFonts w:eastAsia="Arial" w:cs="Arial"/>
              </w:rPr>
            </w:pPr>
            <w:r w:rsidRPr="00223E80">
              <w:rPr>
                <w:rFonts w:eastAsia="Arial" w:cs="Arial"/>
              </w:rPr>
              <w:t>112</w:t>
            </w:r>
          </w:p>
        </w:tc>
        <w:tc>
          <w:tcPr>
            <w:tcW w:w="1167" w:type="dxa"/>
          </w:tcPr>
          <w:p w14:paraId="3187B271" w14:textId="77777777" w:rsidR="00133EDE" w:rsidRPr="00223E80" w:rsidRDefault="00133EDE" w:rsidP="007E6ED7">
            <w:pPr>
              <w:spacing w:after="0"/>
              <w:jc w:val="center"/>
              <w:rPr>
                <w:rFonts w:eastAsia="Arial" w:cs="Arial"/>
              </w:rPr>
            </w:pPr>
            <w:r w:rsidRPr="00223E80">
              <w:rPr>
                <w:rFonts w:eastAsia="Arial" w:cs="Arial"/>
              </w:rPr>
              <w:t>112</w:t>
            </w:r>
          </w:p>
        </w:tc>
        <w:tc>
          <w:tcPr>
            <w:tcW w:w="1134" w:type="dxa"/>
          </w:tcPr>
          <w:p w14:paraId="3DD55F42" w14:textId="77777777" w:rsidR="00133EDE" w:rsidRPr="00223E80" w:rsidRDefault="00133EDE" w:rsidP="007E6ED7">
            <w:pPr>
              <w:spacing w:after="0"/>
              <w:jc w:val="center"/>
              <w:rPr>
                <w:rFonts w:eastAsia="Arial" w:cs="Arial"/>
              </w:rPr>
            </w:pPr>
            <w:r w:rsidRPr="00223E80">
              <w:rPr>
                <w:rFonts w:eastAsia="Arial" w:cs="Arial"/>
              </w:rPr>
              <w:t>120</w:t>
            </w:r>
          </w:p>
        </w:tc>
        <w:tc>
          <w:tcPr>
            <w:tcW w:w="1101" w:type="dxa"/>
          </w:tcPr>
          <w:p w14:paraId="3DB44862" w14:textId="77777777" w:rsidR="00133EDE" w:rsidRPr="00223E80" w:rsidRDefault="00133EDE" w:rsidP="007E6ED7">
            <w:pPr>
              <w:spacing w:after="0"/>
              <w:jc w:val="center"/>
              <w:rPr>
                <w:rFonts w:eastAsia="Arial" w:cs="Arial"/>
              </w:rPr>
            </w:pPr>
            <w:r w:rsidRPr="00223E80">
              <w:rPr>
                <w:rFonts w:eastAsia="Arial" w:cs="Arial"/>
              </w:rPr>
              <w:t>120</w:t>
            </w:r>
          </w:p>
        </w:tc>
      </w:tr>
      <w:tr w:rsidR="00133EDE" w:rsidRPr="00223E80" w14:paraId="47678985" w14:textId="77777777" w:rsidTr="009C3453">
        <w:tc>
          <w:tcPr>
            <w:tcW w:w="3369" w:type="dxa"/>
            <w:shd w:val="clear" w:color="auto" w:fill="auto"/>
          </w:tcPr>
          <w:p w14:paraId="4EEC84EE" w14:textId="77777777" w:rsidR="00133EDE" w:rsidRPr="00223E80" w:rsidRDefault="00133EDE" w:rsidP="007E6ED7">
            <w:pPr>
              <w:spacing w:after="0"/>
              <w:ind w:right="33"/>
              <w:rPr>
                <w:rFonts w:eastAsia="Arial" w:cs="Arial"/>
              </w:rPr>
            </w:pPr>
            <w:r w:rsidRPr="00223E80">
              <w:rPr>
                <w:rFonts w:eastAsia="Arial" w:cs="Arial"/>
              </w:rPr>
              <w:t xml:space="preserve">Prispevki končnih odjemalcev za rabo trdih in tekočih fosilnih goriv, utekočinjenega naftnega plina ter utekočinjenega zemeljskega plina (mio €) </w:t>
            </w:r>
          </w:p>
        </w:tc>
        <w:tc>
          <w:tcPr>
            <w:tcW w:w="1134" w:type="dxa"/>
          </w:tcPr>
          <w:p w14:paraId="62B46C29" w14:textId="77777777" w:rsidR="00133EDE" w:rsidRPr="00223E80" w:rsidRDefault="00133EDE" w:rsidP="007E6ED7">
            <w:pPr>
              <w:spacing w:after="0"/>
              <w:ind w:right="334"/>
              <w:jc w:val="center"/>
              <w:rPr>
                <w:rFonts w:eastAsia="Arial" w:cs="Arial"/>
              </w:rPr>
            </w:pPr>
            <w:r w:rsidRPr="00223E80">
              <w:rPr>
                <w:rFonts w:eastAsia="Arial" w:cs="Arial"/>
              </w:rPr>
              <w:t>30</w:t>
            </w:r>
          </w:p>
        </w:tc>
        <w:tc>
          <w:tcPr>
            <w:tcW w:w="1134" w:type="dxa"/>
          </w:tcPr>
          <w:p w14:paraId="3EA64898" w14:textId="77777777" w:rsidR="00133EDE" w:rsidRPr="00223E80" w:rsidRDefault="00133EDE" w:rsidP="007E6ED7">
            <w:pPr>
              <w:spacing w:after="0"/>
              <w:ind w:right="334"/>
              <w:jc w:val="center"/>
              <w:rPr>
                <w:rFonts w:eastAsia="Arial" w:cs="Arial"/>
              </w:rPr>
            </w:pPr>
            <w:r w:rsidRPr="00223E80">
              <w:rPr>
                <w:rFonts w:eastAsia="Arial" w:cs="Arial"/>
              </w:rPr>
              <w:t>30</w:t>
            </w:r>
          </w:p>
        </w:tc>
        <w:tc>
          <w:tcPr>
            <w:tcW w:w="1167" w:type="dxa"/>
          </w:tcPr>
          <w:p w14:paraId="0C3BD80C" w14:textId="77777777" w:rsidR="00133EDE" w:rsidRPr="00223E80" w:rsidRDefault="00BA7CAF" w:rsidP="007E6ED7">
            <w:pPr>
              <w:spacing w:after="0"/>
              <w:ind w:right="334"/>
              <w:jc w:val="center"/>
              <w:rPr>
                <w:rFonts w:eastAsia="Arial" w:cs="Arial"/>
              </w:rPr>
            </w:pPr>
            <w:r w:rsidRPr="00223E80">
              <w:rPr>
                <w:rFonts w:eastAsia="Arial" w:cs="Arial"/>
              </w:rPr>
              <w:t>50</w:t>
            </w:r>
          </w:p>
        </w:tc>
        <w:tc>
          <w:tcPr>
            <w:tcW w:w="1134" w:type="dxa"/>
          </w:tcPr>
          <w:p w14:paraId="6EDBFC41" w14:textId="77777777" w:rsidR="00133EDE" w:rsidRPr="00223E80" w:rsidRDefault="00BA7CAF" w:rsidP="007E6ED7">
            <w:pPr>
              <w:spacing w:after="0"/>
              <w:ind w:right="334"/>
              <w:jc w:val="center"/>
              <w:rPr>
                <w:rFonts w:eastAsia="Arial" w:cs="Arial"/>
              </w:rPr>
            </w:pPr>
            <w:r w:rsidRPr="00223E80">
              <w:rPr>
                <w:rFonts w:eastAsia="Arial" w:cs="Arial"/>
              </w:rPr>
              <w:t>50</w:t>
            </w:r>
          </w:p>
        </w:tc>
        <w:tc>
          <w:tcPr>
            <w:tcW w:w="1101" w:type="dxa"/>
          </w:tcPr>
          <w:p w14:paraId="086936CA" w14:textId="77777777" w:rsidR="00133EDE" w:rsidRPr="00223E80" w:rsidRDefault="00BA7CAF" w:rsidP="007E6ED7">
            <w:pPr>
              <w:spacing w:after="0"/>
              <w:ind w:right="334"/>
              <w:jc w:val="center"/>
              <w:rPr>
                <w:rFonts w:eastAsia="Arial" w:cs="Arial"/>
              </w:rPr>
            </w:pPr>
            <w:r w:rsidRPr="00223E80">
              <w:rPr>
                <w:rFonts w:eastAsia="Arial" w:cs="Arial"/>
              </w:rPr>
              <w:t>50</w:t>
            </w:r>
          </w:p>
        </w:tc>
      </w:tr>
      <w:tr w:rsidR="00133EDE" w:rsidRPr="00223E80" w14:paraId="26173524" w14:textId="77777777" w:rsidTr="009C3453">
        <w:tc>
          <w:tcPr>
            <w:tcW w:w="3369" w:type="dxa"/>
            <w:shd w:val="clear" w:color="auto" w:fill="auto"/>
          </w:tcPr>
          <w:p w14:paraId="6A139E9D" w14:textId="77777777" w:rsidR="00133EDE" w:rsidRPr="00223E80" w:rsidRDefault="00133EDE" w:rsidP="007E6ED7">
            <w:pPr>
              <w:tabs>
                <w:tab w:val="left" w:pos="4111"/>
              </w:tabs>
              <w:spacing w:after="0"/>
              <w:ind w:right="33"/>
              <w:rPr>
                <w:rFonts w:eastAsia="Arial" w:cs="Arial"/>
              </w:rPr>
            </w:pPr>
            <w:r w:rsidRPr="00223E80">
              <w:rPr>
                <w:rFonts w:eastAsia="Arial" w:cs="Arial"/>
              </w:rPr>
              <w:t>Prodaja električne energije iz naslova EKO bilančne skupine (mio €)</w:t>
            </w:r>
          </w:p>
        </w:tc>
        <w:tc>
          <w:tcPr>
            <w:tcW w:w="1134" w:type="dxa"/>
          </w:tcPr>
          <w:p w14:paraId="0DB8CB13" w14:textId="77777777" w:rsidR="00133EDE" w:rsidRPr="00223E80" w:rsidRDefault="00133EDE" w:rsidP="007E6ED7">
            <w:pPr>
              <w:spacing w:after="0"/>
              <w:ind w:right="334"/>
              <w:jc w:val="center"/>
              <w:rPr>
                <w:rFonts w:eastAsia="Arial" w:cs="Arial"/>
              </w:rPr>
            </w:pPr>
            <w:r w:rsidRPr="00223E80">
              <w:rPr>
                <w:rFonts w:eastAsia="Arial" w:cs="Arial"/>
              </w:rPr>
              <w:t>8</w:t>
            </w:r>
          </w:p>
        </w:tc>
        <w:tc>
          <w:tcPr>
            <w:tcW w:w="1134" w:type="dxa"/>
          </w:tcPr>
          <w:p w14:paraId="055349CF" w14:textId="77777777" w:rsidR="00133EDE" w:rsidRPr="00223E80" w:rsidRDefault="00133EDE" w:rsidP="007E6ED7">
            <w:pPr>
              <w:tabs>
                <w:tab w:val="center" w:pos="467"/>
                <w:tab w:val="right" w:pos="934"/>
              </w:tabs>
              <w:spacing w:after="0"/>
              <w:ind w:right="334"/>
              <w:jc w:val="center"/>
              <w:rPr>
                <w:rFonts w:eastAsia="Arial" w:cs="Arial"/>
              </w:rPr>
            </w:pPr>
            <w:r w:rsidRPr="00223E80">
              <w:rPr>
                <w:rFonts w:eastAsia="Arial" w:cs="Arial"/>
              </w:rPr>
              <w:t>8</w:t>
            </w:r>
          </w:p>
        </w:tc>
        <w:tc>
          <w:tcPr>
            <w:tcW w:w="1167" w:type="dxa"/>
          </w:tcPr>
          <w:p w14:paraId="67433CA0" w14:textId="77777777" w:rsidR="00133EDE" w:rsidRPr="00223E80" w:rsidRDefault="00133EDE" w:rsidP="007E6ED7">
            <w:pPr>
              <w:spacing w:after="0"/>
              <w:ind w:right="334"/>
              <w:jc w:val="center"/>
              <w:rPr>
                <w:rFonts w:eastAsia="Arial" w:cs="Arial"/>
              </w:rPr>
            </w:pPr>
            <w:r w:rsidRPr="00223E80">
              <w:rPr>
                <w:rFonts w:eastAsia="Arial" w:cs="Arial"/>
              </w:rPr>
              <w:t>8</w:t>
            </w:r>
          </w:p>
        </w:tc>
        <w:tc>
          <w:tcPr>
            <w:tcW w:w="1134" w:type="dxa"/>
          </w:tcPr>
          <w:p w14:paraId="1979A955" w14:textId="77777777" w:rsidR="00133EDE" w:rsidRPr="00223E80" w:rsidRDefault="00133EDE" w:rsidP="007E6ED7">
            <w:pPr>
              <w:spacing w:after="0"/>
              <w:ind w:right="334"/>
              <w:jc w:val="center"/>
              <w:rPr>
                <w:rFonts w:eastAsia="Arial" w:cs="Arial"/>
              </w:rPr>
            </w:pPr>
            <w:r w:rsidRPr="00223E80">
              <w:rPr>
                <w:rFonts w:eastAsia="Arial" w:cs="Arial"/>
              </w:rPr>
              <w:t>10</w:t>
            </w:r>
          </w:p>
        </w:tc>
        <w:tc>
          <w:tcPr>
            <w:tcW w:w="1101" w:type="dxa"/>
          </w:tcPr>
          <w:p w14:paraId="6B61E83C" w14:textId="77777777" w:rsidR="00133EDE" w:rsidRPr="00223E80" w:rsidRDefault="00133EDE" w:rsidP="007E6ED7">
            <w:pPr>
              <w:spacing w:after="0"/>
              <w:ind w:right="334"/>
              <w:jc w:val="center"/>
              <w:rPr>
                <w:rFonts w:eastAsia="Arial" w:cs="Arial"/>
              </w:rPr>
            </w:pPr>
            <w:r w:rsidRPr="00223E80">
              <w:rPr>
                <w:rFonts w:eastAsia="Arial" w:cs="Arial"/>
              </w:rPr>
              <w:t>10</w:t>
            </w:r>
          </w:p>
        </w:tc>
      </w:tr>
      <w:tr w:rsidR="00133EDE" w:rsidRPr="00223E80" w14:paraId="25D57005" w14:textId="77777777" w:rsidTr="009C3453">
        <w:tc>
          <w:tcPr>
            <w:tcW w:w="3369" w:type="dxa"/>
            <w:shd w:val="clear" w:color="auto" w:fill="auto"/>
          </w:tcPr>
          <w:p w14:paraId="635E7CEB" w14:textId="77777777" w:rsidR="00133EDE" w:rsidRPr="00223E80" w:rsidRDefault="00133EDE" w:rsidP="007E6ED7">
            <w:pPr>
              <w:spacing w:after="0"/>
              <w:ind w:right="33"/>
              <w:rPr>
                <w:rFonts w:eastAsia="Arial" w:cs="Arial"/>
              </w:rPr>
            </w:pPr>
            <w:r w:rsidRPr="00223E80">
              <w:rPr>
                <w:rFonts w:eastAsia="Arial" w:cs="Arial"/>
              </w:rPr>
              <w:t>Proračunski viri</w:t>
            </w:r>
            <w:r w:rsidR="00341959" w:rsidRPr="00223E80">
              <w:rPr>
                <w:rFonts w:eastAsia="Arial" w:cs="Arial"/>
              </w:rPr>
              <w:t xml:space="preserve"> </w:t>
            </w:r>
            <w:r w:rsidRPr="00223E80">
              <w:rPr>
                <w:rFonts w:eastAsia="Arial" w:cs="Arial"/>
              </w:rPr>
              <w:t>(mio €)</w:t>
            </w:r>
          </w:p>
        </w:tc>
        <w:tc>
          <w:tcPr>
            <w:tcW w:w="1134" w:type="dxa"/>
          </w:tcPr>
          <w:p w14:paraId="3AEB3137"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6BCBEFC2"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67" w:type="dxa"/>
          </w:tcPr>
          <w:p w14:paraId="09B9CB15"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37B0A3CB"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01" w:type="dxa"/>
          </w:tcPr>
          <w:p w14:paraId="0E88814F" w14:textId="77777777" w:rsidR="00133EDE" w:rsidRPr="00223E80" w:rsidRDefault="00133EDE" w:rsidP="007E6ED7">
            <w:pPr>
              <w:spacing w:after="0"/>
              <w:ind w:right="334"/>
              <w:jc w:val="center"/>
              <w:rPr>
                <w:rFonts w:eastAsia="Arial" w:cs="Arial"/>
              </w:rPr>
            </w:pPr>
            <w:r w:rsidRPr="00223E80">
              <w:rPr>
                <w:rFonts w:eastAsia="Arial" w:cs="Arial"/>
              </w:rPr>
              <w:t>0</w:t>
            </w:r>
          </w:p>
        </w:tc>
      </w:tr>
      <w:tr w:rsidR="00133EDE" w:rsidRPr="00223E80" w14:paraId="2248A5EB" w14:textId="77777777" w:rsidTr="009C3453">
        <w:tc>
          <w:tcPr>
            <w:tcW w:w="3369" w:type="dxa"/>
            <w:shd w:val="clear" w:color="auto" w:fill="auto"/>
          </w:tcPr>
          <w:p w14:paraId="08372BC3" w14:textId="2D33D3F9" w:rsidR="00133EDE" w:rsidRPr="00223E80" w:rsidRDefault="00133EDE" w:rsidP="007E6ED7">
            <w:pPr>
              <w:spacing w:after="0"/>
              <w:ind w:right="33"/>
              <w:rPr>
                <w:rFonts w:eastAsia="Arial" w:cs="Arial"/>
              </w:rPr>
            </w:pPr>
            <w:r w:rsidRPr="00223E80">
              <w:rPr>
                <w:rFonts w:eastAsia="Arial" w:cs="Arial"/>
              </w:rPr>
              <w:t>Sredstva</w:t>
            </w:r>
            <w:r w:rsidR="00FC3AA4" w:rsidRPr="00223E80">
              <w:rPr>
                <w:rFonts w:eastAsia="Arial" w:cs="Arial"/>
              </w:rPr>
              <w:t>,</w:t>
            </w:r>
            <w:r w:rsidRPr="00223E80">
              <w:rPr>
                <w:rFonts w:eastAsia="Arial" w:cs="Arial"/>
              </w:rPr>
              <w:t xml:space="preserve"> pridobljena iz statističnih prenosov</w:t>
            </w:r>
            <w:r w:rsidR="00FC3AA4" w:rsidRPr="00223E80">
              <w:rPr>
                <w:rFonts w:eastAsia="Arial" w:cs="Arial"/>
              </w:rPr>
              <w:t>,</w:t>
            </w:r>
            <w:r w:rsidRPr="00223E80">
              <w:rPr>
                <w:rFonts w:eastAsia="Arial" w:cs="Arial"/>
              </w:rPr>
              <w:t xml:space="preserve"> v skladu </w:t>
            </w:r>
            <w:r w:rsidR="00FC3AA4" w:rsidRPr="00223E80">
              <w:rPr>
                <w:rFonts w:eastAsia="Arial" w:cs="Arial"/>
              </w:rPr>
              <w:t>s</w:t>
            </w:r>
            <w:r w:rsidRPr="00223E80">
              <w:rPr>
                <w:rFonts w:eastAsia="Arial" w:cs="Arial"/>
              </w:rPr>
              <w:t xml:space="preserve"> 30. členom ZSROVE (mio €)</w:t>
            </w:r>
          </w:p>
        </w:tc>
        <w:tc>
          <w:tcPr>
            <w:tcW w:w="1134" w:type="dxa"/>
          </w:tcPr>
          <w:p w14:paraId="4796974E"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77375F67"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67" w:type="dxa"/>
          </w:tcPr>
          <w:p w14:paraId="2253EAFB"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086A5CB4"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01" w:type="dxa"/>
          </w:tcPr>
          <w:p w14:paraId="73731DBC" w14:textId="77777777" w:rsidR="00133EDE" w:rsidRPr="00223E80" w:rsidRDefault="00133EDE" w:rsidP="007E6ED7">
            <w:pPr>
              <w:spacing w:after="0"/>
              <w:ind w:right="334"/>
              <w:jc w:val="center"/>
              <w:rPr>
                <w:rFonts w:eastAsia="Arial" w:cs="Arial"/>
              </w:rPr>
            </w:pPr>
            <w:r w:rsidRPr="00223E80">
              <w:rPr>
                <w:rFonts w:eastAsia="Arial" w:cs="Arial"/>
              </w:rPr>
              <w:t>0</w:t>
            </w:r>
          </w:p>
        </w:tc>
      </w:tr>
      <w:tr w:rsidR="00133EDE" w:rsidRPr="00223E80" w14:paraId="5844B0ED" w14:textId="77777777" w:rsidTr="009C3453">
        <w:tc>
          <w:tcPr>
            <w:tcW w:w="3369" w:type="dxa"/>
            <w:shd w:val="clear" w:color="auto" w:fill="auto"/>
          </w:tcPr>
          <w:p w14:paraId="5811DC25" w14:textId="77777777" w:rsidR="00133EDE" w:rsidRPr="00223E80" w:rsidRDefault="00133EDE" w:rsidP="007E6ED7">
            <w:pPr>
              <w:spacing w:after="0"/>
              <w:ind w:right="33"/>
              <w:rPr>
                <w:rFonts w:eastAsia="Arial" w:cs="Arial"/>
              </w:rPr>
            </w:pPr>
            <w:r w:rsidRPr="00223E80">
              <w:rPr>
                <w:rFonts w:eastAsia="Arial" w:cs="Arial"/>
              </w:rPr>
              <w:t>Sredstva zaradi sodelovanja v vlogi gostiteljice projektov v mehanizmu Unij</w:t>
            </w:r>
            <w:r w:rsidR="00341959" w:rsidRPr="00223E80">
              <w:rPr>
                <w:rFonts w:eastAsia="Arial" w:cs="Arial"/>
              </w:rPr>
              <w:t xml:space="preserve">e iz drugega odstavka 36. člena </w:t>
            </w:r>
            <w:r w:rsidRPr="00223E80">
              <w:rPr>
                <w:rFonts w:eastAsia="Arial" w:cs="Arial"/>
              </w:rPr>
              <w:t>ZSROVE</w:t>
            </w:r>
            <w:r w:rsidR="007D5D1F" w:rsidRPr="00223E80">
              <w:rPr>
                <w:rFonts w:eastAsia="Arial" w:cs="Arial"/>
              </w:rPr>
              <w:t xml:space="preserve"> </w:t>
            </w:r>
            <w:r w:rsidRPr="00223E80">
              <w:rPr>
                <w:rFonts w:eastAsia="Arial" w:cs="Arial"/>
              </w:rPr>
              <w:t>(mio €)</w:t>
            </w:r>
          </w:p>
        </w:tc>
        <w:tc>
          <w:tcPr>
            <w:tcW w:w="1134" w:type="dxa"/>
          </w:tcPr>
          <w:p w14:paraId="403764FD"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282A06D1"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67" w:type="dxa"/>
          </w:tcPr>
          <w:p w14:paraId="6F544FA6" w14:textId="77777777" w:rsidR="00133EDE" w:rsidRPr="00223E80" w:rsidRDefault="00133EDE" w:rsidP="007E6ED7">
            <w:pPr>
              <w:spacing w:after="0"/>
              <w:ind w:right="334"/>
              <w:jc w:val="center"/>
              <w:rPr>
                <w:rFonts w:eastAsia="Arial" w:cs="Arial"/>
              </w:rPr>
            </w:pPr>
            <w:r w:rsidRPr="00223E80">
              <w:rPr>
                <w:rFonts w:eastAsia="Arial" w:cs="Arial"/>
              </w:rPr>
              <w:t>0</w:t>
            </w:r>
          </w:p>
        </w:tc>
        <w:tc>
          <w:tcPr>
            <w:tcW w:w="1134" w:type="dxa"/>
          </w:tcPr>
          <w:p w14:paraId="10807756" w14:textId="77777777" w:rsidR="00133EDE" w:rsidRPr="00223E80" w:rsidRDefault="00247897" w:rsidP="007E6ED7">
            <w:pPr>
              <w:spacing w:after="0"/>
              <w:ind w:right="334"/>
              <w:jc w:val="center"/>
              <w:rPr>
                <w:rFonts w:eastAsia="Arial" w:cs="Arial"/>
              </w:rPr>
            </w:pPr>
            <w:r w:rsidRPr="00223E80">
              <w:rPr>
                <w:rFonts w:eastAsia="Arial" w:cs="Arial"/>
              </w:rPr>
              <w:t>0</w:t>
            </w:r>
          </w:p>
        </w:tc>
        <w:tc>
          <w:tcPr>
            <w:tcW w:w="1101" w:type="dxa"/>
          </w:tcPr>
          <w:p w14:paraId="2B6EE49A" w14:textId="77777777" w:rsidR="00133EDE" w:rsidRPr="00223E80" w:rsidRDefault="00247897" w:rsidP="007E6ED7">
            <w:pPr>
              <w:spacing w:after="0"/>
              <w:ind w:right="334"/>
              <w:jc w:val="center"/>
              <w:rPr>
                <w:rFonts w:eastAsia="Arial" w:cs="Arial"/>
              </w:rPr>
            </w:pPr>
            <w:r w:rsidRPr="00223E80">
              <w:rPr>
                <w:rFonts w:eastAsia="Arial" w:cs="Arial"/>
              </w:rPr>
              <w:t>0</w:t>
            </w:r>
          </w:p>
        </w:tc>
      </w:tr>
      <w:tr w:rsidR="00133EDE" w:rsidRPr="00223E80" w14:paraId="6F6C2E23" w14:textId="77777777" w:rsidTr="009C3453">
        <w:tc>
          <w:tcPr>
            <w:tcW w:w="3369" w:type="dxa"/>
            <w:shd w:val="clear" w:color="auto" w:fill="auto"/>
          </w:tcPr>
          <w:p w14:paraId="5E444ACA" w14:textId="77777777" w:rsidR="00133EDE" w:rsidRPr="00223E80" w:rsidRDefault="00133EDE" w:rsidP="007E6ED7">
            <w:pPr>
              <w:spacing w:after="0"/>
              <w:ind w:right="33"/>
              <w:rPr>
                <w:rFonts w:eastAsia="Arial" w:cs="Arial"/>
                <w:b/>
              </w:rPr>
            </w:pPr>
            <w:r w:rsidRPr="00223E80">
              <w:rPr>
                <w:rFonts w:eastAsia="Arial" w:cs="Arial"/>
                <w:b/>
              </w:rPr>
              <w:t>Skupaj</w:t>
            </w:r>
          </w:p>
        </w:tc>
        <w:tc>
          <w:tcPr>
            <w:tcW w:w="1134" w:type="dxa"/>
          </w:tcPr>
          <w:p w14:paraId="7CF6074A" w14:textId="77777777" w:rsidR="00133EDE" w:rsidRPr="00223E80" w:rsidRDefault="00D704B1" w:rsidP="00E54501">
            <w:pPr>
              <w:spacing w:after="0"/>
              <w:ind w:right="334"/>
              <w:jc w:val="center"/>
              <w:rPr>
                <w:rFonts w:eastAsia="Arial" w:cs="Arial"/>
                <w:b/>
              </w:rPr>
            </w:pPr>
            <w:r w:rsidRPr="00223E80">
              <w:rPr>
                <w:rFonts w:eastAsia="Arial" w:cs="Arial"/>
                <w:b/>
              </w:rPr>
              <w:t>1</w:t>
            </w:r>
            <w:r w:rsidR="00E54501" w:rsidRPr="00223E80">
              <w:rPr>
                <w:rFonts w:eastAsia="Arial" w:cs="Arial"/>
                <w:b/>
              </w:rPr>
              <w:t>13</w:t>
            </w:r>
          </w:p>
        </w:tc>
        <w:tc>
          <w:tcPr>
            <w:tcW w:w="1134" w:type="dxa"/>
          </w:tcPr>
          <w:p w14:paraId="05828EE8" w14:textId="77777777" w:rsidR="00133EDE" w:rsidRPr="00223E80" w:rsidRDefault="00133EDE" w:rsidP="007E6ED7">
            <w:pPr>
              <w:spacing w:after="0"/>
              <w:ind w:right="334"/>
              <w:jc w:val="center"/>
              <w:rPr>
                <w:rFonts w:eastAsia="Arial" w:cs="Arial"/>
                <w:b/>
              </w:rPr>
            </w:pPr>
            <w:r w:rsidRPr="00223E80">
              <w:rPr>
                <w:rFonts w:eastAsia="Arial" w:cs="Arial"/>
                <w:b/>
              </w:rPr>
              <w:t>150</w:t>
            </w:r>
          </w:p>
        </w:tc>
        <w:tc>
          <w:tcPr>
            <w:tcW w:w="1167" w:type="dxa"/>
          </w:tcPr>
          <w:p w14:paraId="7CB118D8" w14:textId="77777777" w:rsidR="00133EDE" w:rsidRPr="00223E80" w:rsidRDefault="009D7BCC" w:rsidP="007E6ED7">
            <w:pPr>
              <w:spacing w:after="0"/>
              <w:ind w:right="334"/>
              <w:jc w:val="center"/>
              <w:rPr>
                <w:rFonts w:eastAsia="Arial" w:cs="Arial"/>
                <w:b/>
              </w:rPr>
            </w:pPr>
            <w:r w:rsidRPr="00223E80">
              <w:rPr>
                <w:rFonts w:eastAsia="Arial" w:cs="Arial"/>
                <w:b/>
              </w:rPr>
              <w:t>170</w:t>
            </w:r>
          </w:p>
        </w:tc>
        <w:tc>
          <w:tcPr>
            <w:tcW w:w="1134" w:type="dxa"/>
          </w:tcPr>
          <w:p w14:paraId="31130A02" w14:textId="77777777" w:rsidR="00133EDE" w:rsidRPr="00223E80" w:rsidRDefault="009D7BCC" w:rsidP="00247897">
            <w:pPr>
              <w:spacing w:after="0"/>
              <w:ind w:right="334"/>
              <w:jc w:val="center"/>
              <w:rPr>
                <w:rFonts w:eastAsia="Arial" w:cs="Arial"/>
                <w:b/>
              </w:rPr>
            </w:pPr>
            <w:r w:rsidRPr="00223E80">
              <w:rPr>
                <w:rFonts w:eastAsia="Arial" w:cs="Arial"/>
                <w:b/>
              </w:rPr>
              <w:t>18</w:t>
            </w:r>
            <w:r w:rsidR="00247897" w:rsidRPr="00223E80">
              <w:rPr>
                <w:rFonts w:eastAsia="Arial" w:cs="Arial"/>
                <w:b/>
              </w:rPr>
              <w:t>0</w:t>
            </w:r>
          </w:p>
        </w:tc>
        <w:tc>
          <w:tcPr>
            <w:tcW w:w="1101" w:type="dxa"/>
          </w:tcPr>
          <w:p w14:paraId="4273CC2A" w14:textId="77777777" w:rsidR="00133EDE" w:rsidRPr="00223E80" w:rsidRDefault="009D7BCC" w:rsidP="00247897">
            <w:pPr>
              <w:spacing w:after="0"/>
              <w:ind w:right="334"/>
              <w:jc w:val="center"/>
              <w:rPr>
                <w:rFonts w:eastAsia="Arial" w:cs="Arial"/>
                <w:b/>
              </w:rPr>
            </w:pPr>
            <w:r w:rsidRPr="00223E80">
              <w:rPr>
                <w:rFonts w:eastAsia="Arial" w:cs="Arial"/>
                <w:b/>
              </w:rPr>
              <w:t>18</w:t>
            </w:r>
            <w:r w:rsidR="00247897" w:rsidRPr="00223E80">
              <w:rPr>
                <w:rFonts w:eastAsia="Arial" w:cs="Arial"/>
                <w:b/>
              </w:rPr>
              <w:t>0</w:t>
            </w:r>
          </w:p>
        </w:tc>
      </w:tr>
    </w:tbl>
    <w:p w14:paraId="2432EE7A" w14:textId="77777777" w:rsidR="009E42AD" w:rsidRPr="00223E80" w:rsidRDefault="009E42AD" w:rsidP="007E6ED7">
      <w:pPr>
        <w:spacing w:after="0"/>
        <w:rPr>
          <w:rFonts w:eastAsia="Arial" w:cs="Arial"/>
        </w:rPr>
      </w:pPr>
    </w:p>
    <w:p w14:paraId="50F3783D" w14:textId="088BE2B8" w:rsidR="00FB2215" w:rsidRPr="00223E80" w:rsidRDefault="00FB2215" w:rsidP="00376C84">
      <w:pPr>
        <w:rPr>
          <w:rFonts w:eastAsia="Arial" w:cs="Arial"/>
        </w:rPr>
      </w:pPr>
      <w:r w:rsidRPr="00223E80">
        <w:rPr>
          <w:rFonts w:eastAsia="Arial" w:cs="Arial"/>
        </w:rPr>
        <w:t xml:space="preserve">V tabeli navedene projekcije zbranih sredstev temeljijo na </w:t>
      </w:r>
      <w:r w:rsidR="00A170B6" w:rsidRPr="00223E80">
        <w:rPr>
          <w:rFonts w:eastAsia="Arial" w:cs="Arial"/>
        </w:rPr>
        <w:t xml:space="preserve">danes znanih </w:t>
      </w:r>
      <w:r w:rsidRPr="00223E80">
        <w:rPr>
          <w:rFonts w:eastAsia="Arial" w:cs="Arial"/>
        </w:rPr>
        <w:t xml:space="preserve">razpoložljivih podatkih in stanju sheme, pri čemer </w:t>
      </w:r>
      <w:r w:rsidR="00874B45" w:rsidRPr="00223E80">
        <w:rPr>
          <w:rFonts w:eastAsia="Arial" w:cs="Arial"/>
        </w:rPr>
        <w:t xml:space="preserve">so </w:t>
      </w:r>
      <w:r w:rsidR="00A170B6" w:rsidRPr="00223E80">
        <w:rPr>
          <w:rFonts w:eastAsia="Arial" w:cs="Arial"/>
        </w:rPr>
        <w:t xml:space="preserve">lahko </w:t>
      </w:r>
      <w:r w:rsidR="002578DD" w:rsidRPr="00223E80">
        <w:rPr>
          <w:rFonts w:eastAsia="Arial" w:cs="Arial"/>
        </w:rPr>
        <w:t xml:space="preserve">ob precejšnji dinamiki </w:t>
      </w:r>
      <w:r w:rsidR="00552D10" w:rsidRPr="00223E80">
        <w:rPr>
          <w:rFonts w:eastAsia="Arial" w:cs="Arial"/>
        </w:rPr>
        <w:t xml:space="preserve">in spremembam v trenutni situaciji </w:t>
      </w:r>
      <w:r w:rsidR="002578DD" w:rsidRPr="00223E80">
        <w:rPr>
          <w:rFonts w:eastAsia="Arial" w:cs="Arial"/>
        </w:rPr>
        <w:t xml:space="preserve">na energetskih trgih </w:t>
      </w:r>
      <w:r w:rsidR="00874B45" w:rsidRPr="00223E80">
        <w:rPr>
          <w:rFonts w:eastAsia="Arial" w:cs="Arial"/>
        </w:rPr>
        <w:t xml:space="preserve">možna </w:t>
      </w:r>
      <w:r w:rsidR="00A170B6" w:rsidRPr="00223E80">
        <w:rPr>
          <w:rFonts w:eastAsia="Arial" w:cs="Arial"/>
        </w:rPr>
        <w:t>večj</w:t>
      </w:r>
      <w:r w:rsidR="00874B45" w:rsidRPr="00223E80">
        <w:rPr>
          <w:rFonts w:eastAsia="Arial" w:cs="Arial"/>
        </w:rPr>
        <w:t>a</w:t>
      </w:r>
      <w:r w:rsidRPr="00223E80">
        <w:rPr>
          <w:rFonts w:eastAsia="Arial" w:cs="Arial"/>
        </w:rPr>
        <w:t xml:space="preserve"> odstopanj od navedenih zneskov</w:t>
      </w:r>
      <w:r w:rsidR="00A170B6" w:rsidRPr="00223E80">
        <w:rPr>
          <w:rFonts w:eastAsia="Arial" w:cs="Arial"/>
        </w:rPr>
        <w:t xml:space="preserve"> (poleg prispevkov tudi v</w:t>
      </w:r>
      <w:r w:rsidRPr="00223E80">
        <w:rPr>
          <w:rFonts w:eastAsia="Arial" w:cs="Arial"/>
        </w:rPr>
        <w:t xml:space="preserve"> okviru prodaje električne energije iz naslova EKO bilančne skupine</w:t>
      </w:r>
      <w:r w:rsidR="00A170B6" w:rsidRPr="00223E80">
        <w:rPr>
          <w:rFonts w:eastAsia="Arial" w:cs="Arial"/>
        </w:rPr>
        <w:t>)</w:t>
      </w:r>
      <w:r w:rsidRPr="00223E80">
        <w:rPr>
          <w:rFonts w:eastAsia="Arial" w:cs="Arial"/>
        </w:rPr>
        <w:t xml:space="preserve">. </w:t>
      </w:r>
    </w:p>
    <w:p w14:paraId="2758A5A9" w14:textId="3672C4F2" w:rsidR="001B5C28" w:rsidRPr="00223E80" w:rsidRDefault="00376C84" w:rsidP="00DD03FA">
      <w:pPr>
        <w:rPr>
          <w:rFonts w:eastAsia="Arial" w:cs="Arial"/>
        </w:rPr>
      </w:pPr>
      <w:r w:rsidRPr="00223E80">
        <w:rPr>
          <w:rFonts w:eastAsia="Arial" w:cs="Arial"/>
        </w:rPr>
        <w:t>Izračun pri tem za leto 2022 upošteva posege države zaradi vpliva visokih cen energentov kot začasne ukrepe na področju energetike. S tem v zvezi je bil sprejet Zakon o nujnih ukrepih za omilitev posledic zaradi vpliva visokih cen energentov (Uradni l</w:t>
      </w:r>
      <w:r w:rsidR="00247897" w:rsidRPr="00223E80">
        <w:rPr>
          <w:rFonts w:eastAsia="Arial" w:cs="Arial"/>
        </w:rPr>
        <w:t>ist št. 29/</w:t>
      </w:r>
      <w:r w:rsidRPr="00223E80">
        <w:rPr>
          <w:rFonts w:eastAsia="Arial" w:cs="Arial"/>
        </w:rPr>
        <w:t xml:space="preserve">22), ki je določil </w:t>
      </w:r>
      <w:r w:rsidR="00B77852" w:rsidRPr="00223E80">
        <w:rPr>
          <w:rFonts w:eastAsia="Arial" w:cs="Arial"/>
        </w:rPr>
        <w:t xml:space="preserve">(1) </w:t>
      </w:r>
      <w:r w:rsidRPr="00223E80">
        <w:rPr>
          <w:rFonts w:eastAsia="Arial" w:cs="Arial"/>
        </w:rPr>
        <w:t>začasno oprostitev plačila prispevka za zagotavljanje podpor</w:t>
      </w:r>
      <w:r w:rsidR="00A523C4" w:rsidRPr="00223E80">
        <w:rPr>
          <w:rFonts w:eastAsia="Arial" w:cs="Arial"/>
        </w:rPr>
        <w:t>e</w:t>
      </w:r>
      <w:r w:rsidRPr="00223E80">
        <w:rPr>
          <w:rFonts w:eastAsia="Arial" w:cs="Arial"/>
        </w:rPr>
        <w:t xml:space="preserve"> proizvodnji energije v soproizvodnji z visokim izkoristkom in iz obnovljivih virov energije za končne odjemalce odjemne skupine na nizki napetosti brez merjenja moči in gospodinjske odjemalce električne energije</w:t>
      </w:r>
      <w:r w:rsidR="00FB2215" w:rsidRPr="00223E80">
        <w:rPr>
          <w:rFonts w:eastAsia="Arial" w:cs="Arial"/>
        </w:rPr>
        <w:t>, prav tako pa so bile za</w:t>
      </w:r>
      <w:r w:rsidR="00237A2A" w:rsidRPr="00223E80">
        <w:rPr>
          <w:rFonts w:eastAsia="Arial" w:cs="Arial"/>
        </w:rPr>
        <w:t>t</w:t>
      </w:r>
      <w:r w:rsidR="003F4DBF" w:rsidRPr="00223E80">
        <w:rPr>
          <w:rFonts w:eastAsia="Arial" w:cs="Arial"/>
        </w:rPr>
        <w:t>o</w:t>
      </w:r>
      <w:r w:rsidR="00FB2215" w:rsidRPr="00223E80">
        <w:rPr>
          <w:rFonts w:eastAsia="Arial" w:cs="Arial"/>
        </w:rPr>
        <w:t xml:space="preserve"> v nadaljevanju sprejete še </w:t>
      </w:r>
      <w:r w:rsidR="00B77852" w:rsidRPr="00223E80">
        <w:rPr>
          <w:rFonts w:eastAsia="Arial" w:cs="Arial"/>
        </w:rPr>
        <w:t xml:space="preserve">(2) </w:t>
      </w:r>
      <w:r w:rsidR="00FB2215" w:rsidRPr="00223E80">
        <w:rPr>
          <w:rFonts w:eastAsia="Arial" w:cs="Arial"/>
        </w:rPr>
        <w:t>spremembe Uredbe o določitvi cen električne energije (Uradni list RS, št. </w:t>
      </w:r>
      <w:hyperlink r:id="rId36" w:tgtFrame="_blank" w:tooltip="Uredba o določitvi cen električne energije" w:history="1">
        <w:r w:rsidR="00FB2215" w:rsidRPr="00223E80">
          <w:rPr>
            <w:rFonts w:eastAsia="Arial"/>
          </w:rPr>
          <w:t>95/22</w:t>
        </w:r>
      </w:hyperlink>
      <w:r w:rsidR="00FB2215" w:rsidRPr="00223E80">
        <w:rPr>
          <w:rFonts w:eastAsia="Arial" w:cs="Arial"/>
        </w:rPr>
        <w:t> in </w:t>
      </w:r>
      <w:hyperlink r:id="rId37" w:tgtFrame="_blank" w:tooltip="Uredba o spremembi in dopolnitvi Uredbe o določitvi cene električne energije" w:history="1">
        <w:r w:rsidR="00FB2215" w:rsidRPr="00223E80">
          <w:rPr>
            <w:rFonts w:eastAsia="Arial"/>
          </w:rPr>
          <w:t>98/22</w:t>
        </w:r>
      </w:hyperlink>
      <w:r w:rsidR="00FB2215" w:rsidRPr="00223E80">
        <w:rPr>
          <w:rFonts w:eastAsia="Arial" w:cs="Arial"/>
        </w:rPr>
        <w:t xml:space="preserve">) in </w:t>
      </w:r>
      <w:r w:rsidR="00B77852" w:rsidRPr="00223E80">
        <w:rPr>
          <w:rFonts w:eastAsia="Arial" w:cs="Arial"/>
        </w:rPr>
        <w:t xml:space="preserve">(3) </w:t>
      </w:r>
      <w:r w:rsidR="00FB2215" w:rsidRPr="00223E80">
        <w:rPr>
          <w:rFonts w:eastAsia="Arial" w:cs="Arial"/>
        </w:rPr>
        <w:t xml:space="preserve">Uredbe o načinu </w:t>
      </w:r>
      <w:r w:rsidR="00FB2215" w:rsidRPr="00223E80">
        <w:rPr>
          <w:rFonts w:eastAsia="Arial" w:cs="Arial"/>
        </w:rPr>
        <w:lastRenderedPageBreak/>
        <w:t>določanja in obračunavanja prispevkov za zagotavljanje podpor proizvodnji električne energije v soproizvodnji z visokim izkoristkom in iz obnovljivih virov energije (Uradni list RS, št. </w:t>
      </w:r>
      <w:hyperlink r:id="rId38" w:tgtFrame="_blank" w:tooltip="Uredba o načinu določanja in obračunavanja prispevkov za zagotavljanje podpor proizvodnji električne energije v soproizvodnji z visokim izkoristkom in iz obnovljivih virov energije" w:history="1">
        <w:r w:rsidR="00FB2215" w:rsidRPr="00223E80">
          <w:rPr>
            <w:rFonts w:eastAsia="Arial"/>
          </w:rPr>
          <w:t>184/21</w:t>
        </w:r>
      </w:hyperlink>
      <w:r w:rsidR="00FB2215" w:rsidRPr="00223E80">
        <w:rPr>
          <w:rFonts w:eastAsia="Arial" w:cs="Arial"/>
        </w:rPr>
        <w:t>, </w:t>
      </w:r>
      <w:hyperlink r:id="rId39" w:tgtFrame="_blank" w:tooltip="Uredba o dopolnitvi Uredbe o načinu določanja in obračunavanja prispevkov za zagotavljanje podpor proizvodnji električne energije v soproizvodnji z visokim izkoristkom in iz obnovljivih virov energije" w:history="1">
        <w:r w:rsidR="00FB2215" w:rsidRPr="00223E80">
          <w:rPr>
            <w:rFonts w:eastAsia="Arial"/>
          </w:rPr>
          <w:t>84/22</w:t>
        </w:r>
      </w:hyperlink>
      <w:r w:rsidR="00FB2215" w:rsidRPr="00223E80">
        <w:rPr>
          <w:rFonts w:eastAsia="Arial" w:cs="Arial"/>
        </w:rPr>
        <w:t> in </w:t>
      </w:r>
      <w:hyperlink r:id="rId40" w:tgtFrame="_blank" w:tooltip="Uredba o spremembi in dopolnitvi Uredbe o načinu določanja in obračunavanja prispevkov za zagotavljanje podpor proizvodnji električne energije v soproizvodnji z visokim izkoristkom in iz obnovljivih virov energije" w:history="1">
        <w:r w:rsidR="00FB2215" w:rsidRPr="00223E80">
          <w:rPr>
            <w:rFonts w:eastAsia="Arial"/>
          </w:rPr>
          <w:t>86/22</w:t>
        </w:r>
      </w:hyperlink>
      <w:r w:rsidR="00FB2215" w:rsidRPr="00223E80">
        <w:rPr>
          <w:rFonts w:eastAsia="Arial" w:cs="Arial"/>
        </w:rPr>
        <w:t>).</w:t>
      </w:r>
      <w:r w:rsidRPr="00223E80">
        <w:rPr>
          <w:rFonts w:eastAsia="Arial" w:cs="Arial"/>
        </w:rPr>
        <w:t xml:space="preserve"> </w:t>
      </w:r>
      <w:r w:rsidR="00047A02" w:rsidRPr="00223E80">
        <w:rPr>
          <w:rFonts w:eastAsia="Arial" w:cs="Arial"/>
        </w:rPr>
        <w:t xml:space="preserve">Glede </w:t>
      </w:r>
      <w:r w:rsidR="00A00F02" w:rsidRPr="00223E80">
        <w:rPr>
          <w:rFonts w:eastAsia="Arial" w:cs="Arial"/>
        </w:rPr>
        <w:t>prv</w:t>
      </w:r>
      <w:r w:rsidR="00237A2A" w:rsidRPr="00223E80">
        <w:rPr>
          <w:rFonts w:eastAsia="Arial" w:cs="Arial"/>
        </w:rPr>
        <w:t>ega</w:t>
      </w:r>
      <w:r w:rsidR="00A00F02" w:rsidRPr="00223E80">
        <w:rPr>
          <w:rFonts w:eastAsia="Arial" w:cs="Arial"/>
        </w:rPr>
        <w:t xml:space="preserve"> navedenega ukrepa je bilo v obdobju </w:t>
      </w:r>
      <w:r w:rsidR="00A00F02" w:rsidRPr="00223E80">
        <w:rPr>
          <w:rFonts w:cs="Arial"/>
          <w:color w:val="000000"/>
          <w:shd w:val="clear" w:color="auto" w:fill="FFFFFF"/>
        </w:rPr>
        <w:t>od 1. februarja 2022 do 30. aprila 2022</w:t>
      </w:r>
      <w:r w:rsidR="00A00F02" w:rsidRPr="00223E80">
        <w:rPr>
          <w:rFonts w:eastAsia="Arial" w:cs="Arial"/>
        </w:rPr>
        <w:t xml:space="preserve"> </w:t>
      </w:r>
      <w:r w:rsidR="00051269" w:rsidRPr="00223E80">
        <w:rPr>
          <w:rFonts w:eastAsia="Arial" w:cs="Arial"/>
        </w:rPr>
        <w:t xml:space="preserve">za </w:t>
      </w:r>
      <w:r w:rsidR="00A00F02" w:rsidRPr="00223E80">
        <w:rPr>
          <w:rFonts w:eastAsia="Arial" w:cs="Arial"/>
        </w:rPr>
        <w:t xml:space="preserve">okvirno 18,5 mio EUR manj zbranih sredstev, glede </w:t>
      </w:r>
      <w:r w:rsidR="00B77852" w:rsidRPr="00223E80">
        <w:rPr>
          <w:rFonts w:eastAsia="Arial" w:cs="Arial"/>
        </w:rPr>
        <w:t>tretje navedenega</w:t>
      </w:r>
      <w:r w:rsidR="00047A02" w:rsidRPr="00223E80">
        <w:rPr>
          <w:rFonts w:eastAsia="Arial" w:cs="Arial"/>
        </w:rPr>
        <w:t xml:space="preserve"> ukrepa </w:t>
      </w:r>
      <w:r w:rsidR="00A00F02" w:rsidRPr="00223E80">
        <w:rPr>
          <w:rFonts w:eastAsia="Arial" w:cs="Arial"/>
        </w:rPr>
        <w:t xml:space="preserve">pa </w:t>
      </w:r>
      <w:r w:rsidR="00047A02" w:rsidRPr="00223E80">
        <w:rPr>
          <w:rFonts w:eastAsia="Arial" w:cs="Arial"/>
        </w:rPr>
        <w:t>bo</w:t>
      </w:r>
      <w:r w:rsidRPr="00223E80">
        <w:rPr>
          <w:rFonts w:eastAsia="Arial" w:cs="Arial"/>
        </w:rPr>
        <w:t xml:space="preserve"> obseg zbranih </w:t>
      </w:r>
      <w:r w:rsidR="00247897" w:rsidRPr="00223E80">
        <w:rPr>
          <w:rFonts w:eastAsia="Arial" w:cs="Arial"/>
        </w:rPr>
        <w:t>sredstev</w:t>
      </w:r>
      <w:r w:rsidR="00237A2A" w:rsidRPr="00223E80">
        <w:rPr>
          <w:rFonts w:eastAsia="Arial" w:cs="Arial"/>
        </w:rPr>
        <w:t xml:space="preserve"> </w:t>
      </w:r>
      <w:r w:rsidR="00047A02" w:rsidRPr="00223E80">
        <w:rPr>
          <w:rFonts w:eastAsia="Arial" w:cs="Arial"/>
        </w:rPr>
        <w:t xml:space="preserve">– </w:t>
      </w:r>
      <w:r w:rsidR="00237A2A" w:rsidRPr="00223E80">
        <w:rPr>
          <w:rFonts w:eastAsia="Arial" w:cs="Arial"/>
        </w:rPr>
        <w:t xml:space="preserve">če </w:t>
      </w:r>
      <w:r w:rsidR="00047A02" w:rsidRPr="00223E80">
        <w:rPr>
          <w:rFonts w:eastAsia="Arial" w:cs="Arial"/>
        </w:rPr>
        <w:t>primerja</w:t>
      </w:r>
      <w:r w:rsidR="00237A2A" w:rsidRPr="00223E80">
        <w:rPr>
          <w:rFonts w:eastAsia="Arial" w:cs="Arial"/>
        </w:rPr>
        <w:t>m</w:t>
      </w:r>
      <w:r w:rsidR="00047A02" w:rsidRPr="00223E80">
        <w:rPr>
          <w:rFonts w:eastAsia="Arial" w:cs="Arial"/>
        </w:rPr>
        <w:t>o</w:t>
      </w:r>
      <w:r w:rsidR="00237A2A" w:rsidRPr="00223E80">
        <w:rPr>
          <w:rFonts w:eastAsia="Arial" w:cs="Arial"/>
        </w:rPr>
        <w:t xml:space="preserve"> z</w:t>
      </w:r>
      <w:r w:rsidR="00047A02" w:rsidRPr="00223E80">
        <w:rPr>
          <w:rFonts w:eastAsia="Arial" w:cs="Arial"/>
        </w:rPr>
        <w:t xml:space="preserve"> let</w:t>
      </w:r>
      <w:r w:rsidR="00237A2A" w:rsidRPr="00223E80">
        <w:rPr>
          <w:rFonts w:eastAsia="Arial" w:cs="Arial"/>
        </w:rPr>
        <w:t>om</w:t>
      </w:r>
      <w:r w:rsidR="00047A02" w:rsidRPr="00223E80">
        <w:rPr>
          <w:rFonts w:eastAsia="Arial" w:cs="Arial"/>
        </w:rPr>
        <w:t xml:space="preserve"> 2021 </w:t>
      </w:r>
      <w:r w:rsidR="001B5C28" w:rsidRPr="00223E80">
        <w:rPr>
          <w:rFonts w:eastAsia="Arial" w:cs="Arial"/>
        </w:rPr>
        <w:t xml:space="preserve">– </w:t>
      </w:r>
      <w:r w:rsidR="00047A02" w:rsidRPr="00223E80">
        <w:rPr>
          <w:rFonts w:eastAsia="Arial" w:cs="Arial"/>
        </w:rPr>
        <w:t>manjši za okvirno 38 mio EUR</w:t>
      </w:r>
      <w:r w:rsidR="009F44E6" w:rsidRPr="00223E80">
        <w:rPr>
          <w:rFonts w:eastAsia="Arial" w:cs="Arial"/>
        </w:rPr>
        <w:t>.</w:t>
      </w:r>
      <w:r w:rsidR="00047A02" w:rsidRPr="00223E80">
        <w:rPr>
          <w:rFonts w:eastAsia="Arial" w:cs="Arial"/>
        </w:rPr>
        <w:t xml:space="preserve"> </w:t>
      </w:r>
      <w:r w:rsidR="009F44E6" w:rsidRPr="00223E80">
        <w:rPr>
          <w:rFonts w:eastAsia="Arial" w:cs="Arial"/>
        </w:rPr>
        <w:t>P</w:t>
      </w:r>
      <w:r w:rsidR="00047A02" w:rsidRPr="00223E80">
        <w:rPr>
          <w:rFonts w:eastAsia="Arial" w:cs="Arial"/>
        </w:rPr>
        <w:t>ojasnil</w:t>
      </w:r>
      <w:r w:rsidR="009F44E6" w:rsidRPr="00223E80">
        <w:rPr>
          <w:rFonts w:eastAsia="Arial" w:cs="Arial"/>
        </w:rPr>
        <w:t>o ob tem je</w:t>
      </w:r>
      <w:r w:rsidR="00047A02" w:rsidRPr="00223E80">
        <w:rPr>
          <w:rFonts w:eastAsia="Arial" w:cs="Arial"/>
        </w:rPr>
        <w:t xml:space="preserve">: </w:t>
      </w:r>
      <w:r w:rsidR="009F44E6" w:rsidRPr="00223E80">
        <w:rPr>
          <w:rFonts w:eastAsia="Arial" w:cs="Arial"/>
        </w:rPr>
        <w:t>s</w:t>
      </w:r>
      <w:r w:rsidR="001B5C28" w:rsidRPr="00223E80">
        <w:rPr>
          <w:rFonts w:eastAsia="Arial" w:cs="Arial"/>
        </w:rPr>
        <w:t>ocialno r</w:t>
      </w:r>
      <w:r w:rsidR="00047A02" w:rsidRPr="00223E80">
        <w:rPr>
          <w:rFonts w:eastAsia="Arial" w:cs="Arial"/>
        </w:rPr>
        <w:t xml:space="preserve">anljive kategorije odjemnih skupin </w:t>
      </w:r>
      <w:r w:rsidR="00051269" w:rsidRPr="00223E80">
        <w:rPr>
          <w:rFonts w:eastAsia="Arial" w:cs="Arial"/>
        </w:rPr>
        <w:t xml:space="preserve">bodo za dobo enega leta, </w:t>
      </w:r>
      <w:r w:rsidR="00047A02" w:rsidRPr="00223E80">
        <w:rPr>
          <w:rFonts w:eastAsia="Arial" w:cs="Arial"/>
        </w:rPr>
        <w:t>od 1.</w:t>
      </w:r>
      <w:r w:rsidR="009F44E6" w:rsidRPr="00223E80">
        <w:rPr>
          <w:rFonts w:eastAsia="Arial" w:cs="Arial"/>
        </w:rPr>
        <w:t xml:space="preserve"> </w:t>
      </w:r>
      <w:r w:rsidR="00047A02" w:rsidRPr="00223E80">
        <w:rPr>
          <w:rFonts w:eastAsia="Arial" w:cs="Arial"/>
        </w:rPr>
        <w:t>9.</w:t>
      </w:r>
      <w:r w:rsidR="008D6A80" w:rsidRPr="00223E80">
        <w:rPr>
          <w:rFonts w:eastAsia="Arial" w:cs="Arial"/>
        </w:rPr>
        <w:t xml:space="preserve"> </w:t>
      </w:r>
      <w:r w:rsidR="00047A02" w:rsidRPr="00223E80">
        <w:rPr>
          <w:rFonts w:eastAsia="Arial" w:cs="Arial"/>
        </w:rPr>
        <w:t>2022 do 31.</w:t>
      </w:r>
      <w:r w:rsidR="008D6A80" w:rsidRPr="00223E80">
        <w:rPr>
          <w:rFonts w:eastAsia="Arial" w:cs="Arial"/>
        </w:rPr>
        <w:t xml:space="preserve"> </w:t>
      </w:r>
      <w:r w:rsidR="00047A02" w:rsidRPr="00223E80">
        <w:rPr>
          <w:rFonts w:eastAsia="Arial" w:cs="Arial"/>
        </w:rPr>
        <w:t>8.</w:t>
      </w:r>
      <w:r w:rsidR="008D6A80" w:rsidRPr="00223E80">
        <w:rPr>
          <w:rFonts w:eastAsia="Arial" w:cs="Arial"/>
        </w:rPr>
        <w:t xml:space="preserve"> </w:t>
      </w:r>
      <w:r w:rsidR="00047A02" w:rsidRPr="00223E80">
        <w:rPr>
          <w:rFonts w:eastAsia="Arial" w:cs="Arial"/>
        </w:rPr>
        <w:t>2023</w:t>
      </w:r>
      <w:r w:rsidR="00051269" w:rsidRPr="00223E80">
        <w:rPr>
          <w:rFonts w:eastAsia="Arial" w:cs="Arial"/>
        </w:rPr>
        <w:t>,</w:t>
      </w:r>
      <w:r w:rsidR="00047A02" w:rsidRPr="00223E80">
        <w:rPr>
          <w:rFonts w:eastAsia="Arial" w:cs="Arial"/>
        </w:rPr>
        <w:t xml:space="preserve"> </w:t>
      </w:r>
      <w:r w:rsidR="00160B79" w:rsidRPr="00223E80">
        <w:rPr>
          <w:rFonts w:eastAsia="Arial" w:cs="Arial"/>
        </w:rPr>
        <w:t>oproščene plač</w:t>
      </w:r>
      <w:r w:rsidR="00047A02" w:rsidRPr="00223E80">
        <w:rPr>
          <w:rFonts w:eastAsia="Arial" w:cs="Arial"/>
        </w:rPr>
        <w:t>ila polovice prispevka. Po</w:t>
      </w:r>
      <w:r w:rsidR="00160B79" w:rsidRPr="00223E80">
        <w:rPr>
          <w:rFonts w:eastAsia="Arial" w:cs="Arial"/>
        </w:rPr>
        <w:t xml:space="preserve"> podatki</w:t>
      </w:r>
      <w:r w:rsidR="00047A02" w:rsidRPr="00223E80">
        <w:rPr>
          <w:rFonts w:eastAsia="Arial" w:cs="Arial"/>
        </w:rPr>
        <w:t>h</w:t>
      </w:r>
      <w:r w:rsidR="00160B79" w:rsidRPr="00223E80">
        <w:rPr>
          <w:rFonts w:eastAsia="Arial" w:cs="Arial"/>
        </w:rPr>
        <w:t xml:space="preserve"> družbe BORZEN</w:t>
      </w:r>
      <w:r w:rsidR="00047A02" w:rsidRPr="00223E80">
        <w:rPr>
          <w:rFonts w:eastAsia="Arial" w:cs="Arial"/>
        </w:rPr>
        <w:t>, ki je operativni izvajalec podporne sheme,</w:t>
      </w:r>
      <w:r w:rsidR="00160B79" w:rsidRPr="00223E80">
        <w:rPr>
          <w:rFonts w:eastAsia="Arial" w:cs="Arial"/>
        </w:rPr>
        <w:t xml:space="preserve"> izhaja, da je bilo v letu 2021 v 15. razredu (NN brez merjene moči) zbranih 17,7 mio EUR (12</w:t>
      </w:r>
      <w:r w:rsidR="00C11274" w:rsidRPr="00223E80">
        <w:rPr>
          <w:rFonts w:eastAsia="Arial" w:cs="Arial"/>
        </w:rPr>
        <w:t xml:space="preserve"> </w:t>
      </w:r>
      <w:r w:rsidR="00160B79" w:rsidRPr="00223E80">
        <w:rPr>
          <w:rFonts w:eastAsia="Arial" w:cs="Arial"/>
        </w:rPr>
        <w:t>% pobranih sredstev), v 16</w:t>
      </w:r>
      <w:r w:rsidR="008D6A80" w:rsidRPr="00223E80">
        <w:rPr>
          <w:rFonts w:eastAsia="Arial" w:cs="Arial"/>
        </w:rPr>
        <w:t>.</w:t>
      </w:r>
      <w:r w:rsidR="00160B79" w:rsidRPr="00223E80">
        <w:rPr>
          <w:rFonts w:eastAsia="Arial" w:cs="Arial"/>
        </w:rPr>
        <w:t xml:space="preserve"> razredu (gospodinjski odjemalci) pa 58,7 mio EUR (41</w:t>
      </w:r>
      <w:r w:rsidR="00C11274" w:rsidRPr="00223E80">
        <w:rPr>
          <w:rFonts w:eastAsia="Arial" w:cs="Arial"/>
        </w:rPr>
        <w:t xml:space="preserve"> </w:t>
      </w:r>
      <w:r w:rsidR="00160B79" w:rsidRPr="00223E80">
        <w:rPr>
          <w:rFonts w:eastAsia="Arial" w:cs="Arial"/>
        </w:rPr>
        <w:t>% pobranih sredstev), kar skupaj znaša okoli 76,4 mio EUR. Polovica tega zneska (</w:t>
      </w:r>
      <w:r w:rsidR="008D6A80" w:rsidRPr="00223E80">
        <w:rPr>
          <w:rFonts w:eastAsia="Arial" w:cs="Arial"/>
        </w:rPr>
        <w:t xml:space="preserve">v </w:t>
      </w:r>
      <w:r w:rsidR="00160B79" w:rsidRPr="00223E80">
        <w:rPr>
          <w:rFonts w:eastAsia="Arial" w:cs="Arial"/>
        </w:rPr>
        <w:t>primerja</w:t>
      </w:r>
      <w:r w:rsidR="008D6A80" w:rsidRPr="00223E80">
        <w:rPr>
          <w:rFonts w:eastAsia="Arial" w:cs="Arial"/>
        </w:rPr>
        <w:t>vi z</w:t>
      </w:r>
      <w:r w:rsidR="00160B79" w:rsidRPr="00223E80">
        <w:rPr>
          <w:rFonts w:eastAsia="Arial" w:cs="Arial"/>
        </w:rPr>
        <w:t xml:space="preserve"> let</w:t>
      </w:r>
      <w:r w:rsidR="008D6A80" w:rsidRPr="00223E80">
        <w:rPr>
          <w:rFonts w:eastAsia="Arial" w:cs="Arial"/>
        </w:rPr>
        <w:t>om</w:t>
      </w:r>
      <w:r w:rsidR="00160B79" w:rsidRPr="00223E80">
        <w:rPr>
          <w:rFonts w:eastAsia="Arial" w:cs="Arial"/>
        </w:rPr>
        <w:t xml:space="preserve"> 2021) </w:t>
      </w:r>
      <w:r w:rsidR="00051269" w:rsidRPr="00223E80">
        <w:rPr>
          <w:rFonts w:eastAsia="Arial" w:cs="Arial"/>
        </w:rPr>
        <w:t xml:space="preserve">pa </w:t>
      </w:r>
      <w:r w:rsidR="003F4DBF" w:rsidRPr="00223E80">
        <w:rPr>
          <w:rFonts w:eastAsia="Arial" w:cs="Arial"/>
        </w:rPr>
        <w:t xml:space="preserve">je </w:t>
      </w:r>
      <w:r w:rsidR="00160B79" w:rsidRPr="00223E80">
        <w:rPr>
          <w:rFonts w:eastAsia="Arial" w:cs="Arial"/>
        </w:rPr>
        <w:t>približ</w:t>
      </w:r>
      <w:r w:rsidR="00051269" w:rsidRPr="00223E80">
        <w:rPr>
          <w:rFonts w:eastAsia="Arial" w:cs="Arial"/>
        </w:rPr>
        <w:t>n</w:t>
      </w:r>
      <w:r w:rsidR="003F4DBF" w:rsidRPr="00223E80">
        <w:rPr>
          <w:rFonts w:eastAsia="Arial" w:cs="Arial"/>
        </w:rPr>
        <w:t>a</w:t>
      </w:r>
      <w:r w:rsidR="00051269" w:rsidRPr="00223E80">
        <w:rPr>
          <w:rFonts w:eastAsia="Arial" w:cs="Arial"/>
        </w:rPr>
        <w:t xml:space="preserve"> ocen</w:t>
      </w:r>
      <w:r w:rsidR="003F4DBF" w:rsidRPr="00223E80">
        <w:rPr>
          <w:rFonts w:eastAsia="Arial" w:cs="Arial"/>
        </w:rPr>
        <w:t>a</w:t>
      </w:r>
      <w:r w:rsidR="00051269" w:rsidRPr="00223E80">
        <w:rPr>
          <w:rFonts w:eastAsia="Arial" w:cs="Arial"/>
        </w:rPr>
        <w:t xml:space="preserve"> izpada teh sredstev</w:t>
      </w:r>
      <w:r w:rsidR="00160B79" w:rsidRPr="00223E80">
        <w:rPr>
          <w:rFonts w:eastAsia="Arial" w:cs="Arial"/>
        </w:rPr>
        <w:t xml:space="preserve">. </w:t>
      </w:r>
    </w:p>
    <w:p w14:paraId="0ED814A5" w14:textId="77777777" w:rsidR="009E3DC6" w:rsidRPr="00223E80" w:rsidRDefault="005E2CD9" w:rsidP="00A520AC">
      <w:pPr>
        <w:pStyle w:val="Naslov2"/>
      </w:pPr>
      <w:bookmarkStart w:id="39" w:name="_Toc112143994"/>
      <w:r w:rsidRPr="00223E80">
        <w:t>5</w:t>
      </w:r>
      <w:r w:rsidR="00584D80" w:rsidRPr="00223E80">
        <w:t xml:space="preserve">.1 </w:t>
      </w:r>
      <w:r w:rsidR="009E3DC6" w:rsidRPr="00223E80">
        <w:t>Prispevki končnih odjemalcev električne energije, zemeljskega plina in drugih energetskih plinov iz omrežja in daljinske toplote ter daljinskega hlajenja</w:t>
      </w:r>
      <w:bookmarkEnd w:id="39"/>
      <w:r w:rsidR="009E3DC6" w:rsidRPr="00223E80">
        <w:t xml:space="preserve"> </w:t>
      </w:r>
    </w:p>
    <w:p w14:paraId="129CC607" w14:textId="77777777" w:rsidR="00C94408" w:rsidRPr="00223E80" w:rsidRDefault="00C94408" w:rsidP="007E6ED7">
      <w:pPr>
        <w:spacing w:after="0"/>
        <w:rPr>
          <w:rFonts w:eastAsia="Times New Roman"/>
          <w:b/>
          <w:iCs/>
          <w:color w:val="3A4A3E"/>
          <w:sz w:val="28"/>
          <w:szCs w:val="24"/>
        </w:rPr>
      </w:pPr>
    </w:p>
    <w:p w14:paraId="2365A3FB" w14:textId="719CFF34" w:rsidR="00EC1CAA" w:rsidRPr="00223E80" w:rsidRDefault="00247897" w:rsidP="007E6ED7">
      <w:pPr>
        <w:shd w:val="clear" w:color="auto" w:fill="FFFFFF"/>
        <w:spacing w:after="0"/>
        <w:rPr>
          <w:rFonts w:eastAsia="Arial" w:cs="Arial"/>
        </w:rPr>
      </w:pPr>
      <w:r w:rsidRPr="00223E80">
        <w:rPr>
          <w:rFonts w:eastAsia="Arial" w:cs="Arial"/>
        </w:rPr>
        <w:t>Z</w:t>
      </w:r>
      <w:r w:rsidR="00C94408" w:rsidRPr="00223E80">
        <w:rPr>
          <w:rFonts w:eastAsia="Arial" w:cs="Arial"/>
        </w:rPr>
        <w:t>a zagotavljanje podpor</w:t>
      </w:r>
      <w:r w:rsidR="008D314D" w:rsidRPr="00223E80">
        <w:rPr>
          <w:rFonts w:eastAsia="Arial" w:cs="Arial"/>
        </w:rPr>
        <w:t>e</w:t>
      </w:r>
      <w:r w:rsidR="00C94408" w:rsidRPr="00223E80">
        <w:rPr>
          <w:rFonts w:eastAsia="Arial" w:cs="Arial"/>
        </w:rPr>
        <w:t xml:space="preserve"> proizvodnji energije v soproizvodnji z visokim izkoristkom in iz obnovljivih virov energije, ki ga mora plačevati vsak končni odjemalec električne energije, zemeljskega plina in drugih energetskih plinov iz omrežja in daljinske toplote ter daljinskega hlajenja za posamezno prevzemno-predajno mesto</w:t>
      </w:r>
      <w:r w:rsidR="008D314D" w:rsidRPr="00223E80">
        <w:rPr>
          <w:rFonts w:eastAsia="Arial" w:cs="Arial"/>
        </w:rPr>
        <w:t>,</w:t>
      </w:r>
      <w:r w:rsidR="00341959" w:rsidRPr="00223E80">
        <w:rPr>
          <w:rFonts w:eastAsia="Arial" w:cs="Arial"/>
        </w:rPr>
        <w:t xml:space="preserve"> bo zaradi povečevanja rabe energije po epidemioloških razmerah v letu 2020 in 2021 </w:t>
      </w:r>
      <w:r w:rsidR="00F93FF9" w:rsidRPr="00223E80">
        <w:rPr>
          <w:rFonts w:eastAsia="Arial" w:cs="Arial"/>
        </w:rPr>
        <w:t xml:space="preserve">v prihodnje </w:t>
      </w:r>
      <w:r w:rsidR="00341959" w:rsidRPr="00223E80">
        <w:rPr>
          <w:rFonts w:eastAsia="Arial" w:cs="Arial"/>
        </w:rPr>
        <w:t xml:space="preserve">zbranih več sredstev. Po letu 2024 se predvideva rast zbranih sredstev za </w:t>
      </w:r>
      <w:r w:rsidR="00B77852" w:rsidRPr="00223E80">
        <w:rPr>
          <w:rFonts w:eastAsia="Arial" w:cs="Arial"/>
        </w:rPr>
        <w:t xml:space="preserve">okvirno </w:t>
      </w:r>
      <w:r w:rsidR="00341959" w:rsidRPr="00223E80">
        <w:rPr>
          <w:rFonts w:eastAsia="Arial" w:cs="Arial"/>
        </w:rPr>
        <w:t>8 mio</w:t>
      </w:r>
      <w:r w:rsidR="00EC1CAA" w:rsidRPr="00223E80">
        <w:rPr>
          <w:rFonts w:eastAsia="Arial" w:cs="Arial"/>
        </w:rPr>
        <w:t xml:space="preserve"> EUR</w:t>
      </w:r>
      <w:r w:rsidR="00B77852" w:rsidRPr="00223E80">
        <w:rPr>
          <w:rFonts w:eastAsia="Arial" w:cs="Arial"/>
        </w:rPr>
        <w:t xml:space="preserve"> na letni ravni</w:t>
      </w:r>
      <w:r w:rsidR="00341959" w:rsidRPr="00223E80">
        <w:rPr>
          <w:rFonts w:eastAsia="Arial" w:cs="Arial"/>
        </w:rPr>
        <w:t>. Za leto 2022 se glede na trenutno situacijo na trgu rabe goriv potrjuje, da bo zbrana predvidena količina sredstev.</w:t>
      </w:r>
    </w:p>
    <w:p w14:paraId="0D5098D2" w14:textId="77777777" w:rsidR="00F93FF9" w:rsidRPr="00223E80" w:rsidRDefault="00F93FF9" w:rsidP="007E6ED7">
      <w:pPr>
        <w:shd w:val="clear" w:color="auto" w:fill="FFFFFF"/>
        <w:spacing w:after="0"/>
        <w:rPr>
          <w:rFonts w:eastAsia="Arial" w:cs="Arial"/>
        </w:rPr>
      </w:pPr>
    </w:p>
    <w:p w14:paraId="68037273" w14:textId="77777777" w:rsidR="009E3DC6" w:rsidRPr="00223E80" w:rsidRDefault="005E2CD9" w:rsidP="00A520AC">
      <w:pPr>
        <w:pStyle w:val="Naslov2"/>
      </w:pPr>
      <w:bookmarkStart w:id="40" w:name="_Toc112143995"/>
      <w:r w:rsidRPr="00223E80">
        <w:t>5</w:t>
      </w:r>
      <w:r w:rsidR="00584D80" w:rsidRPr="00223E80">
        <w:t xml:space="preserve">.2 </w:t>
      </w:r>
      <w:r w:rsidR="009E3DC6" w:rsidRPr="00223E80">
        <w:t>Prispevki končnih odjemalcev za rabo trdih in tekočih fosilnih goriv,</w:t>
      </w:r>
      <w:r w:rsidR="00006FD4" w:rsidRPr="00223E80">
        <w:t xml:space="preserve"> </w:t>
      </w:r>
      <w:r w:rsidR="009E3DC6" w:rsidRPr="00223E80">
        <w:t>utekočinjenega naftnega plina ter utekočinjenega zemeljskega plina</w:t>
      </w:r>
      <w:bookmarkEnd w:id="40"/>
    </w:p>
    <w:p w14:paraId="674A8E86" w14:textId="77777777" w:rsidR="00C94408" w:rsidRPr="00223E80" w:rsidRDefault="00C94408" w:rsidP="007E6ED7">
      <w:pPr>
        <w:spacing w:after="0"/>
        <w:rPr>
          <w:rFonts w:eastAsia="Times New Roman"/>
          <w:b/>
          <w:iCs/>
          <w:color w:val="3A4A3E"/>
        </w:rPr>
      </w:pPr>
    </w:p>
    <w:p w14:paraId="324AA856" w14:textId="08C27F96" w:rsidR="00996117" w:rsidRPr="00223E80" w:rsidRDefault="00EC1CAA" w:rsidP="007E6ED7">
      <w:pPr>
        <w:shd w:val="clear" w:color="auto" w:fill="FFFFFF"/>
        <w:spacing w:after="0"/>
        <w:rPr>
          <w:rFonts w:eastAsia="Arial" w:cs="Arial"/>
        </w:rPr>
      </w:pPr>
      <w:r w:rsidRPr="00223E80">
        <w:rPr>
          <w:rFonts w:eastAsia="Arial" w:cs="Arial"/>
        </w:rPr>
        <w:t xml:space="preserve">V zvezi </w:t>
      </w:r>
      <w:r w:rsidR="0023228B" w:rsidRPr="00223E80">
        <w:rPr>
          <w:rFonts w:eastAsia="Arial" w:cs="Arial"/>
        </w:rPr>
        <w:t>s</w:t>
      </w:r>
      <w:r w:rsidRPr="00223E80">
        <w:rPr>
          <w:rFonts w:eastAsia="Arial" w:cs="Arial"/>
        </w:rPr>
        <w:t xml:space="preserve"> </w:t>
      </w:r>
      <w:r w:rsidR="00C94408" w:rsidRPr="00223E80">
        <w:rPr>
          <w:rFonts w:eastAsia="Arial" w:cs="Arial"/>
        </w:rPr>
        <w:t>prispevkom za zagotavljanje podpor</w:t>
      </w:r>
      <w:r w:rsidR="009D74F0" w:rsidRPr="00223E80">
        <w:rPr>
          <w:rFonts w:eastAsia="Arial" w:cs="Arial"/>
        </w:rPr>
        <w:t>e</w:t>
      </w:r>
      <w:r w:rsidR="00C94408" w:rsidRPr="00223E80">
        <w:rPr>
          <w:rFonts w:eastAsia="Arial" w:cs="Arial"/>
        </w:rPr>
        <w:t xml:space="preserve"> proizvodnji energije v soproizvodnji z visokim izkoristkom in iz obnovljivih virov energije, ki bremeni trda in tekoča fosilna goriva, utekočinjeni naftni plin ter utekočinjeni zemeljski plin, ki ga vsak končni odjemalec plačuje dobavitelju</w:t>
      </w:r>
      <w:r w:rsidR="00D0404D" w:rsidRPr="00223E80">
        <w:rPr>
          <w:rFonts w:eastAsia="Arial" w:cs="Arial"/>
        </w:rPr>
        <w:t>,</w:t>
      </w:r>
      <w:r w:rsidRPr="00223E80">
        <w:rPr>
          <w:rFonts w:eastAsia="Arial" w:cs="Arial"/>
        </w:rPr>
        <w:t xml:space="preserve"> se za let</w:t>
      </w:r>
      <w:r w:rsidR="00D0404D" w:rsidRPr="00223E80">
        <w:rPr>
          <w:rFonts w:eastAsia="Arial" w:cs="Arial"/>
        </w:rPr>
        <w:t>i</w:t>
      </w:r>
      <w:r w:rsidRPr="00223E80">
        <w:rPr>
          <w:rFonts w:eastAsia="Arial" w:cs="Arial"/>
        </w:rPr>
        <w:t xml:space="preserve"> 2022 in 2023</w:t>
      </w:r>
      <w:r w:rsidR="00D0404D" w:rsidRPr="00223E80">
        <w:rPr>
          <w:rFonts w:eastAsia="Arial" w:cs="Arial"/>
        </w:rPr>
        <w:t xml:space="preserve"> pričakuje</w:t>
      </w:r>
      <w:r w:rsidRPr="00223E80">
        <w:rPr>
          <w:rFonts w:eastAsia="Arial" w:cs="Arial"/>
        </w:rPr>
        <w:t xml:space="preserve">, da bo </w:t>
      </w:r>
      <w:r w:rsidR="00D0404D" w:rsidRPr="00223E80">
        <w:rPr>
          <w:rFonts w:eastAsia="Arial" w:cs="Arial"/>
        </w:rPr>
        <w:t xml:space="preserve">skupaj </w:t>
      </w:r>
      <w:r w:rsidRPr="00223E80">
        <w:rPr>
          <w:rFonts w:eastAsia="Arial" w:cs="Arial"/>
        </w:rPr>
        <w:t xml:space="preserve">zbranih 30 mio EUR sredstev. Zaradi povečevanja rabe energije po epidemioloških razmerah v letu 2020 in letu 2021 bo </w:t>
      </w:r>
      <w:r w:rsidR="00D0404D" w:rsidRPr="00223E80">
        <w:rPr>
          <w:rFonts w:eastAsia="Arial" w:cs="Arial"/>
        </w:rPr>
        <w:t xml:space="preserve">v prihodnje </w:t>
      </w:r>
      <w:r w:rsidRPr="00223E80">
        <w:rPr>
          <w:rFonts w:eastAsia="Arial" w:cs="Arial"/>
        </w:rPr>
        <w:t xml:space="preserve">predvidoma zbranih več sredstev. Z letom 2024 se predvideva </w:t>
      </w:r>
      <w:r w:rsidR="00CD3D2A" w:rsidRPr="00223E80">
        <w:rPr>
          <w:rFonts w:eastAsia="Arial" w:cs="Arial"/>
        </w:rPr>
        <w:t xml:space="preserve">zaradi predvidene rasti gospodarstva povečanje </w:t>
      </w:r>
      <w:r w:rsidRPr="00223E80">
        <w:rPr>
          <w:rFonts w:eastAsia="Arial" w:cs="Arial"/>
        </w:rPr>
        <w:t xml:space="preserve">zbranih sredstev </w:t>
      </w:r>
      <w:r w:rsidR="00B77852" w:rsidRPr="00223E80">
        <w:rPr>
          <w:rFonts w:eastAsia="Arial" w:cs="Arial"/>
        </w:rPr>
        <w:t xml:space="preserve">okvirno </w:t>
      </w:r>
      <w:r w:rsidRPr="00223E80">
        <w:rPr>
          <w:rFonts w:eastAsia="Arial" w:cs="Arial"/>
        </w:rPr>
        <w:t xml:space="preserve">za </w:t>
      </w:r>
      <w:r w:rsidR="000E21A3" w:rsidRPr="00223E80">
        <w:rPr>
          <w:rFonts w:eastAsia="Arial" w:cs="Arial"/>
        </w:rPr>
        <w:t xml:space="preserve">dodatnih </w:t>
      </w:r>
      <w:r w:rsidRPr="00223E80">
        <w:rPr>
          <w:rFonts w:eastAsia="Arial" w:cs="Arial"/>
        </w:rPr>
        <w:t>20 mio EUR</w:t>
      </w:r>
      <w:r w:rsidR="00247897" w:rsidRPr="00223E80">
        <w:rPr>
          <w:rFonts w:eastAsia="Arial" w:cs="Arial"/>
        </w:rPr>
        <w:t xml:space="preserve"> </w:t>
      </w:r>
      <w:r w:rsidR="00B77852" w:rsidRPr="00223E80">
        <w:rPr>
          <w:rFonts w:eastAsia="Arial" w:cs="Arial"/>
        </w:rPr>
        <w:t>na letni ravni</w:t>
      </w:r>
      <w:r w:rsidRPr="00223E80">
        <w:rPr>
          <w:rFonts w:eastAsia="Arial" w:cs="Arial"/>
        </w:rPr>
        <w:t xml:space="preserve">. </w:t>
      </w:r>
    </w:p>
    <w:p w14:paraId="7528B62B" w14:textId="77777777" w:rsidR="009E3DC6" w:rsidRPr="00223E80" w:rsidRDefault="00ED3983" w:rsidP="00A520AC">
      <w:pPr>
        <w:pStyle w:val="Naslov2"/>
      </w:pPr>
      <w:bookmarkStart w:id="41" w:name="_Toc112143996"/>
      <w:r w:rsidRPr="00223E80">
        <w:t>5.3</w:t>
      </w:r>
      <w:r w:rsidR="00584D80" w:rsidRPr="00223E80">
        <w:t xml:space="preserve"> </w:t>
      </w:r>
      <w:r w:rsidR="009E3DC6" w:rsidRPr="00223E80">
        <w:t>Prodaja električne energije iz naslova EKO bilančne skupine</w:t>
      </w:r>
      <w:bookmarkEnd w:id="41"/>
    </w:p>
    <w:p w14:paraId="35E1820A" w14:textId="77777777" w:rsidR="007E6ED7" w:rsidRPr="00223E80" w:rsidRDefault="007E6ED7" w:rsidP="007E6ED7">
      <w:pPr>
        <w:shd w:val="clear" w:color="auto" w:fill="FFFFFF"/>
        <w:spacing w:after="0"/>
        <w:rPr>
          <w:rFonts w:eastAsia="Times New Roman"/>
          <w:b/>
          <w:iCs/>
          <w:color w:val="3A4A3E"/>
        </w:rPr>
      </w:pPr>
    </w:p>
    <w:p w14:paraId="27467B32" w14:textId="15831CCB" w:rsidR="006E2C03" w:rsidRPr="00223E80" w:rsidRDefault="00EC1CAA" w:rsidP="007E6ED7">
      <w:pPr>
        <w:shd w:val="clear" w:color="auto" w:fill="FFFFFF"/>
        <w:spacing w:after="0"/>
        <w:rPr>
          <w:rFonts w:eastAsia="Arial" w:cs="Arial"/>
        </w:rPr>
      </w:pPr>
      <w:r w:rsidRPr="00223E80">
        <w:rPr>
          <w:rFonts w:eastAsia="Arial" w:cs="Arial"/>
        </w:rPr>
        <w:t>Glede prodaje</w:t>
      </w:r>
      <w:r w:rsidR="00C31AC9" w:rsidRPr="00223E80">
        <w:rPr>
          <w:rFonts w:eastAsia="Arial" w:cs="Arial"/>
        </w:rPr>
        <w:t xml:space="preserve"> električne energije, ki jo c</w:t>
      </w:r>
      <w:r w:rsidR="00C94408" w:rsidRPr="00223E80">
        <w:rPr>
          <w:rFonts w:eastAsia="Arial" w:cs="Arial"/>
        </w:rPr>
        <w:t>enter za podpore odku</w:t>
      </w:r>
      <w:r w:rsidRPr="00223E80">
        <w:rPr>
          <w:rFonts w:eastAsia="Arial" w:cs="Arial"/>
        </w:rPr>
        <w:t>pi po zagotovljeni odkupni ceni</w:t>
      </w:r>
      <w:r w:rsidR="00047043" w:rsidRPr="00223E80">
        <w:rPr>
          <w:rFonts w:eastAsia="Arial" w:cs="Arial"/>
        </w:rPr>
        <w:t>,</w:t>
      </w:r>
      <w:r w:rsidRPr="00223E80">
        <w:rPr>
          <w:rFonts w:eastAsia="Arial" w:cs="Arial"/>
        </w:rPr>
        <w:t xml:space="preserve"> se predvideva podobna višina </w:t>
      </w:r>
      <w:r w:rsidR="00047043" w:rsidRPr="00223E80">
        <w:rPr>
          <w:rFonts w:eastAsia="Arial" w:cs="Arial"/>
        </w:rPr>
        <w:t xml:space="preserve">zbranih </w:t>
      </w:r>
      <w:r w:rsidRPr="00223E80">
        <w:rPr>
          <w:rFonts w:eastAsia="Arial" w:cs="Arial"/>
        </w:rPr>
        <w:t>sredstev kot v preteklih letih</w:t>
      </w:r>
      <w:r w:rsidR="00047043" w:rsidRPr="00223E80">
        <w:rPr>
          <w:rFonts w:eastAsia="Arial" w:cs="Arial"/>
        </w:rPr>
        <w:t>, torej</w:t>
      </w:r>
      <w:r w:rsidRPr="00223E80">
        <w:rPr>
          <w:rFonts w:eastAsia="Arial" w:cs="Arial"/>
        </w:rPr>
        <w:t xml:space="preserve"> v višini 8 mio sredstev. Z letom 2025 se predvideva </w:t>
      </w:r>
      <w:r w:rsidR="00047043" w:rsidRPr="00223E80">
        <w:rPr>
          <w:rFonts w:eastAsia="Arial" w:cs="Arial"/>
        </w:rPr>
        <w:t xml:space="preserve">postopno </w:t>
      </w:r>
      <w:r w:rsidRPr="00223E80">
        <w:rPr>
          <w:rFonts w:eastAsia="Arial" w:cs="Arial"/>
        </w:rPr>
        <w:t xml:space="preserve">povečanje zbranih sredstev za 2 mio EUR na </w:t>
      </w:r>
      <w:r w:rsidR="00047043" w:rsidRPr="00223E80">
        <w:rPr>
          <w:rFonts w:eastAsia="Arial" w:cs="Arial"/>
        </w:rPr>
        <w:t xml:space="preserve">skupaj </w:t>
      </w:r>
      <w:r w:rsidRPr="00223E80">
        <w:rPr>
          <w:rFonts w:eastAsia="Arial" w:cs="Arial"/>
        </w:rPr>
        <w:t>10 mio EUR sredstev</w:t>
      </w:r>
      <w:r w:rsidR="00047043" w:rsidRPr="00223E80">
        <w:rPr>
          <w:rFonts w:eastAsia="Arial" w:cs="Arial"/>
        </w:rPr>
        <w:t xml:space="preserve">, ko se bodo </w:t>
      </w:r>
      <w:r w:rsidR="00E54501" w:rsidRPr="00223E80">
        <w:rPr>
          <w:rFonts w:eastAsia="Arial" w:cs="Arial"/>
        </w:rPr>
        <w:t xml:space="preserve">na podlagi ukrepov </w:t>
      </w:r>
      <w:r w:rsidR="007F7527" w:rsidRPr="00223E80">
        <w:rPr>
          <w:rFonts w:eastAsia="Arial" w:cs="Arial"/>
        </w:rPr>
        <w:t xml:space="preserve">nove sheme </w:t>
      </w:r>
      <w:r w:rsidR="00047043" w:rsidRPr="00223E80">
        <w:rPr>
          <w:rFonts w:eastAsia="Arial" w:cs="Arial"/>
        </w:rPr>
        <w:t xml:space="preserve">lahko </w:t>
      </w:r>
      <w:r w:rsidR="007F7527" w:rsidRPr="00223E80">
        <w:rPr>
          <w:rFonts w:eastAsia="Arial" w:cs="Arial"/>
        </w:rPr>
        <w:t xml:space="preserve">opazneje </w:t>
      </w:r>
      <w:r w:rsidR="00047043" w:rsidRPr="00223E80">
        <w:rPr>
          <w:rFonts w:eastAsia="Arial" w:cs="Arial"/>
        </w:rPr>
        <w:t>odrazili vstopi p</w:t>
      </w:r>
      <w:r w:rsidR="007F7527" w:rsidRPr="00223E80">
        <w:rPr>
          <w:rFonts w:eastAsia="Arial" w:cs="Arial"/>
        </w:rPr>
        <w:t>roizvajalcev</w:t>
      </w:r>
      <w:r w:rsidR="00E54501" w:rsidRPr="00223E80">
        <w:rPr>
          <w:rFonts w:eastAsia="Arial" w:cs="Arial"/>
        </w:rPr>
        <w:t xml:space="preserve"> </w:t>
      </w:r>
      <w:r w:rsidR="00694891" w:rsidRPr="00223E80">
        <w:rPr>
          <w:rFonts w:eastAsia="Arial" w:cs="Arial"/>
        </w:rPr>
        <w:t>z</w:t>
      </w:r>
      <w:r w:rsidR="00E54501" w:rsidRPr="00223E80">
        <w:rPr>
          <w:rFonts w:eastAsia="Arial" w:cs="Arial"/>
        </w:rPr>
        <w:t xml:space="preserve"> zagotovljen</w:t>
      </w:r>
      <w:r w:rsidR="00694891" w:rsidRPr="00223E80">
        <w:rPr>
          <w:rFonts w:eastAsia="Arial" w:cs="Arial"/>
        </w:rPr>
        <w:t>im</w:t>
      </w:r>
      <w:r w:rsidR="00E54501" w:rsidRPr="00223E80">
        <w:rPr>
          <w:rFonts w:eastAsia="Arial" w:cs="Arial"/>
        </w:rPr>
        <w:t xml:space="preserve"> odkup</w:t>
      </w:r>
      <w:r w:rsidR="00694891" w:rsidRPr="00223E80">
        <w:rPr>
          <w:rFonts w:eastAsia="Arial" w:cs="Arial"/>
        </w:rPr>
        <w:t>om</w:t>
      </w:r>
      <w:r w:rsidR="00E54501" w:rsidRPr="00223E80">
        <w:rPr>
          <w:rFonts w:eastAsia="Arial" w:cs="Arial"/>
        </w:rPr>
        <w:t xml:space="preserve"> kot oblik</w:t>
      </w:r>
      <w:r w:rsidR="00694891" w:rsidRPr="00223E80">
        <w:rPr>
          <w:rFonts w:eastAsia="Arial" w:cs="Arial"/>
        </w:rPr>
        <w:t>o</w:t>
      </w:r>
      <w:r w:rsidR="00E54501" w:rsidRPr="00223E80">
        <w:rPr>
          <w:rFonts w:eastAsia="Arial" w:cs="Arial"/>
        </w:rPr>
        <w:t xml:space="preserve"> podpore. </w:t>
      </w:r>
    </w:p>
    <w:p w14:paraId="55F10488" w14:textId="77777777" w:rsidR="009E3DC6" w:rsidRPr="00223E80" w:rsidRDefault="00ED3983" w:rsidP="00A520AC">
      <w:pPr>
        <w:pStyle w:val="Naslov2"/>
      </w:pPr>
      <w:bookmarkStart w:id="42" w:name="_Toc112143997"/>
      <w:r w:rsidRPr="00223E80">
        <w:lastRenderedPageBreak/>
        <w:t>5.4</w:t>
      </w:r>
      <w:r w:rsidR="00584D80" w:rsidRPr="00223E80">
        <w:t xml:space="preserve"> </w:t>
      </w:r>
      <w:r w:rsidR="009E3DC6" w:rsidRPr="00223E80">
        <w:t>Proračunski viri</w:t>
      </w:r>
      <w:bookmarkEnd w:id="42"/>
    </w:p>
    <w:p w14:paraId="1A47A74E" w14:textId="77777777" w:rsidR="00C94408" w:rsidRPr="00223E80" w:rsidRDefault="00C94408" w:rsidP="007E6ED7">
      <w:pPr>
        <w:spacing w:after="0"/>
        <w:rPr>
          <w:rFonts w:eastAsia="Times New Roman"/>
          <w:b/>
          <w:iCs/>
          <w:color w:val="3A4A3E"/>
        </w:rPr>
      </w:pPr>
    </w:p>
    <w:p w14:paraId="49EA2344" w14:textId="77777777" w:rsidR="00025974" w:rsidRPr="00223E80" w:rsidRDefault="00EC1CAA" w:rsidP="007E6ED7">
      <w:pPr>
        <w:shd w:val="clear" w:color="auto" w:fill="FFFFFF"/>
        <w:spacing w:after="0"/>
        <w:rPr>
          <w:rFonts w:eastAsia="Arial" w:cs="Arial"/>
        </w:rPr>
      </w:pPr>
      <w:r w:rsidRPr="00223E80">
        <w:rPr>
          <w:rFonts w:eastAsia="Arial" w:cs="Arial"/>
        </w:rPr>
        <w:t>Trenutno ni oblikovane posebne namenske proračunske postavke</w:t>
      </w:r>
      <w:r w:rsidR="007F7527" w:rsidRPr="00223E80">
        <w:rPr>
          <w:rFonts w:eastAsia="Arial" w:cs="Arial"/>
        </w:rPr>
        <w:t xml:space="preserve">, kot tudi </w:t>
      </w:r>
      <w:r w:rsidRPr="00223E80">
        <w:rPr>
          <w:rFonts w:eastAsia="Arial" w:cs="Arial"/>
        </w:rPr>
        <w:t xml:space="preserve">niso </w:t>
      </w:r>
      <w:r w:rsidR="007F7527" w:rsidRPr="00223E80">
        <w:rPr>
          <w:rFonts w:eastAsia="Arial" w:cs="Arial"/>
        </w:rPr>
        <w:t>za namen spodbujanja OVE</w:t>
      </w:r>
      <w:r w:rsidR="007F7527" w:rsidRPr="00223E80" w:rsidDel="007F7527">
        <w:rPr>
          <w:rFonts w:eastAsia="Arial" w:cs="Arial"/>
        </w:rPr>
        <w:t xml:space="preserve"> </w:t>
      </w:r>
      <w:r w:rsidRPr="00223E80">
        <w:rPr>
          <w:rFonts w:eastAsia="Arial" w:cs="Arial"/>
        </w:rPr>
        <w:t xml:space="preserve">predvideni in rezervirani </w:t>
      </w:r>
      <w:r w:rsidR="007F7527" w:rsidRPr="00223E80">
        <w:rPr>
          <w:rFonts w:eastAsia="Arial" w:cs="Arial"/>
        </w:rPr>
        <w:t xml:space="preserve">drugi </w:t>
      </w:r>
      <w:r w:rsidRPr="00223E80">
        <w:rPr>
          <w:rFonts w:eastAsia="Arial" w:cs="Arial"/>
        </w:rPr>
        <w:t xml:space="preserve">posebni proračunski viri za obdobje </w:t>
      </w:r>
      <w:r w:rsidR="00E54501" w:rsidRPr="00223E80">
        <w:rPr>
          <w:rFonts w:eastAsia="Arial" w:cs="Arial"/>
        </w:rPr>
        <w:t xml:space="preserve">sprejetega proračuna za leti 2022 in 2023. </w:t>
      </w:r>
    </w:p>
    <w:p w14:paraId="3657CFEE" w14:textId="77777777" w:rsidR="009E3DC6" w:rsidRPr="00223E80" w:rsidRDefault="005E2CD9" w:rsidP="00A520AC">
      <w:pPr>
        <w:pStyle w:val="Naslov2"/>
      </w:pPr>
      <w:bookmarkStart w:id="43" w:name="_Toc112143998"/>
      <w:r w:rsidRPr="00223E80">
        <w:t>5</w:t>
      </w:r>
      <w:r w:rsidR="00584D80" w:rsidRPr="00223E80">
        <w:t xml:space="preserve">.5 </w:t>
      </w:r>
      <w:r w:rsidR="009E3DC6" w:rsidRPr="00223E80">
        <w:t>Sredstva</w:t>
      </w:r>
      <w:r w:rsidR="007570F9" w:rsidRPr="00223E80">
        <w:t>,</w:t>
      </w:r>
      <w:r w:rsidR="009E3DC6" w:rsidRPr="00223E80">
        <w:t xml:space="preserve"> pridobljena iz statističnih prenosov</w:t>
      </w:r>
      <w:bookmarkEnd w:id="43"/>
      <w:r w:rsidR="009E3DC6" w:rsidRPr="00223E80">
        <w:t xml:space="preserve"> </w:t>
      </w:r>
    </w:p>
    <w:p w14:paraId="61D0AA56" w14:textId="77777777" w:rsidR="00C94408" w:rsidRPr="00223E80" w:rsidRDefault="00C94408" w:rsidP="007E6ED7">
      <w:pPr>
        <w:spacing w:after="0"/>
        <w:rPr>
          <w:rFonts w:eastAsia="Arial" w:cs="Arial"/>
        </w:rPr>
      </w:pPr>
    </w:p>
    <w:p w14:paraId="1D238D05" w14:textId="09629FA7" w:rsidR="008E4F9E" w:rsidRPr="00223E80" w:rsidRDefault="008E4F9E" w:rsidP="007E6ED7">
      <w:pPr>
        <w:spacing w:after="0"/>
        <w:rPr>
          <w:rFonts w:eastAsia="Arial" w:cs="Arial"/>
        </w:rPr>
      </w:pPr>
      <w:r w:rsidRPr="00223E80">
        <w:rPr>
          <w:rFonts w:eastAsia="Arial" w:cs="Arial"/>
        </w:rPr>
        <w:t xml:space="preserve">Eden od možnih ukrepov </w:t>
      </w:r>
      <w:r w:rsidR="00CD3D2A" w:rsidRPr="00223E80">
        <w:rPr>
          <w:rFonts w:eastAsia="Arial" w:cs="Arial"/>
        </w:rPr>
        <w:t xml:space="preserve">so </w:t>
      </w:r>
      <w:r w:rsidRPr="00223E80">
        <w:rPr>
          <w:rFonts w:eastAsia="Arial" w:cs="Arial"/>
        </w:rPr>
        <w:t>statistični prenosi</w:t>
      </w:r>
      <w:r w:rsidR="00ED3983" w:rsidRPr="00223E80">
        <w:rPr>
          <w:rFonts w:eastAsia="Arial" w:cs="Arial"/>
        </w:rPr>
        <w:t xml:space="preserve"> v skladu </w:t>
      </w:r>
      <w:r w:rsidR="007570F9" w:rsidRPr="00223E80">
        <w:rPr>
          <w:rFonts w:eastAsia="Arial" w:cs="Arial"/>
        </w:rPr>
        <w:t>s</w:t>
      </w:r>
      <w:r w:rsidR="00ED3983" w:rsidRPr="00223E80">
        <w:rPr>
          <w:rFonts w:eastAsia="Arial" w:cs="Arial"/>
        </w:rPr>
        <w:t xml:space="preserve"> 30. členom ZSROVE</w:t>
      </w:r>
      <w:r w:rsidRPr="00223E80">
        <w:rPr>
          <w:rFonts w:eastAsia="Arial" w:cs="Arial"/>
        </w:rPr>
        <w:t>, pri čemer se delež energije iz OVE države članice</w:t>
      </w:r>
      <w:r w:rsidR="00F87DAF" w:rsidRPr="00223E80">
        <w:rPr>
          <w:rFonts w:eastAsia="Arial" w:cs="Arial"/>
        </w:rPr>
        <w:t>,</w:t>
      </w:r>
      <w:r w:rsidRPr="00223E80">
        <w:rPr>
          <w:rFonts w:eastAsia="Arial" w:cs="Arial"/>
        </w:rPr>
        <w:t xml:space="preserve"> ki je presegla zastavljene deleže</w:t>
      </w:r>
      <w:r w:rsidR="007570F9" w:rsidRPr="00223E80">
        <w:rPr>
          <w:rFonts w:eastAsia="Arial" w:cs="Arial"/>
        </w:rPr>
        <w:t>,</w:t>
      </w:r>
      <w:r w:rsidRPr="00223E80">
        <w:rPr>
          <w:rFonts w:eastAsia="Arial" w:cs="Arial"/>
        </w:rPr>
        <w:t xml:space="preserve"> praviloma odplačno prenese na drugo državo članico, ki tega deleža ni dosegla. Cil</w:t>
      </w:r>
      <w:r w:rsidR="00D05C2F" w:rsidRPr="00223E80">
        <w:rPr>
          <w:rFonts w:eastAsia="Arial" w:cs="Arial"/>
        </w:rPr>
        <w:t>j</w:t>
      </w:r>
      <w:r w:rsidR="00A170B6" w:rsidRPr="00223E80">
        <w:rPr>
          <w:rFonts w:eastAsia="Arial" w:cs="Arial"/>
        </w:rPr>
        <w:t xml:space="preserve"> tega mehanizma je</w:t>
      </w:r>
      <w:r w:rsidRPr="00223E80">
        <w:rPr>
          <w:rFonts w:eastAsia="Arial" w:cs="Arial"/>
        </w:rPr>
        <w:t xml:space="preserve"> državam članicam omogočiti, da tak</w:t>
      </w:r>
      <w:r w:rsidR="007570F9" w:rsidRPr="00223E80">
        <w:rPr>
          <w:rFonts w:eastAsia="Arial" w:cs="Arial"/>
        </w:rPr>
        <w:t>o</w:t>
      </w:r>
      <w:r w:rsidRPr="00223E80">
        <w:rPr>
          <w:rFonts w:eastAsia="Arial" w:cs="Arial"/>
        </w:rPr>
        <w:t xml:space="preserve"> zadostijo zahtevam nacionalnih ciljev, kot tudi da se gibljejo v skladu s skupnimi cilji Unij</w:t>
      </w:r>
      <w:r w:rsidR="007E6ED7" w:rsidRPr="00223E80">
        <w:rPr>
          <w:rFonts w:eastAsia="Arial" w:cs="Arial"/>
        </w:rPr>
        <w:t xml:space="preserve">e na področju </w:t>
      </w:r>
      <w:r w:rsidR="00E54501" w:rsidRPr="00223E80">
        <w:rPr>
          <w:rFonts w:eastAsia="Arial" w:cs="Arial"/>
        </w:rPr>
        <w:t>delež</w:t>
      </w:r>
      <w:r w:rsidR="002802B3" w:rsidRPr="00223E80">
        <w:rPr>
          <w:rFonts w:eastAsia="Arial" w:cs="Arial"/>
        </w:rPr>
        <w:t xml:space="preserve">a </w:t>
      </w:r>
      <w:r w:rsidR="00E54501" w:rsidRPr="00223E80">
        <w:rPr>
          <w:rFonts w:eastAsia="Arial" w:cs="Arial"/>
        </w:rPr>
        <w:t>energije iz obnovljivih virov v bruto končni rabi energije </w:t>
      </w:r>
      <w:r w:rsidR="002802B3" w:rsidRPr="00223E80">
        <w:rPr>
          <w:rFonts w:eastAsia="Arial" w:cs="Arial"/>
        </w:rPr>
        <w:t>posamezne članice.</w:t>
      </w:r>
      <w:r w:rsidRPr="00223E80">
        <w:rPr>
          <w:rFonts w:eastAsia="Arial" w:cs="Arial"/>
        </w:rPr>
        <w:t xml:space="preserve"> </w:t>
      </w:r>
    </w:p>
    <w:p w14:paraId="77E5C23E" w14:textId="77777777" w:rsidR="008E4F9E" w:rsidRPr="00223E80" w:rsidRDefault="008E4F9E" w:rsidP="007E6ED7">
      <w:pPr>
        <w:spacing w:after="0"/>
        <w:rPr>
          <w:rFonts w:eastAsia="Arial" w:cs="Arial"/>
        </w:rPr>
      </w:pPr>
    </w:p>
    <w:p w14:paraId="4459C507" w14:textId="274A038E" w:rsidR="009D7BCC" w:rsidRPr="00223E80" w:rsidRDefault="00A855A4" w:rsidP="007E6ED7">
      <w:pPr>
        <w:shd w:val="clear" w:color="auto" w:fill="FFFFFF"/>
        <w:spacing w:after="0"/>
        <w:rPr>
          <w:rFonts w:eastAsia="Arial" w:cs="Arial"/>
        </w:rPr>
      </w:pPr>
      <w:r w:rsidRPr="00223E80">
        <w:rPr>
          <w:rFonts w:eastAsia="Arial" w:cs="Arial"/>
        </w:rPr>
        <w:t xml:space="preserve">V zvezi </w:t>
      </w:r>
      <w:r w:rsidR="004D3D57" w:rsidRPr="00223E80">
        <w:rPr>
          <w:rFonts w:eastAsia="Arial" w:cs="Arial"/>
        </w:rPr>
        <w:t>s</w:t>
      </w:r>
      <w:r w:rsidRPr="00223E80">
        <w:rPr>
          <w:rFonts w:eastAsia="Arial" w:cs="Arial"/>
        </w:rPr>
        <w:t xml:space="preserve"> sredstvi</w:t>
      </w:r>
      <w:r w:rsidR="00342AB5" w:rsidRPr="00223E80">
        <w:rPr>
          <w:rFonts w:eastAsia="Arial" w:cs="Arial"/>
        </w:rPr>
        <w:t>,</w:t>
      </w:r>
      <w:r w:rsidR="00C94408" w:rsidRPr="00223E80">
        <w:rPr>
          <w:rFonts w:eastAsia="Arial" w:cs="Arial"/>
        </w:rPr>
        <w:t xml:space="preserve"> pridobljenimi iz statističnih prenosov v skladu s 30. členom ZSROVE</w:t>
      </w:r>
      <w:r w:rsidR="00342AB5" w:rsidRPr="00223E80">
        <w:rPr>
          <w:rFonts w:eastAsia="Arial" w:cs="Arial"/>
        </w:rPr>
        <w:t>,</w:t>
      </w:r>
      <w:r w:rsidRPr="00223E80">
        <w:rPr>
          <w:rFonts w:eastAsia="Arial" w:cs="Arial"/>
        </w:rPr>
        <w:t xml:space="preserve"> se v prihodnjih letih v obravnavanem obdobju od leta 2022 do konca leta 2026 ne predvideva</w:t>
      </w:r>
      <w:r w:rsidR="00787B9A" w:rsidRPr="00223E80">
        <w:rPr>
          <w:rFonts w:eastAsia="Arial" w:cs="Arial"/>
        </w:rPr>
        <w:t xml:space="preserve"> možnost</w:t>
      </w:r>
      <w:r w:rsidR="00A170B6" w:rsidRPr="00223E80">
        <w:rPr>
          <w:rFonts w:eastAsia="Arial" w:cs="Arial"/>
        </w:rPr>
        <w:t>,</w:t>
      </w:r>
      <w:r w:rsidRPr="00223E80">
        <w:rPr>
          <w:rFonts w:eastAsia="Arial" w:cs="Arial"/>
        </w:rPr>
        <w:t xml:space="preserve"> da bodo za ta namen zbrana dodatna sredstva, </w:t>
      </w:r>
      <w:r w:rsidR="004D3D57" w:rsidRPr="00223E80">
        <w:rPr>
          <w:rFonts w:eastAsia="Arial" w:cs="Arial"/>
        </w:rPr>
        <w:t xml:space="preserve">če </w:t>
      </w:r>
      <w:r w:rsidR="007F7527" w:rsidRPr="00223E80">
        <w:rPr>
          <w:rFonts w:eastAsia="Arial" w:cs="Arial"/>
        </w:rPr>
        <w:t>upošteva</w:t>
      </w:r>
      <w:r w:rsidR="004D3D57" w:rsidRPr="00223E80">
        <w:rPr>
          <w:rFonts w:eastAsia="Arial" w:cs="Arial"/>
        </w:rPr>
        <w:t>mo,</w:t>
      </w:r>
      <w:r w:rsidR="007F7527" w:rsidRPr="00223E80">
        <w:rPr>
          <w:rFonts w:eastAsia="Arial" w:cs="Arial"/>
        </w:rPr>
        <w:t xml:space="preserve"> da Republika </w:t>
      </w:r>
      <w:r w:rsidRPr="00223E80">
        <w:rPr>
          <w:rFonts w:eastAsia="Arial" w:cs="Arial"/>
        </w:rPr>
        <w:t>Slovenija za</w:t>
      </w:r>
      <w:r w:rsidR="00342AB5" w:rsidRPr="00223E80">
        <w:rPr>
          <w:rFonts w:eastAsia="Arial" w:cs="Arial"/>
        </w:rPr>
        <w:t xml:space="preserve"> zdaj </w:t>
      </w:r>
      <w:r w:rsidR="007F7527" w:rsidRPr="00223E80">
        <w:rPr>
          <w:rFonts w:eastAsia="Arial" w:cs="Arial"/>
        </w:rPr>
        <w:t xml:space="preserve">še </w:t>
      </w:r>
      <w:r w:rsidRPr="00223E80">
        <w:rPr>
          <w:rFonts w:eastAsia="Arial" w:cs="Arial"/>
        </w:rPr>
        <w:t>ne dosega minimalnega izhodiščnega deleža OVE v končni rabi energije</w:t>
      </w:r>
      <w:r w:rsidR="00342AB5" w:rsidRPr="00223E80">
        <w:rPr>
          <w:rFonts w:eastAsia="Arial" w:cs="Arial"/>
        </w:rPr>
        <w:t>.</w:t>
      </w:r>
      <w:r w:rsidR="00787B9A" w:rsidRPr="00223E80">
        <w:rPr>
          <w:rStyle w:val="Sprotnaopomba-sklic"/>
          <w:rFonts w:eastAsia="Arial" w:cs="Arial"/>
        </w:rPr>
        <w:footnoteReference w:id="7"/>
      </w:r>
      <w:r w:rsidRPr="00223E80">
        <w:rPr>
          <w:rFonts w:eastAsia="Arial" w:cs="Arial"/>
        </w:rPr>
        <w:t xml:space="preserve"> </w:t>
      </w:r>
    </w:p>
    <w:p w14:paraId="42E864CD" w14:textId="77777777" w:rsidR="007E6ED7" w:rsidRPr="00223E80" w:rsidRDefault="007E6ED7" w:rsidP="007E6ED7">
      <w:pPr>
        <w:shd w:val="clear" w:color="auto" w:fill="FFFFFF"/>
        <w:spacing w:after="0"/>
        <w:rPr>
          <w:rFonts w:eastAsia="Arial" w:cs="Arial"/>
        </w:rPr>
      </w:pPr>
    </w:p>
    <w:p w14:paraId="686FDC58" w14:textId="77777777" w:rsidR="009E3DC6" w:rsidRPr="00223E80" w:rsidRDefault="005E2CD9" w:rsidP="00A520AC">
      <w:pPr>
        <w:pStyle w:val="Naslov2"/>
      </w:pPr>
      <w:bookmarkStart w:id="44" w:name="_Toc112143999"/>
      <w:r w:rsidRPr="00223E80">
        <w:t>5</w:t>
      </w:r>
      <w:r w:rsidR="00584D80" w:rsidRPr="00223E80">
        <w:t xml:space="preserve">.6 </w:t>
      </w:r>
      <w:r w:rsidR="009E3DC6" w:rsidRPr="00223E80">
        <w:t>Sredstva zaradi sodelovanja v vlogi gostitelj</w:t>
      </w:r>
      <w:r w:rsidR="00ED3983" w:rsidRPr="00223E80">
        <w:t>ice projektov v mehanizmu Unije</w:t>
      </w:r>
      <w:bookmarkEnd w:id="44"/>
    </w:p>
    <w:p w14:paraId="26650DF0" w14:textId="77777777" w:rsidR="007E6ED7" w:rsidRPr="00223E80" w:rsidRDefault="007E6ED7" w:rsidP="007E6ED7">
      <w:pPr>
        <w:spacing w:after="0"/>
        <w:rPr>
          <w:rFonts w:eastAsia="Times New Roman"/>
          <w:b/>
          <w:iCs/>
          <w:color w:val="3A4A3E"/>
        </w:rPr>
      </w:pPr>
    </w:p>
    <w:p w14:paraId="0DD46E3B" w14:textId="66E80C7C" w:rsidR="00994F04" w:rsidRPr="00223E80" w:rsidRDefault="00C84A55" w:rsidP="007E6ED7">
      <w:pPr>
        <w:shd w:val="clear" w:color="auto" w:fill="FFFFFF"/>
        <w:spacing w:after="0"/>
        <w:rPr>
          <w:rFonts w:eastAsia="Arial" w:cs="Arial"/>
        </w:rPr>
      </w:pPr>
      <w:r w:rsidRPr="00223E80">
        <w:rPr>
          <w:rFonts w:eastAsia="Arial" w:cs="Arial"/>
        </w:rPr>
        <w:t>Izhajajoč iz</w:t>
      </w:r>
      <w:r w:rsidR="00BB4E67" w:rsidRPr="00223E80">
        <w:rPr>
          <w:rFonts w:eastAsia="Arial" w:cs="Arial"/>
        </w:rPr>
        <w:t xml:space="preserve"> Direktiv</w:t>
      </w:r>
      <w:r w:rsidRPr="00223E80">
        <w:rPr>
          <w:rFonts w:eastAsia="Arial" w:cs="Arial"/>
        </w:rPr>
        <w:t>e</w:t>
      </w:r>
      <w:r w:rsidR="00D05C2F" w:rsidRPr="00223E80">
        <w:rPr>
          <w:rFonts w:eastAsia="Arial" w:cs="Arial"/>
        </w:rPr>
        <w:t xml:space="preserve"> (EU) 2018/2001 </w:t>
      </w:r>
      <w:r w:rsidR="00BB4E67" w:rsidRPr="00223E80">
        <w:rPr>
          <w:rFonts w:eastAsia="Arial" w:cs="Arial"/>
        </w:rPr>
        <w:t xml:space="preserve">je ZSROVE </w:t>
      </w:r>
      <w:r w:rsidR="00ED3983" w:rsidRPr="00223E80">
        <w:rPr>
          <w:rFonts w:eastAsia="Arial" w:cs="Arial"/>
        </w:rPr>
        <w:t xml:space="preserve">v </w:t>
      </w:r>
      <w:r w:rsidR="002802B3" w:rsidRPr="00223E80">
        <w:rPr>
          <w:rFonts w:eastAsia="Arial" w:cs="Arial"/>
        </w:rPr>
        <w:t>36</w:t>
      </w:r>
      <w:r w:rsidR="00ED3983" w:rsidRPr="00223E80">
        <w:rPr>
          <w:rFonts w:eastAsia="Arial" w:cs="Arial"/>
        </w:rPr>
        <w:t>. člen</w:t>
      </w:r>
      <w:r w:rsidR="002802B3" w:rsidRPr="00223E80">
        <w:rPr>
          <w:rFonts w:eastAsia="Arial" w:cs="Arial"/>
        </w:rPr>
        <w:t xml:space="preserve">u </w:t>
      </w:r>
      <w:r w:rsidR="00BB4E67" w:rsidRPr="00223E80">
        <w:rPr>
          <w:rFonts w:eastAsia="Arial" w:cs="Arial"/>
        </w:rPr>
        <w:t xml:space="preserve">predvidel možnost, </w:t>
      </w:r>
      <w:r w:rsidR="00D05C2F" w:rsidRPr="00223E80">
        <w:rPr>
          <w:rFonts w:eastAsia="Arial" w:cs="Arial"/>
        </w:rPr>
        <w:t xml:space="preserve">v skladu s katero </w:t>
      </w:r>
      <w:r w:rsidR="00BB4E67" w:rsidRPr="00223E80">
        <w:rPr>
          <w:rFonts w:eastAsia="Arial" w:cs="Arial"/>
        </w:rPr>
        <w:t xml:space="preserve">lahko Vlada, </w:t>
      </w:r>
      <w:r w:rsidR="00A634CD" w:rsidRPr="00223E80">
        <w:rPr>
          <w:rFonts w:eastAsia="Arial" w:cs="Arial"/>
        </w:rPr>
        <w:t>če</w:t>
      </w:r>
      <w:r w:rsidR="00DB1C28" w:rsidRPr="00223E80">
        <w:rPr>
          <w:rFonts w:eastAsia="Arial" w:cs="Arial"/>
        </w:rPr>
        <w:t xml:space="preserve"> </w:t>
      </w:r>
      <w:r w:rsidR="00BB4E67" w:rsidRPr="00223E80">
        <w:rPr>
          <w:rFonts w:eastAsia="Arial" w:cs="Arial"/>
        </w:rPr>
        <w:t xml:space="preserve">Republika Slovenija </w:t>
      </w:r>
      <w:r w:rsidR="00DB1C28" w:rsidRPr="00223E80">
        <w:rPr>
          <w:rFonts w:eastAsia="Arial" w:cs="Arial"/>
        </w:rPr>
        <w:t xml:space="preserve">ne dosega ene ali več nacionalnih referenčnih vrednosti </w:t>
      </w:r>
      <w:r w:rsidR="00BB4E67" w:rsidRPr="00223E80">
        <w:rPr>
          <w:rFonts w:eastAsia="Arial" w:cs="Arial"/>
        </w:rPr>
        <w:t>energije iz obnovljivih virov</w:t>
      </w:r>
      <w:r w:rsidR="00A634CD" w:rsidRPr="00223E80">
        <w:rPr>
          <w:rFonts w:eastAsia="Arial" w:cs="Arial"/>
        </w:rPr>
        <w:t>,</w:t>
      </w:r>
      <w:r w:rsidR="00DB1C28" w:rsidRPr="00223E80">
        <w:rPr>
          <w:rFonts w:eastAsia="Arial" w:cs="Arial"/>
        </w:rPr>
        <w:t xml:space="preserve"> kot so določene z NEPN, ali če od 1. januarja 2021 ne ohranja </w:t>
      </w:r>
      <w:r w:rsidR="00D05C2F" w:rsidRPr="00223E80">
        <w:rPr>
          <w:rFonts w:eastAsia="Arial" w:cs="Arial"/>
        </w:rPr>
        <w:t xml:space="preserve">zastavljenega </w:t>
      </w:r>
      <w:r w:rsidR="00DB1C28" w:rsidRPr="00223E80">
        <w:rPr>
          <w:rFonts w:eastAsia="Arial" w:cs="Arial"/>
        </w:rPr>
        <w:t>izhodiščnega deleža, odloči, da se izvede finančno vplačilo v mehanizem Unije za financiranje energije iz obnovljivih virov, vzpostavljen v skladu s 33. členom Uredbe 2018/1999/EU in</w:t>
      </w:r>
      <w:r w:rsidR="00BB4E67" w:rsidRPr="00223E80">
        <w:rPr>
          <w:rFonts w:eastAsia="Arial" w:cs="Arial"/>
        </w:rPr>
        <w:t xml:space="preserve"> Izvedbeno uredbo Komisije </w:t>
      </w:r>
      <w:r w:rsidR="00DB1C28" w:rsidRPr="00223E80">
        <w:rPr>
          <w:rFonts w:eastAsia="Arial" w:cs="Arial"/>
        </w:rPr>
        <w:t>2020/1294</w:t>
      </w:r>
      <w:r w:rsidR="00A634CD" w:rsidRPr="00223E80">
        <w:rPr>
          <w:rFonts w:eastAsia="Arial" w:cs="Arial"/>
        </w:rPr>
        <w:t>.</w:t>
      </w:r>
      <w:r w:rsidR="00BB4E67" w:rsidRPr="00223E80">
        <w:rPr>
          <w:rStyle w:val="Sprotnaopomba-sklic"/>
          <w:rFonts w:eastAsia="Arial" w:cs="Arial"/>
        </w:rPr>
        <w:footnoteReference w:id="8"/>
      </w:r>
      <w:r w:rsidR="00D05C2F" w:rsidRPr="00223E80">
        <w:rPr>
          <w:rFonts w:eastAsia="Arial" w:cs="Arial"/>
        </w:rPr>
        <w:t xml:space="preserve"> </w:t>
      </w:r>
      <w:r w:rsidR="003553E7" w:rsidRPr="00223E80">
        <w:rPr>
          <w:rFonts w:eastAsia="Arial" w:cs="Arial"/>
        </w:rPr>
        <w:t>P</w:t>
      </w:r>
      <w:r w:rsidR="00D05C2F" w:rsidRPr="00223E80">
        <w:rPr>
          <w:rFonts w:eastAsia="Arial" w:cs="Arial"/>
        </w:rPr>
        <w:t xml:space="preserve">omembno </w:t>
      </w:r>
      <w:r w:rsidR="00F63DF7" w:rsidRPr="00223E80">
        <w:rPr>
          <w:rFonts w:eastAsia="Arial" w:cs="Arial"/>
        </w:rPr>
        <w:t xml:space="preserve">je, da </w:t>
      </w:r>
      <w:r w:rsidR="00D05C2F" w:rsidRPr="00223E80">
        <w:rPr>
          <w:rFonts w:eastAsia="Arial" w:cs="Arial"/>
        </w:rPr>
        <w:t xml:space="preserve">se </w:t>
      </w:r>
      <w:r w:rsidR="00DB1C28" w:rsidRPr="00223E80">
        <w:rPr>
          <w:rFonts w:eastAsia="Arial" w:cs="Arial"/>
        </w:rPr>
        <w:t xml:space="preserve">Vlada lahko </w:t>
      </w:r>
      <w:r w:rsidR="00D05C2F" w:rsidRPr="00223E80">
        <w:rPr>
          <w:rFonts w:eastAsia="Arial" w:cs="Arial"/>
        </w:rPr>
        <w:t xml:space="preserve">v tem pravnem okviru </w:t>
      </w:r>
      <w:r w:rsidR="00DB1C28" w:rsidRPr="00223E80">
        <w:rPr>
          <w:rFonts w:eastAsia="Arial" w:cs="Arial"/>
        </w:rPr>
        <w:t xml:space="preserve">odloči za sodelovanje v mehanizmu Unije za financiranje energije iz obnovljivih virov </w:t>
      </w:r>
      <w:r w:rsidR="00D05C2F" w:rsidRPr="00223E80">
        <w:rPr>
          <w:rFonts w:eastAsia="Arial" w:cs="Arial"/>
        </w:rPr>
        <w:t xml:space="preserve">tudi </w:t>
      </w:r>
      <w:r w:rsidR="00DB1C28" w:rsidRPr="00223E80">
        <w:rPr>
          <w:rFonts w:eastAsia="Arial" w:cs="Arial"/>
        </w:rPr>
        <w:t>k</w:t>
      </w:r>
      <w:r w:rsidR="00BB4E67" w:rsidRPr="00223E80">
        <w:rPr>
          <w:rFonts w:eastAsia="Arial" w:cs="Arial"/>
        </w:rPr>
        <w:t xml:space="preserve">ot država gostiteljica. </w:t>
      </w:r>
    </w:p>
    <w:p w14:paraId="29959032" w14:textId="77777777" w:rsidR="00C84A55" w:rsidRPr="00223E80" w:rsidRDefault="00C84A55" w:rsidP="007E6ED7">
      <w:pPr>
        <w:shd w:val="clear" w:color="auto" w:fill="FFFFFF"/>
        <w:spacing w:after="0"/>
        <w:rPr>
          <w:rFonts w:eastAsia="Arial" w:cs="Arial"/>
        </w:rPr>
      </w:pPr>
    </w:p>
    <w:p w14:paraId="69C9A1EF" w14:textId="6F33D0CD" w:rsidR="001417C4" w:rsidRPr="00223E80" w:rsidRDefault="00994F04" w:rsidP="007E6ED7">
      <w:pPr>
        <w:shd w:val="clear" w:color="auto" w:fill="FFFFFF"/>
        <w:spacing w:after="0"/>
        <w:rPr>
          <w:rFonts w:eastAsia="Arial" w:cs="Arial"/>
        </w:rPr>
      </w:pPr>
      <w:r w:rsidRPr="00223E80">
        <w:rPr>
          <w:rFonts w:eastAsia="Arial" w:cs="Arial"/>
        </w:rPr>
        <w:t>V</w:t>
      </w:r>
      <w:r w:rsidR="001417C4" w:rsidRPr="00223E80">
        <w:rPr>
          <w:rFonts w:eastAsia="Arial" w:cs="Arial"/>
        </w:rPr>
        <w:t xml:space="preserve"> ta namen za</w:t>
      </w:r>
      <w:r w:rsidR="00A634CD" w:rsidRPr="00223E80">
        <w:rPr>
          <w:rFonts w:eastAsia="Arial" w:cs="Arial"/>
        </w:rPr>
        <w:t xml:space="preserve"> zdaj </w:t>
      </w:r>
      <w:r w:rsidR="001417C4" w:rsidRPr="00223E80">
        <w:rPr>
          <w:rFonts w:eastAsia="Arial" w:cs="Arial"/>
        </w:rPr>
        <w:t>ni načrtovanih prilivov.</w:t>
      </w:r>
    </w:p>
    <w:p w14:paraId="77562A82" w14:textId="77777777" w:rsidR="00534E61" w:rsidRPr="00223E80" w:rsidRDefault="00534E61" w:rsidP="007E6ED7">
      <w:pPr>
        <w:shd w:val="clear" w:color="auto" w:fill="FFFFFF"/>
        <w:spacing w:after="0"/>
        <w:rPr>
          <w:rFonts w:eastAsia="Arial" w:cs="Arial"/>
        </w:rPr>
      </w:pPr>
    </w:p>
    <w:p w14:paraId="3FA9B184" w14:textId="1654E661" w:rsidR="002B3C93" w:rsidRPr="00223E80" w:rsidRDefault="005C0FCA" w:rsidP="00A520AC">
      <w:pPr>
        <w:pStyle w:val="Naslov1"/>
      </w:pPr>
      <w:bookmarkStart w:id="45" w:name="_Toc112144000"/>
      <w:r w:rsidRPr="00223E80">
        <w:lastRenderedPageBreak/>
        <w:t>6</w:t>
      </w:r>
      <w:r w:rsidR="007D3D9D" w:rsidRPr="00223E80">
        <w:t xml:space="preserve">  </w:t>
      </w:r>
      <w:r w:rsidR="00574686" w:rsidRPr="00223E80">
        <w:t>OBSEG SREDSTEV, KI SO NAMENJENA ZA POSAMEZNI UKREP ZA DOSEGANJE CILJEV SPODBUJANJA RABE OBNOVLJIVIH VIROV ENERGIJE</w:t>
      </w:r>
      <w:bookmarkEnd w:id="45"/>
    </w:p>
    <w:p w14:paraId="6C0BEB31" w14:textId="77777777" w:rsidR="008202FC" w:rsidRPr="00223E80" w:rsidRDefault="008202FC" w:rsidP="007E6ED7">
      <w:pPr>
        <w:snapToGrid w:val="0"/>
        <w:spacing w:after="0"/>
        <w:rPr>
          <w:rFonts w:eastAsia="Times New Roman"/>
          <w:b/>
          <w:iCs/>
          <w:color w:val="3A4A3E"/>
          <w:sz w:val="28"/>
          <w:szCs w:val="24"/>
        </w:rPr>
      </w:pPr>
    </w:p>
    <w:p w14:paraId="204AB9A1" w14:textId="6712AD53" w:rsidR="00534E61" w:rsidRPr="00223E80" w:rsidRDefault="007838DC" w:rsidP="007E6ED7">
      <w:pPr>
        <w:snapToGrid w:val="0"/>
        <w:spacing w:after="0"/>
        <w:rPr>
          <w:rFonts w:eastAsia="Times New Roman" w:cs="Arial"/>
          <w:lang w:eastAsia="sl-SI"/>
        </w:rPr>
      </w:pPr>
      <w:r w:rsidRPr="00223E80">
        <w:rPr>
          <w:rFonts w:eastAsia="Times New Roman" w:cs="Arial"/>
          <w:lang w:eastAsia="sl-SI"/>
        </w:rPr>
        <w:t>Glede na nujno nadaljnje izvajanj</w:t>
      </w:r>
      <w:r w:rsidR="00F63DF7" w:rsidRPr="00223E80">
        <w:rPr>
          <w:rFonts w:eastAsia="Times New Roman" w:cs="Arial"/>
          <w:lang w:eastAsia="sl-SI"/>
        </w:rPr>
        <w:t>e</w:t>
      </w:r>
      <w:r w:rsidRPr="00223E80">
        <w:rPr>
          <w:rFonts w:eastAsia="Times New Roman" w:cs="Arial"/>
          <w:lang w:eastAsia="sl-SI"/>
        </w:rPr>
        <w:t xml:space="preserve"> priglašene podporne sheme</w:t>
      </w:r>
      <w:r w:rsidR="002B3C93" w:rsidRPr="00223E80">
        <w:rPr>
          <w:rFonts w:eastAsia="Times New Roman" w:cs="Arial"/>
          <w:lang w:eastAsia="sl-SI"/>
        </w:rPr>
        <w:t>,</w:t>
      </w:r>
      <w:r w:rsidRPr="00223E80">
        <w:rPr>
          <w:rFonts w:eastAsia="Times New Roman" w:cs="Arial"/>
          <w:lang w:eastAsia="sl-SI"/>
        </w:rPr>
        <w:t xml:space="preserve"> pa tudi </w:t>
      </w:r>
      <w:r w:rsidR="004D3D57" w:rsidRPr="00223E80">
        <w:rPr>
          <w:rFonts w:eastAsia="Times New Roman" w:cs="Arial"/>
          <w:lang w:eastAsia="sl-SI"/>
        </w:rPr>
        <w:t xml:space="preserve">če </w:t>
      </w:r>
      <w:r w:rsidR="002B3C93" w:rsidRPr="00223E80">
        <w:rPr>
          <w:rFonts w:eastAsia="Times New Roman" w:cs="Arial"/>
          <w:lang w:eastAsia="sl-SI"/>
        </w:rPr>
        <w:t>upošteva</w:t>
      </w:r>
      <w:r w:rsidR="004D3D57" w:rsidRPr="00223E80">
        <w:rPr>
          <w:rFonts w:eastAsia="Times New Roman" w:cs="Arial"/>
          <w:lang w:eastAsia="sl-SI"/>
        </w:rPr>
        <w:t>mo</w:t>
      </w:r>
      <w:r w:rsidRPr="00223E80">
        <w:rPr>
          <w:rFonts w:eastAsia="Times New Roman" w:cs="Arial"/>
          <w:lang w:eastAsia="sl-SI"/>
        </w:rPr>
        <w:t xml:space="preserve"> dinamik</w:t>
      </w:r>
      <w:r w:rsidR="002B3C93" w:rsidRPr="00223E80">
        <w:rPr>
          <w:rFonts w:eastAsia="Times New Roman" w:cs="Arial"/>
          <w:lang w:eastAsia="sl-SI"/>
        </w:rPr>
        <w:t>o</w:t>
      </w:r>
      <w:r w:rsidRPr="00223E80">
        <w:rPr>
          <w:rFonts w:eastAsia="Times New Roman" w:cs="Arial"/>
          <w:lang w:eastAsia="sl-SI"/>
        </w:rPr>
        <w:t xml:space="preserve"> porabe sredstev do </w:t>
      </w:r>
      <w:r w:rsidR="00F63DF7" w:rsidRPr="00223E80">
        <w:rPr>
          <w:rFonts w:eastAsia="Times New Roman" w:cs="Arial"/>
          <w:lang w:eastAsia="sl-SI"/>
        </w:rPr>
        <w:t>z</w:t>
      </w:r>
      <w:r w:rsidRPr="00223E80">
        <w:rPr>
          <w:rFonts w:eastAsia="Times New Roman" w:cs="Arial"/>
          <w:lang w:eastAsia="sl-SI"/>
        </w:rPr>
        <w:t xml:space="preserve">daj, se v letu 2022 in 2023 načrtuje </w:t>
      </w:r>
      <w:r w:rsidR="002B3C93" w:rsidRPr="00223E80">
        <w:rPr>
          <w:rFonts w:eastAsia="Times New Roman" w:cs="Arial"/>
          <w:lang w:eastAsia="sl-SI"/>
        </w:rPr>
        <w:t>izvesti dva javna poziva</w:t>
      </w:r>
      <w:r w:rsidR="004D3D57" w:rsidRPr="00223E80">
        <w:rPr>
          <w:rFonts w:eastAsia="Times New Roman" w:cs="Arial"/>
          <w:lang w:eastAsia="sl-SI"/>
        </w:rPr>
        <w:t>.</w:t>
      </w:r>
      <w:r w:rsidR="002B3C93" w:rsidRPr="00223E80">
        <w:rPr>
          <w:rFonts w:eastAsia="Times New Roman" w:cs="Arial"/>
          <w:lang w:eastAsia="sl-SI"/>
        </w:rPr>
        <w:t xml:space="preserve"> </w:t>
      </w:r>
      <w:r w:rsidR="004D3D57" w:rsidRPr="00223E80">
        <w:rPr>
          <w:rFonts w:eastAsia="Times New Roman" w:cs="Arial"/>
          <w:lang w:eastAsia="sl-SI"/>
        </w:rPr>
        <w:t>Z</w:t>
      </w:r>
      <w:r w:rsidRPr="00223E80">
        <w:rPr>
          <w:rFonts w:eastAsia="Times New Roman" w:cs="Arial"/>
          <w:lang w:eastAsia="sl-SI"/>
        </w:rPr>
        <w:t xml:space="preserve">a oba </w:t>
      </w:r>
      <w:r w:rsidR="006D3333" w:rsidRPr="00223E80">
        <w:rPr>
          <w:rFonts w:eastAsia="Times New Roman" w:cs="Arial"/>
          <w:lang w:eastAsia="sl-SI"/>
        </w:rPr>
        <w:t>namerava</w:t>
      </w:r>
      <w:r w:rsidRPr="00223E80">
        <w:rPr>
          <w:rFonts w:eastAsia="Times New Roman" w:cs="Arial"/>
          <w:lang w:eastAsia="sl-SI"/>
        </w:rPr>
        <w:t xml:space="preserve"> nameniti </w:t>
      </w:r>
      <w:r w:rsidR="001B4E70" w:rsidRPr="00223E80">
        <w:rPr>
          <w:rFonts w:eastAsia="Times New Roman" w:cs="Arial"/>
          <w:lang w:eastAsia="sl-SI"/>
        </w:rPr>
        <w:t xml:space="preserve">skupaj </w:t>
      </w:r>
      <w:r w:rsidRPr="00223E80">
        <w:rPr>
          <w:rFonts w:eastAsia="Times New Roman" w:cs="Arial"/>
          <w:lang w:eastAsia="sl-SI"/>
        </w:rPr>
        <w:t xml:space="preserve">20 mio EUR, ločeno </w:t>
      </w:r>
      <w:r w:rsidR="001B4E70" w:rsidRPr="00223E80">
        <w:rPr>
          <w:rFonts w:eastAsia="Times New Roman" w:cs="Arial"/>
          <w:lang w:eastAsia="sl-SI"/>
        </w:rPr>
        <w:t xml:space="preserve">torej </w:t>
      </w:r>
      <w:r w:rsidRPr="00223E80">
        <w:rPr>
          <w:rFonts w:eastAsia="Times New Roman" w:cs="Arial"/>
          <w:lang w:eastAsia="sl-SI"/>
        </w:rPr>
        <w:t>po 10 mio EUR</w:t>
      </w:r>
      <w:r w:rsidR="001B4E70" w:rsidRPr="00223E80">
        <w:rPr>
          <w:rFonts w:eastAsia="Times New Roman" w:cs="Arial"/>
          <w:lang w:eastAsia="sl-SI"/>
        </w:rPr>
        <w:t xml:space="preserve"> po pozivu</w:t>
      </w:r>
      <w:r w:rsidRPr="00223E80">
        <w:rPr>
          <w:rFonts w:eastAsia="Times New Roman" w:cs="Arial"/>
          <w:lang w:eastAsia="sl-SI"/>
        </w:rPr>
        <w:t xml:space="preserve">, pri čemer se načrtovan obseg sredstev namenja za </w:t>
      </w:r>
      <w:r w:rsidR="002B3C93" w:rsidRPr="00223E80">
        <w:rPr>
          <w:rFonts w:eastAsia="Times New Roman" w:cs="Arial"/>
          <w:lang w:eastAsia="sl-SI"/>
        </w:rPr>
        <w:t xml:space="preserve">že </w:t>
      </w:r>
      <w:r w:rsidRPr="00223E80">
        <w:rPr>
          <w:rFonts w:eastAsia="Times New Roman" w:cs="Arial"/>
          <w:lang w:eastAsia="sl-SI"/>
        </w:rPr>
        <w:t>utečen ukrep zagotavljanja podpor</w:t>
      </w:r>
      <w:r w:rsidR="00542E74" w:rsidRPr="00223E80">
        <w:rPr>
          <w:rFonts w:eastAsia="Times New Roman" w:cs="Arial"/>
          <w:lang w:eastAsia="sl-SI"/>
        </w:rPr>
        <w:t>e</w:t>
      </w:r>
      <w:r w:rsidRPr="00223E80">
        <w:rPr>
          <w:rFonts w:eastAsia="Times New Roman" w:cs="Arial"/>
          <w:lang w:eastAsia="sl-SI"/>
        </w:rPr>
        <w:t xml:space="preserve"> napravam OVE in SPTE</w:t>
      </w:r>
      <w:r w:rsidR="000052C8" w:rsidRPr="00223E80">
        <w:rPr>
          <w:rFonts w:eastAsia="Times New Roman" w:cs="Arial"/>
          <w:lang w:eastAsia="sl-SI"/>
        </w:rPr>
        <w:t>, ki ostaja v veljavi do 31.</w:t>
      </w:r>
      <w:r w:rsidR="00542E74" w:rsidRPr="00223E80">
        <w:rPr>
          <w:rFonts w:eastAsia="Times New Roman" w:cs="Arial"/>
          <w:lang w:eastAsia="sl-SI"/>
        </w:rPr>
        <w:t xml:space="preserve"> </w:t>
      </w:r>
      <w:r w:rsidR="000052C8" w:rsidRPr="00223E80">
        <w:rPr>
          <w:rFonts w:eastAsia="Times New Roman" w:cs="Arial"/>
          <w:lang w:eastAsia="sl-SI"/>
        </w:rPr>
        <w:t>12.</w:t>
      </w:r>
      <w:r w:rsidR="00542E74" w:rsidRPr="00223E80">
        <w:rPr>
          <w:rFonts w:eastAsia="Times New Roman" w:cs="Arial"/>
          <w:lang w:eastAsia="sl-SI"/>
        </w:rPr>
        <w:t xml:space="preserve"> </w:t>
      </w:r>
      <w:r w:rsidR="000052C8" w:rsidRPr="00223E80">
        <w:rPr>
          <w:rFonts w:eastAsia="Times New Roman" w:cs="Arial"/>
          <w:lang w:eastAsia="sl-SI"/>
        </w:rPr>
        <w:t>2025</w:t>
      </w:r>
      <w:r w:rsidRPr="00223E80">
        <w:rPr>
          <w:rFonts w:eastAsia="Times New Roman" w:cs="Arial"/>
          <w:lang w:eastAsia="sl-SI"/>
        </w:rPr>
        <w:t>.</w:t>
      </w:r>
    </w:p>
    <w:p w14:paraId="6DC00EA8" w14:textId="77777777" w:rsidR="00F73211" w:rsidRPr="00223E80" w:rsidRDefault="00F73211" w:rsidP="00CE1DF2">
      <w:pPr>
        <w:snapToGrid w:val="0"/>
        <w:spacing w:after="0"/>
        <w:rPr>
          <w:rFonts w:eastAsia="Times New Roman" w:cs="Arial"/>
          <w:lang w:eastAsia="sl-SI"/>
        </w:rPr>
      </w:pPr>
    </w:p>
    <w:p w14:paraId="7BFF3392" w14:textId="77777777" w:rsidR="00534E61" w:rsidRPr="00223E80" w:rsidRDefault="00534E61" w:rsidP="007D3D9D">
      <w:pPr>
        <w:snapToGrid w:val="0"/>
        <w:spacing w:after="0"/>
        <w:rPr>
          <w:rFonts w:eastAsia="Times New Roman" w:cs="Arial"/>
          <w:lang w:eastAsia="sl-SI"/>
        </w:rPr>
      </w:pPr>
    </w:p>
    <w:p w14:paraId="086A61A7" w14:textId="529034D3" w:rsidR="00611D46" w:rsidRPr="00223E80" w:rsidRDefault="00611D46" w:rsidP="007D3D9D">
      <w:pPr>
        <w:snapToGrid w:val="0"/>
        <w:spacing w:after="0"/>
        <w:rPr>
          <w:rFonts w:eastAsia="Times New Roman" w:cs="Arial"/>
          <w:lang w:eastAsia="sl-SI"/>
        </w:rPr>
      </w:pPr>
      <w:r w:rsidRPr="00223E80">
        <w:rPr>
          <w:rFonts w:eastAsia="Times New Roman" w:cs="Arial"/>
          <w:lang w:eastAsia="sl-SI"/>
        </w:rPr>
        <w:t>Skladno z 4. odstavkom 16.</w:t>
      </w:r>
      <w:r w:rsidR="00B236FE" w:rsidRPr="00223E80">
        <w:rPr>
          <w:rFonts w:eastAsia="Times New Roman" w:cs="Arial"/>
          <w:lang w:eastAsia="sl-SI"/>
        </w:rPr>
        <w:t xml:space="preserve"> </w:t>
      </w:r>
      <w:r w:rsidRPr="00223E80">
        <w:rPr>
          <w:rFonts w:eastAsia="Times New Roman" w:cs="Arial"/>
          <w:lang w:eastAsia="sl-SI"/>
        </w:rPr>
        <w:t>člena ZSROVE se bodo sredstva za podpor</w:t>
      </w:r>
      <w:r w:rsidR="00542E74" w:rsidRPr="00223E80">
        <w:rPr>
          <w:rFonts w:eastAsia="Times New Roman" w:cs="Arial"/>
          <w:lang w:eastAsia="sl-SI"/>
        </w:rPr>
        <w:t>e</w:t>
      </w:r>
      <w:r w:rsidRPr="00223E80">
        <w:rPr>
          <w:rFonts w:eastAsia="Times New Roman" w:cs="Arial"/>
          <w:lang w:eastAsia="sl-SI"/>
        </w:rPr>
        <w:t xml:space="preserve"> porabila za predvidene namene, predstavljene v spodnji tabeli.</w:t>
      </w:r>
    </w:p>
    <w:p w14:paraId="7430EFA6" w14:textId="77777777" w:rsidR="00611D46" w:rsidRPr="00223E80" w:rsidRDefault="00611D46" w:rsidP="007D3D9D">
      <w:pPr>
        <w:snapToGrid w:val="0"/>
        <w:spacing w:after="0"/>
        <w:rPr>
          <w:rFonts w:eastAsia="Times New Roman" w:cs="Arial"/>
          <w:lang w:eastAsia="sl-SI"/>
        </w:rPr>
      </w:pPr>
    </w:p>
    <w:p w14:paraId="1466A50D" w14:textId="77777777" w:rsidR="00196EA8" w:rsidRPr="00223E80" w:rsidRDefault="00196EA8" w:rsidP="00196EA8">
      <w:pPr>
        <w:pStyle w:val="Napis"/>
        <w:rPr>
          <w:b w:val="0"/>
          <w:i/>
          <w:sz w:val="22"/>
          <w:szCs w:val="22"/>
        </w:rPr>
      </w:pPr>
      <w:bookmarkStart w:id="46" w:name="_Toc114043614"/>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7</w:t>
      </w:r>
      <w:r w:rsidRPr="00223E80">
        <w:rPr>
          <w:b w:val="0"/>
          <w:i/>
          <w:sz w:val="22"/>
          <w:szCs w:val="22"/>
        </w:rPr>
        <w:fldChar w:fldCharType="end"/>
      </w:r>
      <w:r w:rsidR="00F81398" w:rsidRPr="00223E80">
        <w:rPr>
          <w:b w:val="0"/>
          <w:i/>
          <w:sz w:val="22"/>
          <w:szCs w:val="22"/>
        </w:rPr>
        <w:t>:</w:t>
      </w:r>
      <w:r w:rsidRPr="00223E80">
        <w:rPr>
          <w:b w:val="0"/>
          <w:i/>
          <w:sz w:val="22"/>
          <w:szCs w:val="22"/>
        </w:rPr>
        <w:t xml:space="preserve"> Obseg sredstev in predvidena poraba zbranih virov sredstev za podpore v letih </w:t>
      </w:r>
      <w:r w:rsidR="00043C36" w:rsidRPr="00223E80">
        <w:rPr>
          <w:b w:val="0"/>
          <w:i/>
          <w:sz w:val="22"/>
          <w:szCs w:val="22"/>
        </w:rPr>
        <w:t xml:space="preserve">od </w:t>
      </w:r>
      <w:r w:rsidRPr="00223E80">
        <w:rPr>
          <w:b w:val="0"/>
          <w:i/>
          <w:sz w:val="22"/>
          <w:szCs w:val="22"/>
        </w:rPr>
        <w:t>2022 do 2026</w:t>
      </w:r>
      <w:bookmarkEnd w:id="4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223"/>
        <w:gridCol w:w="1223"/>
        <w:gridCol w:w="1223"/>
        <w:gridCol w:w="1223"/>
        <w:gridCol w:w="1223"/>
      </w:tblGrid>
      <w:tr w:rsidR="00611D46" w:rsidRPr="00223E80" w14:paraId="688B3AA7" w14:textId="77777777" w:rsidTr="000C5817">
        <w:tc>
          <w:tcPr>
            <w:tcW w:w="3544" w:type="dxa"/>
            <w:shd w:val="clear" w:color="auto" w:fill="auto"/>
          </w:tcPr>
          <w:p w14:paraId="40D68D02" w14:textId="77777777" w:rsidR="00611D46" w:rsidRPr="00223E80" w:rsidRDefault="00611D46" w:rsidP="000C5817">
            <w:pPr>
              <w:spacing w:after="0"/>
              <w:ind w:right="565"/>
              <w:jc w:val="center"/>
              <w:rPr>
                <w:rFonts w:eastAsia="Arial" w:cs="Arial"/>
                <w:b/>
              </w:rPr>
            </w:pPr>
            <w:r w:rsidRPr="00223E80">
              <w:rPr>
                <w:rFonts w:eastAsia="Arial" w:cs="Arial"/>
                <w:b/>
              </w:rPr>
              <w:t>Leto</w:t>
            </w:r>
          </w:p>
        </w:tc>
        <w:tc>
          <w:tcPr>
            <w:tcW w:w="1107" w:type="dxa"/>
          </w:tcPr>
          <w:p w14:paraId="01EC62CB" w14:textId="77777777" w:rsidR="00611D46" w:rsidRPr="00223E80" w:rsidRDefault="00611D46" w:rsidP="000C5817">
            <w:pPr>
              <w:spacing w:after="0"/>
              <w:ind w:right="334"/>
              <w:jc w:val="center"/>
              <w:rPr>
                <w:rFonts w:eastAsia="Arial" w:cs="Arial"/>
                <w:b/>
              </w:rPr>
            </w:pPr>
            <w:r w:rsidRPr="00223E80">
              <w:rPr>
                <w:rFonts w:eastAsia="Arial" w:cs="Arial"/>
                <w:b/>
              </w:rPr>
              <w:t>2022</w:t>
            </w:r>
          </w:p>
        </w:tc>
        <w:tc>
          <w:tcPr>
            <w:tcW w:w="1110" w:type="dxa"/>
          </w:tcPr>
          <w:p w14:paraId="6496A9C9" w14:textId="77777777" w:rsidR="00611D46" w:rsidRPr="00223E80" w:rsidRDefault="00611D46" w:rsidP="000C5817">
            <w:pPr>
              <w:spacing w:after="0"/>
              <w:ind w:right="334"/>
              <w:jc w:val="center"/>
              <w:rPr>
                <w:rFonts w:eastAsia="Arial" w:cs="Arial"/>
                <w:b/>
              </w:rPr>
            </w:pPr>
            <w:r w:rsidRPr="00223E80">
              <w:rPr>
                <w:rFonts w:eastAsia="Arial" w:cs="Arial"/>
                <w:b/>
              </w:rPr>
              <w:t>2023</w:t>
            </w:r>
          </w:p>
        </w:tc>
        <w:tc>
          <w:tcPr>
            <w:tcW w:w="1109" w:type="dxa"/>
          </w:tcPr>
          <w:p w14:paraId="02FC6C07" w14:textId="77777777" w:rsidR="00611D46" w:rsidRPr="00223E80" w:rsidRDefault="00611D46" w:rsidP="000C5817">
            <w:pPr>
              <w:spacing w:after="0"/>
              <w:ind w:right="334"/>
              <w:jc w:val="center"/>
              <w:rPr>
                <w:rFonts w:eastAsia="Arial" w:cs="Arial"/>
                <w:b/>
              </w:rPr>
            </w:pPr>
            <w:r w:rsidRPr="00223E80">
              <w:rPr>
                <w:rFonts w:eastAsia="Arial" w:cs="Arial"/>
                <w:b/>
              </w:rPr>
              <w:t>2024</w:t>
            </w:r>
          </w:p>
        </w:tc>
        <w:tc>
          <w:tcPr>
            <w:tcW w:w="1101" w:type="dxa"/>
          </w:tcPr>
          <w:p w14:paraId="28C8F128" w14:textId="77777777" w:rsidR="00611D46" w:rsidRPr="00223E80" w:rsidRDefault="00611D46" w:rsidP="000C5817">
            <w:pPr>
              <w:spacing w:after="0"/>
              <w:ind w:right="334"/>
              <w:jc w:val="center"/>
              <w:rPr>
                <w:rFonts w:eastAsia="Arial" w:cs="Arial"/>
                <w:b/>
              </w:rPr>
            </w:pPr>
            <w:r w:rsidRPr="00223E80">
              <w:rPr>
                <w:rFonts w:eastAsia="Arial" w:cs="Arial"/>
                <w:b/>
              </w:rPr>
              <w:t>2025</w:t>
            </w:r>
          </w:p>
        </w:tc>
        <w:tc>
          <w:tcPr>
            <w:tcW w:w="1101" w:type="dxa"/>
          </w:tcPr>
          <w:p w14:paraId="3FD8503E" w14:textId="77777777" w:rsidR="00611D46" w:rsidRPr="00223E80" w:rsidRDefault="00611D46" w:rsidP="000C5817">
            <w:pPr>
              <w:spacing w:after="0"/>
              <w:ind w:right="334"/>
              <w:jc w:val="center"/>
              <w:rPr>
                <w:rFonts w:eastAsia="Arial" w:cs="Arial"/>
                <w:b/>
              </w:rPr>
            </w:pPr>
            <w:r w:rsidRPr="00223E80">
              <w:rPr>
                <w:rFonts w:eastAsia="Arial" w:cs="Arial"/>
                <w:b/>
              </w:rPr>
              <w:t>2026</w:t>
            </w:r>
          </w:p>
        </w:tc>
      </w:tr>
      <w:tr w:rsidR="00611D46" w:rsidRPr="00223E80" w14:paraId="1728E994" w14:textId="77777777" w:rsidTr="000C5817">
        <w:tc>
          <w:tcPr>
            <w:tcW w:w="3544" w:type="dxa"/>
            <w:shd w:val="clear" w:color="auto" w:fill="auto"/>
          </w:tcPr>
          <w:p w14:paraId="40561A98" w14:textId="77777777" w:rsidR="00611D46" w:rsidRPr="00223E80" w:rsidRDefault="00611D46" w:rsidP="000C5817">
            <w:pPr>
              <w:spacing w:after="0"/>
              <w:ind w:right="33"/>
              <w:jc w:val="center"/>
              <w:rPr>
                <w:rFonts w:eastAsia="Arial" w:cs="Arial"/>
              </w:rPr>
            </w:pPr>
            <w:r w:rsidRPr="00223E80">
              <w:rPr>
                <w:rFonts w:eastAsia="Arial" w:cs="Arial"/>
              </w:rPr>
              <w:t>Delovanje Centra za podpore</w:t>
            </w:r>
          </w:p>
        </w:tc>
        <w:tc>
          <w:tcPr>
            <w:tcW w:w="1107" w:type="dxa"/>
          </w:tcPr>
          <w:p w14:paraId="424711B6" w14:textId="77777777" w:rsidR="00611D46" w:rsidRPr="00223E80" w:rsidRDefault="00611D46" w:rsidP="000C5817">
            <w:pPr>
              <w:spacing w:after="0"/>
              <w:ind w:right="334"/>
              <w:jc w:val="center"/>
              <w:rPr>
                <w:rFonts w:eastAsia="Arial" w:cs="Arial"/>
              </w:rPr>
            </w:pPr>
            <w:r w:rsidRPr="00223E80">
              <w:rPr>
                <w:rFonts w:eastAsia="Arial" w:cs="Arial"/>
              </w:rPr>
              <w:t>0,85</w:t>
            </w:r>
          </w:p>
        </w:tc>
        <w:tc>
          <w:tcPr>
            <w:tcW w:w="1110" w:type="dxa"/>
          </w:tcPr>
          <w:p w14:paraId="3B7F3A73" w14:textId="77777777" w:rsidR="00611D46" w:rsidRPr="00223E80" w:rsidRDefault="00611D46" w:rsidP="000C5817">
            <w:pPr>
              <w:tabs>
                <w:tab w:val="center" w:pos="467"/>
                <w:tab w:val="right" w:pos="934"/>
              </w:tabs>
              <w:spacing w:after="0"/>
              <w:ind w:right="334"/>
              <w:jc w:val="center"/>
              <w:rPr>
                <w:rFonts w:eastAsia="Arial" w:cs="Arial"/>
              </w:rPr>
            </w:pPr>
            <w:r w:rsidRPr="00223E80">
              <w:rPr>
                <w:rFonts w:eastAsia="Arial" w:cs="Arial"/>
              </w:rPr>
              <w:t>0,85</w:t>
            </w:r>
          </w:p>
        </w:tc>
        <w:tc>
          <w:tcPr>
            <w:tcW w:w="1109" w:type="dxa"/>
          </w:tcPr>
          <w:p w14:paraId="1AF2249F" w14:textId="77777777" w:rsidR="00611D46" w:rsidRPr="00223E80" w:rsidRDefault="00611D46" w:rsidP="000C5817">
            <w:pPr>
              <w:spacing w:after="0"/>
              <w:ind w:right="334"/>
              <w:jc w:val="center"/>
              <w:rPr>
                <w:rFonts w:eastAsia="Arial" w:cs="Arial"/>
              </w:rPr>
            </w:pPr>
            <w:r w:rsidRPr="00223E80">
              <w:rPr>
                <w:rFonts w:eastAsia="Arial" w:cs="Arial"/>
              </w:rPr>
              <w:t>0,85</w:t>
            </w:r>
          </w:p>
        </w:tc>
        <w:tc>
          <w:tcPr>
            <w:tcW w:w="1101" w:type="dxa"/>
          </w:tcPr>
          <w:p w14:paraId="5673AF3E" w14:textId="77777777" w:rsidR="00611D46" w:rsidRPr="00223E80" w:rsidRDefault="00611D46" w:rsidP="000C5817">
            <w:pPr>
              <w:spacing w:after="0"/>
              <w:ind w:right="334"/>
              <w:jc w:val="center"/>
              <w:rPr>
                <w:rFonts w:eastAsia="Arial" w:cs="Arial"/>
              </w:rPr>
            </w:pPr>
            <w:r w:rsidRPr="00223E80">
              <w:rPr>
                <w:rFonts w:eastAsia="Arial" w:cs="Arial"/>
              </w:rPr>
              <w:t>0,85</w:t>
            </w:r>
          </w:p>
        </w:tc>
        <w:tc>
          <w:tcPr>
            <w:tcW w:w="1101" w:type="dxa"/>
          </w:tcPr>
          <w:p w14:paraId="2F16C24E" w14:textId="77777777" w:rsidR="00611D46" w:rsidRPr="00223E80" w:rsidRDefault="00611D46" w:rsidP="000C5817">
            <w:pPr>
              <w:spacing w:after="0"/>
              <w:ind w:right="334"/>
              <w:jc w:val="center"/>
              <w:rPr>
                <w:rFonts w:eastAsia="Arial" w:cs="Arial"/>
              </w:rPr>
            </w:pPr>
            <w:r w:rsidRPr="00223E80">
              <w:rPr>
                <w:rFonts w:eastAsia="Arial" w:cs="Arial"/>
              </w:rPr>
              <w:t>0,85</w:t>
            </w:r>
          </w:p>
        </w:tc>
      </w:tr>
      <w:tr w:rsidR="00611D46" w:rsidRPr="00223E80" w14:paraId="382EB27F" w14:textId="77777777" w:rsidTr="000C5817">
        <w:tc>
          <w:tcPr>
            <w:tcW w:w="3544" w:type="dxa"/>
            <w:shd w:val="clear" w:color="auto" w:fill="auto"/>
          </w:tcPr>
          <w:p w14:paraId="179591EF" w14:textId="77777777" w:rsidR="00611D46" w:rsidRPr="00223E80" w:rsidRDefault="00611D46" w:rsidP="000C5817">
            <w:pPr>
              <w:spacing w:after="0"/>
              <w:ind w:right="33"/>
              <w:jc w:val="center"/>
              <w:rPr>
                <w:rFonts w:eastAsia="Arial" w:cs="Arial"/>
              </w:rPr>
            </w:pPr>
            <w:r w:rsidRPr="00223E80">
              <w:rPr>
                <w:rFonts w:eastAsia="Arial" w:cs="Arial"/>
              </w:rPr>
              <w:t>Potrebna sredstva za zagotavljanje podpor za izplačila po veljavni podporni shemi</w:t>
            </w:r>
          </w:p>
          <w:p w14:paraId="600C3605" w14:textId="77777777" w:rsidR="00611D46" w:rsidRPr="00223E80" w:rsidRDefault="00611D46" w:rsidP="000C5817">
            <w:pPr>
              <w:tabs>
                <w:tab w:val="left" w:pos="4111"/>
              </w:tabs>
              <w:spacing w:after="0"/>
              <w:ind w:right="33"/>
              <w:jc w:val="center"/>
              <w:rPr>
                <w:rFonts w:eastAsia="Arial" w:cs="Arial"/>
              </w:rPr>
            </w:pPr>
            <w:r w:rsidRPr="00223E80">
              <w:rPr>
                <w:rFonts w:eastAsia="Arial" w:cs="Arial"/>
              </w:rPr>
              <w:t>(mio €)</w:t>
            </w:r>
          </w:p>
        </w:tc>
        <w:tc>
          <w:tcPr>
            <w:tcW w:w="1107" w:type="dxa"/>
          </w:tcPr>
          <w:p w14:paraId="4F81407F" w14:textId="77777777" w:rsidR="00611D46" w:rsidRPr="00223E80" w:rsidRDefault="00611D46" w:rsidP="00B236FE">
            <w:pPr>
              <w:spacing w:after="0"/>
              <w:ind w:right="334"/>
              <w:jc w:val="center"/>
              <w:rPr>
                <w:rFonts w:eastAsia="Arial" w:cs="Arial"/>
              </w:rPr>
            </w:pPr>
            <w:r w:rsidRPr="00223E80">
              <w:rPr>
                <w:rFonts w:eastAsia="Arial" w:cs="Arial"/>
              </w:rPr>
              <w:t>110</w:t>
            </w:r>
          </w:p>
        </w:tc>
        <w:tc>
          <w:tcPr>
            <w:tcW w:w="1110" w:type="dxa"/>
          </w:tcPr>
          <w:p w14:paraId="2C942A72" w14:textId="77777777" w:rsidR="00611D46" w:rsidRPr="00223E80" w:rsidRDefault="00611D46" w:rsidP="00B236FE">
            <w:pPr>
              <w:tabs>
                <w:tab w:val="center" w:pos="467"/>
                <w:tab w:val="right" w:pos="934"/>
              </w:tabs>
              <w:spacing w:after="0"/>
              <w:ind w:right="334"/>
              <w:jc w:val="center"/>
              <w:rPr>
                <w:rFonts w:eastAsia="Arial" w:cs="Arial"/>
              </w:rPr>
            </w:pPr>
            <w:r w:rsidRPr="00223E80">
              <w:rPr>
                <w:rFonts w:eastAsia="Arial" w:cs="Arial"/>
              </w:rPr>
              <w:t>120</w:t>
            </w:r>
          </w:p>
        </w:tc>
        <w:tc>
          <w:tcPr>
            <w:tcW w:w="1109" w:type="dxa"/>
          </w:tcPr>
          <w:p w14:paraId="4B2D16E1" w14:textId="77777777" w:rsidR="00611D46" w:rsidRPr="00223E80" w:rsidRDefault="00611D46" w:rsidP="000C5817">
            <w:pPr>
              <w:spacing w:after="0"/>
              <w:ind w:right="334"/>
              <w:jc w:val="center"/>
              <w:rPr>
                <w:rFonts w:eastAsia="Arial" w:cs="Arial"/>
              </w:rPr>
            </w:pPr>
            <w:r w:rsidRPr="00223E80">
              <w:rPr>
                <w:rFonts w:eastAsia="Arial" w:cs="Arial"/>
              </w:rPr>
              <w:t>120</w:t>
            </w:r>
          </w:p>
        </w:tc>
        <w:tc>
          <w:tcPr>
            <w:tcW w:w="1101" w:type="dxa"/>
          </w:tcPr>
          <w:p w14:paraId="1BD389CF" w14:textId="77777777" w:rsidR="00611D46" w:rsidRPr="00223E80" w:rsidRDefault="00611D46" w:rsidP="000C5817">
            <w:pPr>
              <w:spacing w:after="0"/>
              <w:ind w:right="334"/>
              <w:jc w:val="center"/>
              <w:rPr>
                <w:rFonts w:eastAsia="Arial" w:cs="Arial"/>
              </w:rPr>
            </w:pPr>
            <w:r w:rsidRPr="00223E80">
              <w:rPr>
                <w:rFonts w:eastAsia="Arial" w:cs="Arial"/>
              </w:rPr>
              <w:t>128</w:t>
            </w:r>
          </w:p>
        </w:tc>
        <w:tc>
          <w:tcPr>
            <w:tcW w:w="1101" w:type="dxa"/>
          </w:tcPr>
          <w:p w14:paraId="1D5A9C66" w14:textId="77777777" w:rsidR="00611D46" w:rsidRPr="00223E80" w:rsidRDefault="00611D46" w:rsidP="000C5817">
            <w:pPr>
              <w:spacing w:after="0"/>
              <w:ind w:right="334"/>
              <w:jc w:val="center"/>
              <w:rPr>
                <w:rFonts w:eastAsia="Arial" w:cs="Arial"/>
              </w:rPr>
            </w:pPr>
            <w:r w:rsidRPr="00223E80">
              <w:rPr>
                <w:rFonts w:eastAsia="Arial" w:cs="Arial"/>
              </w:rPr>
              <w:t>128</w:t>
            </w:r>
          </w:p>
        </w:tc>
      </w:tr>
      <w:tr w:rsidR="00611D46" w:rsidRPr="00223E80" w14:paraId="742C7E12" w14:textId="77777777" w:rsidTr="000C5817">
        <w:tc>
          <w:tcPr>
            <w:tcW w:w="3544" w:type="dxa"/>
            <w:shd w:val="clear" w:color="auto" w:fill="auto"/>
          </w:tcPr>
          <w:p w14:paraId="728289E0" w14:textId="18DE42C3" w:rsidR="00611D46" w:rsidRPr="00223E80" w:rsidRDefault="00611D46" w:rsidP="000C5817">
            <w:pPr>
              <w:spacing w:after="0"/>
              <w:ind w:right="33"/>
              <w:jc w:val="center"/>
              <w:rPr>
                <w:rFonts w:eastAsia="Arial" w:cs="Arial"/>
              </w:rPr>
            </w:pPr>
            <w:r w:rsidRPr="00223E80">
              <w:rPr>
                <w:rFonts w:eastAsia="Arial" w:cs="Arial"/>
              </w:rPr>
              <w:t xml:space="preserve">Neposredna podpora do 500 kW skladno </w:t>
            </w:r>
            <w:r w:rsidR="007C2BBE" w:rsidRPr="00223E80">
              <w:rPr>
                <w:rFonts w:eastAsia="Arial" w:cs="Arial"/>
              </w:rPr>
              <w:t>s</w:t>
            </w:r>
            <w:r w:rsidRPr="00223E80">
              <w:rPr>
                <w:rFonts w:eastAsia="Arial" w:cs="Arial"/>
              </w:rPr>
              <w:t xml:space="preserve"> 15. členom ZSROVE</w:t>
            </w:r>
          </w:p>
        </w:tc>
        <w:tc>
          <w:tcPr>
            <w:tcW w:w="1107" w:type="dxa"/>
          </w:tcPr>
          <w:p w14:paraId="14F04B1E"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10" w:type="dxa"/>
          </w:tcPr>
          <w:p w14:paraId="617E715F" w14:textId="77777777" w:rsidR="00611D46" w:rsidRPr="00223E80" w:rsidRDefault="00611D46" w:rsidP="000C5817">
            <w:pPr>
              <w:spacing w:after="0"/>
              <w:ind w:right="334"/>
              <w:jc w:val="center"/>
              <w:rPr>
                <w:rFonts w:eastAsia="Arial" w:cs="Arial"/>
              </w:rPr>
            </w:pPr>
            <w:r w:rsidRPr="00223E80">
              <w:rPr>
                <w:rFonts w:eastAsia="Arial" w:cs="Arial"/>
              </w:rPr>
              <w:t>10</w:t>
            </w:r>
          </w:p>
        </w:tc>
        <w:tc>
          <w:tcPr>
            <w:tcW w:w="1109" w:type="dxa"/>
          </w:tcPr>
          <w:p w14:paraId="4AD0418C" w14:textId="77777777" w:rsidR="00611D46" w:rsidRPr="00223E80" w:rsidRDefault="00611D46" w:rsidP="000C5817">
            <w:pPr>
              <w:spacing w:after="0"/>
              <w:ind w:right="334"/>
              <w:jc w:val="center"/>
              <w:rPr>
                <w:rFonts w:eastAsia="Arial" w:cs="Arial"/>
              </w:rPr>
            </w:pPr>
            <w:r w:rsidRPr="00223E80">
              <w:rPr>
                <w:rFonts w:eastAsia="Arial" w:cs="Arial"/>
              </w:rPr>
              <w:t>20</w:t>
            </w:r>
          </w:p>
        </w:tc>
        <w:tc>
          <w:tcPr>
            <w:tcW w:w="1101" w:type="dxa"/>
          </w:tcPr>
          <w:p w14:paraId="326F7140" w14:textId="77777777" w:rsidR="00611D46" w:rsidRPr="00223E80" w:rsidRDefault="00611D46" w:rsidP="000C5817">
            <w:pPr>
              <w:spacing w:after="0"/>
              <w:ind w:right="334"/>
              <w:jc w:val="center"/>
              <w:rPr>
                <w:rFonts w:eastAsia="Arial" w:cs="Arial"/>
              </w:rPr>
            </w:pPr>
            <w:r w:rsidRPr="00223E80">
              <w:rPr>
                <w:rFonts w:eastAsia="Arial" w:cs="Arial"/>
              </w:rPr>
              <w:t>30</w:t>
            </w:r>
          </w:p>
        </w:tc>
        <w:tc>
          <w:tcPr>
            <w:tcW w:w="1101" w:type="dxa"/>
          </w:tcPr>
          <w:p w14:paraId="78587279" w14:textId="77777777" w:rsidR="00611D46" w:rsidRPr="00223E80" w:rsidRDefault="00611D46" w:rsidP="000C5817">
            <w:pPr>
              <w:spacing w:after="0"/>
              <w:ind w:right="334"/>
              <w:jc w:val="center"/>
              <w:rPr>
                <w:rFonts w:eastAsia="Arial" w:cs="Arial"/>
              </w:rPr>
            </w:pPr>
            <w:r w:rsidRPr="00223E80">
              <w:rPr>
                <w:rFonts w:eastAsia="Arial" w:cs="Arial"/>
              </w:rPr>
              <w:t>30</w:t>
            </w:r>
          </w:p>
        </w:tc>
      </w:tr>
      <w:tr w:rsidR="00611D46" w:rsidRPr="00223E80" w14:paraId="6A505949" w14:textId="77777777" w:rsidTr="000C5817">
        <w:tc>
          <w:tcPr>
            <w:tcW w:w="3544" w:type="dxa"/>
            <w:shd w:val="clear" w:color="auto" w:fill="auto"/>
          </w:tcPr>
          <w:p w14:paraId="69ED6AF4" w14:textId="21B403D7" w:rsidR="00611D46" w:rsidRPr="00223E80" w:rsidRDefault="00611D46" w:rsidP="000C5817">
            <w:pPr>
              <w:spacing w:after="0"/>
              <w:ind w:right="33"/>
              <w:jc w:val="center"/>
              <w:rPr>
                <w:rFonts w:eastAsia="Arial" w:cs="Arial"/>
              </w:rPr>
            </w:pPr>
            <w:r w:rsidRPr="00223E80">
              <w:rPr>
                <w:rFonts w:eastAsia="Arial" w:cs="Arial"/>
              </w:rPr>
              <w:t xml:space="preserve">Naložbena pomoč za naprave za samooskrbo skladno </w:t>
            </w:r>
            <w:r w:rsidR="008C26EE" w:rsidRPr="00223E80">
              <w:rPr>
                <w:rFonts w:eastAsia="Arial" w:cs="Arial"/>
              </w:rPr>
              <w:t>s</w:t>
            </w:r>
            <w:r w:rsidRPr="00223E80">
              <w:rPr>
                <w:rFonts w:eastAsia="Arial" w:cs="Arial"/>
              </w:rPr>
              <w:t xml:space="preserve"> 37.členom ZSROVE</w:t>
            </w:r>
          </w:p>
        </w:tc>
        <w:tc>
          <w:tcPr>
            <w:tcW w:w="1107" w:type="dxa"/>
          </w:tcPr>
          <w:p w14:paraId="542CFA91"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10" w:type="dxa"/>
          </w:tcPr>
          <w:p w14:paraId="5C95640A" w14:textId="77777777" w:rsidR="00611D46" w:rsidRPr="00223E80" w:rsidRDefault="00611D46" w:rsidP="000C5817">
            <w:pPr>
              <w:spacing w:after="0"/>
              <w:rPr>
                <w:rFonts w:eastAsia="Arial" w:cs="Arial"/>
              </w:rPr>
            </w:pPr>
            <w:r w:rsidRPr="00223E80">
              <w:rPr>
                <w:rFonts w:eastAsia="Arial" w:cs="Arial"/>
              </w:rPr>
              <w:t xml:space="preserve">   15</w:t>
            </w:r>
          </w:p>
        </w:tc>
        <w:tc>
          <w:tcPr>
            <w:tcW w:w="1109" w:type="dxa"/>
          </w:tcPr>
          <w:p w14:paraId="6A2BCBE4" w14:textId="77777777" w:rsidR="00611D46" w:rsidRPr="00223E80" w:rsidRDefault="00611D46" w:rsidP="000C5817">
            <w:pPr>
              <w:spacing w:after="0"/>
              <w:rPr>
                <w:rFonts w:eastAsia="Arial" w:cs="Arial"/>
              </w:rPr>
            </w:pPr>
            <w:r w:rsidRPr="00223E80">
              <w:rPr>
                <w:rFonts w:eastAsia="Arial" w:cs="Arial"/>
              </w:rPr>
              <w:t xml:space="preserve">    30</w:t>
            </w:r>
          </w:p>
        </w:tc>
        <w:tc>
          <w:tcPr>
            <w:tcW w:w="1101" w:type="dxa"/>
          </w:tcPr>
          <w:p w14:paraId="2D39D820" w14:textId="77777777" w:rsidR="00611D46" w:rsidRPr="00223E80" w:rsidRDefault="00611D46" w:rsidP="000C5817">
            <w:pPr>
              <w:spacing w:after="0"/>
              <w:rPr>
                <w:rFonts w:eastAsia="Arial" w:cs="Arial"/>
              </w:rPr>
            </w:pPr>
            <w:r w:rsidRPr="00223E80">
              <w:rPr>
                <w:rFonts w:eastAsia="Arial" w:cs="Arial"/>
              </w:rPr>
              <w:t xml:space="preserve">   30</w:t>
            </w:r>
          </w:p>
        </w:tc>
        <w:tc>
          <w:tcPr>
            <w:tcW w:w="1101" w:type="dxa"/>
          </w:tcPr>
          <w:p w14:paraId="1F25057D" w14:textId="77777777" w:rsidR="00611D46" w:rsidRPr="00223E80" w:rsidRDefault="00611D46" w:rsidP="000C5817">
            <w:pPr>
              <w:spacing w:after="0"/>
              <w:rPr>
                <w:rFonts w:eastAsia="Arial" w:cs="Arial"/>
              </w:rPr>
            </w:pPr>
            <w:r w:rsidRPr="00223E80">
              <w:rPr>
                <w:rFonts w:eastAsia="Arial" w:cs="Arial"/>
              </w:rPr>
              <w:t xml:space="preserve">   30</w:t>
            </w:r>
          </w:p>
        </w:tc>
      </w:tr>
      <w:tr w:rsidR="00611D46" w:rsidRPr="00223E80" w14:paraId="087E74F6" w14:textId="77777777" w:rsidTr="000C5817">
        <w:tc>
          <w:tcPr>
            <w:tcW w:w="3544" w:type="dxa"/>
            <w:shd w:val="clear" w:color="auto" w:fill="auto"/>
          </w:tcPr>
          <w:p w14:paraId="277E2D4C" w14:textId="77777777" w:rsidR="00611D46" w:rsidRPr="00223E80" w:rsidRDefault="00611D46" w:rsidP="000C5817">
            <w:pPr>
              <w:spacing w:after="0"/>
              <w:ind w:right="33"/>
              <w:jc w:val="center"/>
              <w:rPr>
                <w:rFonts w:eastAsia="Arial" w:cs="Arial"/>
              </w:rPr>
            </w:pPr>
            <w:r w:rsidRPr="00223E80">
              <w:rPr>
                <w:rFonts w:eastAsia="Times New Roman" w:cs="Arial"/>
                <w:lang w:eastAsia="sl-SI"/>
              </w:rPr>
              <w:t>Plačilo za ureditev izravnave razlik med napovedano in realizirano proizvodnjo električne energije</w:t>
            </w:r>
            <w:r w:rsidR="00077ECC" w:rsidRPr="00223E80">
              <w:rPr>
                <w:rFonts w:eastAsia="Times New Roman" w:cs="Arial"/>
                <w:lang w:eastAsia="sl-SI"/>
              </w:rPr>
              <w:t xml:space="preserve"> (za prodajo)</w:t>
            </w:r>
          </w:p>
        </w:tc>
        <w:tc>
          <w:tcPr>
            <w:tcW w:w="1107" w:type="dxa"/>
          </w:tcPr>
          <w:p w14:paraId="2E9C860A"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10" w:type="dxa"/>
          </w:tcPr>
          <w:p w14:paraId="45CF07C6" w14:textId="77777777" w:rsidR="00611D46" w:rsidRPr="00223E80" w:rsidRDefault="00611D46" w:rsidP="000C5817">
            <w:pPr>
              <w:tabs>
                <w:tab w:val="center" w:pos="467"/>
                <w:tab w:val="right" w:pos="934"/>
              </w:tabs>
              <w:spacing w:after="0"/>
              <w:ind w:right="334"/>
              <w:jc w:val="center"/>
              <w:rPr>
                <w:rFonts w:eastAsia="Arial" w:cs="Arial"/>
              </w:rPr>
            </w:pPr>
            <w:r w:rsidRPr="00223E80">
              <w:rPr>
                <w:rFonts w:eastAsia="Arial" w:cs="Arial"/>
              </w:rPr>
              <w:t>0</w:t>
            </w:r>
          </w:p>
        </w:tc>
        <w:tc>
          <w:tcPr>
            <w:tcW w:w="1109" w:type="dxa"/>
          </w:tcPr>
          <w:p w14:paraId="3269FE1D"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01" w:type="dxa"/>
          </w:tcPr>
          <w:p w14:paraId="27466771"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01" w:type="dxa"/>
          </w:tcPr>
          <w:p w14:paraId="52FB29C6" w14:textId="77777777" w:rsidR="00611D46" w:rsidRPr="00223E80" w:rsidRDefault="00611D46" w:rsidP="000C5817">
            <w:pPr>
              <w:spacing w:after="0"/>
              <w:ind w:right="334"/>
              <w:jc w:val="center"/>
              <w:rPr>
                <w:rFonts w:eastAsia="Arial" w:cs="Arial"/>
              </w:rPr>
            </w:pPr>
            <w:r w:rsidRPr="00223E80">
              <w:rPr>
                <w:rFonts w:eastAsia="Arial" w:cs="Arial"/>
              </w:rPr>
              <w:t>0</w:t>
            </w:r>
          </w:p>
        </w:tc>
      </w:tr>
      <w:tr w:rsidR="00611D46" w:rsidRPr="00223E80" w14:paraId="6902BFAD" w14:textId="77777777" w:rsidTr="000C5817">
        <w:tc>
          <w:tcPr>
            <w:tcW w:w="3544" w:type="dxa"/>
            <w:shd w:val="clear" w:color="auto" w:fill="auto"/>
          </w:tcPr>
          <w:p w14:paraId="7659C7A6" w14:textId="77777777" w:rsidR="00611D46" w:rsidRPr="00223E80" w:rsidRDefault="00611D46" w:rsidP="000C5817">
            <w:pPr>
              <w:spacing w:after="0"/>
              <w:ind w:right="33"/>
              <w:jc w:val="center"/>
              <w:rPr>
                <w:rFonts w:eastAsia="Arial" w:cs="Arial"/>
              </w:rPr>
            </w:pPr>
            <w:r w:rsidRPr="00223E80">
              <w:rPr>
                <w:rFonts w:eastAsia="Times New Roman" w:cs="Arial"/>
                <w:lang w:eastAsia="sl-SI"/>
              </w:rPr>
              <w:t>Plačila za statistične prenose v skladu s 30. členom ZSROVE</w:t>
            </w:r>
          </w:p>
        </w:tc>
        <w:tc>
          <w:tcPr>
            <w:tcW w:w="1107" w:type="dxa"/>
          </w:tcPr>
          <w:p w14:paraId="6D4D13AD" w14:textId="77777777" w:rsidR="00611D46" w:rsidRPr="00223E80" w:rsidRDefault="00B236FE" w:rsidP="000C5817">
            <w:pPr>
              <w:spacing w:after="0"/>
              <w:ind w:right="334"/>
              <w:jc w:val="center"/>
              <w:rPr>
                <w:rFonts w:eastAsia="Arial" w:cs="Arial"/>
              </w:rPr>
            </w:pPr>
            <w:r w:rsidRPr="00223E80">
              <w:rPr>
                <w:rFonts w:eastAsia="Arial" w:cs="Arial"/>
              </w:rPr>
              <w:t>15</w:t>
            </w:r>
          </w:p>
        </w:tc>
        <w:tc>
          <w:tcPr>
            <w:tcW w:w="1110" w:type="dxa"/>
          </w:tcPr>
          <w:p w14:paraId="40F8D519" w14:textId="77777777" w:rsidR="00611D46" w:rsidRPr="00223E80" w:rsidRDefault="00B236FE" w:rsidP="000C5817">
            <w:pPr>
              <w:spacing w:after="0"/>
              <w:ind w:right="334"/>
              <w:jc w:val="center"/>
              <w:rPr>
                <w:rFonts w:eastAsia="Arial" w:cs="Arial"/>
              </w:rPr>
            </w:pPr>
            <w:r w:rsidRPr="00223E80">
              <w:rPr>
                <w:rFonts w:eastAsia="Arial" w:cs="Arial"/>
              </w:rPr>
              <w:t>2</w:t>
            </w:r>
            <w:r w:rsidR="00611D46" w:rsidRPr="00223E80">
              <w:rPr>
                <w:rFonts w:eastAsia="Arial" w:cs="Arial"/>
              </w:rPr>
              <w:t>0</w:t>
            </w:r>
          </w:p>
        </w:tc>
        <w:tc>
          <w:tcPr>
            <w:tcW w:w="1109" w:type="dxa"/>
          </w:tcPr>
          <w:p w14:paraId="251406A9" w14:textId="77777777" w:rsidR="00611D46" w:rsidRPr="00223E80" w:rsidRDefault="00611D46" w:rsidP="000C5817">
            <w:pPr>
              <w:spacing w:after="0"/>
              <w:ind w:right="334"/>
              <w:jc w:val="center"/>
              <w:rPr>
                <w:rFonts w:eastAsia="Arial" w:cs="Arial"/>
              </w:rPr>
            </w:pPr>
            <w:r w:rsidRPr="00223E80">
              <w:rPr>
                <w:rFonts w:eastAsia="Arial" w:cs="Arial"/>
              </w:rPr>
              <w:t>5</w:t>
            </w:r>
          </w:p>
        </w:tc>
        <w:tc>
          <w:tcPr>
            <w:tcW w:w="1101" w:type="dxa"/>
          </w:tcPr>
          <w:p w14:paraId="0C504E6D" w14:textId="77777777" w:rsidR="00611D46" w:rsidRPr="00223E80" w:rsidRDefault="00611D46" w:rsidP="000C5817">
            <w:pPr>
              <w:spacing w:after="0"/>
              <w:ind w:right="334"/>
              <w:jc w:val="center"/>
              <w:rPr>
                <w:rFonts w:eastAsia="Arial" w:cs="Arial"/>
              </w:rPr>
            </w:pPr>
            <w:r w:rsidRPr="00223E80">
              <w:rPr>
                <w:rFonts w:eastAsia="Arial" w:cs="Arial"/>
              </w:rPr>
              <w:t>5</w:t>
            </w:r>
          </w:p>
        </w:tc>
        <w:tc>
          <w:tcPr>
            <w:tcW w:w="1101" w:type="dxa"/>
          </w:tcPr>
          <w:p w14:paraId="7FDD5494" w14:textId="77777777" w:rsidR="00611D46" w:rsidRPr="00223E80" w:rsidRDefault="00611D46" w:rsidP="000C5817">
            <w:pPr>
              <w:spacing w:after="0"/>
              <w:ind w:right="334"/>
              <w:jc w:val="center"/>
              <w:rPr>
                <w:rFonts w:eastAsia="Arial" w:cs="Arial"/>
              </w:rPr>
            </w:pPr>
            <w:r w:rsidRPr="00223E80">
              <w:rPr>
                <w:rFonts w:eastAsia="Arial" w:cs="Arial"/>
              </w:rPr>
              <w:t>5</w:t>
            </w:r>
          </w:p>
        </w:tc>
      </w:tr>
      <w:tr w:rsidR="00611D46" w:rsidRPr="00223E80" w14:paraId="1E726BFD" w14:textId="77777777" w:rsidTr="000C5817">
        <w:tc>
          <w:tcPr>
            <w:tcW w:w="3544" w:type="dxa"/>
            <w:shd w:val="clear" w:color="auto" w:fill="auto"/>
          </w:tcPr>
          <w:p w14:paraId="29805140" w14:textId="77777777" w:rsidR="00611D46" w:rsidRPr="00223E80" w:rsidRDefault="00611D46" w:rsidP="000C5817">
            <w:pPr>
              <w:spacing w:after="0"/>
              <w:ind w:right="33"/>
              <w:jc w:val="center"/>
              <w:rPr>
                <w:rFonts w:eastAsia="Arial" w:cs="Arial"/>
              </w:rPr>
            </w:pPr>
            <w:r w:rsidRPr="00223E80">
              <w:rPr>
                <w:rFonts w:eastAsia="Times New Roman" w:cs="Arial"/>
                <w:lang w:eastAsia="sl-SI"/>
              </w:rPr>
              <w:t>Skupni projekti med državami članicami EU in državami članicami ter tretjimi državami v skladu z 31. in 33. členom tega zakona</w:t>
            </w:r>
          </w:p>
        </w:tc>
        <w:tc>
          <w:tcPr>
            <w:tcW w:w="1107" w:type="dxa"/>
          </w:tcPr>
          <w:p w14:paraId="3AB9D253"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10" w:type="dxa"/>
          </w:tcPr>
          <w:p w14:paraId="05C69E56" w14:textId="77777777" w:rsidR="00611D46" w:rsidRPr="00223E80" w:rsidRDefault="00611D46" w:rsidP="000C5817">
            <w:pPr>
              <w:tabs>
                <w:tab w:val="center" w:pos="467"/>
                <w:tab w:val="right" w:pos="934"/>
              </w:tabs>
              <w:spacing w:after="0"/>
              <w:ind w:right="334"/>
              <w:jc w:val="center"/>
              <w:rPr>
                <w:rFonts w:eastAsia="Arial" w:cs="Arial"/>
              </w:rPr>
            </w:pPr>
            <w:r w:rsidRPr="00223E80">
              <w:rPr>
                <w:rFonts w:eastAsia="Arial" w:cs="Arial"/>
              </w:rPr>
              <w:t>0</w:t>
            </w:r>
          </w:p>
        </w:tc>
        <w:tc>
          <w:tcPr>
            <w:tcW w:w="1109" w:type="dxa"/>
          </w:tcPr>
          <w:p w14:paraId="2FB4F71A"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01" w:type="dxa"/>
          </w:tcPr>
          <w:p w14:paraId="4C785A37"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01" w:type="dxa"/>
          </w:tcPr>
          <w:p w14:paraId="4029CB8B" w14:textId="77777777" w:rsidR="00611D46" w:rsidRPr="00223E80" w:rsidRDefault="00611D46" w:rsidP="000C5817">
            <w:pPr>
              <w:spacing w:after="0"/>
              <w:ind w:right="334"/>
              <w:jc w:val="center"/>
              <w:rPr>
                <w:rFonts w:eastAsia="Arial" w:cs="Arial"/>
              </w:rPr>
            </w:pPr>
            <w:r w:rsidRPr="00223E80">
              <w:rPr>
                <w:rFonts w:eastAsia="Arial" w:cs="Arial"/>
              </w:rPr>
              <w:t>0</w:t>
            </w:r>
          </w:p>
        </w:tc>
      </w:tr>
      <w:tr w:rsidR="00611D46" w:rsidRPr="00223E80" w14:paraId="52F686D8" w14:textId="77777777" w:rsidTr="000C5817">
        <w:tc>
          <w:tcPr>
            <w:tcW w:w="3544" w:type="dxa"/>
            <w:shd w:val="clear" w:color="auto" w:fill="auto"/>
          </w:tcPr>
          <w:p w14:paraId="26A5903E" w14:textId="77777777" w:rsidR="00611D46" w:rsidRPr="00223E80" w:rsidRDefault="00611D46" w:rsidP="000C5817">
            <w:pPr>
              <w:spacing w:after="0"/>
              <w:ind w:right="33"/>
              <w:jc w:val="center"/>
              <w:rPr>
                <w:rFonts w:eastAsia="Arial" w:cs="Arial"/>
              </w:rPr>
            </w:pPr>
            <w:r w:rsidRPr="00223E80">
              <w:rPr>
                <w:rFonts w:eastAsia="Times New Roman" w:cs="Arial"/>
                <w:lang w:eastAsia="sl-SI"/>
              </w:rPr>
              <w:lastRenderedPageBreak/>
              <w:t>Finančna vplačila v mehanizem Unije za financiranje energije iz obnovljivih virov v skladu z 32. in 33. členom Uredbe 2018/1999/EU</w:t>
            </w:r>
          </w:p>
        </w:tc>
        <w:tc>
          <w:tcPr>
            <w:tcW w:w="1107" w:type="dxa"/>
          </w:tcPr>
          <w:p w14:paraId="389B715E" w14:textId="77777777" w:rsidR="00611D46" w:rsidRPr="00223E80" w:rsidRDefault="00611D46" w:rsidP="000C5817">
            <w:pPr>
              <w:spacing w:after="0"/>
              <w:ind w:right="334"/>
              <w:jc w:val="center"/>
              <w:rPr>
                <w:rFonts w:eastAsia="Arial" w:cs="Arial"/>
              </w:rPr>
            </w:pPr>
            <w:r w:rsidRPr="00223E80">
              <w:rPr>
                <w:rFonts w:eastAsia="Arial" w:cs="Arial"/>
              </w:rPr>
              <w:t>0</w:t>
            </w:r>
          </w:p>
        </w:tc>
        <w:tc>
          <w:tcPr>
            <w:tcW w:w="1110" w:type="dxa"/>
          </w:tcPr>
          <w:p w14:paraId="3E58EAA1" w14:textId="77777777" w:rsidR="00611D46" w:rsidRPr="00223E80" w:rsidRDefault="0026385D" w:rsidP="000C5817">
            <w:pPr>
              <w:tabs>
                <w:tab w:val="center" w:pos="467"/>
                <w:tab w:val="right" w:pos="934"/>
              </w:tabs>
              <w:spacing w:after="0"/>
              <w:ind w:right="334"/>
              <w:jc w:val="center"/>
              <w:rPr>
                <w:rFonts w:eastAsia="Arial" w:cs="Arial"/>
              </w:rPr>
            </w:pPr>
            <w:r w:rsidRPr="00223E80">
              <w:rPr>
                <w:rFonts w:eastAsia="Arial" w:cs="Arial"/>
              </w:rPr>
              <w:t>0</w:t>
            </w:r>
          </w:p>
        </w:tc>
        <w:tc>
          <w:tcPr>
            <w:tcW w:w="1109" w:type="dxa"/>
          </w:tcPr>
          <w:p w14:paraId="742E0744" w14:textId="77777777" w:rsidR="00611D46" w:rsidRPr="00223E80" w:rsidRDefault="00611D46" w:rsidP="000C5817">
            <w:pPr>
              <w:spacing w:after="0"/>
              <w:ind w:right="334"/>
              <w:jc w:val="center"/>
              <w:rPr>
                <w:rFonts w:eastAsia="Arial" w:cs="Arial"/>
              </w:rPr>
            </w:pPr>
            <w:r w:rsidRPr="00223E80">
              <w:rPr>
                <w:rFonts w:eastAsia="Arial" w:cs="Arial"/>
              </w:rPr>
              <w:t>5</w:t>
            </w:r>
          </w:p>
        </w:tc>
        <w:tc>
          <w:tcPr>
            <w:tcW w:w="1101" w:type="dxa"/>
          </w:tcPr>
          <w:p w14:paraId="24D9A14F" w14:textId="77777777" w:rsidR="00611D46" w:rsidRPr="00223E80" w:rsidRDefault="00611D46" w:rsidP="000C5817">
            <w:pPr>
              <w:spacing w:after="0"/>
              <w:ind w:right="334"/>
              <w:jc w:val="center"/>
              <w:rPr>
                <w:rFonts w:eastAsia="Arial" w:cs="Arial"/>
              </w:rPr>
            </w:pPr>
            <w:r w:rsidRPr="00223E80">
              <w:rPr>
                <w:rFonts w:eastAsia="Arial" w:cs="Arial"/>
              </w:rPr>
              <w:t>5</w:t>
            </w:r>
          </w:p>
        </w:tc>
        <w:tc>
          <w:tcPr>
            <w:tcW w:w="1101" w:type="dxa"/>
          </w:tcPr>
          <w:p w14:paraId="4C0E12DD" w14:textId="77777777" w:rsidR="00611D46" w:rsidRPr="00223E80" w:rsidRDefault="00611D46" w:rsidP="000C5817">
            <w:pPr>
              <w:spacing w:after="0"/>
              <w:ind w:right="334"/>
              <w:jc w:val="center"/>
              <w:rPr>
                <w:rFonts w:eastAsia="Arial" w:cs="Arial"/>
              </w:rPr>
            </w:pPr>
            <w:r w:rsidRPr="00223E80">
              <w:rPr>
                <w:rFonts w:eastAsia="Arial" w:cs="Arial"/>
              </w:rPr>
              <w:t>5</w:t>
            </w:r>
          </w:p>
        </w:tc>
      </w:tr>
      <w:tr w:rsidR="00611D46" w:rsidRPr="00223E80" w14:paraId="632F280E" w14:textId="77777777" w:rsidTr="000C5817">
        <w:tc>
          <w:tcPr>
            <w:tcW w:w="3544" w:type="dxa"/>
            <w:shd w:val="clear" w:color="auto" w:fill="auto"/>
          </w:tcPr>
          <w:p w14:paraId="569FEF26" w14:textId="77777777" w:rsidR="00611D46" w:rsidRPr="00223E80" w:rsidRDefault="00611D46" w:rsidP="000C5817">
            <w:pPr>
              <w:spacing w:after="0"/>
              <w:ind w:right="33"/>
              <w:jc w:val="center"/>
              <w:rPr>
                <w:rFonts w:eastAsia="Arial" w:cs="Arial"/>
                <w:b/>
              </w:rPr>
            </w:pPr>
            <w:r w:rsidRPr="00223E80">
              <w:rPr>
                <w:rFonts w:eastAsia="Arial" w:cs="Arial"/>
                <w:b/>
              </w:rPr>
              <w:t>Skupaj</w:t>
            </w:r>
          </w:p>
        </w:tc>
        <w:tc>
          <w:tcPr>
            <w:tcW w:w="1107" w:type="dxa"/>
          </w:tcPr>
          <w:p w14:paraId="50A6671C" w14:textId="77777777" w:rsidR="00611D46" w:rsidRPr="00223E80" w:rsidRDefault="00B236FE" w:rsidP="00B236FE">
            <w:pPr>
              <w:spacing w:after="0"/>
              <w:ind w:right="334"/>
              <w:jc w:val="center"/>
              <w:rPr>
                <w:rFonts w:eastAsia="Arial" w:cs="Arial"/>
                <w:b/>
              </w:rPr>
            </w:pPr>
            <w:r w:rsidRPr="00223E80">
              <w:rPr>
                <w:rFonts w:eastAsia="Arial" w:cs="Arial"/>
                <w:b/>
              </w:rPr>
              <w:t>125</w:t>
            </w:r>
            <w:r w:rsidR="00611D46" w:rsidRPr="00223E80">
              <w:rPr>
                <w:rFonts w:eastAsia="Arial" w:cs="Arial"/>
                <w:b/>
              </w:rPr>
              <w:t>,85</w:t>
            </w:r>
          </w:p>
        </w:tc>
        <w:tc>
          <w:tcPr>
            <w:tcW w:w="1110" w:type="dxa"/>
          </w:tcPr>
          <w:p w14:paraId="1ACE8301" w14:textId="77777777" w:rsidR="00611D46" w:rsidRPr="00223E80" w:rsidRDefault="00B236FE" w:rsidP="0026385D">
            <w:pPr>
              <w:spacing w:after="0"/>
              <w:ind w:right="334"/>
              <w:jc w:val="center"/>
              <w:rPr>
                <w:rFonts w:eastAsia="Arial" w:cs="Arial"/>
                <w:b/>
              </w:rPr>
            </w:pPr>
            <w:r w:rsidRPr="00223E80">
              <w:rPr>
                <w:rFonts w:eastAsia="Arial" w:cs="Arial"/>
                <w:b/>
              </w:rPr>
              <w:t>1</w:t>
            </w:r>
            <w:r w:rsidR="0026385D" w:rsidRPr="00223E80">
              <w:rPr>
                <w:rFonts w:eastAsia="Arial" w:cs="Arial"/>
                <w:b/>
              </w:rPr>
              <w:t>65</w:t>
            </w:r>
            <w:r w:rsidR="00611D46" w:rsidRPr="00223E80">
              <w:rPr>
                <w:rFonts w:eastAsia="Arial" w:cs="Arial"/>
                <w:b/>
              </w:rPr>
              <w:t>,85</w:t>
            </w:r>
          </w:p>
        </w:tc>
        <w:tc>
          <w:tcPr>
            <w:tcW w:w="1109" w:type="dxa"/>
          </w:tcPr>
          <w:p w14:paraId="7F846B11" w14:textId="77777777" w:rsidR="00611D46" w:rsidRPr="00223E80" w:rsidRDefault="00611D46" w:rsidP="000C5817">
            <w:pPr>
              <w:spacing w:after="0"/>
              <w:ind w:right="334"/>
              <w:jc w:val="center"/>
              <w:rPr>
                <w:rFonts w:eastAsia="Arial" w:cs="Arial"/>
                <w:b/>
              </w:rPr>
            </w:pPr>
            <w:r w:rsidRPr="00223E80">
              <w:rPr>
                <w:rFonts w:eastAsia="Arial" w:cs="Arial"/>
                <w:b/>
              </w:rPr>
              <w:t>180,85</w:t>
            </w:r>
          </w:p>
        </w:tc>
        <w:tc>
          <w:tcPr>
            <w:tcW w:w="1101" w:type="dxa"/>
          </w:tcPr>
          <w:p w14:paraId="160C63BD" w14:textId="77777777" w:rsidR="00611D46" w:rsidRPr="00223E80" w:rsidRDefault="00611D46" w:rsidP="000C5817">
            <w:pPr>
              <w:spacing w:after="0"/>
              <w:ind w:right="334"/>
              <w:jc w:val="center"/>
              <w:rPr>
                <w:rFonts w:eastAsia="Arial" w:cs="Arial"/>
                <w:b/>
              </w:rPr>
            </w:pPr>
            <w:r w:rsidRPr="00223E80">
              <w:rPr>
                <w:rFonts w:eastAsia="Arial" w:cs="Arial"/>
                <w:b/>
              </w:rPr>
              <w:t>198,85</w:t>
            </w:r>
          </w:p>
        </w:tc>
        <w:tc>
          <w:tcPr>
            <w:tcW w:w="1101" w:type="dxa"/>
          </w:tcPr>
          <w:p w14:paraId="745B072C" w14:textId="77777777" w:rsidR="00611D46" w:rsidRPr="00223E80" w:rsidRDefault="00611D46" w:rsidP="000C5817">
            <w:pPr>
              <w:spacing w:after="0"/>
              <w:ind w:right="334"/>
              <w:jc w:val="center"/>
              <w:rPr>
                <w:rFonts w:eastAsia="Arial" w:cs="Arial"/>
                <w:b/>
              </w:rPr>
            </w:pPr>
            <w:r w:rsidRPr="00223E80">
              <w:rPr>
                <w:rFonts w:eastAsia="Arial" w:cs="Arial"/>
                <w:b/>
              </w:rPr>
              <w:t>198,85</w:t>
            </w:r>
          </w:p>
        </w:tc>
      </w:tr>
    </w:tbl>
    <w:p w14:paraId="232091B5" w14:textId="77777777" w:rsidR="00611D46" w:rsidRPr="00223E80" w:rsidRDefault="00611D46" w:rsidP="007E6ED7">
      <w:pPr>
        <w:spacing w:after="0"/>
        <w:rPr>
          <w:rFonts w:eastAsia="Arial" w:cs="Arial"/>
        </w:rPr>
      </w:pPr>
    </w:p>
    <w:p w14:paraId="33828075" w14:textId="0836EBFC" w:rsidR="005926BB" w:rsidRPr="00223E80" w:rsidRDefault="009C3453" w:rsidP="005926BB">
      <w:pPr>
        <w:snapToGrid w:val="0"/>
        <w:spacing w:after="0"/>
        <w:rPr>
          <w:rFonts w:eastAsia="Arial" w:cs="Arial"/>
        </w:rPr>
      </w:pPr>
      <w:r w:rsidRPr="00223E80">
        <w:rPr>
          <w:rFonts w:eastAsia="Times New Roman" w:cs="Arial"/>
          <w:lang w:eastAsia="sl-SI"/>
        </w:rPr>
        <w:t xml:space="preserve">Ker ima Center za podpore presežek sredstev v višini </w:t>
      </w:r>
      <w:r w:rsidRPr="00223E80">
        <w:rPr>
          <w:rFonts w:eastAsia="Arial" w:cs="Arial"/>
        </w:rPr>
        <w:t>292.113.017,00 EUR</w:t>
      </w:r>
      <w:r w:rsidRPr="00223E80">
        <w:rPr>
          <w:rFonts w:eastAsia="Times New Roman" w:cs="Arial"/>
          <w:lang w:eastAsia="sl-SI"/>
        </w:rPr>
        <w:t xml:space="preserve">, v sredini leta 2022 po okvirnih podatkih </w:t>
      </w:r>
      <w:r w:rsidR="005926BB" w:rsidRPr="00223E80">
        <w:rPr>
          <w:rFonts w:eastAsia="Times New Roman" w:cs="Arial"/>
          <w:lang w:eastAsia="sl-SI"/>
        </w:rPr>
        <w:t>pa že</w:t>
      </w:r>
      <w:r w:rsidRPr="00223E80">
        <w:rPr>
          <w:rFonts w:eastAsia="Times New Roman" w:cs="Arial"/>
          <w:lang w:eastAsia="sl-SI"/>
        </w:rPr>
        <w:t xml:space="preserve"> okoli 320 mio EUR</w:t>
      </w:r>
      <w:r w:rsidR="00B236FE" w:rsidRPr="00223E80">
        <w:rPr>
          <w:rFonts w:eastAsia="Times New Roman" w:cs="Arial"/>
          <w:lang w:eastAsia="sl-SI"/>
        </w:rPr>
        <w:t>,</w:t>
      </w:r>
      <w:r w:rsidR="005926BB" w:rsidRPr="00223E80">
        <w:rPr>
          <w:rFonts w:eastAsia="Times New Roman" w:cs="Arial"/>
          <w:lang w:eastAsia="sl-SI"/>
        </w:rPr>
        <w:t xml:space="preserve"> je na osnovi prikazane ocene </w:t>
      </w:r>
      <w:r w:rsidR="00605482" w:rsidRPr="00223E80">
        <w:rPr>
          <w:rFonts w:eastAsia="Times New Roman" w:cs="Arial"/>
          <w:lang w:eastAsia="sl-SI"/>
        </w:rPr>
        <w:t xml:space="preserve">porabe sredstev iz </w:t>
      </w:r>
      <w:r w:rsidR="006C67C5" w:rsidRPr="00223E80">
        <w:rPr>
          <w:rFonts w:eastAsia="Times New Roman" w:cs="Arial"/>
          <w:lang w:eastAsia="sl-SI"/>
        </w:rPr>
        <w:t>p</w:t>
      </w:r>
      <w:r w:rsidR="00605482" w:rsidRPr="00223E80">
        <w:rPr>
          <w:rFonts w:eastAsia="Times New Roman" w:cs="Arial"/>
          <w:lang w:eastAsia="sl-SI"/>
        </w:rPr>
        <w:t>reglednice 7</w:t>
      </w:r>
      <w:r w:rsidR="005926BB" w:rsidRPr="00223E80">
        <w:rPr>
          <w:rFonts w:eastAsia="Times New Roman" w:cs="Arial"/>
          <w:lang w:eastAsia="sl-SI"/>
        </w:rPr>
        <w:t xml:space="preserve"> razvidno, da </w:t>
      </w:r>
      <w:r w:rsidR="0066357B" w:rsidRPr="00223E80">
        <w:rPr>
          <w:rFonts w:eastAsia="Arial" w:cs="Arial"/>
        </w:rPr>
        <w:t xml:space="preserve">je za izvajanje </w:t>
      </w:r>
      <w:r w:rsidR="00916DE6" w:rsidRPr="00223E80">
        <w:rPr>
          <w:rFonts w:eastAsia="Arial" w:cs="Arial"/>
        </w:rPr>
        <w:t xml:space="preserve">priglašene </w:t>
      </w:r>
      <w:r w:rsidR="0066357B" w:rsidRPr="00223E80">
        <w:rPr>
          <w:rFonts w:eastAsia="Arial" w:cs="Arial"/>
        </w:rPr>
        <w:t xml:space="preserve">podporne sheme v letih </w:t>
      </w:r>
      <w:r w:rsidR="006D3333" w:rsidRPr="00223E80">
        <w:rPr>
          <w:rFonts w:eastAsia="Arial" w:cs="Arial"/>
        </w:rPr>
        <w:t xml:space="preserve">od </w:t>
      </w:r>
      <w:r w:rsidR="0066357B" w:rsidRPr="00223E80">
        <w:rPr>
          <w:rFonts w:eastAsia="Arial" w:cs="Arial"/>
        </w:rPr>
        <w:t>2022 do 2026 zagotovljen</w:t>
      </w:r>
      <w:r w:rsidR="006C67C5" w:rsidRPr="00223E80">
        <w:rPr>
          <w:rFonts w:eastAsia="Arial" w:cs="Arial"/>
        </w:rPr>
        <w:t>ih</w:t>
      </w:r>
      <w:r w:rsidR="0066357B" w:rsidRPr="00223E80">
        <w:rPr>
          <w:rFonts w:eastAsia="Arial" w:cs="Arial"/>
        </w:rPr>
        <w:t xml:space="preserve"> dovolj sredstev</w:t>
      </w:r>
      <w:r w:rsidR="005926BB" w:rsidRPr="00223E80">
        <w:rPr>
          <w:rFonts w:eastAsia="Arial" w:cs="Arial"/>
        </w:rPr>
        <w:t>.</w:t>
      </w:r>
    </w:p>
    <w:p w14:paraId="3086C8B8" w14:textId="77777777" w:rsidR="005926BB" w:rsidRPr="00223E80" w:rsidRDefault="005926BB" w:rsidP="005926BB">
      <w:pPr>
        <w:snapToGrid w:val="0"/>
        <w:spacing w:after="0"/>
        <w:rPr>
          <w:rFonts w:eastAsia="Arial" w:cs="Arial"/>
        </w:rPr>
      </w:pPr>
    </w:p>
    <w:p w14:paraId="3DCF07DF" w14:textId="5EC2CDC4" w:rsidR="00534E61" w:rsidRPr="00223E80" w:rsidRDefault="00376C84" w:rsidP="005926BB">
      <w:pPr>
        <w:snapToGrid w:val="0"/>
        <w:spacing w:after="0"/>
        <w:rPr>
          <w:rFonts w:eastAsia="Arial" w:cs="Arial"/>
        </w:rPr>
      </w:pPr>
      <w:r w:rsidRPr="00223E80">
        <w:rPr>
          <w:rFonts w:eastAsia="Arial" w:cs="Arial"/>
        </w:rPr>
        <w:t xml:space="preserve">Z nastopom nove sheme </w:t>
      </w:r>
      <w:r w:rsidR="006C67C5" w:rsidRPr="00223E80">
        <w:rPr>
          <w:rFonts w:eastAsia="Arial" w:cs="Arial"/>
        </w:rPr>
        <w:t>in</w:t>
      </w:r>
      <w:r w:rsidRPr="00223E80">
        <w:rPr>
          <w:rFonts w:eastAsia="Arial" w:cs="Arial"/>
        </w:rPr>
        <w:t xml:space="preserve"> posledično tudi </w:t>
      </w:r>
      <w:r w:rsidR="006D3333" w:rsidRPr="00223E80">
        <w:rPr>
          <w:rFonts w:eastAsia="Arial" w:cs="Arial"/>
        </w:rPr>
        <w:t xml:space="preserve">z </w:t>
      </w:r>
      <w:r w:rsidRPr="00223E80">
        <w:rPr>
          <w:rFonts w:eastAsia="Arial" w:cs="Arial"/>
        </w:rPr>
        <w:t>neposrednimi vstopi novih proizvajalcev in tehnologij vanjo, se bo trend porabe sredstev obrnil navzgor. Razmerje med porabljenimi in neporabljenimi sredstvi se bo zmanjševalo, k povečanemu koriščenju sredstev pa bodo prispevale tudi modifikacije obstoječe sheme, seveda v okviru veljavne priglasitve. Zlasti pa se bo v letu 2022 opravila tudi prilagoditev referenčnih stroškov za posamezne tehnologije, s ciljem</w:t>
      </w:r>
      <w:r w:rsidR="00207EB4" w:rsidRPr="00223E80">
        <w:rPr>
          <w:rFonts w:eastAsia="Arial" w:cs="Arial"/>
        </w:rPr>
        <w:t>,</w:t>
      </w:r>
      <w:r w:rsidRPr="00223E80">
        <w:rPr>
          <w:rFonts w:eastAsia="Arial" w:cs="Arial"/>
        </w:rPr>
        <w:t xml:space="preserve"> da se veljavna podporna shema okrepi. </w:t>
      </w:r>
    </w:p>
    <w:p w14:paraId="4A6DC55C" w14:textId="77777777" w:rsidR="001417C4" w:rsidRPr="00223E80" w:rsidRDefault="001417C4" w:rsidP="007E6ED7">
      <w:pPr>
        <w:spacing w:after="0"/>
        <w:rPr>
          <w:rFonts w:eastAsia="Arial" w:cs="Arial"/>
        </w:rPr>
      </w:pPr>
    </w:p>
    <w:p w14:paraId="703941F8" w14:textId="0D479192" w:rsidR="001417C4" w:rsidRPr="00223E80" w:rsidRDefault="001417C4" w:rsidP="001417C4">
      <w:pPr>
        <w:pStyle w:val="Odstavek0"/>
        <w:spacing w:before="0" w:line="276" w:lineRule="auto"/>
        <w:ind w:firstLine="0"/>
        <w:rPr>
          <w:rFonts w:eastAsia="Arial"/>
          <w:lang w:eastAsia="en-US"/>
        </w:rPr>
      </w:pPr>
      <w:r w:rsidRPr="00223E80">
        <w:rPr>
          <w:rFonts w:eastAsia="Arial"/>
          <w:lang w:eastAsia="en-US"/>
        </w:rPr>
        <w:t>Glede možnosti umestitve soproizvodnje z visokim izkoristkom iz obnovljivih virov energije</w:t>
      </w:r>
      <w:r w:rsidR="00207EB4" w:rsidRPr="00223E80">
        <w:rPr>
          <w:rFonts w:eastAsia="Arial"/>
          <w:lang w:val="sl-SI" w:eastAsia="en-US"/>
        </w:rPr>
        <w:t>,</w:t>
      </w:r>
      <w:r w:rsidRPr="00223E80">
        <w:rPr>
          <w:rFonts w:eastAsia="Arial"/>
          <w:lang w:eastAsia="en-US"/>
        </w:rPr>
        <w:t xml:space="preserve"> kot je lesna biomasa v kombinaciji s sončno energijo, ki se izkorišča v proizvodnih napravah s fotovoltaiko, se ta ukrep kaže kot zelo primeren, </w:t>
      </w:r>
      <w:r w:rsidR="006D3333" w:rsidRPr="00223E80">
        <w:rPr>
          <w:rFonts w:eastAsia="Arial"/>
          <w:lang w:val="sl-SI" w:eastAsia="en-US"/>
        </w:rPr>
        <w:t>sploh če</w:t>
      </w:r>
      <w:r w:rsidRPr="00223E80">
        <w:rPr>
          <w:rFonts w:eastAsia="Arial"/>
          <w:lang w:eastAsia="en-US"/>
        </w:rPr>
        <w:t xml:space="preserve"> upošteva</w:t>
      </w:r>
      <w:r w:rsidR="006D3333" w:rsidRPr="00223E80">
        <w:rPr>
          <w:rFonts w:eastAsia="Arial"/>
          <w:lang w:val="sl-SI" w:eastAsia="en-US"/>
        </w:rPr>
        <w:t>mo</w:t>
      </w:r>
      <w:r w:rsidRPr="00223E80">
        <w:rPr>
          <w:rFonts w:eastAsia="Arial"/>
          <w:lang w:eastAsia="en-US"/>
        </w:rPr>
        <w:t xml:space="preserve"> razpršen</w:t>
      </w:r>
      <w:r w:rsidR="006D3333" w:rsidRPr="00223E80">
        <w:rPr>
          <w:rFonts w:eastAsia="Arial"/>
          <w:lang w:val="sl-SI" w:eastAsia="en-US"/>
        </w:rPr>
        <w:t>o</w:t>
      </w:r>
      <w:r w:rsidRPr="00223E80">
        <w:rPr>
          <w:rFonts w:eastAsia="Arial"/>
          <w:lang w:eastAsia="en-US"/>
        </w:rPr>
        <w:t xml:space="preserve"> poselit</w:t>
      </w:r>
      <w:r w:rsidR="006D3333" w:rsidRPr="00223E80">
        <w:rPr>
          <w:rFonts w:eastAsia="Arial"/>
          <w:lang w:val="sl-SI" w:eastAsia="en-US"/>
        </w:rPr>
        <w:t>e</w:t>
      </w:r>
      <w:r w:rsidRPr="00223E80">
        <w:rPr>
          <w:rFonts w:eastAsia="Arial"/>
          <w:lang w:eastAsia="en-US"/>
        </w:rPr>
        <w:t>v območij v Republiki Sloveniji in ga je treb</w:t>
      </w:r>
      <w:r w:rsidR="00FF4957" w:rsidRPr="00223E80">
        <w:rPr>
          <w:rFonts w:eastAsia="Arial"/>
          <w:lang w:val="sl-SI" w:eastAsia="en-US"/>
        </w:rPr>
        <w:t>a</w:t>
      </w:r>
      <w:r w:rsidRPr="00223E80">
        <w:rPr>
          <w:rFonts w:eastAsia="Arial"/>
          <w:lang w:eastAsia="en-US"/>
        </w:rPr>
        <w:t xml:space="preserve"> </w:t>
      </w:r>
      <w:r w:rsidR="00E63222" w:rsidRPr="00223E80">
        <w:rPr>
          <w:rFonts w:eastAsia="Arial"/>
          <w:lang w:eastAsia="en-US"/>
        </w:rPr>
        <w:t>v okviru prihodnjih razpisov</w:t>
      </w:r>
      <w:r w:rsidR="00207EB4" w:rsidRPr="00223E80">
        <w:rPr>
          <w:rFonts w:eastAsia="Arial"/>
          <w:lang w:eastAsia="en-US"/>
        </w:rPr>
        <w:t xml:space="preserve"> dodatn</w:t>
      </w:r>
      <w:r w:rsidR="00207EB4" w:rsidRPr="00223E80">
        <w:rPr>
          <w:rFonts w:eastAsia="Arial"/>
          <w:lang w:val="sl-SI" w:eastAsia="en-US"/>
        </w:rPr>
        <w:t>o</w:t>
      </w:r>
      <w:r w:rsidR="00207EB4" w:rsidRPr="00223E80">
        <w:rPr>
          <w:rFonts w:eastAsia="Arial"/>
          <w:lang w:eastAsia="en-US"/>
        </w:rPr>
        <w:t xml:space="preserve"> podpreti</w:t>
      </w:r>
      <w:r w:rsidRPr="00223E80">
        <w:rPr>
          <w:rFonts w:eastAsia="Arial"/>
          <w:lang w:eastAsia="en-US"/>
        </w:rPr>
        <w:t>.</w:t>
      </w:r>
    </w:p>
    <w:p w14:paraId="5FA4C858" w14:textId="77777777" w:rsidR="00800D24" w:rsidRPr="00223E80" w:rsidRDefault="00800D24" w:rsidP="001417C4">
      <w:pPr>
        <w:pStyle w:val="Odstavek0"/>
        <w:spacing w:before="0" w:line="276" w:lineRule="auto"/>
        <w:ind w:firstLine="0"/>
        <w:rPr>
          <w:rFonts w:eastAsia="Arial"/>
          <w:lang w:eastAsia="en-US"/>
        </w:rPr>
      </w:pPr>
    </w:p>
    <w:p w14:paraId="4FA6BE8C" w14:textId="0AFA55B9" w:rsidR="00E63222" w:rsidRPr="00223E80" w:rsidRDefault="002F1CC3" w:rsidP="001417C4">
      <w:pPr>
        <w:pStyle w:val="Odstavek0"/>
        <w:spacing w:before="0" w:line="276" w:lineRule="auto"/>
        <w:ind w:firstLine="0"/>
        <w:rPr>
          <w:rFonts w:eastAsia="Arial"/>
          <w:lang w:eastAsia="en-US"/>
        </w:rPr>
      </w:pPr>
      <w:r w:rsidRPr="00223E80">
        <w:rPr>
          <w:rFonts w:eastAsia="Arial"/>
          <w:lang w:eastAsia="en-US"/>
        </w:rPr>
        <w:t xml:space="preserve">Glede usmerjanja sredstev za investicije OVE v tujini </w:t>
      </w:r>
      <w:r w:rsidR="00E63222" w:rsidRPr="00223E80">
        <w:rPr>
          <w:rFonts w:eastAsia="Arial"/>
          <w:lang w:eastAsia="en-US"/>
        </w:rPr>
        <w:t xml:space="preserve">se najprej prednostno podpirajo </w:t>
      </w:r>
      <w:r w:rsidRPr="00223E80">
        <w:rPr>
          <w:rFonts w:eastAsia="Arial"/>
          <w:lang w:eastAsia="en-US"/>
        </w:rPr>
        <w:t xml:space="preserve">slovenska </w:t>
      </w:r>
      <w:r w:rsidR="00E63222" w:rsidRPr="00223E80">
        <w:rPr>
          <w:rFonts w:eastAsia="Arial"/>
          <w:lang w:eastAsia="en-US"/>
        </w:rPr>
        <w:t xml:space="preserve">podjetja, ki investirajo </w:t>
      </w:r>
      <w:r w:rsidRPr="00223E80">
        <w:rPr>
          <w:rFonts w:eastAsia="Arial"/>
          <w:lang w:eastAsia="en-US"/>
        </w:rPr>
        <w:t xml:space="preserve">v </w:t>
      </w:r>
      <w:r w:rsidR="00E63222" w:rsidRPr="00223E80">
        <w:rPr>
          <w:rFonts w:eastAsia="Arial"/>
          <w:lang w:eastAsia="en-US"/>
        </w:rPr>
        <w:t xml:space="preserve">OVE v tujini, potem se sredstva usmerja </w:t>
      </w:r>
      <w:r w:rsidRPr="00223E80">
        <w:rPr>
          <w:rFonts w:eastAsia="Arial"/>
          <w:lang w:eastAsia="en-US"/>
        </w:rPr>
        <w:t xml:space="preserve">predvsem </w:t>
      </w:r>
      <w:r w:rsidR="00E63222" w:rsidRPr="00223E80">
        <w:rPr>
          <w:rFonts w:eastAsia="Arial"/>
          <w:lang w:eastAsia="en-US"/>
        </w:rPr>
        <w:t>v sodelovanje v finančnih mehanizmih EU</w:t>
      </w:r>
      <w:r w:rsidRPr="00223E80">
        <w:rPr>
          <w:rFonts w:eastAsia="Arial"/>
          <w:lang w:eastAsia="en-US"/>
        </w:rPr>
        <w:t xml:space="preserve"> za investicije OVE</w:t>
      </w:r>
      <w:r w:rsidR="00B236FE" w:rsidRPr="00223E80">
        <w:rPr>
          <w:rFonts w:eastAsia="Arial"/>
          <w:lang w:val="sl-SI" w:eastAsia="en-US"/>
        </w:rPr>
        <w:t xml:space="preserve"> – ko bodo ti na voljo –</w:t>
      </w:r>
      <w:r w:rsidR="00E63222" w:rsidRPr="00223E80">
        <w:rPr>
          <w:rFonts w:eastAsia="Arial"/>
          <w:lang w:eastAsia="en-US"/>
        </w:rPr>
        <w:t xml:space="preserve"> in</w:t>
      </w:r>
      <w:r w:rsidR="00B236FE" w:rsidRPr="00223E80">
        <w:rPr>
          <w:rFonts w:eastAsia="Arial"/>
          <w:lang w:val="sl-SI" w:eastAsia="en-US"/>
        </w:rPr>
        <w:t xml:space="preserve"> </w:t>
      </w:r>
      <w:r w:rsidR="00E63222" w:rsidRPr="00223E80">
        <w:rPr>
          <w:rFonts w:eastAsia="Arial"/>
          <w:lang w:eastAsia="en-US"/>
        </w:rPr>
        <w:t>nazadnje</w:t>
      </w:r>
      <w:r w:rsidRPr="00223E80">
        <w:rPr>
          <w:rFonts w:eastAsia="Arial"/>
          <w:lang w:eastAsia="en-US"/>
        </w:rPr>
        <w:t xml:space="preserve"> šele</w:t>
      </w:r>
      <w:r w:rsidR="00E63222" w:rsidRPr="00223E80">
        <w:rPr>
          <w:rFonts w:eastAsia="Arial"/>
          <w:lang w:eastAsia="en-US"/>
        </w:rPr>
        <w:t xml:space="preserve">, če se izkaže, da nismo dosegli </w:t>
      </w:r>
      <w:r w:rsidRPr="00223E80">
        <w:rPr>
          <w:rFonts w:eastAsia="Arial"/>
          <w:lang w:eastAsia="en-US"/>
        </w:rPr>
        <w:t xml:space="preserve">zastavljenih nacionalnih </w:t>
      </w:r>
      <w:r w:rsidR="00E63222" w:rsidRPr="00223E80">
        <w:rPr>
          <w:rFonts w:eastAsia="Arial"/>
          <w:lang w:eastAsia="en-US"/>
        </w:rPr>
        <w:t xml:space="preserve">ciljev </w:t>
      </w:r>
      <w:r w:rsidRPr="00223E80">
        <w:rPr>
          <w:rFonts w:eastAsia="Arial"/>
          <w:lang w:eastAsia="en-US"/>
        </w:rPr>
        <w:t>OVE</w:t>
      </w:r>
      <w:r w:rsidR="00485E39" w:rsidRPr="00223E80">
        <w:rPr>
          <w:rFonts w:eastAsia="Arial"/>
          <w:lang w:val="sl-SI" w:eastAsia="en-US"/>
        </w:rPr>
        <w:t>,</w:t>
      </w:r>
      <w:r w:rsidRPr="00223E80">
        <w:rPr>
          <w:rFonts w:eastAsia="Arial"/>
          <w:lang w:eastAsia="en-US"/>
        </w:rPr>
        <w:t xml:space="preserve"> </w:t>
      </w:r>
      <w:r w:rsidR="00E63222" w:rsidRPr="00223E80">
        <w:rPr>
          <w:rFonts w:eastAsia="Arial"/>
          <w:lang w:eastAsia="en-US"/>
        </w:rPr>
        <w:t xml:space="preserve">se </w:t>
      </w:r>
      <w:r w:rsidRPr="00223E80">
        <w:rPr>
          <w:rFonts w:eastAsia="Arial"/>
          <w:lang w:eastAsia="en-US"/>
        </w:rPr>
        <w:t xml:space="preserve">pristopi </w:t>
      </w:r>
      <w:r w:rsidR="00485E39" w:rsidRPr="00223E80">
        <w:rPr>
          <w:rFonts w:eastAsia="Arial"/>
          <w:lang w:val="sl-SI" w:eastAsia="en-US"/>
        </w:rPr>
        <w:t>h</w:t>
      </w:r>
      <w:r w:rsidRPr="00223E80">
        <w:rPr>
          <w:rFonts w:eastAsia="Arial"/>
          <w:lang w:eastAsia="en-US"/>
        </w:rPr>
        <w:t xml:space="preserve"> </w:t>
      </w:r>
      <w:r w:rsidR="00E63222" w:rsidRPr="00223E80">
        <w:rPr>
          <w:rFonts w:eastAsia="Arial"/>
          <w:lang w:eastAsia="en-US"/>
        </w:rPr>
        <w:t>kup</w:t>
      </w:r>
      <w:r w:rsidRPr="00223E80">
        <w:rPr>
          <w:rFonts w:eastAsia="Arial"/>
          <w:lang w:eastAsia="en-US"/>
        </w:rPr>
        <w:t>ovanju</w:t>
      </w:r>
      <w:r w:rsidR="00E63222" w:rsidRPr="00223E80">
        <w:rPr>
          <w:rFonts w:eastAsia="Arial"/>
          <w:lang w:eastAsia="en-US"/>
        </w:rPr>
        <w:t xml:space="preserve"> </w:t>
      </w:r>
      <w:r w:rsidRPr="00223E80">
        <w:rPr>
          <w:rFonts w:eastAsia="Arial"/>
          <w:lang w:eastAsia="en-US"/>
        </w:rPr>
        <w:t>statističnega deleža OVE od druge države članice.</w:t>
      </w:r>
    </w:p>
    <w:p w14:paraId="4AE8CDE3" w14:textId="77777777" w:rsidR="005926BB" w:rsidRPr="00223E80" w:rsidRDefault="005926BB" w:rsidP="001417C4">
      <w:pPr>
        <w:pStyle w:val="Odstavek0"/>
        <w:spacing w:before="0" w:line="276" w:lineRule="auto"/>
        <w:ind w:firstLine="0"/>
        <w:rPr>
          <w:rFonts w:eastAsia="Arial"/>
          <w:lang w:eastAsia="en-US"/>
        </w:rPr>
      </w:pPr>
    </w:p>
    <w:p w14:paraId="602F4CD0" w14:textId="5487D499" w:rsidR="00142853" w:rsidRPr="00223E80" w:rsidRDefault="00142853" w:rsidP="007E6ED7">
      <w:pPr>
        <w:spacing w:after="0"/>
        <w:rPr>
          <w:rFonts w:eastAsia="Arial" w:cs="Arial"/>
        </w:rPr>
      </w:pPr>
      <w:r w:rsidRPr="00223E80">
        <w:rPr>
          <w:rFonts w:eastAsia="Arial" w:cs="Arial"/>
        </w:rPr>
        <w:t xml:space="preserve">Podrobneje so posamezni ukrepi </w:t>
      </w:r>
      <w:r w:rsidR="00485E39" w:rsidRPr="00223E80">
        <w:rPr>
          <w:rFonts w:eastAsia="Arial" w:cs="Arial"/>
        </w:rPr>
        <w:t xml:space="preserve">predstavljeni </w:t>
      </w:r>
      <w:r w:rsidRPr="00223E80">
        <w:rPr>
          <w:rFonts w:eastAsia="Arial" w:cs="Arial"/>
        </w:rPr>
        <w:t>v spodnjih podpoglavjih.</w:t>
      </w:r>
    </w:p>
    <w:p w14:paraId="11A2AF1E" w14:textId="77777777" w:rsidR="005926BB" w:rsidRPr="00223E80" w:rsidRDefault="005926BB" w:rsidP="007E6ED7">
      <w:pPr>
        <w:spacing w:after="0"/>
        <w:rPr>
          <w:rFonts w:eastAsia="Arial" w:cs="Arial"/>
        </w:rPr>
      </w:pPr>
    </w:p>
    <w:p w14:paraId="2924C66D" w14:textId="77777777" w:rsidR="00142853" w:rsidRPr="00223E80" w:rsidRDefault="005E2CD9" w:rsidP="00A520AC">
      <w:pPr>
        <w:pStyle w:val="Naslov2"/>
      </w:pPr>
      <w:bookmarkStart w:id="47" w:name="_Toc112144001"/>
      <w:r w:rsidRPr="00223E80">
        <w:t>6</w:t>
      </w:r>
      <w:r w:rsidR="00584D80" w:rsidRPr="00223E80">
        <w:t xml:space="preserve">.1 </w:t>
      </w:r>
      <w:r w:rsidR="00142853" w:rsidRPr="00223E80">
        <w:t>Delovanje Centra za podpore</w:t>
      </w:r>
      <w:bookmarkEnd w:id="47"/>
    </w:p>
    <w:p w14:paraId="02DD03BE" w14:textId="77777777" w:rsidR="00534E61" w:rsidRPr="00223E80" w:rsidRDefault="00534E61" w:rsidP="007E6ED7">
      <w:pPr>
        <w:spacing w:after="0"/>
        <w:rPr>
          <w:rFonts w:eastAsia="Arial" w:cs="Arial"/>
        </w:rPr>
      </w:pPr>
    </w:p>
    <w:p w14:paraId="73E52FB7" w14:textId="6C486CA4" w:rsidR="00927667" w:rsidRPr="00223E80" w:rsidRDefault="00927667" w:rsidP="00927667">
      <w:pPr>
        <w:spacing w:after="0"/>
        <w:rPr>
          <w:rFonts w:eastAsia="Arial" w:cs="Arial"/>
        </w:rPr>
      </w:pPr>
      <w:r w:rsidRPr="00223E80">
        <w:rPr>
          <w:rFonts w:eastAsia="Arial" w:cs="Arial"/>
        </w:rPr>
        <w:t>Prispevek za delovanje centra za podpore je v letu 2020 znašal 591.000 EUR neto in je bil od leta 2009 dalje</w:t>
      </w:r>
      <w:r w:rsidR="00153AA5" w:rsidRPr="00223E80">
        <w:rPr>
          <w:rFonts w:eastAsia="Arial" w:cs="Arial"/>
        </w:rPr>
        <w:t xml:space="preserve"> nespremenjen</w:t>
      </w:r>
      <w:r w:rsidRPr="00223E80">
        <w:rPr>
          <w:rFonts w:eastAsia="Arial" w:cs="Arial"/>
        </w:rPr>
        <w:t>. Ta znesek se je dvignil po novem na 850.000 EUR, po pojasnilu družne Borzen pa objektivno odraža povečan obseg dela in stroške de</w:t>
      </w:r>
      <w:r w:rsidR="007454E2" w:rsidRPr="00223E80">
        <w:rPr>
          <w:rFonts w:eastAsia="Arial" w:cs="Arial"/>
        </w:rPr>
        <w:t>j</w:t>
      </w:r>
      <w:r w:rsidRPr="00223E80">
        <w:rPr>
          <w:rFonts w:eastAsia="Arial" w:cs="Arial"/>
        </w:rPr>
        <w:t>avnosti Centra za podpore, ki deluje v njenem okviru. Negativni izid poslovanja ugotavljajo že od leta 2010 dalje, ta je v letu 2021 znašal že 575.683 EUR. Borzen pojasnjuje, da je število enot po začetnem močnem porastu sicer v stagnaciji, vendar pa se povečuje njihova kompleksnost, saj vzporedno vodijo več t.</w:t>
      </w:r>
      <w:r w:rsidR="001C2C3C" w:rsidRPr="00223E80">
        <w:rPr>
          <w:rFonts w:eastAsia="Arial" w:cs="Arial"/>
        </w:rPr>
        <w:t xml:space="preserve"> </w:t>
      </w:r>
      <w:r w:rsidRPr="00223E80">
        <w:rPr>
          <w:rFonts w:eastAsia="Arial" w:cs="Arial"/>
        </w:rPr>
        <w:t xml:space="preserve">i. »pod-shem«. Prav tako se je v zadnjih letih vsebinsko razširil register potrdil o izvoru, ki sodi v to gospodarsko javno službo. </w:t>
      </w:r>
    </w:p>
    <w:p w14:paraId="3A647951" w14:textId="77777777" w:rsidR="007911A6" w:rsidRPr="00223E80" w:rsidRDefault="007911A6" w:rsidP="007E6ED7">
      <w:pPr>
        <w:spacing w:after="0"/>
        <w:rPr>
          <w:rFonts w:eastAsia="Arial" w:cs="Arial"/>
        </w:rPr>
      </w:pPr>
    </w:p>
    <w:p w14:paraId="3B8EF051" w14:textId="6FBC2804" w:rsidR="00C31AC9" w:rsidRPr="00223E80" w:rsidRDefault="00C31AC9" w:rsidP="007E6ED7">
      <w:pPr>
        <w:spacing w:after="0"/>
        <w:rPr>
          <w:rFonts w:eastAsia="Arial" w:cs="Arial"/>
        </w:rPr>
      </w:pPr>
      <w:r w:rsidRPr="00223E80">
        <w:rPr>
          <w:rFonts w:eastAsia="Arial" w:cs="Arial"/>
        </w:rPr>
        <w:lastRenderedPageBreak/>
        <w:t xml:space="preserve">Za namen poročanja in obračunavanja tega prispevka je Borzen vzpostavil spletni portal (http://prispevek.borzen.si), ki omogoča pripravo vloge za </w:t>
      </w:r>
      <w:r w:rsidR="00153AA5" w:rsidRPr="00223E80">
        <w:rPr>
          <w:rFonts w:eastAsia="Arial" w:cs="Arial"/>
        </w:rPr>
        <w:t xml:space="preserve">vpis </w:t>
      </w:r>
      <w:r w:rsidRPr="00223E80">
        <w:rPr>
          <w:rFonts w:eastAsia="Arial" w:cs="Arial"/>
        </w:rPr>
        <w:t>v register zavezancev in enostavno poročanje o višini obračunanih prispevkov končnim odjemalcem.</w:t>
      </w:r>
    </w:p>
    <w:p w14:paraId="75A62FBC" w14:textId="77777777" w:rsidR="00AC1124" w:rsidRPr="00223E80" w:rsidRDefault="00AC1124" w:rsidP="007E6ED7">
      <w:pPr>
        <w:spacing w:after="0"/>
        <w:rPr>
          <w:rFonts w:eastAsia="Arial" w:cs="Arial"/>
        </w:rPr>
      </w:pPr>
    </w:p>
    <w:p w14:paraId="0382371C" w14:textId="77777777" w:rsidR="00142853" w:rsidRPr="00223E80" w:rsidRDefault="005E2CD9" w:rsidP="00A520AC">
      <w:pPr>
        <w:pStyle w:val="Naslov2"/>
      </w:pPr>
      <w:bookmarkStart w:id="48" w:name="_Toc112144002"/>
      <w:r w:rsidRPr="00223E80">
        <w:t>6</w:t>
      </w:r>
      <w:r w:rsidR="00584D80" w:rsidRPr="00223E80">
        <w:t xml:space="preserve">.2 </w:t>
      </w:r>
      <w:r w:rsidR="00D55EFA" w:rsidRPr="00223E80">
        <w:t>S</w:t>
      </w:r>
      <w:r w:rsidR="00142853" w:rsidRPr="00223E80">
        <w:t>redstva za zagotavljanje podpor za izplačila po veljavni podporni shemi</w:t>
      </w:r>
      <w:bookmarkEnd w:id="48"/>
    </w:p>
    <w:p w14:paraId="3588F1BB" w14:textId="77777777" w:rsidR="00534E61" w:rsidRPr="00223E80" w:rsidRDefault="00534E61" w:rsidP="007E6ED7">
      <w:pPr>
        <w:spacing w:after="0"/>
        <w:rPr>
          <w:rFonts w:eastAsia="Times New Roman"/>
          <w:b/>
          <w:iCs/>
          <w:color w:val="3A4A3E"/>
        </w:rPr>
      </w:pPr>
    </w:p>
    <w:p w14:paraId="61AE747D" w14:textId="77777777" w:rsidR="000A4CE8" w:rsidRPr="00223E80" w:rsidRDefault="000A4CE8" w:rsidP="00281A21">
      <w:pPr>
        <w:pStyle w:val="Naslov3"/>
      </w:pPr>
      <w:bookmarkStart w:id="49" w:name="_Toc112144003"/>
      <w:r w:rsidRPr="00223E80">
        <w:t>6.2</w:t>
      </w:r>
      <w:r w:rsidR="00006FD4" w:rsidRPr="00223E80">
        <w:t xml:space="preserve">.1   </w:t>
      </w:r>
      <w:r w:rsidRPr="00223E80">
        <w:t>Neposredna podpora do 500 kW</w:t>
      </w:r>
      <w:bookmarkEnd w:id="49"/>
    </w:p>
    <w:p w14:paraId="7CB7CC47" w14:textId="77777777" w:rsidR="00534E61" w:rsidRPr="00223E80" w:rsidRDefault="00534E61" w:rsidP="007E6ED7">
      <w:pPr>
        <w:keepNext/>
        <w:spacing w:after="0"/>
        <w:outlineLvl w:val="1"/>
        <w:rPr>
          <w:rFonts w:eastAsia="Times New Roman"/>
          <w:b/>
          <w:iCs/>
        </w:rPr>
      </w:pPr>
    </w:p>
    <w:p w14:paraId="3224BD13" w14:textId="021AC678" w:rsidR="0023003D" w:rsidRPr="00223E80" w:rsidRDefault="000A4CE8" w:rsidP="007E6ED7">
      <w:pPr>
        <w:spacing w:after="0"/>
        <w:rPr>
          <w:rFonts w:eastAsia="Times New Roman" w:cs="Arial"/>
          <w:lang w:eastAsia="sl-SI"/>
        </w:rPr>
      </w:pPr>
      <w:r w:rsidRPr="00223E80">
        <w:rPr>
          <w:rFonts w:eastAsia="Times New Roman" w:cs="Arial"/>
          <w:lang w:eastAsia="sl-SI"/>
        </w:rPr>
        <w:t>V zvezi z možnostjo neposredne dodelitve podpor za proizvodne naprave z močjo</w:t>
      </w:r>
      <w:r w:rsidR="00153AA5" w:rsidRPr="00223E80">
        <w:rPr>
          <w:rFonts w:eastAsia="Times New Roman" w:cs="Arial"/>
          <w:lang w:eastAsia="sl-SI"/>
        </w:rPr>
        <w:t>,</w:t>
      </w:r>
      <w:r w:rsidRPr="00223E80">
        <w:rPr>
          <w:rFonts w:eastAsia="Times New Roman" w:cs="Arial"/>
          <w:lang w:eastAsia="sl-SI"/>
        </w:rPr>
        <w:t xml:space="preserve"> manjšo od 500 kW</w:t>
      </w:r>
      <w:r w:rsidR="00153AA5" w:rsidRPr="00223E80">
        <w:rPr>
          <w:rFonts w:eastAsia="Times New Roman" w:cs="Arial"/>
          <w:lang w:eastAsia="sl-SI"/>
        </w:rPr>
        <w:t>,</w:t>
      </w:r>
      <w:r w:rsidRPr="00223E80">
        <w:rPr>
          <w:rFonts w:eastAsia="Times New Roman" w:cs="Arial"/>
          <w:lang w:eastAsia="sl-SI"/>
        </w:rPr>
        <w:t xml:space="preserve"> skladno z 15. členom ZSROVE ta načrt izhaja iz predpostavke, da je električno energijo iz obnovljivih virov treba uvajati ob čim manjših stroških za porabnike in davkoplačevalce.</w:t>
      </w:r>
    </w:p>
    <w:p w14:paraId="4676505A" w14:textId="77777777" w:rsidR="001F2B0D" w:rsidRPr="00223E80" w:rsidRDefault="001F2B0D" w:rsidP="007E6ED7">
      <w:pPr>
        <w:spacing w:after="0"/>
        <w:rPr>
          <w:rFonts w:eastAsia="Times New Roman" w:cs="Arial"/>
          <w:lang w:eastAsia="sl-SI"/>
        </w:rPr>
      </w:pPr>
    </w:p>
    <w:p w14:paraId="43F56D5A" w14:textId="326F4361" w:rsidR="001F2B0D" w:rsidRPr="00223E80" w:rsidRDefault="001F2B0D" w:rsidP="001A2DED">
      <w:pPr>
        <w:spacing w:after="0"/>
        <w:rPr>
          <w:rFonts w:eastAsia="Times New Roman" w:cs="Arial"/>
          <w:lang w:eastAsia="sl-SI"/>
        </w:rPr>
      </w:pPr>
      <w:r w:rsidRPr="00223E80">
        <w:rPr>
          <w:rFonts w:eastAsia="Times New Roman" w:cs="Arial"/>
          <w:lang w:eastAsia="sl-SI"/>
        </w:rPr>
        <w:t xml:space="preserve">Vlada bo skladno z 20. členom ZSROVE </w:t>
      </w:r>
      <w:r w:rsidR="00702A50" w:rsidRPr="00223E80">
        <w:rPr>
          <w:rFonts w:eastAsia="Times New Roman" w:cs="Arial"/>
          <w:lang w:eastAsia="sl-SI"/>
        </w:rPr>
        <w:t xml:space="preserve">do konca leta 2022 </w:t>
      </w:r>
      <w:r w:rsidRPr="00223E80">
        <w:rPr>
          <w:rFonts w:eastAsia="Times New Roman" w:cs="Arial"/>
          <w:lang w:eastAsia="sl-SI"/>
        </w:rPr>
        <w:t>sprejela uredbo</w:t>
      </w:r>
      <w:r w:rsidR="0026385D" w:rsidRPr="00223E80">
        <w:rPr>
          <w:rFonts w:eastAsia="Times New Roman" w:cs="Arial"/>
          <w:lang w:eastAsia="sl-SI"/>
        </w:rPr>
        <w:t>,</w:t>
      </w:r>
      <w:r w:rsidRPr="00223E80">
        <w:rPr>
          <w:rFonts w:eastAsia="Times New Roman" w:cs="Arial"/>
          <w:lang w:eastAsia="sl-SI"/>
        </w:rPr>
        <w:t xml:space="preserve"> s katero bo podrobneje predpisala vrste energetskih tehnologij, </w:t>
      </w:r>
      <w:r w:rsidR="001D3D0C" w:rsidRPr="00223E80">
        <w:rPr>
          <w:rFonts w:eastAsia="Times New Roman" w:cs="Arial"/>
          <w:lang w:eastAsia="sl-SI"/>
        </w:rPr>
        <w:t>v tem okviru pa zlasti tiste</w:t>
      </w:r>
      <w:r w:rsidR="001C2C3C" w:rsidRPr="00223E80">
        <w:rPr>
          <w:rFonts w:eastAsia="Times New Roman" w:cs="Arial"/>
          <w:lang w:eastAsia="sl-SI"/>
        </w:rPr>
        <w:t>,</w:t>
      </w:r>
      <w:r w:rsidR="001D3D0C" w:rsidRPr="00223E80">
        <w:rPr>
          <w:rFonts w:cs="Arial"/>
          <w:color w:val="000000"/>
          <w:shd w:val="clear" w:color="auto" w:fill="FFFFFF"/>
        </w:rPr>
        <w:t xml:space="preserve"> ki izkoriščajo sončno energijo v proizvodnih napravah s fotovoltaiko, po možnosti kombiniranih s hranilniki električne energije</w:t>
      </w:r>
      <w:r w:rsidR="00821D70" w:rsidRPr="00223E80">
        <w:rPr>
          <w:rFonts w:cs="Arial"/>
          <w:color w:val="000000"/>
          <w:shd w:val="clear" w:color="auto" w:fill="FFFFFF"/>
        </w:rPr>
        <w:t>.</w:t>
      </w:r>
      <w:r w:rsidR="001D3D0C" w:rsidRPr="00223E80">
        <w:rPr>
          <w:rFonts w:eastAsia="Times New Roman" w:cs="Arial"/>
          <w:lang w:eastAsia="sl-SI"/>
        </w:rPr>
        <w:t xml:space="preserve"> </w:t>
      </w:r>
      <w:r w:rsidR="00821D70" w:rsidRPr="00223E80">
        <w:rPr>
          <w:rFonts w:eastAsia="Times New Roman" w:cs="Arial"/>
          <w:lang w:eastAsia="sl-SI"/>
        </w:rPr>
        <w:t>V</w:t>
      </w:r>
      <w:r w:rsidRPr="00223E80">
        <w:rPr>
          <w:rFonts w:eastAsia="Times New Roman" w:cs="Arial"/>
          <w:lang w:eastAsia="sl-SI"/>
        </w:rPr>
        <w:t xml:space="preserve">išine podpor </w:t>
      </w:r>
      <w:r w:rsidR="00821D70" w:rsidRPr="00223E80">
        <w:rPr>
          <w:rFonts w:eastAsia="Times New Roman" w:cs="Arial"/>
          <w:lang w:eastAsia="sl-SI"/>
        </w:rPr>
        <w:t>bodo določene v</w:t>
      </w:r>
      <w:r w:rsidRPr="00223E80">
        <w:rPr>
          <w:rFonts w:eastAsia="Times New Roman" w:cs="Arial"/>
          <w:lang w:eastAsia="sl-SI"/>
        </w:rPr>
        <w:t xml:space="preserve"> konkurenčnem postopku na podlagi poziva agencije za vstop v podporno shemo</w:t>
      </w:r>
      <w:r w:rsidR="00821D70" w:rsidRPr="00223E80">
        <w:rPr>
          <w:rFonts w:eastAsia="Times New Roman" w:cs="Arial"/>
          <w:lang w:eastAsia="sl-SI"/>
        </w:rPr>
        <w:t>.</w:t>
      </w:r>
      <w:r w:rsidRPr="00223E80">
        <w:rPr>
          <w:rFonts w:eastAsia="Times New Roman" w:cs="Arial"/>
          <w:lang w:eastAsia="sl-SI"/>
        </w:rPr>
        <w:t xml:space="preserve"> </w:t>
      </w:r>
      <w:r w:rsidR="00821D70" w:rsidRPr="00223E80">
        <w:rPr>
          <w:rFonts w:eastAsia="Times New Roman" w:cs="Arial"/>
          <w:lang w:eastAsia="sl-SI"/>
        </w:rPr>
        <w:t xml:space="preserve">Določila bo </w:t>
      </w:r>
      <w:r w:rsidRPr="00223E80">
        <w:rPr>
          <w:rFonts w:eastAsia="Times New Roman" w:cs="Arial"/>
          <w:lang w:eastAsia="sl-SI"/>
        </w:rPr>
        <w:t>višino podpor za naprave z močjo</w:t>
      </w:r>
      <w:r w:rsidR="001C2C3C" w:rsidRPr="00223E80">
        <w:rPr>
          <w:rFonts w:eastAsia="Times New Roman" w:cs="Arial"/>
          <w:lang w:eastAsia="sl-SI"/>
        </w:rPr>
        <w:t>,</w:t>
      </w:r>
      <w:r w:rsidRPr="00223E80">
        <w:rPr>
          <w:rFonts w:eastAsia="Times New Roman" w:cs="Arial"/>
          <w:lang w:eastAsia="sl-SI"/>
        </w:rPr>
        <w:t xml:space="preserve"> manjšo od 500 kW, ki v podporno shemo vstopajo neposredno</w:t>
      </w:r>
      <w:r w:rsidR="00696144" w:rsidRPr="00223E80">
        <w:rPr>
          <w:rFonts w:cs="Arial"/>
          <w:color w:val="000000"/>
          <w:shd w:val="clear" w:color="auto" w:fill="FFFFFF"/>
        </w:rPr>
        <w:t>,</w:t>
      </w:r>
      <w:r w:rsidR="00696144" w:rsidRPr="00223E80">
        <w:rPr>
          <w:rFonts w:eastAsia="Times New Roman" w:cs="Arial"/>
          <w:lang w:eastAsia="sl-SI"/>
        </w:rPr>
        <w:t xml:space="preserve"> </w:t>
      </w:r>
      <w:r w:rsidRPr="00223E80">
        <w:rPr>
          <w:rFonts w:eastAsia="Times New Roman" w:cs="Arial"/>
          <w:lang w:eastAsia="sl-SI"/>
        </w:rPr>
        <w:t xml:space="preserve">pogoje za pridobitev podpore, način pridobitve podpore, postopek za znižanje ali odvzem podpore in druga vprašanja podeljevanja in koriščenja podpore. Določila bo tudi največje število menjav glede načinov izvajanja podpor iz prvega odstavka tega člena in najkrajše trajanje izvajanja podpore v posameznem izbranem načinu. </w:t>
      </w:r>
    </w:p>
    <w:p w14:paraId="3970FBAC" w14:textId="77777777" w:rsidR="0023003D" w:rsidRPr="00223E80" w:rsidRDefault="0023003D" w:rsidP="007E6ED7">
      <w:pPr>
        <w:spacing w:after="0"/>
        <w:rPr>
          <w:rFonts w:eastAsia="Times New Roman" w:cs="Arial"/>
          <w:lang w:eastAsia="sl-SI"/>
        </w:rPr>
      </w:pPr>
    </w:p>
    <w:p w14:paraId="3E73D77E" w14:textId="52CE8201" w:rsidR="000A4CE8" w:rsidRPr="00223E80" w:rsidRDefault="00821D70" w:rsidP="007E6ED7">
      <w:pPr>
        <w:spacing w:after="0"/>
        <w:rPr>
          <w:rFonts w:eastAsia="Times New Roman" w:cs="Arial"/>
          <w:lang w:eastAsia="sl-SI"/>
        </w:rPr>
      </w:pPr>
      <w:r w:rsidRPr="00223E80">
        <w:rPr>
          <w:rFonts w:eastAsia="Times New Roman" w:cs="Arial"/>
          <w:lang w:eastAsia="sl-SI"/>
        </w:rPr>
        <w:t>D</w:t>
      </w:r>
      <w:r w:rsidR="001F2B0D" w:rsidRPr="00223E80">
        <w:rPr>
          <w:rFonts w:eastAsia="Times New Roman" w:cs="Arial"/>
          <w:lang w:eastAsia="sl-SI"/>
        </w:rPr>
        <w:t>a bo</w:t>
      </w:r>
      <w:r w:rsidR="000A4CE8" w:rsidRPr="00223E80">
        <w:rPr>
          <w:rFonts w:eastAsia="Times New Roman" w:cs="Arial"/>
          <w:lang w:eastAsia="sl-SI"/>
        </w:rPr>
        <w:t xml:space="preserve"> </w:t>
      </w:r>
      <w:r w:rsidR="001F2B0D" w:rsidRPr="00223E80">
        <w:rPr>
          <w:rFonts w:eastAsia="Times New Roman" w:cs="Arial"/>
          <w:lang w:eastAsia="sl-SI"/>
        </w:rPr>
        <w:t>uredba</w:t>
      </w:r>
      <w:r w:rsidR="000A4CE8" w:rsidRPr="00223E80">
        <w:rPr>
          <w:rFonts w:eastAsia="Times New Roman" w:cs="Arial"/>
          <w:lang w:eastAsia="sl-SI"/>
        </w:rPr>
        <w:t xml:space="preserve"> minimaliziral</w:t>
      </w:r>
      <w:r w:rsidR="001F2B0D" w:rsidRPr="00223E80">
        <w:rPr>
          <w:rFonts w:eastAsia="Times New Roman" w:cs="Arial"/>
          <w:lang w:eastAsia="sl-SI"/>
        </w:rPr>
        <w:t>a</w:t>
      </w:r>
      <w:r w:rsidR="000A4CE8" w:rsidRPr="00223E80">
        <w:rPr>
          <w:rFonts w:eastAsia="Times New Roman" w:cs="Arial"/>
          <w:lang w:eastAsia="sl-SI"/>
        </w:rPr>
        <w:t xml:space="preserve"> skupne stroške podpore, bodo </w:t>
      </w:r>
      <w:r w:rsidRPr="00223E80">
        <w:rPr>
          <w:rFonts w:eastAsia="Times New Roman" w:cs="Arial"/>
          <w:lang w:eastAsia="sl-SI"/>
        </w:rPr>
        <w:t xml:space="preserve">ti </w:t>
      </w:r>
      <w:r w:rsidR="001F2B0D" w:rsidRPr="00223E80">
        <w:rPr>
          <w:rFonts w:eastAsia="Times New Roman" w:cs="Arial"/>
          <w:lang w:eastAsia="sl-SI"/>
        </w:rPr>
        <w:t>pogoji</w:t>
      </w:r>
      <w:r w:rsidR="000A4CE8" w:rsidRPr="00223E80">
        <w:rPr>
          <w:rFonts w:eastAsia="Times New Roman" w:cs="Arial"/>
          <w:lang w:eastAsia="sl-SI"/>
        </w:rPr>
        <w:t xml:space="preserve"> nediskriminatorno odprti za vse proizvajalce električne energije iz obnovljivih virov</w:t>
      </w:r>
      <w:r w:rsidR="00641D0E" w:rsidRPr="00223E80">
        <w:rPr>
          <w:rFonts w:eastAsia="Times New Roman" w:cs="Arial"/>
          <w:lang w:eastAsia="sl-SI"/>
        </w:rPr>
        <w:t>,</w:t>
      </w:r>
      <w:r w:rsidR="0023003D" w:rsidRPr="00223E80">
        <w:rPr>
          <w:rFonts w:eastAsia="Times New Roman" w:cs="Arial"/>
          <w:lang w:eastAsia="sl-SI"/>
        </w:rPr>
        <w:t xml:space="preserve"> </w:t>
      </w:r>
      <w:r w:rsidR="00641D0E" w:rsidRPr="00223E80">
        <w:rPr>
          <w:rFonts w:eastAsia="Times New Roman" w:cs="Arial"/>
          <w:lang w:eastAsia="sl-SI"/>
        </w:rPr>
        <w:t>k</w:t>
      </w:r>
      <w:r w:rsidR="0023003D" w:rsidRPr="00223E80">
        <w:rPr>
          <w:rFonts w:eastAsia="Times New Roman" w:cs="Arial"/>
          <w:lang w:eastAsia="sl-SI"/>
        </w:rPr>
        <w:t xml:space="preserve">asneje </w:t>
      </w:r>
      <w:r w:rsidR="00641D0E" w:rsidRPr="00223E80">
        <w:rPr>
          <w:rFonts w:eastAsia="Times New Roman" w:cs="Arial"/>
          <w:lang w:eastAsia="sl-SI"/>
        </w:rPr>
        <w:t xml:space="preserve">pa </w:t>
      </w:r>
      <w:r w:rsidR="0023003D" w:rsidRPr="00223E80">
        <w:rPr>
          <w:rFonts w:eastAsia="Times New Roman" w:cs="Arial"/>
          <w:lang w:eastAsia="sl-SI"/>
        </w:rPr>
        <w:t xml:space="preserve">dopolnjeni še za druge OVE proizvodne vire. </w:t>
      </w:r>
      <w:r w:rsidR="000A4CE8" w:rsidRPr="00223E80">
        <w:rPr>
          <w:rFonts w:eastAsia="Times New Roman" w:cs="Arial"/>
          <w:lang w:eastAsia="sl-SI"/>
        </w:rPr>
        <w:t>Vendar pa bo</w:t>
      </w:r>
      <w:r w:rsidR="001F2B0D" w:rsidRPr="00223E80">
        <w:rPr>
          <w:rFonts w:eastAsia="Times New Roman" w:cs="Arial"/>
          <w:lang w:eastAsia="sl-SI"/>
        </w:rPr>
        <w:t xml:space="preserve">do v okviru uredbe </w:t>
      </w:r>
      <w:r w:rsidR="000A4CE8" w:rsidRPr="00223E80">
        <w:rPr>
          <w:rFonts w:eastAsia="Times New Roman" w:cs="Arial"/>
          <w:lang w:eastAsia="sl-SI"/>
        </w:rPr>
        <w:t>lahko omej</w:t>
      </w:r>
      <w:r w:rsidR="001F2B0D" w:rsidRPr="00223E80">
        <w:rPr>
          <w:rFonts w:eastAsia="Times New Roman" w:cs="Arial"/>
          <w:lang w:eastAsia="sl-SI"/>
        </w:rPr>
        <w:t>itve</w:t>
      </w:r>
      <w:r w:rsidR="000A4CE8" w:rsidRPr="00223E80">
        <w:rPr>
          <w:rFonts w:eastAsia="Times New Roman" w:cs="Arial"/>
          <w:lang w:eastAsia="sl-SI"/>
        </w:rPr>
        <w:t xml:space="preserve"> </w:t>
      </w:r>
      <w:r w:rsidR="00641D0E" w:rsidRPr="00223E80">
        <w:rPr>
          <w:rFonts w:eastAsia="Times New Roman" w:cs="Arial"/>
          <w:lang w:eastAsia="sl-SI"/>
        </w:rPr>
        <w:t>glede</w:t>
      </w:r>
      <w:r w:rsidR="000A4CE8" w:rsidRPr="00223E80">
        <w:rPr>
          <w:rFonts w:eastAsia="Times New Roman" w:cs="Arial"/>
          <w:lang w:eastAsia="sl-SI"/>
        </w:rPr>
        <w:t xml:space="preserve"> specifične tehnologije, </w:t>
      </w:r>
      <w:r w:rsidR="00A634CD" w:rsidRPr="00223E80">
        <w:rPr>
          <w:rFonts w:eastAsia="Times New Roman" w:cs="Arial"/>
          <w:lang w:eastAsia="sl-SI"/>
        </w:rPr>
        <w:t>če</w:t>
      </w:r>
      <w:r w:rsidR="000A4CE8" w:rsidRPr="00223E80">
        <w:rPr>
          <w:rFonts w:eastAsia="Times New Roman" w:cs="Arial"/>
          <w:lang w:eastAsia="sl-SI"/>
        </w:rPr>
        <w:t xml:space="preserve"> se bo po predhodni strokovni oceni </w:t>
      </w:r>
      <w:r w:rsidR="001F2B0D" w:rsidRPr="00223E80">
        <w:rPr>
          <w:rFonts w:eastAsia="Times New Roman" w:cs="Arial"/>
          <w:lang w:eastAsia="sl-SI"/>
        </w:rPr>
        <w:t xml:space="preserve">to </w:t>
      </w:r>
      <w:r w:rsidR="000A4CE8" w:rsidRPr="00223E80">
        <w:rPr>
          <w:rFonts w:eastAsia="Times New Roman" w:cs="Arial"/>
          <w:lang w:eastAsia="sl-SI"/>
        </w:rPr>
        <w:t>ugotovilo</w:t>
      </w:r>
      <w:r w:rsidR="001F2B0D" w:rsidRPr="00223E80">
        <w:rPr>
          <w:rFonts w:eastAsia="Times New Roman" w:cs="Arial"/>
          <w:lang w:eastAsia="sl-SI"/>
        </w:rPr>
        <w:t>.</w:t>
      </w:r>
      <w:r w:rsidR="000A4CE8" w:rsidRPr="00223E80">
        <w:rPr>
          <w:rFonts w:eastAsia="Times New Roman" w:cs="Arial"/>
          <w:lang w:eastAsia="sl-SI"/>
        </w:rPr>
        <w:t xml:space="preserve"> </w:t>
      </w:r>
    </w:p>
    <w:p w14:paraId="7D1EC6B9" w14:textId="77777777" w:rsidR="000A4CE8" w:rsidRPr="00223E80" w:rsidRDefault="000A4CE8" w:rsidP="007E6ED7">
      <w:pPr>
        <w:spacing w:after="0"/>
        <w:rPr>
          <w:rFonts w:eastAsia="Times New Roman" w:cs="Arial"/>
          <w:lang w:eastAsia="sl-SI"/>
        </w:rPr>
      </w:pPr>
    </w:p>
    <w:p w14:paraId="20BAB220" w14:textId="59877B17" w:rsidR="000A4CE8" w:rsidRPr="00223E80" w:rsidRDefault="001F2B0D" w:rsidP="007E6ED7">
      <w:pPr>
        <w:spacing w:after="0"/>
        <w:rPr>
          <w:rFonts w:eastAsia="Times New Roman" w:cs="Arial"/>
          <w:lang w:eastAsia="sl-SI"/>
        </w:rPr>
      </w:pPr>
      <w:r w:rsidRPr="00223E80">
        <w:rPr>
          <w:rFonts w:eastAsia="Times New Roman" w:cs="Arial"/>
          <w:lang w:eastAsia="sl-SI"/>
        </w:rPr>
        <w:t>Na osnovi uredbe bo od</w:t>
      </w:r>
      <w:r w:rsidR="000A4CE8" w:rsidRPr="00223E80">
        <w:rPr>
          <w:rFonts w:eastAsia="Times New Roman" w:cs="Arial"/>
          <w:lang w:eastAsia="sl-SI"/>
        </w:rPr>
        <w:t xml:space="preserve">daja vlog možna </w:t>
      </w:r>
      <w:r w:rsidR="007315F7" w:rsidRPr="00223E80">
        <w:rPr>
          <w:rFonts w:eastAsia="Times New Roman" w:cs="Arial"/>
          <w:lang w:eastAsia="sl-SI"/>
        </w:rPr>
        <w:t>vse</w:t>
      </w:r>
      <w:r w:rsidR="000A4CE8" w:rsidRPr="00223E80">
        <w:rPr>
          <w:rFonts w:eastAsia="Times New Roman" w:cs="Arial"/>
          <w:lang w:eastAsia="sl-SI"/>
        </w:rPr>
        <w:t xml:space="preserve"> let</w:t>
      </w:r>
      <w:r w:rsidR="007315F7" w:rsidRPr="00223E80">
        <w:rPr>
          <w:rFonts w:eastAsia="Times New Roman" w:cs="Arial"/>
          <w:lang w:eastAsia="sl-SI"/>
        </w:rPr>
        <w:t>o</w:t>
      </w:r>
      <w:r w:rsidR="000A4CE8" w:rsidRPr="00223E80">
        <w:rPr>
          <w:rFonts w:eastAsia="Times New Roman" w:cs="Arial"/>
          <w:lang w:eastAsia="sl-SI"/>
        </w:rPr>
        <w:t xml:space="preserve"> in vloge se </w:t>
      </w:r>
      <w:r w:rsidR="00A11E4F" w:rsidRPr="00223E80">
        <w:rPr>
          <w:rFonts w:eastAsia="Times New Roman" w:cs="Arial"/>
          <w:lang w:eastAsia="sl-SI"/>
        </w:rPr>
        <w:t xml:space="preserve">bo </w:t>
      </w:r>
      <w:r w:rsidR="000A4CE8" w:rsidRPr="00223E80">
        <w:rPr>
          <w:rFonts w:eastAsia="Times New Roman" w:cs="Arial"/>
          <w:lang w:eastAsia="sl-SI"/>
        </w:rPr>
        <w:t>obdel</w:t>
      </w:r>
      <w:r w:rsidR="00A11E4F" w:rsidRPr="00223E80">
        <w:rPr>
          <w:rFonts w:eastAsia="Times New Roman" w:cs="Arial"/>
          <w:lang w:eastAsia="sl-SI"/>
        </w:rPr>
        <w:t xml:space="preserve">ovalo </w:t>
      </w:r>
      <w:r w:rsidR="000A4CE8" w:rsidRPr="00223E80">
        <w:rPr>
          <w:rFonts w:eastAsia="Times New Roman" w:cs="Arial"/>
          <w:lang w:eastAsia="sl-SI"/>
        </w:rPr>
        <w:t>po vrsti</w:t>
      </w:r>
      <w:r w:rsidR="007315F7" w:rsidRPr="00223E80">
        <w:rPr>
          <w:rFonts w:eastAsia="Times New Roman" w:cs="Arial"/>
          <w:lang w:eastAsia="sl-SI"/>
        </w:rPr>
        <w:t>, kot bodo prispele</w:t>
      </w:r>
      <w:r w:rsidR="000A4CE8" w:rsidRPr="00223E80">
        <w:rPr>
          <w:rFonts w:eastAsia="Times New Roman" w:cs="Arial"/>
          <w:lang w:eastAsia="sl-SI"/>
        </w:rPr>
        <w:t>. Pri tem bodo lahko izkoristile ta sredstva zlasti tehnologije za proizvodnjo električne energije in za soproizvodnjo, ki so že uveljavljene, velik potencial pa je prepoznan tudi pri sodobnih kogeneracijah na lesno maso, ki bi lahko pomenila velik preboj na področju samooskrbe, torej neodvisnosti od zunanjih energentov, kot sta zemeljski plin in nafta, ter druga fosilna goriva, ki jih je treb</w:t>
      </w:r>
      <w:r w:rsidR="00FF4957" w:rsidRPr="00223E80">
        <w:rPr>
          <w:rFonts w:eastAsia="Times New Roman" w:cs="Arial"/>
          <w:lang w:eastAsia="sl-SI"/>
        </w:rPr>
        <w:t>a</w:t>
      </w:r>
      <w:r w:rsidR="000A4CE8" w:rsidRPr="00223E80">
        <w:rPr>
          <w:rFonts w:eastAsia="Times New Roman" w:cs="Arial"/>
          <w:lang w:eastAsia="sl-SI"/>
        </w:rPr>
        <w:t xml:space="preserve"> uvoziti. </w:t>
      </w:r>
    </w:p>
    <w:p w14:paraId="35504679" w14:textId="77777777" w:rsidR="001F2B0D" w:rsidRPr="00223E80" w:rsidRDefault="001F2B0D" w:rsidP="007E6ED7">
      <w:pPr>
        <w:spacing w:after="0"/>
        <w:rPr>
          <w:rFonts w:eastAsia="Times New Roman" w:cs="Arial"/>
          <w:lang w:eastAsia="sl-SI"/>
        </w:rPr>
      </w:pPr>
    </w:p>
    <w:p w14:paraId="63AC696B" w14:textId="2B22F2D8" w:rsidR="00D72B7D" w:rsidRPr="00223E80" w:rsidRDefault="000A4CE8" w:rsidP="007E6ED7">
      <w:pPr>
        <w:shd w:val="clear" w:color="auto" w:fill="FFFFFF"/>
        <w:spacing w:after="0"/>
        <w:rPr>
          <w:rFonts w:eastAsia="Times New Roman" w:cs="Arial"/>
          <w:lang w:eastAsia="sl-SI"/>
        </w:rPr>
      </w:pPr>
      <w:r w:rsidRPr="00223E80">
        <w:rPr>
          <w:rFonts w:eastAsia="Times New Roman" w:cs="Arial"/>
          <w:lang w:eastAsia="sl-SI"/>
        </w:rPr>
        <w:t>Podprlo se bo tudi aktivnosti v smeri posodobitev obstoječih malih hidroelektrarn, ki lahko v skupni energetski bilanci opazno pripomorejo k izboljšanju zanesljiv</w:t>
      </w:r>
      <w:r w:rsidR="00597B2F" w:rsidRPr="00223E80">
        <w:rPr>
          <w:rFonts w:eastAsia="Times New Roman" w:cs="Arial"/>
          <w:lang w:eastAsia="sl-SI"/>
        </w:rPr>
        <w:t>e</w:t>
      </w:r>
      <w:r w:rsidRPr="00223E80">
        <w:rPr>
          <w:rFonts w:eastAsia="Times New Roman" w:cs="Arial"/>
          <w:lang w:eastAsia="sl-SI"/>
        </w:rPr>
        <w:t xml:space="preserve"> preskrbe z električno energijo, kot tudi k doseganju OVE ciljev v skladu z NEPN. S tem v zvezi se bo na medresorski ravni uskladi</w:t>
      </w:r>
      <w:r w:rsidR="00641D0E" w:rsidRPr="00223E80">
        <w:rPr>
          <w:rFonts w:eastAsia="Times New Roman" w:cs="Arial"/>
          <w:lang w:eastAsia="sl-SI"/>
        </w:rPr>
        <w:t>lo</w:t>
      </w:r>
      <w:r w:rsidRPr="00223E80">
        <w:rPr>
          <w:rFonts w:eastAsia="Times New Roman" w:cs="Arial"/>
          <w:lang w:eastAsia="sl-SI"/>
        </w:rPr>
        <w:t xml:space="preserve"> cilje in možnosti glede optimalne izrabe manjših vodotokov s pristojnim ministrstvom za okolje. </w:t>
      </w:r>
    </w:p>
    <w:p w14:paraId="6855296D" w14:textId="77777777" w:rsidR="005926BB" w:rsidRPr="00223E80" w:rsidRDefault="005926BB" w:rsidP="007E6ED7">
      <w:pPr>
        <w:spacing w:after="0"/>
        <w:rPr>
          <w:rFonts w:eastAsia="Arial" w:cs="Arial"/>
        </w:rPr>
      </w:pPr>
    </w:p>
    <w:p w14:paraId="26232898" w14:textId="77777777" w:rsidR="00142853" w:rsidRPr="00223E80" w:rsidRDefault="005E2CD9" w:rsidP="00A520AC">
      <w:pPr>
        <w:pStyle w:val="Naslov2"/>
      </w:pPr>
      <w:bookmarkStart w:id="50" w:name="_Toc112144004"/>
      <w:r w:rsidRPr="00223E80">
        <w:lastRenderedPageBreak/>
        <w:t>6</w:t>
      </w:r>
      <w:r w:rsidR="00584D80" w:rsidRPr="00223E80">
        <w:t xml:space="preserve">.4 </w:t>
      </w:r>
      <w:r w:rsidR="00142853" w:rsidRPr="00223E80">
        <w:t>Plačilo za ureditev izravnave razlik med napovedano in realizirano proizvodnjo električne energije</w:t>
      </w:r>
      <w:bookmarkEnd w:id="50"/>
    </w:p>
    <w:p w14:paraId="2DD91B92" w14:textId="77777777" w:rsidR="00534E61" w:rsidRPr="00223E80" w:rsidRDefault="00534E61" w:rsidP="007E6ED7">
      <w:pPr>
        <w:spacing w:after="0"/>
        <w:rPr>
          <w:rFonts w:eastAsia="Times New Roman"/>
          <w:b/>
          <w:iCs/>
        </w:rPr>
      </w:pPr>
    </w:p>
    <w:p w14:paraId="7D038D65" w14:textId="693B8A9E" w:rsidR="00D36947" w:rsidRPr="00223E80" w:rsidRDefault="00D36947" w:rsidP="007E6ED7">
      <w:pPr>
        <w:spacing w:after="0"/>
        <w:rPr>
          <w:rFonts w:cs="Arial"/>
          <w:color w:val="000000"/>
          <w:shd w:val="clear" w:color="auto" w:fill="FFFFFF"/>
        </w:rPr>
      </w:pPr>
      <w:r w:rsidRPr="00223E80">
        <w:rPr>
          <w:rFonts w:cs="Arial"/>
          <w:color w:val="000000"/>
          <w:shd w:val="clear" w:color="auto" w:fill="FFFFFF"/>
        </w:rPr>
        <w:t xml:space="preserve">Izravnava razlik med napovedano in realizirano proizvodnjo pomeni finančno izravnavo razlik, ki nastanejo zaradi odstopanj dejanske proizvodnje električne energije od napovedane. </w:t>
      </w:r>
      <w:r w:rsidR="00485C14" w:rsidRPr="00223E80">
        <w:rPr>
          <w:rFonts w:cs="Arial"/>
          <w:color w:val="000000"/>
          <w:shd w:val="clear" w:color="auto" w:fill="FFFFFF"/>
        </w:rPr>
        <w:t>Poteka na podlagi Pravil</w:t>
      </w:r>
      <w:r w:rsidRPr="00223E80">
        <w:rPr>
          <w:rFonts w:cs="Arial"/>
          <w:color w:val="000000"/>
          <w:shd w:val="clear" w:color="auto" w:fill="FFFFFF"/>
        </w:rPr>
        <w:t xml:space="preserve"> za delovanje </w:t>
      </w:r>
      <w:r w:rsidR="00D770DF" w:rsidRPr="00223E80">
        <w:rPr>
          <w:rFonts w:cs="Arial"/>
          <w:color w:val="000000"/>
          <w:shd w:val="clear" w:color="auto" w:fill="FFFFFF"/>
        </w:rPr>
        <w:t>C</w:t>
      </w:r>
      <w:r w:rsidRPr="00223E80">
        <w:rPr>
          <w:rFonts w:cs="Arial"/>
          <w:color w:val="000000"/>
          <w:shd w:val="clear" w:color="auto" w:fill="FFFFFF"/>
        </w:rPr>
        <w:t>entra za podpore (Uradni list RS, št. </w:t>
      </w:r>
      <w:hyperlink r:id="rId41" w:tgtFrame="_blank" w:tooltip="Pravila za delovanje centra za podpore" w:history="1">
        <w:r w:rsidRPr="00223E80">
          <w:rPr>
            <w:rFonts w:cs="Arial"/>
            <w:color w:val="000000"/>
            <w:shd w:val="clear" w:color="auto" w:fill="FFFFFF"/>
          </w:rPr>
          <w:t>88/16</w:t>
        </w:r>
      </w:hyperlink>
      <w:r w:rsidRPr="00223E80">
        <w:rPr>
          <w:rFonts w:cs="Arial"/>
          <w:color w:val="000000"/>
          <w:shd w:val="clear" w:color="auto" w:fill="FFFFFF"/>
        </w:rPr>
        <w:t> in </w:t>
      </w:r>
      <w:hyperlink r:id="rId42" w:tgtFrame="_blank" w:tooltip="Zakon o oskrbi z električno energijo" w:history="1">
        <w:r w:rsidRPr="00223E80">
          <w:rPr>
            <w:rFonts w:cs="Arial"/>
            <w:color w:val="000000"/>
            <w:shd w:val="clear" w:color="auto" w:fill="FFFFFF"/>
          </w:rPr>
          <w:t>172/21</w:t>
        </w:r>
      </w:hyperlink>
      <w:r w:rsidRPr="00223E80">
        <w:rPr>
          <w:rFonts w:cs="Arial"/>
          <w:color w:val="000000"/>
          <w:shd w:val="clear" w:color="auto" w:fill="FFFFFF"/>
        </w:rPr>
        <w:t> – ZOEE)</w:t>
      </w:r>
      <w:r w:rsidR="00485C14" w:rsidRPr="00223E80">
        <w:rPr>
          <w:rFonts w:cs="Arial"/>
          <w:color w:val="000000"/>
          <w:shd w:val="clear" w:color="auto" w:fill="FFFFFF"/>
        </w:rPr>
        <w:t>,</w:t>
      </w:r>
      <w:r w:rsidRPr="00223E80">
        <w:rPr>
          <w:rFonts w:cs="Arial"/>
          <w:color w:val="000000"/>
          <w:shd w:val="clear" w:color="auto" w:fill="FFFFFF"/>
        </w:rPr>
        <w:t xml:space="preserve"> </w:t>
      </w:r>
      <w:r w:rsidR="00485C14" w:rsidRPr="00223E80">
        <w:rPr>
          <w:rFonts w:cs="Arial"/>
          <w:color w:val="000000"/>
          <w:shd w:val="clear" w:color="auto" w:fill="FFFFFF"/>
        </w:rPr>
        <w:t xml:space="preserve">ki </w:t>
      </w:r>
      <w:r w:rsidRPr="00223E80">
        <w:rPr>
          <w:rFonts w:cs="Arial"/>
          <w:color w:val="000000"/>
          <w:shd w:val="clear" w:color="auto" w:fill="FFFFFF"/>
        </w:rPr>
        <w:t xml:space="preserve">med drugim podrobneje urejajo </w:t>
      </w:r>
      <w:r w:rsidR="00485C14" w:rsidRPr="00223E80">
        <w:rPr>
          <w:rFonts w:cs="Arial"/>
          <w:color w:val="000000"/>
          <w:shd w:val="clear" w:color="auto" w:fill="FFFFFF"/>
        </w:rPr>
        <w:t>tudi ureditev</w:t>
      </w:r>
      <w:r w:rsidRPr="00223E80">
        <w:rPr>
          <w:rFonts w:cs="Arial"/>
          <w:color w:val="000000"/>
          <w:shd w:val="clear" w:color="auto" w:fill="FFFFFF"/>
        </w:rPr>
        <w:t xml:space="preserve"> bilančne pripadnost</w:t>
      </w:r>
      <w:r w:rsidR="00485C14" w:rsidRPr="00223E80">
        <w:rPr>
          <w:rFonts w:cs="Arial"/>
          <w:color w:val="000000"/>
          <w:shd w:val="clear" w:color="auto" w:fill="FFFFFF"/>
        </w:rPr>
        <w:t>i udeležencev centra za podpore. Na tej podlagi je bila oblikovana »</w:t>
      </w:r>
      <w:r w:rsidR="00D770DF" w:rsidRPr="00223E80">
        <w:rPr>
          <w:rFonts w:cs="Arial"/>
          <w:color w:val="000000"/>
          <w:shd w:val="clear" w:color="auto" w:fill="FFFFFF"/>
        </w:rPr>
        <w:t>E</w:t>
      </w:r>
      <w:r w:rsidRPr="00223E80">
        <w:rPr>
          <w:rFonts w:cs="Arial"/>
          <w:color w:val="000000"/>
          <w:shd w:val="clear" w:color="auto" w:fill="FFFFFF"/>
        </w:rPr>
        <w:t>ko skupina</w:t>
      </w:r>
      <w:r w:rsidR="00485C14" w:rsidRPr="00223E80">
        <w:rPr>
          <w:rFonts w:cs="Arial"/>
          <w:color w:val="000000"/>
          <w:shd w:val="clear" w:color="auto" w:fill="FFFFFF"/>
        </w:rPr>
        <w:t xml:space="preserve">« kot </w:t>
      </w:r>
      <w:r w:rsidRPr="00223E80">
        <w:rPr>
          <w:rFonts w:cs="Arial"/>
          <w:color w:val="000000"/>
          <w:shd w:val="clear" w:color="auto" w:fill="FFFFFF"/>
        </w:rPr>
        <w:t xml:space="preserve">bilančna skupina oziroma podskupina s posebnim statusom, ki jo </w:t>
      </w:r>
      <w:r w:rsidR="00485C14" w:rsidRPr="00223E80">
        <w:rPr>
          <w:rFonts w:cs="Arial"/>
          <w:color w:val="000000"/>
          <w:shd w:val="clear" w:color="auto" w:fill="FFFFFF"/>
        </w:rPr>
        <w:t xml:space="preserve">je </w:t>
      </w:r>
      <w:r w:rsidR="00D770DF" w:rsidRPr="00223E80">
        <w:rPr>
          <w:rFonts w:cs="Arial"/>
          <w:color w:val="000000"/>
          <w:shd w:val="clear" w:color="auto" w:fill="FFFFFF"/>
        </w:rPr>
        <w:t>C</w:t>
      </w:r>
      <w:r w:rsidRPr="00223E80">
        <w:rPr>
          <w:rFonts w:cs="Arial"/>
          <w:color w:val="000000"/>
          <w:shd w:val="clear" w:color="auto" w:fill="FFFFFF"/>
        </w:rPr>
        <w:t>enter za podpore ustanovi</w:t>
      </w:r>
      <w:r w:rsidR="00485C14" w:rsidRPr="00223E80">
        <w:rPr>
          <w:rFonts w:cs="Arial"/>
          <w:color w:val="000000"/>
          <w:shd w:val="clear" w:color="auto" w:fill="FFFFFF"/>
        </w:rPr>
        <w:t>l</w:t>
      </w:r>
      <w:r w:rsidRPr="00223E80">
        <w:rPr>
          <w:rFonts w:cs="Arial"/>
          <w:color w:val="000000"/>
          <w:shd w:val="clear" w:color="auto" w:fill="FFFFFF"/>
        </w:rPr>
        <w:t xml:space="preserve"> v skladu s </w:t>
      </w:r>
      <w:r w:rsidR="00485C14" w:rsidRPr="00223E80">
        <w:rPr>
          <w:rFonts w:cs="Arial"/>
          <w:color w:val="000000"/>
          <w:shd w:val="clear" w:color="auto" w:fill="FFFFFF"/>
        </w:rPr>
        <w:t>temi pravili</w:t>
      </w:r>
      <w:r w:rsidRPr="00223E80">
        <w:rPr>
          <w:rFonts w:cs="Arial"/>
          <w:color w:val="000000"/>
          <w:shd w:val="clear" w:color="auto" w:fill="FFFFFF"/>
        </w:rPr>
        <w:t xml:space="preserve"> za izravnav</w:t>
      </w:r>
      <w:r w:rsidR="00B87844" w:rsidRPr="00223E80">
        <w:rPr>
          <w:rFonts w:cs="Arial"/>
          <w:color w:val="000000"/>
          <w:shd w:val="clear" w:color="auto" w:fill="FFFFFF"/>
        </w:rPr>
        <w:t>o</w:t>
      </w:r>
      <w:r w:rsidRPr="00223E80">
        <w:rPr>
          <w:rFonts w:cs="Arial"/>
          <w:color w:val="000000"/>
          <w:shd w:val="clear" w:color="auto" w:fill="FFFFFF"/>
        </w:rPr>
        <w:t xml:space="preserve"> razlik med napovedano in realizirano proizvodnjo ter prodaj</w:t>
      </w:r>
      <w:r w:rsidR="00EE539B" w:rsidRPr="00223E80">
        <w:rPr>
          <w:rFonts w:cs="Arial"/>
          <w:color w:val="000000"/>
          <w:shd w:val="clear" w:color="auto" w:fill="FFFFFF"/>
        </w:rPr>
        <w:t>o</w:t>
      </w:r>
      <w:r w:rsidRPr="00223E80">
        <w:rPr>
          <w:rFonts w:cs="Arial"/>
          <w:color w:val="000000"/>
          <w:shd w:val="clear" w:color="auto" w:fill="FFFFFF"/>
        </w:rPr>
        <w:t xml:space="preserve"> elektrike, prevzet</w:t>
      </w:r>
      <w:r w:rsidR="00EE539B" w:rsidRPr="00223E80">
        <w:rPr>
          <w:rFonts w:cs="Arial"/>
          <w:color w:val="000000"/>
          <w:shd w:val="clear" w:color="auto" w:fill="FFFFFF"/>
        </w:rPr>
        <w:t>o</w:t>
      </w:r>
      <w:r w:rsidRPr="00223E80">
        <w:rPr>
          <w:rFonts w:cs="Arial"/>
          <w:color w:val="000000"/>
          <w:shd w:val="clear" w:color="auto" w:fill="FFFFFF"/>
        </w:rPr>
        <w:t xml:space="preserve"> od udeležencev podporne sheme, ki so upravičeni do zagotovljenega odkupa</w:t>
      </w:r>
      <w:r w:rsidR="00EE539B" w:rsidRPr="00223E80">
        <w:rPr>
          <w:rFonts w:cs="Arial"/>
          <w:color w:val="000000"/>
          <w:shd w:val="clear" w:color="auto" w:fill="FFFFFF"/>
        </w:rPr>
        <w:t>,</w:t>
      </w:r>
      <w:r w:rsidRPr="00223E80">
        <w:rPr>
          <w:rFonts w:cs="Arial"/>
          <w:color w:val="000000"/>
          <w:shd w:val="clear" w:color="auto" w:fill="FFFFFF"/>
        </w:rPr>
        <w:t xml:space="preserve"> oziroma katerih realizacija po drugi podlagi bilančno pripada </w:t>
      </w:r>
      <w:r w:rsidR="00485C14" w:rsidRPr="00223E80">
        <w:rPr>
          <w:rFonts w:cs="Arial"/>
          <w:color w:val="000000"/>
          <w:shd w:val="clear" w:color="auto" w:fill="FFFFFF"/>
        </w:rPr>
        <w:t xml:space="preserve">tej </w:t>
      </w:r>
      <w:r w:rsidR="00D770DF" w:rsidRPr="00223E80">
        <w:rPr>
          <w:rFonts w:cs="Arial"/>
          <w:color w:val="000000"/>
          <w:shd w:val="clear" w:color="auto" w:fill="FFFFFF"/>
        </w:rPr>
        <w:t>»E</w:t>
      </w:r>
      <w:r w:rsidRPr="00223E80">
        <w:rPr>
          <w:rFonts w:cs="Arial"/>
          <w:color w:val="000000"/>
          <w:shd w:val="clear" w:color="auto" w:fill="FFFFFF"/>
        </w:rPr>
        <w:t>ko skupini</w:t>
      </w:r>
      <w:r w:rsidR="00D770DF" w:rsidRPr="00223E80">
        <w:rPr>
          <w:rFonts w:cs="Arial"/>
          <w:color w:val="000000"/>
          <w:shd w:val="clear" w:color="auto" w:fill="FFFFFF"/>
        </w:rPr>
        <w:t>«</w:t>
      </w:r>
      <w:r w:rsidR="00485C14" w:rsidRPr="00223E80">
        <w:rPr>
          <w:rFonts w:cs="Arial"/>
          <w:color w:val="000000"/>
          <w:shd w:val="clear" w:color="auto" w:fill="FFFFFF"/>
        </w:rPr>
        <w:t xml:space="preserve">. </w:t>
      </w:r>
    </w:p>
    <w:p w14:paraId="0C546856" w14:textId="77777777" w:rsidR="00534E61" w:rsidRPr="00223E80" w:rsidRDefault="00534E61" w:rsidP="007E6ED7">
      <w:pPr>
        <w:spacing w:after="0"/>
        <w:rPr>
          <w:rFonts w:cs="Arial"/>
          <w:color w:val="000000"/>
          <w:shd w:val="clear" w:color="auto" w:fill="FFFFFF"/>
        </w:rPr>
      </w:pPr>
    </w:p>
    <w:p w14:paraId="1D335C79" w14:textId="77777777" w:rsidR="00142853" w:rsidRPr="00223E80" w:rsidRDefault="005E2CD9" w:rsidP="00A520AC">
      <w:pPr>
        <w:pStyle w:val="Naslov2"/>
      </w:pPr>
      <w:bookmarkStart w:id="51" w:name="_Toc112144005"/>
      <w:r w:rsidRPr="00223E80">
        <w:t>6</w:t>
      </w:r>
      <w:r w:rsidR="00142853" w:rsidRPr="00223E80">
        <w:t>.5</w:t>
      </w:r>
      <w:r w:rsidR="00584D80" w:rsidRPr="00223E80">
        <w:t xml:space="preserve"> </w:t>
      </w:r>
      <w:r w:rsidR="00D55EFA" w:rsidRPr="00223E80">
        <w:t>Plačila za statistične prenose</w:t>
      </w:r>
      <w:bookmarkEnd w:id="51"/>
    </w:p>
    <w:p w14:paraId="566F4E65" w14:textId="77777777" w:rsidR="00534E61" w:rsidRPr="00223E80" w:rsidRDefault="00534E61" w:rsidP="007E6ED7">
      <w:pPr>
        <w:spacing w:after="0"/>
        <w:rPr>
          <w:rFonts w:eastAsia="Times New Roman"/>
          <w:b/>
          <w:iCs/>
        </w:rPr>
      </w:pPr>
    </w:p>
    <w:p w14:paraId="071F5AA0" w14:textId="0EB873B5" w:rsidR="00CC622A" w:rsidRPr="00223E80" w:rsidRDefault="00076F8A" w:rsidP="007E6ED7">
      <w:pPr>
        <w:spacing w:after="0"/>
        <w:rPr>
          <w:rFonts w:eastAsia="Arial" w:cs="Arial"/>
        </w:rPr>
      </w:pPr>
      <w:r w:rsidRPr="00223E80">
        <w:rPr>
          <w:rFonts w:eastAsia="Arial" w:cs="Arial"/>
        </w:rPr>
        <w:t>Na podlagi ugotovitev Agencije za energijo Republika Slovenija tudi v letu 2021 ni dosegla 25</w:t>
      </w:r>
      <w:r w:rsidR="00C11274" w:rsidRPr="00223E80">
        <w:rPr>
          <w:rFonts w:eastAsia="Arial" w:cs="Arial"/>
        </w:rPr>
        <w:t xml:space="preserve"> </w:t>
      </w:r>
      <w:r w:rsidRPr="00223E80">
        <w:rPr>
          <w:rFonts w:eastAsia="Arial" w:cs="Arial"/>
        </w:rPr>
        <w:t xml:space="preserve">% deleža iz obnovljivih virov v bruto končni rabi energije. Ocenjuje se, da ta delež ob upoštevanju povečane rabe energije </w:t>
      </w:r>
      <w:r w:rsidR="004B76EE" w:rsidRPr="00223E80">
        <w:rPr>
          <w:rFonts w:eastAsia="Arial" w:cs="Arial"/>
        </w:rPr>
        <w:t xml:space="preserve">(upoštevaje izhod iz </w:t>
      </w:r>
      <w:r w:rsidR="0038711A" w:rsidRPr="00223E80">
        <w:rPr>
          <w:rFonts w:eastAsia="Arial" w:cs="Arial"/>
        </w:rPr>
        <w:t>krize covida</w:t>
      </w:r>
      <w:r w:rsidR="004B76EE" w:rsidRPr="00223E80">
        <w:rPr>
          <w:rFonts w:eastAsia="Arial" w:cs="Arial"/>
        </w:rPr>
        <w:t xml:space="preserve">-19) </w:t>
      </w:r>
      <w:r w:rsidRPr="00223E80">
        <w:rPr>
          <w:rFonts w:eastAsia="Arial" w:cs="Arial"/>
        </w:rPr>
        <w:t>v letu 2021 znaša 23,5</w:t>
      </w:r>
      <w:r w:rsidR="00C11274" w:rsidRPr="00223E80">
        <w:rPr>
          <w:rFonts w:eastAsia="Arial" w:cs="Arial"/>
        </w:rPr>
        <w:t xml:space="preserve"> </w:t>
      </w:r>
      <w:r w:rsidRPr="00223E80">
        <w:rPr>
          <w:rFonts w:eastAsia="Arial" w:cs="Arial"/>
        </w:rPr>
        <w:t xml:space="preserve">%, kar pomeni, da bo za izpolnitev </w:t>
      </w:r>
      <w:r w:rsidR="0038711A" w:rsidRPr="00223E80">
        <w:rPr>
          <w:rFonts w:eastAsia="Arial" w:cs="Arial"/>
        </w:rPr>
        <w:t>za</w:t>
      </w:r>
      <w:r w:rsidRPr="00223E80">
        <w:rPr>
          <w:rFonts w:eastAsia="Arial" w:cs="Arial"/>
        </w:rPr>
        <w:t xml:space="preserve">stavljenega cilja treba dokupiti </w:t>
      </w:r>
      <w:r w:rsidR="004B76EE" w:rsidRPr="00223E80">
        <w:rPr>
          <w:rFonts w:eastAsia="Arial" w:cs="Arial"/>
        </w:rPr>
        <w:t xml:space="preserve">okvirno </w:t>
      </w:r>
      <w:r w:rsidRPr="00223E80">
        <w:rPr>
          <w:rFonts w:eastAsia="Arial" w:cs="Arial"/>
        </w:rPr>
        <w:t>1,5</w:t>
      </w:r>
      <w:r w:rsidR="00FE154E" w:rsidRPr="00223E80">
        <w:rPr>
          <w:rFonts w:eastAsia="Arial" w:cs="Arial"/>
        </w:rPr>
        <w:t xml:space="preserve"> </w:t>
      </w:r>
      <w:r w:rsidRPr="00223E80">
        <w:rPr>
          <w:rFonts w:eastAsia="Arial" w:cs="Arial"/>
        </w:rPr>
        <w:t xml:space="preserve">% deleža </w:t>
      </w:r>
      <w:r w:rsidR="00A00F02" w:rsidRPr="00223E80">
        <w:rPr>
          <w:rFonts w:eastAsia="Arial" w:cs="Arial"/>
        </w:rPr>
        <w:t xml:space="preserve">OVE </w:t>
      </w:r>
      <w:r w:rsidRPr="00223E80">
        <w:rPr>
          <w:rFonts w:eastAsia="Arial" w:cs="Arial"/>
        </w:rPr>
        <w:t>prek statističnih prenosov</w:t>
      </w:r>
      <w:r w:rsidR="00CC622A" w:rsidRPr="00223E80">
        <w:rPr>
          <w:rFonts w:eastAsia="Arial" w:cs="Arial"/>
        </w:rPr>
        <w:t xml:space="preserve"> med državami članicami</w:t>
      </w:r>
      <w:r w:rsidR="008308D3" w:rsidRPr="00223E80">
        <w:rPr>
          <w:rFonts w:eastAsia="Arial" w:cs="Arial"/>
        </w:rPr>
        <w:t xml:space="preserve">, za kar se bo porabilo okvirno 15 mio EUR. </w:t>
      </w:r>
    </w:p>
    <w:p w14:paraId="58E46F1C" w14:textId="77777777" w:rsidR="008308D3" w:rsidRPr="00223E80" w:rsidRDefault="008308D3" w:rsidP="007E6ED7">
      <w:pPr>
        <w:spacing w:after="0"/>
        <w:rPr>
          <w:rFonts w:eastAsia="Arial" w:cs="Arial"/>
        </w:rPr>
      </w:pPr>
    </w:p>
    <w:p w14:paraId="4E876DD9" w14:textId="096A987D" w:rsidR="00206603" w:rsidRPr="00223E80" w:rsidRDefault="00CC622A" w:rsidP="007E6ED7">
      <w:pPr>
        <w:spacing w:after="0"/>
        <w:rPr>
          <w:rFonts w:eastAsia="Arial" w:cs="Arial"/>
        </w:rPr>
      </w:pPr>
      <w:r w:rsidRPr="00223E80">
        <w:rPr>
          <w:rFonts w:eastAsia="Arial" w:cs="Arial"/>
        </w:rPr>
        <w:t>Ob upoštevanju sicer zelo volatilnih energetskih trg</w:t>
      </w:r>
      <w:r w:rsidR="00B87844" w:rsidRPr="00223E80">
        <w:rPr>
          <w:rFonts w:eastAsia="Arial" w:cs="Arial"/>
        </w:rPr>
        <w:t>ov</w:t>
      </w:r>
      <w:r w:rsidRPr="00223E80">
        <w:rPr>
          <w:rFonts w:eastAsia="Arial" w:cs="Arial"/>
        </w:rPr>
        <w:t xml:space="preserve"> se za leto 2022 pričakuje nekoliko večji odmik od </w:t>
      </w:r>
      <w:r w:rsidR="004B007D" w:rsidRPr="00223E80">
        <w:rPr>
          <w:rFonts w:eastAsia="Arial" w:cs="Arial"/>
        </w:rPr>
        <w:t>za</w:t>
      </w:r>
      <w:r w:rsidRPr="00223E80">
        <w:rPr>
          <w:rFonts w:eastAsia="Arial" w:cs="Arial"/>
        </w:rPr>
        <w:t xml:space="preserve">stavljenega cilja, kar bi </w:t>
      </w:r>
      <w:r w:rsidR="006A5C0A" w:rsidRPr="00223E80">
        <w:rPr>
          <w:rFonts w:eastAsia="Arial" w:cs="Arial"/>
        </w:rPr>
        <w:t xml:space="preserve">lahko </w:t>
      </w:r>
      <w:r w:rsidRPr="00223E80">
        <w:rPr>
          <w:rFonts w:eastAsia="Arial" w:cs="Arial"/>
        </w:rPr>
        <w:t>znašalo 2</w:t>
      </w:r>
      <w:r w:rsidR="00FE154E" w:rsidRPr="00223E80">
        <w:rPr>
          <w:rFonts w:eastAsia="Arial" w:cs="Arial"/>
        </w:rPr>
        <w:t xml:space="preserve"> </w:t>
      </w:r>
      <w:r w:rsidRPr="00223E80">
        <w:rPr>
          <w:rFonts w:eastAsia="Arial" w:cs="Arial"/>
        </w:rPr>
        <w:t xml:space="preserve">% pod </w:t>
      </w:r>
      <w:r w:rsidR="00B87844" w:rsidRPr="00223E80">
        <w:rPr>
          <w:rFonts w:eastAsia="Arial" w:cs="Arial"/>
        </w:rPr>
        <w:t>za</w:t>
      </w:r>
      <w:r w:rsidRPr="00223E80">
        <w:rPr>
          <w:rFonts w:eastAsia="Arial" w:cs="Arial"/>
        </w:rPr>
        <w:t xml:space="preserve">stavljenim ciljem, zaradi česar se bo v letu 2023 </w:t>
      </w:r>
      <w:r w:rsidR="006A5C0A" w:rsidRPr="00223E80">
        <w:rPr>
          <w:rFonts w:eastAsia="Arial" w:cs="Arial"/>
        </w:rPr>
        <w:t>potencialno pristopilo</w:t>
      </w:r>
      <w:r w:rsidRPr="00223E80">
        <w:rPr>
          <w:rFonts w:eastAsia="Arial" w:cs="Arial"/>
        </w:rPr>
        <w:t xml:space="preserve"> </w:t>
      </w:r>
      <w:r w:rsidR="006A5C0A" w:rsidRPr="00223E80">
        <w:rPr>
          <w:rFonts w:eastAsia="Arial" w:cs="Arial"/>
        </w:rPr>
        <w:t>k</w:t>
      </w:r>
      <w:r w:rsidRPr="00223E80">
        <w:rPr>
          <w:rFonts w:eastAsia="Arial" w:cs="Arial"/>
        </w:rPr>
        <w:t xml:space="preserve"> uporabi platforme Unije za razvoj energije iz obnovljivih virov in statističn</w:t>
      </w:r>
      <w:r w:rsidR="004B007D" w:rsidRPr="00223E80">
        <w:rPr>
          <w:rFonts w:eastAsia="Arial" w:cs="Arial"/>
        </w:rPr>
        <w:t>e</w:t>
      </w:r>
      <w:r w:rsidRPr="00223E80">
        <w:rPr>
          <w:rFonts w:eastAsia="Arial" w:cs="Arial"/>
        </w:rPr>
        <w:t xml:space="preserve"> prenos</w:t>
      </w:r>
      <w:r w:rsidR="004B007D" w:rsidRPr="00223E80">
        <w:rPr>
          <w:rFonts w:eastAsia="Arial" w:cs="Arial"/>
        </w:rPr>
        <w:t>e</w:t>
      </w:r>
      <w:r w:rsidRPr="00223E80">
        <w:rPr>
          <w:rFonts w:eastAsia="Arial" w:cs="Arial"/>
        </w:rPr>
        <w:t xml:space="preserve"> med državami članicami. </w:t>
      </w:r>
    </w:p>
    <w:p w14:paraId="3C8DEE28" w14:textId="77777777" w:rsidR="00D72B7D" w:rsidRPr="00223E80" w:rsidRDefault="00D72B7D" w:rsidP="007E6ED7">
      <w:pPr>
        <w:spacing w:after="0"/>
        <w:rPr>
          <w:rFonts w:eastAsia="Arial" w:cs="Arial"/>
        </w:rPr>
      </w:pPr>
    </w:p>
    <w:p w14:paraId="2BF64395" w14:textId="77777777" w:rsidR="00534E61" w:rsidRPr="00223E80" w:rsidRDefault="005E2CD9" w:rsidP="00A520AC">
      <w:pPr>
        <w:pStyle w:val="Naslov2"/>
      </w:pPr>
      <w:bookmarkStart w:id="52" w:name="_Toc112144006"/>
      <w:r w:rsidRPr="00223E80">
        <w:t>6</w:t>
      </w:r>
      <w:r w:rsidR="00584D80" w:rsidRPr="00223E80">
        <w:t xml:space="preserve">.6 </w:t>
      </w:r>
      <w:r w:rsidR="004B76EE" w:rsidRPr="00223E80">
        <w:t>Plačila v okviru s</w:t>
      </w:r>
      <w:r w:rsidR="00142853" w:rsidRPr="00223E80">
        <w:t>kupni</w:t>
      </w:r>
      <w:r w:rsidR="004B76EE" w:rsidRPr="00223E80">
        <w:t>h</w:t>
      </w:r>
      <w:r w:rsidR="00142853" w:rsidRPr="00223E80">
        <w:t xml:space="preserve"> projekt</w:t>
      </w:r>
      <w:r w:rsidR="004B76EE" w:rsidRPr="00223E80">
        <w:t>ov</w:t>
      </w:r>
      <w:r w:rsidR="00142853" w:rsidRPr="00223E80">
        <w:t xml:space="preserve"> med državami članicami in državami članicami ter tretjimi državami</w:t>
      </w:r>
      <w:bookmarkEnd w:id="52"/>
    </w:p>
    <w:p w14:paraId="218B76CF" w14:textId="77777777" w:rsidR="009B71BE" w:rsidRPr="00223E80" w:rsidRDefault="009B71BE" w:rsidP="007E6ED7">
      <w:pPr>
        <w:spacing w:after="0"/>
        <w:rPr>
          <w:rFonts w:eastAsia="Arial" w:cs="Arial"/>
        </w:rPr>
      </w:pPr>
    </w:p>
    <w:p w14:paraId="7E59A834" w14:textId="77777777" w:rsidR="00534E61" w:rsidRPr="00223E80" w:rsidRDefault="00285044" w:rsidP="007E6ED7">
      <w:pPr>
        <w:spacing w:after="0"/>
        <w:rPr>
          <w:rFonts w:eastAsia="Arial" w:cs="Arial"/>
        </w:rPr>
      </w:pPr>
      <w:r w:rsidRPr="00223E80">
        <w:rPr>
          <w:rFonts w:eastAsia="Arial" w:cs="Arial"/>
        </w:rPr>
        <w:t xml:space="preserve">Republika Slovenija bo zaradi nedoseganja deleža obnovljivih virov energije v bruto končni rabi energije v skladu z 31. in 33. členom ZSROVE odprta za vse investicijske pobude in skupne projekte, ki bodo povečevali nacionalni delež OVE skladno z usmeritvami </w:t>
      </w:r>
      <w:r w:rsidR="00033F8B" w:rsidRPr="00223E80">
        <w:rPr>
          <w:rFonts w:eastAsia="Arial" w:cs="Arial"/>
        </w:rPr>
        <w:t>NEPN</w:t>
      </w:r>
      <w:r w:rsidRPr="00223E80">
        <w:rPr>
          <w:rFonts w:eastAsia="Arial" w:cs="Arial"/>
        </w:rPr>
        <w:t xml:space="preserve"> in drugih relevantnih strategij.</w:t>
      </w:r>
    </w:p>
    <w:p w14:paraId="5096DE42" w14:textId="77777777" w:rsidR="00285044" w:rsidRPr="00223E80" w:rsidRDefault="00285044" w:rsidP="007E6ED7">
      <w:pPr>
        <w:spacing w:after="0"/>
        <w:rPr>
          <w:rFonts w:eastAsia="Arial" w:cs="Arial"/>
        </w:rPr>
      </w:pPr>
    </w:p>
    <w:p w14:paraId="46D95E1F" w14:textId="77777777" w:rsidR="00033F8B" w:rsidRPr="00223E80" w:rsidRDefault="00033F8B" w:rsidP="007E6ED7">
      <w:pPr>
        <w:spacing w:after="0"/>
        <w:rPr>
          <w:rFonts w:eastAsia="Arial" w:cs="Arial"/>
        </w:rPr>
      </w:pPr>
      <w:r w:rsidRPr="00223E80">
        <w:rPr>
          <w:rFonts w:eastAsia="Arial" w:cs="Arial"/>
        </w:rPr>
        <w:t xml:space="preserve">Ocenjujemo, da za </w:t>
      </w:r>
      <w:r w:rsidR="004B76EE" w:rsidRPr="00223E80">
        <w:rPr>
          <w:rFonts w:eastAsia="Arial" w:cs="Arial"/>
        </w:rPr>
        <w:t>tovrstne</w:t>
      </w:r>
      <w:r w:rsidRPr="00223E80">
        <w:rPr>
          <w:rFonts w:eastAsia="Arial" w:cs="Arial"/>
        </w:rPr>
        <w:t xml:space="preserve"> projekte v prihodnjih letih ne bo </w:t>
      </w:r>
      <w:r w:rsidR="004B76EE" w:rsidRPr="00223E80">
        <w:rPr>
          <w:rFonts w:eastAsia="Arial" w:cs="Arial"/>
        </w:rPr>
        <w:t>plačil</w:t>
      </w:r>
      <w:r w:rsidRPr="00223E80">
        <w:rPr>
          <w:rFonts w:eastAsia="Arial" w:cs="Arial"/>
        </w:rPr>
        <w:t xml:space="preserve">. </w:t>
      </w:r>
    </w:p>
    <w:p w14:paraId="1BFCA46E" w14:textId="77777777" w:rsidR="00033F8B" w:rsidRPr="00223E80" w:rsidRDefault="00033F8B" w:rsidP="007E6ED7">
      <w:pPr>
        <w:spacing w:after="0"/>
        <w:rPr>
          <w:rFonts w:eastAsia="Arial" w:cs="Arial"/>
        </w:rPr>
      </w:pPr>
    </w:p>
    <w:p w14:paraId="463CC948" w14:textId="77777777" w:rsidR="00B56D0E" w:rsidRPr="00223E80" w:rsidRDefault="005E2CD9" w:rsidP="00A520AC">
      <w:pPr>
        <w:pStyle w:val="Naslov2"/>
      </w:pPr>
      <w:bookmarkStart w:id="53" w:name="_Toc112144007"/>
      <w:r w:rsidRPr="00223E80">
        <w:t>6</w:t>
      </w:r>
      <w:r w:rsidR="00584D80" w:rsidRPr="00223E80">
        <w:t xml:space="preserve">.7 </w:t>
      </w:r>
      <w:r w:rsidR="00B56D0E" w:rsidRPr="00223E80">
        <w:t>Finančna vplačila v mehanizem Unije za financiranje energije iz obnovljivih virov</w:t>
      </w:r>
      <w:bookmarkEnd w:id="53"/>
    </w:p>
    <w:p w14:paraId="2502A746" w14:textId="77777777" w:rsidR="00D72B7D" w:rsidRPr="00223E80" w:rsidRDefault="00D72B7D" w:rsidP="007E6ED7">
      <w:pPr>
        <w:shd w:val="clear" w:color="auto" w:fill="FFFFFF"/>
        <w:spacing w:after="0"/>
        <w:rPr>
          <w:rFonts w:eastAsia="Arial" w:cs="Arial"/>
        </w:rPr>
      </w:pPr>
    </w:p>
    <w:p w14:paraId="71D7F348" w14:textId="58D96CD2" w:rsidR="00D72B7D" w:rsidRPr="00223E80" w:rsidRDefault="00D72B7D" w:rsidP="007E6ED7">
      <w:pPr>
        <w:shd w:val="clear" w:color="auto" w:fill="FFFFFF"/>
        <w:spacing w:after="0"/>
        <w:rPr>
          <w:rFonts w:eastAsia="Arial" w:cs="Arial"/>
        </w:rPr>
      </w:pPr>
      <w:r w:rsidRPr="00223E80">
        <w:rPr>
          <w:rFonts w:eastAsia="Arial" w:cs="Arial"/>
        </w:rPr>
        <w:t xml:space="preserve">Trenutno </w:t>
      </w:r>
      <w:r w:rsidR="0045510B" w:rsidRPr="00223E80">
        <w:rPr>
          <w:rFonts w:eastAsia="Arial" w:cs="Arial"/>
        </w:rPr>
        <w:t xml:space="preserve">pa </w:t>
      </w:r>
      <w:r w:rsidRPr="00223E80">
        <w:rPr>
          <w:rFonts w:eastAsia="Arial" w:cs="Arial"/>
        </w:rPr>
        <w:t xml:space="preserve">se načrtuje predlog </w:t>
      </w:r>
      <w:r w:rsidR="00561546" w:rsidRPr="00223E80">
        <w:rPr>
          <w:rFonts w:eastAsia="Arial" w:cs="Arial"/>
        </w:rPr>
        <w:t>vplačil s</w:t>
      </w:r>
      <w:r w:rsidRPr="00223E80">
        <w:rPr>
          <w:rFonts w:eastAsia="Arial" w:cs="Arial"/>
        </w:rPr>
        <w:t>redstev po letih</w:t>
      </w:r>
      <w:r w:rsidR="00561546" w:rsidRPr="00223E80">
        <w:rPr>
          <w:rFonts w:eastAsia="Arial" w:cs="Arial"/>
        </w:rPr>
        <w:t>,</w:t>
      </w:r>
      <w:r w:rsidRPr="00223E80">
        <w:rPr>
          <w:rFonts w:eastAsia="Arial" w:cs="Arial"/>
        </w:rPr>
        <w:t xml:space="preserve"> opredeljenih v </w:t>
      </w:r>
      <w:r w:rsidR="00B87844" w:rsidRPr="00223E80">
        <w:rPr>
          <w:rFonts w:eastAsia="Arial" w:cs="Arial"/>
          <w:i/>
        </w:rPr>
        <w:t>p</w:t>
      </w:r>
      <w:r w:rsidRPr="00223E80">
        <w:rPr>
          <w:rFonts w:eastAsia="Arial" w:cs="Arial"/>
          <w:i/>
        </w:rPr>
        <w:t>reglednici 2</w:t>
      </w:r>
      <w:r w:rsidR="00033F8B" w:rsidRPr="00223E80">
        <w:rPr>
          <w:rFonts w:eastAsia="Arial" w:cs="Arial"/>
        </w:rPr>
        <w:t>.</w:t>
      </w:r>
    </w:p>
    <w:p w14:paraId="049CFC9B" w14:textId="77777777" w:rsidR="00611D46" w:rsidRPr="00223E80" w:rsidRDefault="00611D46" w:rsidP="007E6ED7">
      <w:pPr>
        <w:spacing w:after="0"/>
        <w:rPr>
          <w:rFonts w:eastAsia="Times New Roman"/>
          <w:b/>
          <w:iCs/>
        </w:rPr>
      </w:pPr>
    </w:p>
    <w:p w14:paraId="15938C12" w14:textId="77777777" w:rsidR="00574686" w:rsidRPr="00223E80" w:rsidRDefault="005E2CD9" w:rsidP="00A520AC">
      <w:pPr>
        <w:pStyle w:val="Naslov1"/>
      </w:pPr>
      <w:bookmarkStart w:id="54" w:name="_Toc112144008"/>
      <w:r w:rsidRPr="00223E80">
        <w:lastRenderedPageBreak/>
        <w:t>7</w:t>
      </w:r>
      <w:r w:rsidR="00006FD4" w:rsidRPr="00223E80">
        <w:t xml:space="preserve"> </w:t>
      </w:r>
      <w:r w:rsidR="00574686" w:rsidRPr="00223E80">
        <w:t>OKVIRNI ČASOVNI RAZPORED IN POGOSTOST JAVNIH POZIVOV</w:t>
      </w:r>
      <w:bookmarkEnd w:id="54"/>
    </w:p>
    <w:p w14:paraId="58714622" w14:textId="77777777" w:rsidR="00611D46" w:rsidRPr="00223E80" w:rsidRDefault="00611D46" w:rsidP="007E6ED7">
      <w:pPr>
        <w:spacing w:after="0"/>
        <w:rPr>
          <w:rFonts w:eastAsia="Times New Roman"/>
          <w:b/>
          <w:iCs/>
          <w:color w:val="3A4A3E"/>
        </w:rPr>
      </w:pPr>
    </w:p>
    <w:p w14:paraId="0C9C7E04" w14:textId="77777777" w:rsidR="008B33CF" w:rsidRPr="00223E80" w:rsidRDefault="005E2CD9" w:rsidP="00A520AC">
      <w:pPr>
        <w:pStyle w:val="Naslov2"/>
      </w:pPr>
      <w:bookmarkStart w:id="55" w:name="_Toc112144009"/>
      <w:r w:rsidRPr="00223E80">
        <w:t>7</w:t>
      </w:r>
      <w:r w:rsidR="00584D80" w:rsidRPr="00223E80">
        <w:t xml:space="preserve">.1 </w:t>
      </w:r>
      <w:r w:rsidR="00D55EFA" w:rsidRPr="00223E80">
        <w:t>S</w:t>
      </w:r>
      <w:r w:rsidR="008B33CF" w:rsidRPr="00223E80">
        <w:t>redstva za zagotavljanje podpor za izplačila po veljavni podporni shemi</w:t>
      </w:r>
      <w:bookmarkEnd w:id="55"/>
    </w:p>
    <w:p w14:paraId="6A9B1600" w14:textId="77777777" w:rsidR="008B33CF" w:rsidRPr="00223E80" w:rsidRDefault="008B33CF" w:rsidP="009B71BE">
      <w:pPr>
        <w:overflowPunct w:val="0"/>
        <w:autoSpaceDE w:val="0"/>
        <w:autoSpaceDN w:val="0"/>
        <w:adjustRightInd w:val="0"/>
        <w:spacing w:after="0"/>
        <w:contextualSpacing/>
        <w:textAlignment w:val="baseline"/>
        <w:rPr>
          <w:rFonts w:eastAsia="Arial" w:cs="Arial"/>
        </w:rPr>
      </w:pPr>
    </w:p>
    <w:p w14:paraId="5AA7E0D4" w14:textId="3AC7AE7D" w:rsidR="00534E61" w:rsidRPr="00223E80" w:rsidRDefault="00D2372C" w:rsidP="007E6ED7">
      <w:pPr>
        <w:snapToGrid w:val="0"/>
        <w:spacing w:after="0"/>
        <w:rPr>
          <w:rFonts w:eastAsia="Arial" w:cs="Arial"/>
        </w:rPr>
      </w:pPr>
      <w:r w:rsidRPr="00223E80">
        <w:rPr>
          <w:rFonts w:eastAsia="Arial" w:cs="Arial"/>
        </w:rPr>
        <w:t>V zvezi zagotavljanja</w:t>
      </w:r>
      <w:r w:rsidR="008B33CF" w:rsidRPr="00223E80">
        <w:rPr>
          <w:rFonts w:eastAsia="Arial" w:cs="Arial"/>
        </w:rPr>
        <w:t xml:space="preserve"> podpor za izplačila po veljavni podporni shemi</w:t>
      </w:r>
      <w:r w:rsidRPr="00223E80">
        <w:rPr>
          <w:rFonts w:eastAsia="Arial" w:cs="Arial"/>
        </w:rPr>
        <w:t xml:space="preserve"> se z namenom</w:t>
      </w:r>
      <w:r w:rsidR="008B33CF" w:rsidRPr="00223E80">
        <w:rPr>
          <w:rFonts w:eastAsia="Arial" w:cs="Arial"/>
        </w:rPr>
        <w:t xml:space="preserve">, da se investitorje vzpodbudi k izvedbi čim več projektov proizvodnih naprav OVE in SPTE, v pogojih priglašene sheme tudi v letu 2022 in 2023 načrtuje izvesti dva poziva na leto v že utečenih časovnih obdobjih, kar pomeni </w:t>
      </w:r>
      <w:r w:rsidR="00B87844" w:rsidRPr="00223E80">
        <w:rPr>
          <w:rFonts w:eastAsia="Arial" w:cs="Arial"/>
        </w:rPr>
        <w:t xml:space="preserve">v </w:t>
      </w:r>
      <w:r w:rsidR="008B33CF" w:rsidRPr="00223E80">
        <w:rPr>
          <w:rFonts w:eastAsia="Arial" w:cs="Arial"/>
        </w:rPr>
        <w:t>sredin</w:t>
      </w:r>
      <w:r w:rsidR="00B87844" w:rsidRPr="00223E80">
        <w:rPr>
          <w:rFonts w:eastAsia="Arial" w:cs="Arial"/>
        </w:rPr>
        <w:t>i</w:t>
      </w:r>
      <w:r w:rsidR="008B33CF" w:rsidRPr="00223E80">
        <w:rPr>
          <w:rFonts w:eastAsia="Arial" w:cs="Arial"/>
        </w:rPr>
        <w:t xml:space="preserve"> in konec koledarskega leta.</w:t>
      </w:r>
    </w:p>
    <w:p w14:paraId="75691541" w14:textId="77777777" w:rsidR="00534E61" w:rsidRPr="00223E80" w:rsidRDefault="00534E61" w:rsidP="007E6ED7">
      <w:pPr>
        <w:spacing w:after="0"/>
        <w:rPr>
          <w:rFonts w:eastAsia="Arial" w:cs="Arial"/>
        </w:rPr>
      </w:pPr>
    </w:p>
    <w:p w14:paraId="5B616290" w14:textId="197DCAE1" w:rsidR="008B33CF" w:rsidRPr="00223E80" w:rsidRDefault="008B33CF" w:rsidP="007E6ED7">
      <w:pPr>
        <w:spacing w:after="0"/>
        <w:rPr>
          <w:rFonts w:eastAsia="Arial" w:cs="Arial"/>
        </w:rPr>
      </w:pPr>
      <w:r w:rsidRPr="00223E80">
        <w:rPr>
          <w:rFonts w:eastAsia="Arial" w:cs="Arial"/>
        </w:rPr>
        <w:t>Skladno s potrjeno shemo državne pomoči se za vsak javni poziv 70</w:t>
      </w:r>
      <w:r w:rsidR="00C11274" w:rsidRPr="00223E80">
        <w:rPr>
          <w:rFonts w:eastAsia="Arial" w:cs="Arial"/>
        </w:rPr>
        <w:t>–</w:t>
      </w:r>
      <w:r w:rsidRPr="00223E80">
        <w:rPr>
          <w:rFonts w:eastAsia="Arial" w:cs="Arial"/>
        </w:rPr>
        <w:t>90</w:t>
      </w:r>
      <w:r w:rsidR="00D03979" w:rsidRPr="00223E80">
        <w:rPr>
          <w:rFonts w:eastAsia="Arial" w:cs="Arial"/>
        </w:rPr>
        <w:t xml:space="preserve"> </w:t>
      </w:r>
      <w:r w:rsidRPr="00223E80">
        <w:rPr>
          <w:rFonts w:eastAsia="Arial" w:cs="Arial"/>
        </w:rPr>
        <w:t xml:space="preserve">% razpoložljivih sredstev dodeli za prvi krog, v okviru katerega se opredelita dve skupini: </w:t>
      </w:r>
    </w:p>
    <w:p w14:paraId="420F0335" w14:textId="77777777" w:rsidR="00534E61" w:rsidRPr="00223E80" w:rsidRDefault="00534E61" w:rsidP="007E6ED7">
      <w:pPr>
        <w:spacing w:after="0"/>
        <w:rPr>
          <w:rFonts w:eastAsia="Arial" w:cs="Arial"/>
        </w:rPr>
      </w:pPr>
    </w:p>
    <w:p w14:paraId="54FADA60" w14:textId="11AEA2D7" w:rsidR="008B33CF" w:rsidRPr="00223E80" w:rsidRDefault="008B33CF" w:rsidP="00534E61">
      <w:pPr>
        <w:numPr>
          <w:ilvl w:val="0"/>
          <w:numId w:val="24"/>
        </w:numPr>
        <w:spacing w:after="0"/>
        <w:rPr>
          <w:rFonts w:eastAsia="Arial" w:cs="Arial"/>
        </w:rPr>
      </w:pPr>
      <w:r w:rsidRPr="00223E80">
        <w:rPr>
          <w:rFonts w:eastAsia="Arial" w:cs="Arial"/>
        </w:rPr>
        <w:t>prva konkurenčna skupina zajema proizvodne naprave z uporabo tehnologij, ki pretvarjajo energente, ki jih ni treb</w:t>
      </w:r>
      <w:r w:rsidR="00FF4957" w:rsidRPr="00223E80">
        <w:rPr>
          <w:rFonts w:eastAsia="Arial" w:cs="Arial"/>
        </w:rPr>
        <w:t>a</w:t>
      </w:r>
      <w:r w:rsidRPr="00223E80">
        <w:rPr>
          <w:rFonts w:eastAsia="Arial" w:cs="Arial"/>
        </w:rPr>
        <w:t xml:space="preserve"> kupovati na trgu (npr. proizvodne naprave na vodo, veter, sonce, odlagališčni plin ipd.) ali jih proizvajati; </w:t>
      </w:r>
    </w:p>
    <w:p w14:paraId="369871B6" w14:textId="77777777" w:rsidR="00534E61" w:rsidRPr="00223E80" w:rsidRDefault="00534E61" w:rsidP="00534E61">
      <w:pPr>
        <w:spacing w:after="0"/>
        <w:ind w:left="1080"/>
        <w:rPr>
          <w:rFonts w:eastAsia="Arial" w:cs="Arial"/>
        </w:rPr>
      </w:pPr>
    </w:p>
    <w:p w14:paraId="114F2EFC" w14:textId="77777777" w:rsidR="008B33CF" w:rsidRPr="00223E80" w:rsidRDefault="008B33CF" w:rsidP="00534E61">
      <w:pPr>
        <w:numPr>
          <w:ilvl w:val="0"/>
          <w:numId w:val="24"/>
        </w:numPr>
        <w:spacing w:after="0"/>
        <w:rPr>
          <w:rFonts w:eastAsia="Arial" w:cs="Arial"/>
        </w:rPr>
      </w:pPr>
      <w:r w:rsidRPr="00223E80">
        <w:rPr>
          <w:rFonts w:eastAsia="Arial" w:cs="Arial"/>
        </w:rPr>
        <w:t xml:space="preserve">v drugi konkurenčni skupini pa so vse ostale OVE in SPTE tehnologije, kjer predstavlja pomemben del obratovalnih stroškov zagotavljanje energenta, ali pa so te zaradi raznih tveganj manj konkurenčne. </w:t>
      </w:r>
    </w:p>
    <w:p w14:paraId="25CA2130" w14:textId="77777777" w:rsidR="00534E61" w:rsidRPr="00223E80" w:rsidRDefault="00534E61" w:rsidP="00534E61">
      <w:pPr>
        <w:spacing w:after="0"/>
        <w:ind w:left="720"/>
        <w:rPr>
          <w:rFonts w:eastAsia="Arial" w:cs="Arial"/>
        </w:rPr>
      </w:pPr>
    </w:p>
    <w:p w14:paraId="5667E549" w14:textId="77777777" w:rsidR="008B33CF" w:rsidRPr="00223E80" w:rsidRDefault="008B33CF" w:rsidP="007E6ED7">
      <w:pPr>
        <w:spacing w:after="0"/>
        <w:rPr>
          <w:rFonts w:eastAsia="Arial" w:cs="Arial"/>
        </w:rPr>
      </w:pPr>
      <w:r w:rsidRPr="00223E80">
        <w:rPr>
          <w:rFonts w:eastAsia="Arial" w:cs="Arial"/>
        </w:rPr>
        <w:t xml:space="preserve">Vrednost razpoložljivih sredstev za posamezno skupino prvega kroga je opredeljena v </w:t>
      </w:r>
      <w:r w:rsidR="007C00DC" w:rsidRPr="00223E80">
        <w:rPr>
          <w:rFonts w:eastAsia="Arial" w:cs="Arial"/>
        </w:rPr>
        <w:t xml:space="preserve">spodnji </w:t>
      </w:r>
      <w:r w:rsidRPr="00223E80">
        <w:rPr>
          <w:rFonts w:eastAsia="Arial" w:cs="Arial"/>
        </w:rPr>
        <w:t>usmeritvi za pripravo javnih pozivov k prijavi projektov proizvodnih naprav OVE in SPTE za leto 2022.</w:t>
      </w:r>
      <w:r w:rsidR="00534E61" w:rsidRPr="00223E80">
        <w:rPr>
          <w:rFonts w:eastAsia="Arial" w:cs="Arial"/>
        </w:rPr>
        <w:t xml:space="preserve"> </w:t>
      </w:r>
      <w:r w:rsidRPr="00223E80">
        <w:rPr>
          <w:rFonts w:eastAsia="Arial" w:cs="Arial"/>
        </w:rPr>
        <w:t>Preostanek razpoložljivih sredstev se nameni za drugi krog.</w:t>
      </w:r>
    </w:p>
    <w:p w14:paraId="6AD3F9DC" w14:textId="77777777" w:rsidR="00534E61" w:rsidRPr="00223E80" w:rsidRDefault="00534E61" w:rsidP="007E6ED7">
      <w:pPr>
        <w:spacing w:after="0"/>
        <w:rPr>
          <w:rFonts w:eastAsia="Arial" w:cs="Arial"/>
        </w:rPr>
      </w:pPr>
    </w:p>
    <w:p w14:paraId="61254CAE" w14:textId="73A9C92D" w:rsidR="00A0067B" w:rsidRPr="00223E80" w:rsidRDefault="007C00DC" w:rsidP="007E6ED7">
      <w:pPr>
        <w:spacing w:after="0"/>
        <w:rPr>
          <w:rFonts w:eastAsia="Arial" w:cs="Arial"/>
          <w:b/>
        </w:rPr>
      </w:pPr>
      <w:r w:rsidRPr="00223E80">
        <w:rPr>
          <w:rFonts w:eastAsia="Arial" w:cs="Arial"/>
          <w:b/>
        </w:rPr>
        <w:t>Usmeritve Agenciji za energijo za pripravo javnega poziva k prijavi projektov OVE in SPTE</w:t>
      </w:r>
    </w:p>
    <w:p w14:paraId="6EFB8E71" w14:textId="77777777" w:rsidR="00A0067B" w:rsidRPr="00223E80" w:rsidRDefault="00A0067B" w:rsidP="007E6ED7">
      <w:pPr>
        <w:spacing w:after="0"/>
        <w:rPr>
          <w:rFonts w:eastAsia="Arial" w:cs="Arial"/>
        </w:rPr>
      </w:pPr>
    </w:p>
    <w:p w14:paraId="43948015" w14:textId="77777777" w:rsidR="00A0067B" w:rsidRPr="00223E80" w:rsidRDefault="00A0067B" w:rsidP="007E6ED7">
      <w:pPr>
        <w:spacing w:after="0"/>
        <w:rPr>
          <w:rFonts w:eastAsia="Arial" w:cs="Arial"/>
        </w:rPr>
      </w:pPr>
      <w:r w:rsidRPr="00223E80">
        <w:rPr>
          <w:rFonts w:eastAsia="Arial" w:cs="Arial"/>
        </w:rPr>
        <w:t>Usmeritve za pripravo javnega poziva k prijavi projektov proizvodnih naprav OVE in SPTE za vstop v podporno shemo za leto 2022 so:</w:t>
      </w:r>
    </w:p>
    <w:p w14:paraId="3302895C" w14:textId="77777777" w:rsidR="00A0067B" w:rsidRPr="00223E80" w:rsidRDefault="00A0067B" w:rsidP="007E6ED7">
      <w:pPr>
        <w:spacing w:after="0"/>
        <w:rPr>
          <w:rFonts w:eastAsia="Arial" w:cs="Arial"/>
        </w:rPr>
      </w:pPr>
    </w:p>
    <w:p w14:paraId="035C5F33" w14:textId="4CEBA739" w:rsidR="00A0067B" w:rsidRPr="00223E80" w:rsidRDefault="00046DF8" w:rsidP="00534E61">
      <w:pPr>
        <w:numPr>
          <w:ilvl w:val="0"/>
          <w:numId w:val="26"/>
        </w:numPr>
        <w:spacing w:after="0"/>
        <w:contextualSpacing/>
        <w:rPr>
          <w:rFonts w:eastAsia="Arial" w:cs="Arial"/>
        </w:rPr>
      </w:pPr>
      <w:r w:rsidRPr="00223E80">
        <w:rPr>
          <w:rFonts w:eastAsia="Arial" w:cs="Arial"/>
        </w:rPr>
        <w:t>Da bi</w:t>
      </w:r>
      <w:r w:rsidR="00A0067B" w:rsidRPr="00223E80">
        <w:rPr>
          <w:rFonts w:eastAsia="Arial" w:cs="Arial"/>
        </w:rPr>
        <w:t xml:space="preserve"> zagotovi</w:t>
      </w:r>
      <w:r w:rsidRPr="00223E80">
        <w:rPr>
          <w:rFonts w:eastAsia="Arial" w:cs="Arial"/>
        </w:rPr>
        <w:t>l</w:t>
      </w:r>
      <w:r w:rsidR="007A4D12" w:rsidRPr="00223E80">
        <w:rPr>
          <w:rFonts w:eastAsia="Arial" w:cs="Arial"/>
        </w:rPr>
        <w:t>i</w:t>
      </w:r>
      <w:r w:rsidR="00A0067B" w:rsidRPr="00223E80">
        <w:rPr>
          <w:rFonts w:eastAsia="Arial" w:cs="Arial"/>
        </w:rPr>
        <w:t xml:space="preserve"> učinkovit</w:t>
      </w:r>
      <w:r w:rsidR="007A4D12" w:rsidRPr="00223E80">
        <w:rPr>
          <w:rFonts w:eastAsia="Arial" w:cs="Arial"/>
        </w:rPr>
        <w:t>o</w:t>
      </w:r>
      <w:r w:rsidR="00A0067B" w:rsidRPr="00223E80">
        <w:rPr>
          <w:rFonts w:eastAsia="Arial" w:cs="Arial"/>
        </w:rPr>
        <w:t xml:space="preserve"> izvedb</w:t>
      </w:r>
      <w:r w:rsidR="007A4D12" w:rsidRPr="00223E80">
        <w:rPr>
          <w:rFonts w:eastAsia="Arial" w:cs="Arial"/>
        </w:rPr>
        <w:t>o</w:t>
      </w:r>
      <w:r w:rsidR="00A0067B" w:rsidRPr="00223E80">
        <w:rPr>
          <w:rFonts w:eastAsia="Arial" w:cs="Arial"/>
        </w:rPr>
        <w:t xml:space="preserve"> izbranih projektov proizvodnih naprav, kar bo v prihajajočem obdobju prispevalo k izpolnitvi ciljnega deleža električne energije iz OVE, se v letu </w:t>
      </w:r>
      <w:r w:rsidR="004E1597" w:rsidRPr="00223E80">
        <w:rPr>
          <w:rFonts w:eastAsia="Arial" w:cs="Arial"/>
        </w:rPr>
        <w:t xml:space="preserve">2023 </w:t>
      </w:r>
      <w:r w:rsidR="00A0067B" w:rsidRPr="00223E80">
        <w:rPr>
          <w:rFonts w:eastAsia="Arial" w:cs="Arial"/>
        </w:rPr>
        <w:t>izvedeta dva javna poziva investitorjem k prijavi projektov proizvodnih naprav OVE za vstop v podporno shemo</w:t>
      </w:r>
      <w:r w:rsidR="0097601D" w:rsidRPr="00223E80">
        <w:rPr>
          <w:rFonts w:eastAsia="Arial" w:cs="Arial"/>
        </w:rPr>
        <w:t>.</w:t>
      </w:r>
      <w:r w:rsidR="00A0067B" w:rsidRPr="00223E80">
        <w:rPr>
          <w:rFonts w:eastAsia="Arial" w:cs="Arial"/>
        </w:rPr>
        <w:t xml:space="preserve"> </w:t>
      </w:r>
      <w:r w:rsidR="0097601D" w:rsidRPr="00223E80">
        <w:rPr>
          <w:rFonts w:eastAsia="Arial" w:cs="Arial"/>
        </w:rPr>
        <w:t>P</w:t>
      </w:r>
      <w:r w:rsidR="00A0067B" w:rsidRPr="00223E80">
        <w:rPr>
          <w:rFonts w:eastAsia="Arial" w:cs="Arial"/>
        </w:rPr>
        <w:t xml:space="preserve">ri teh se kot dodatno obvezno sestavino prijave projekta določi predložitev veljavnega gradbenega dovoljenja pri tistih projektih naprav za proizvodnjo električne energije (elektrarnah), katerih izvedba je </w:t>
      </w:r>
      <w:r w:rsidR="006144CA" w:rsidRPr="00223E80">
        <w:rPr>
          <w:rFonts w:eastAsia="Arial" w:cs="Arial"/>
        </w:rPr>
        <w:t>–</w:t>
      </w:r>
      <w:r w:rsidR="00A0067B" w:rsidRPr="00223E80">
        <w:rPr>
          <w:rFonts w:eastAsia="Arial" w:cs="Arial"/>
        </w:rPr>
        <w:t xml:space="preserve"> skladno z zakonodajo na področju gradnje </w:t>
      </w:r>
      <w:r w:rsidR="006144CA" w:rsidRPr="00223E80">
        <w:rPr>
          <w:rFonts w:eastAsia="Arial" w:cs="Arial"/>
        </w:rPr>
        <w:t>–</w:t>
      </w:r>
      <w:r w:rsidR="00A0067B" w:rsidRPr="00223E80">
        <w:rPr>
          <w:rFonts w:eastAsia="Arial" w:cs="Arial"/>
        </w:rPr>
        <w:t xml:space="preserve"> pogojena z veljavnim gradbenim dovoljenjem.</w:t>
      </w:r>
      <w:r w:rsidR="00F509E1" w:rsidRPr="00223E80">
        <w:rPr>
          <w:rFonts w:eastAsia="Arial" w:cs="Arial"/>
        </w:rPr>
        <w:t xml:space="preserve"> S ciljem zmanjševanja uvozne odvisnosti ter omejitev pri oskrbi z zemeljskim plinom se je</w:t>
      </w:r>
      <w:r w:rsidR="00F21AC9" w:rsidRPr="00223E80">
        <w:rPr>
          <w:rFonts w:eastAsia="Arial" w:cs="Arial"/>
        </w:rPr>
        <w:t>/bo</w:t>
      </w:r>
      <w:r w:rsidR="00F509E1" w:rsidRPr="00223E80">
        <w:rPr>
          <w:rFonts w:eastAsia="Arial" w:cs="Arial"/>
        </w:rPr>
        <w:t xml:space="preserve"> z Zakonom o ukrepih za obvladovanje kriznih razmer na področju oskrbe z energijo (Uradni list, št.</w:t>
      </w:r>
      <w:r w:rsidR="00026B98" w:rsidRPr="00223E80">
        <w:rPr>
          <w:rFonts w:eastAsia="Arial" w:cs="Arial"/>
        </w:rPr>
        <w:t xml:space="preserve"> …</w:t>
      </w:r>
      <w:r w:rsidR="00F509E1" w:rsidRPr="00223E80">
        <w:rPr>
          <w:rFonts w:eastAsia="Arial" w:cs="Arial"/>
        </w:rPr>
        <w:t>) ukinila možnost dodelitve podpor za električno energijo, proizvedeno v novih proizvodnih napravah s soproizvodnj</w:t>
      </w:r>
      <w:r w:rsidR="00026B98" w:rsidRPr="00223E80">
        <w:rPr>
          <w:rFonts w:eastAsia="Arial" w:cs="Arial"/>
        </w:rPr>
        <w:t>o</w:t>
      </w:r>
      <w:r w:rsidR="00F509E1" w:rsidRPr="00223E80">
        <w:rPr>
          <w:rFonts w:eastAsia="Arial" w:cs="Arial"/>
        </w:rPr>
        <w:t xml:space="preserve"> električne energije in toplote z visokim izkoristkom na zemeljski plin iz 15. člena ZSROVE. </w:t>
      </w:r>
    </w:p>
    <w:p w14:paraId="09BCD3AA" w14:textId="77777777" w:rsidR="00A0067B" w:rsidRPr="00223E80" w:rsidRDefault="00A0067B" w:rsidP="007E6ED7">
      <w:pPr>
        <w:spacing w:after="0"/>
        <w:ind w:left="720"/>
        <w:contextualSpacing/>
        <w:rPr>
          <w:rFonts w:eastAsia="Arial" w:cs="Arial"/>
        </w:rPr>
      </w:pPr>
    </w:p>
    <w:p w14:paraId="2C10D3B6" w14:textId="077B1492" w:rsidR="00A0067B" w:rsidRPr="00223E80" w:rsidRDefault="00046DF8" w:rsidP="00534E61">
      <w:pPr>
        <w:numPr>
          <w:ilvl w:val="0"/>
          <w:numId w:val="26"/>
        </w:numPr>
        <w:spacing w:after="0"/>
        <w:rPr>
          <w:rFonts w:eastAsia="Arial" w:cs="Arial"/>
        </w:rPr>
      </w:pPr>
      <w:r w:rsidRPr="00223E80">
        <w:rPr>
          <w:rFonts w:eastAsia="Arial" w:cs="Arial"/>
        </w:rPr>
        <w:lastRenderedPageBreak/>
        <w:t>R</w:t>
      </w:r>
      <w:r w:rsidR="00A0067B" w:rsidRPr="00223E80">
        <w:rPr>
          <w:rFonts w:eastAsia="Arial" w:cs="Arial"/>
        </w:rPr>
        <w:t>azpoložljiva sredstva:</w:t>
      </w:r>
    </w:p>
    <w:p w14:paraId="1C96B460" w14:textId="77777777" w:rsidR="00A0067B" w:rsidRPr="00223E80" w:rsidRDefault="00A0067B" w:rsidP="00534E61">
      <w:pPr>
        <w:numPr>
          <w:ilvl w:val="1"/>
          <w:numId w:val="26"/>
        </w:numPr>
        <w:spacing w:after="0"/>
        <w:rPr>
          <w:rFonts w:eastAsia="Arial" w:cs="Arial"/>
        </w:rPr>
      </w:pPr>
      <w:r w:rsidRPr="00223E80">
        <w:rPr>
          <w:rFonts w:eastAsia="Arial" w:cs="Arial"/>
        </w:rPr>
        <w:t>za prvi razpis so na voljo sreds</w:t>
      </w:r>
      <w:r w:rsidR="00D959EE" w:rsidRPr="00223E80">
        <w:rPr>
          <w:rFonts w:eastAsia="Arial" w:cs="Arial"/>
        </w:rPr>
        <w:t>tva v obsegu 10 milijonov evrov;</w:t>
      </w:r>
    </w:p>
    <w:p w14:paraId="5C9296BF" w14:textId="77777777" w:rsidR="00A0067B" w:rsidRPr="00223E80" w:rsidRDefault="00A0067B" w:rsidP="00534E61">
      <w:pPr>
        <w:numPr>
          <w:ilvl w:val="1"/>
          <w:numId w:val="26"/>
        </w:numPr>
        <w:spacing w:after="0"/>
        <w:rPr>
          <w:rFonts w:eastAsia="Arial" w:cs="Arial"/>
        </w:rPr>
      </w:pPr>
      <w:r w:rsidRPr="00223E80">
        <w:rPr>
          <w:rFonts w:eastAsia="Arial" w:cs="Arial"/>
        </w:rPr>
        <w:t xml:space="preserve">za drugi razpis so na voljo sredstva v obsegu 10 milijonov evrov. </w:t>
      </w:r>
    </w:p>
    <w:p w14:paraId="7EAE0F59" w14:textId="77777777" w:rsidR="00A0067B" w:rsidRPr="00223E80" w:rsidRDefault="00A0067B" w:rsidP="007E6ED7">
      <w:pPr>
        <w:spacing w:after="0"/>
        <w:ind w:left="1134"/>
        <w:rPr>
          <w:rFonts w:eastAsia="Arial" w:cs="Arial"/>
        </w:rPr>
      </w:pPr>
    </w:p>
    <w:p w14:paraId="768FD419" w14:textId="3DA39744" w:rsidR="00A0067B" w:rsidRPr="00223E80" w:rsidRDefault="00046DF8" w:rsidP="00534E61">
      <w:pPr>
        <w:numPr>
          <w:ilvl w:val="0"/>
          <w:numId w:val="26"/>
        </w:numPr>
        <w:spacing w:after="0"/>
        <w:rPr>
          <w:rFonts w:eastAsia="Arial" w:cs="Arial"/>
        </w:rPr>
      </w:pPr>
      <w:r w:rsidRPr="00223E80">
        <w:rPr>
          <w:rFonts w:eastAsia="Arial" w:cs="Arial"/>
        </w:rPr>
        <w:t>P</w:t>
      </w:r>
      <w:r w:rsidR="00A0067B" w:rsidRPr="00223E80">
        <w:rPr>
          <w:rFonts w:eastAsia="Arial" w:cs="Arial"/>
        </w:rPr>
        <w:t>ri ugotavljanju izpolnjevanja pogojev za vstop v podporno shemo je treb</w:t>
      </w:r>
      <w:r w:rsidR="00FF4957" w:rsidRPr="00223E80">
        <w:rPr>
          <w:rFonts w:eastAsia="Arial" w:cs="Arial"/>
        </w:rPr>
        <w:t>a</w:t>
      </w:r>
      <w:r w:rsidR="00A0067B" w:rsidRPr="00223E80">
        <w:rPr>
          <w:rFonts w:eastAsia="Arial" w:cs="Arial"/>
        </w:rPr>
        <w:t xml:space="preserve"> upoštevati določbe tretjega odstavka 23. člena ZSROVE, ki v primeru ponudbe enake cene elektrike proizvodne naprave različnih prijavljenih projektov zagotavlja prednost tisti</w:t>
      </w:r>
      <w:r w:rsidR="001D2F8B" w:rsidRPr="00223E80">
        <w:rPr>
          <w:rFonts w:eastAsia="Arial" w:cs="Arial"/>
        </w:rPr>
        <w:t>m</w:t>
      </w:r>
      <w:r w:rsidR="00A0067B" w:rsidRPr="00223E80">
        <w:rPr>
          <w:rFonts w:eastAsia="Arial" w:cs="Arial"/>
        </w:rPr>
        <w:t xml:space="preserve"> projekto</w:t>
      </w:r>
      <w:r w:rsidR="001D2F8B" w:rsidRPr="00223E80">
        <w:rPr>
          <w:rFonts w:eastAsia="Arial" w:cs="Arial"/>
        </w:rPr>
        <w:t>m</w:t>
      </w:r>
      <w:r w:rsidR="00A0067B" w:rsidRPr="00223E80">
        <w:rPr>
          <w:rFonts w:eastAsia="Arial" w:cs="Arial"/>
        </w:rPr>
        <w:t>, ki jim je že zagotovljeno sofinanciranje iz evropskih sredstev.</w:t>
      </w:r>
    </w:p>
    <w:p w14:paraId="06C8AC36" w14:textId="77777777" w:rsidR="00A0067B" w:rsidRPr="00223E80" w:rsidRDefault="00A0067B" w:rsidP="007E6ED7">
      <w:pPr>
        <w:spacing w:after="0"/>
        <w:ind w:left="720"/>
        <w:rPr>
          <w:rFonts w:eastAsia="Arial" w:cs="Arial"/>
        </w:rPr>
      </w:pPr>
    </w:p>
    <w:p w14:paraId="5B834119" w14:textId="47EEE9BD" w:rsidR="00A0067B" w:rsidRPr="00223E80" w:rsidRDefault="000E3500" w:rsidP="00534E61">
      <w:pPr>
        <w:numPr>
          <w:ilvl w:val="0"/>
          <w:numId w:val="26"/>
        </w:numPr>
        <w:spacing w:after="0"/>
        <w:rPr>
          <w:rFonts w:eastAsia="Arial" w:cs="Arial"/>
        </w:rPr>
      </w:pPr>
      <w:r w:rsidRPr="00223E80">
        <w:rPr>
          <w:rFonts w:eastAsia="Arial" w:cs="Arial"/>
        </w:rPr>
        <w:t>V</w:t>
      </w:r>
      <w:r w:rsidR="00A0067B" w:rsidRPr="00223E80">
        <w:rPr>
          <w:rFonts w:eastAsia="Arial" w:cs="Arial"/>
        </w:rPr>
        <w:t xml:space="preserve"> obeh javnih pozivih se:</w:t>
      </w:r>
    </w:p>
    <w:p w14:paraId="55653FBC" w14:textId="77777777" w:rsidR="00A0067B" w:rsidRPr="00223E80" w:rsidRDefault="00A0067B" w:rsidP="00534E61">
      <w:pPr>
        <w:numPr>
          <w:ilvl w:val="1"/>
          <w:numId w:val="26"/>
        </w:numPr>
        <w:spacing w:after="0"/>
        <w:rPr>
          <w:rFonts w:eastAsia="Arial" w:cs="Arial"/>
        </w:rPr>
      </w:pPr>
      <w:r w:rsidRPr="00223E80">
        <w:rPr>
          <w:rFonts w:eastAsia="Arial" w:cs="Arial"/>
        </w:rPr>
        <w:t>za prvo skupino prvega kroga name</w:t>
      </w:r>
      <w:r w:rsidR="00D959EE" w:rsidRPr="00223E80">
        <w:rPr>
          <w:rFonts w:eastAsia="Arial" w:cs="Arial"/>
        </w:rPr>
        <w:t>ni 80 % razpoložljivih sredstev;</w:t>
      </w:r>
    </w:p>
    <w:p w14:paraId="284AFF77" w14:textId="77777777" w:rsidR="00A0067B" w:rsidRPr="00223E80" w:rsidRDefault="00A0067B" w:rsidP="00534E61">
      <w:pPr>
        <w:numPr>
          <w:ilvl w:val="1"/>
          <w:numId w:val="26"/>
        </w:numPr>
        <w:spacing w:after="0"/>
        <w:rPr>
          <w:rFonts w:eastAsia="Arial" w:cs="Arial"/>
        </w:rPr>
      </w:pPr>
      <w:r w:rsidRPr="00223E80">
        <w:rPr>
          <w:rFonts w:eastAsia="Arial" w:cs="Arial"/>
        </w:rPr>
        <w:t>za drugo skupino prvega kroga nameni 10 % raz</w:t>
      </w:r>
      <w:r w:rsidR="00D959EE" w:rsidRPr="00223E80">
        <w:rPr>
          <w:rFonts w:eastAsia="Arial" w:cs="Arial"/>
        </w:rPr>
        <w:t>položljivih sredstev;</w:t>
      </w:r>
    </w:p>
    <w:p w14:paraId="60374ED9" w14:textId="77777777" w:rsidR="00A0067B" w:rsidRPr="00223E80" w:rsidRDefault="00A0067B" w:rsidP="00534E61">
      <w:pPr>
        <w:numPr>
          <w:ilvl w:val="1"/>
          <w:numId w:val="26"/>
        </w:numPr>
        <w:spacing w:after="0"/>
        <w:rPr>
          <w:rFonts w:eastAsia="Arial" w:cs="Arial"/>
        </w:rPr>
      </w:pPr>
      <w:r w:rsidRPr="00223E80">
        <w:rPr>
          <w:rFonts w:eastAsia="Arial" w:cs="Arial"/>
        </w:rPr>
        <w:t>preostanek s</w:t>
      </w:r>
      <w:r w:rsidR="00D959EE" w:rsidRPr="00223E80">
        <w:rPr>
          <w:rFonts w:eastAsia="Arial" w:cs="Arial"/>
        </w:rPr>
        <w:t>redstev se nameni za drugi krog.</w:t>
      </w:r>
    </w:p>
    <w:p w14:paraId="44D8B3C6" w14:textId="77777777" w:rsidR="00A0067B" w:rsidRPr="00223E80" w:rsidRDefault="00A0067B" w:rsidP="007E6ED7">
      <w:pPr>
        <w:spacing w:after="0"/>
        <w:ind w:left="1134"/>
        <w:rPr>
          <w:rFonts w:eastAsia="Arial" w:cs="Arial"/>
        </w:rPr>
      </w:pPr>
    </w:p>
    <w:p w14:paraId="48757DB5" w14:textId="48FA8FE3" w:rsidR="00A0067B" w:rsidRPr="00223E80" w:rsidRDefault="000E3500" w:rsidP="00534E61">
      <w:pPr>
        <w:numPr>
          <w:ilvl w:val="0"/>
          <w:numId w:val="27"/>
        </w:numPr>
        <w:spacing w:after="0"/>
        <w:rPr>
          <w:rFonts w:eastAsia="Arial" w:cs="Arial"/>
        </w:rPr>
      </w:pPr>
      <w:r w:rsidRPr="00223E80">
        <w:rPr>
          <w:rFonts w:eastAsia="Arial" w:cs="Arial"/>
        </w:rPr>
        <w:t>V</w:t>
      </w:r>
      <w:r w:rsidR="00A0067B" w:rsidRPr="00223E80">
        <w:rPr>
          <w:rFonts w:eastAsia="Arial" w:cs="Arial"/>
        </w:rPr>
        <w:t xml:space="preserve"> drugi krog se prenesejo tudi sredstva, ki zaradi nezadostne konkurence v prvem krogu ne bi bila razdeljena, pri čemer mora biti prenos skladen s pogoji zagotavljanja konkurenčnosti iz 21. člena Uredbe o podporah</w:t>
      </w:r>
      <w:r w:rsidRPr="00223E80">
        <w:rPr>
          <w:rFonts w:eastAsia="Arial" w:cs="Arial"/>
        </w:rPr>
        <w:t>.</w:t>
      </w:r>
    </w:p>
    <w:p w14:paraId="5E646D3B" w14:textId="77777777" w:rsidR="00A0067B" w:rsidRPr="00223E80" w:rsidRDefault="00A0067B" w:rsidP="007E6ED7">
      <w:pPr>
        <w:spacing w:after="0"/>
        <w:rPr>
          <w:rFonts w:eastAsia="Arial" w:cs="Arial"/>
        </w:rPr>
      </w:pPr>
    </w:p>
    <w:p w14:paraId="4DBF6087" w14:textId="4F6EDAAB" w:rsidR="00A0067B" w:rsidRPr="00223E80" w:rsidRDefault="000E3500" w:rsidP="00534E61">
      <w:pPr>
        <w:numPr>
          <w:ilvl w:val="0"/>
          <w:numId w:val="26"/>
        </w:numPr>
        <w:spacing w:after="0"/>
        <w:ind w:right="-7"/>
        <w:rPr>
          <w:rFonts w:eastAsia="Arial" w:cs="Arial"/>
        </w:rPr>
      </w:pPr>
      <w:r w:rsidRPr="00223E80">
        <w:rPr>
          <w:rFonts w:eastAsia="Arial" w:cs="Arial"/>
        </w:rPr>
        <w:t>P</w:t>
      </w:r>
      <w:r w:rsidR="00A0067B" w:rsidRPr="00223E80">
        <w:rPr>
          <w:rFonts w:eastAsia="Arial" w:cs="Arial"/>
        </w:rPr>
        <w:t xml:space="preserve">onujeni projekt za proizvodne naprave OVE in SPTE agencija vzame v obravnavo in točkuje, če je investitor oz. promotor ponudil ceno elektrike proizvodne naprave, razdeljeno na nespremenljivi in spremenljivi del, ki je nižja ali enaka pred javnim pozivom agencije objavljenimi referenčnimi stroški za primerljivo proizvodno napravo in je v posredovani ponudbi priložena ustrezna investicijska dokumentacija.  </w:t>
      </w:r>
    </w:p>
    <w:p w14:paraId="41E6EAB1" w14:textId="77777777" w:rsidR="00A0067B" w:rsidRPr="00223E80" w:rsidRDefault="00A0067B" w:rsidP="007E6ED7">
      <w:pPr>
        <w:spacing w:after="0"/>
        <w:ind w:right="-7"/>
        <w:rPr>
          <w:rFonts w:eastAsia="Arial" w:cs="Arial"/>
        </w:rPr>
      </w:pPr>
    </w:p>
    <w:p w14:paraId="52C6655C" w14:textId="77777777" w:rsidR="00A0067B" w:rsidRPr="00223E80" w:rsidRDefault="00A0067B" w:rsidP="007E6ED7">
      <w:pPr>
        <w:spacing w:after="0"/>
        <w:rPr>
          <w:rFonts w:eastAsia="Arial" w:cs="Arial"/>
        </w:rPr>
      </w:pPr>
      <w:r w:rsidRPr="00223E80">
        <w:rPr>
          <w:rFonts w:eastAsia="Arial" w:cs="Arial"/>
        </w:rPr>
        <w:t xml:space="preserve">V zvezi z smiselno identiteto med načrtom za delovanje podporne sheme za leto 2022 in načrtom, sprejetim na podlagi določbe 89. člena ZSROVE, gre izpostaviti tudi to potrjeno shemo, saj se ta ista shema nadaljuje v istih pravnih okvirih in velja do leta 2025, kar pa sovpada s časovnim okvirjem sprejema DČN iz prvega odstavka 19. člena ZSROVE. Ponoviti velja, da je Ministrstvo za infrastrukturo pristopilo k postopkom za pripravo nove podporne sheme, ki bo upoštevala razširjen nabor tehnologij, potencialno upravičenih do državnih pomoči v skladu s smernicami Evropske komisije, ki pa so še v fazi sprejema, in torej še ne veljajo. </w:t>
      </w:r>
    </w:p>
    <w:p w14:paraId="202B6B31" w14:textId="77777777" w:rsidR="006A1D48" w:rsidRPr="00223E80" w:rsidRDefault="006A1D48" w:rsidP="007E6ED7">
      <w:pPr>
        <w:spacing w:after="0"/>
        <w:rPr>
          <w:rFonts w:eastAsia="Arial" w:cs="Arial"/>
        </w:rPr>
      </w:pPr>
    </w:p>
    <w:p w14:paraId="3CBBF870" w14:textId="77777777" w:rsidR="00D55EFA" w:rsidRPr="00223E80" w:rsidRDefault="005E2CD9" w:rsidP="00A520AC">
      <w:pPr>
        <w:pStyle w:val="Naslov3"/>
      </w:pPr>
      <w:bookmarkStart w:id="56" w:name="_Toc112144010"/>
      <w:r w:rsidRPr="00223E80">
        <w:t>7</w:t>
      </w:r>
      <w:r w:rsidR="00006FD4" w:rsidRPr="00223E80">
        <w:t xml:space="preserve">.1.1   </w:t>
      </w:r>
      <w:r w:rsidR="008B33CF" w:rsidRPr="00223E80">
        <w:t>Neposredna podpora do 500 kW</w:t>
      </w:r>
      <w:bookmarkEnd w:id="56"/>
    </w:p>
    <w:p w14:paraId="1236BF06" w14:textId="77777777" w:rsidR="00995936" w:rsidRPr="00223E80" w:rsidRDefault="00995936" w:rsidP="007E6ED7">
      <w:pPr>
        <w:shd w:val="clear" w:color="auto" w:fill="FFFFFF"/>
        <w:spacing w:after="0"/>
        <w:rPr>
          <w:rFonts w:eastAsia="Times New Roman" w:cs="Arial"/>
          <w:lang w:eastAsia="sl-SI"/>
        </w:rPr>
      </w:pPr>
    </w:p>
    <w:p w14:paraId="594B16F4" w14:textId="6AC7BED7" w:rsidR="00995936" w:rsidRPr="00223E80" w:rsidRDefault="00995936" w:rsidP="007E6ED7">
      <w:pPr>
        <w:shd w:val="clear" w:color="auto" w:fill="FFFFFF"/>
        <w:spacing w:after="0"/>
        <w:rPr>
          <w:rFonts w:eastAsia="Times New Roman" w:cs="Arial"/>
          <w:lang w:eastAsia="sl-SI"/>
        </w:rPr>
      </w:pPr>
      <w:r w:rsidRPr="00223E80">
        <w:rPr>
          <w:rFonts w:eastAsia="Times New Roman" w:cs="Arial"/>
          <w:lang w:eastAsia="sl-SI"/>
        </w:rPr>
        <w:t>V letu 2023 po potrditvi nove podporne sheme je predviden</w:t>
      </w:r>
      <w:r w:rsidR="00CC4002" w:rsidRPr="00223E80">
        <w:rPr>
          <w:rFonts w:eastAsia="Times New Roman" w:cs="Arial"/>
          <w:lang w:eastAsia="sl-SI"/>
        </w:rPr>
        <w:t xml:space="preserve">o, da je skladno z uredbo </w:t>
      </w:r>
      <w:r w:rsidR="00DD4B46" w:rsidRPr="00223E80">
        <w:rPr>
          <w:rFonts w:eastAsia="Times New Roman" w:cs="Arial"/>
          <w:lang w:eastAsia="sl-SI"/>
        </w:rPr>
        <w:t xml:space="preserve">vse </w:t>
      </w:r>
      <w:r w:rsidR="00CC4002" w:rsidRPr="00223E80">
        <w:rPr>
          <w:rFonts w:eastAsia="Times New Roman" w:cs="Arial"/>
          <w:lang w:eastAsia="sl-SI"/>
        </w:rPr>
        <w:t>leto možnost pridobiti podporo do 500 kW</w:t>
      </w:r>
      <w:r w:rsidRPr="00223E80">
        <w:rPr>
          <w:rFonts w:eastAsia="Times New Roman" w:cs="Arial"/>
          <w:lang w:eastAsia="sl-SI"/>
        </w:rPr>
        <w:t xml:space="preserve">. </w:t>
      </w:r>
    </w:p>
    <w:p w14:paraId="30BC7D50" w14:textId="77777777" w:rsidR="00415939" w:rsidRPr="00223E80" w:rsidRDefault="00415939" w:rsidP="007E6ED7">
      <w:pPr>
        <w:shd w:val="clear" w:color="auto" w:fill="FFFFFF"/>
        <w:spacing w:after="0"/>
        <w:rPr>
          <w:rFonts w:eastAsia="Times New Roman" w:cs="Arial"/>
          <w:lang w:eastAsia="sl-SI"/>
        </w:rPr>
      </w:pPr>
    </w:p>
    <w:p w14:paraId="4A202467" w14:textId="77777777" w:rsidR="00377B8C" w:rsidRPr="00223E80" w:rsidRDefault="005E2CD9" w:rsidP="00A520AC">
      <w:pPr>
        <w:pStyle w:val="Naslov2"/>
        <w:rPr>
          <w:rFonts w:cs="Arial"/>
          <w:lang w:eastAsia="sl-SI"/>
        </w:rPr>
      </w:pPr>
      <w:bookmarkStart w:id="57" w:name="_Toc112144011"/>
      <w:r w:rsidRPr="00223E80">
        <w:t>7</w:t>
      </w:r>
      <w:r w:rsidR="00584D80" w:rsidRPr="00223E80">
        <w:t xml:space="preserve">.2 </w:t>
      </w:r>
      <w:r w:rsidR="008B33CF" w:rsidRPr="00223E80">
        <w:t>Naložbena</w:t>
      </w:r>
      <w:r w:rsidR="00A436DD" w:rsidRPr="00223E80">
        <w:t xml:space="preserve"> pomoč za naprave za samooskrbo</w:t>
      </w:r>
      <w:bookmarkEnd w:id="57"/>
    </w:p>
    <w:p w14:paraId="4E21620D" w14:textId="77777777" w:rsidR="00D2372C" w:rsidRPr="00223E80" w:rsidRDefault="00D2372C" w:rsidP="007E6ED7">
      <w:pPr>
        <w:autoSpaceDE w:val="0"/>
        <w:autoSpaceDN w:val="0"/>
        <w:adjustRightInd w:val="0"/>
        <w:spacing w:after="0"/>
        <w:rPr>
          <w:rFonts w:eastAsia="Arial" w:cs="Arial"/>
        </w:rPr>
      </w:pPr>
    </w:p>
    <w:p w14:paraId="71BB765E" w14:textId="16237FB4" w:rsidR="00A436DD" w:rsidRPr="00223E80" w:rsidRDefault="00D2372C" w:rsidP="007E6ED7">
      <w:pPr>
        <w:autoSpaceDE w:val="0"/>
        <w:autoSpaceDN w:val="0"/>
        <w:adjustRightInd w:val="0"/>
        <w:spacing w:after="0"/>
        <w:rPr>
          <w:rFonts w:eastAsia="Times New Roman" w:cs="Arial"/>
          <w:lang w:eastAsia="sl-SI"/>
        </w:rPr>
      </w:pPr>
      <w:r w:rsidRPr="00223E80">
        <w:rPr>
          <w:rFonts w:eastAsia="Arial" w:cs="Arial"/>
        </w:rPr>
        <w:t xml:space="preserve">Podrobnejši pogoji za dodelitev naložbene pomoči </w:t>
      </w:r>
      <w:r w:rsidR="00A436DD" w:rsidRPr="00223E80">
        <w:rPr>
          <w:rFonts w:eastAsia="Arial" w:cs="Arial"/>
        </w:rPr>
        <w:t>so</w:t>
      </w:r>
      <w:r w:rsidRPr="00223E80">
        <w:rPr>
          <w:rFonts w:eastAsia="Arial" w:cs="Arial"/>
        </w:rPr>
        <w:t xml:space="preserve"> določ</w:t>
      </w:r>
      <w:r w:rsidR="00A436DD" w:rsidRPr="00223E80">
        <w:rPr>
          <w:rFonts w:eastAsia="Arial" w:cs="Arial"/>
        </w:rPr>
        <w:t xml:space="preserve">eni </w:t>
      </w:r>
      <w:r w:rsidRPr="00223E80">
        <w:rPr>
          <w:rFonts w:eastAsia="Arial" w:cs="Arial"/>
        </w:rPr>
        <w:t xml:space="preserve">v novi Uredbi </w:t>
      </w:r>
      <w:r w:rsidR="00033F8B" w:rsidRPr="00223E80">
        <w:rPr>
          <w:rFonts w:eastAsia="Arial" w:cs="Arial"/>
        </w:rPr>
        <w:t>SO</w:t>
      </w:r>
      <w:r w:rsidRPr="00223E80">
        <w:rPr>
          <w:rFonts w:eastAsia="Arial" w:cs="Arial"/>
        </w:rPr>
        <w:t xml:space="preserve"> in </w:t>
      </w:r>
      <w:r w:rsidR="00A436DD" w:rsidRPr="00223E80">
        <w:rPr>
          <w:rFonts w:eastAsia="Arial" w:cs="Arial"/>
        </w:rPr>
        <w:t xml:space="preserve">bodo </w:t>
      </w:r>
      <w:r w:rsidR="00BF49D9" w:rsidRPr="00223E80">
        <w:rPr>
          <w:rFonts w:eastAsia="Arial" w:cs="Arial"/>
        </w:rPr>
        <w:t xml:space="preserve">dodatno </w:t>
      </w:r>
      <w:r w:rsidR="00D71207" w:rsidRPr="00223E80">
        <w:rPr>
          <w:rFonts w:eastAsia="Arial" w:cs="Arial"/>
        </w:rPr>
        <w:t xml:space="preserve">določeni tudi </w:t>
      </w:r>
      <w:r w:rsidRPr="00223E80">
        <w:rPr>
          <w:rFonts w:eastAsia="Arial" w:cs="Arial"/>
        </w:rPr>
        <w:t xml:space="preserve">v </w:t>
      </w:r>
      <w:r w:rsidR="00A436DD" w:rsidRPr="00223E80">
        <w:rPr>
          <w:rFonts w:eastAsia="Arial" w:cs="Arial"/>
        </w:rPr>
        <w:t>p</w:t>
      </w:r>
      <w:r w:rsidRPr="00223E80">
        <w:rPr>
          <w:rFonts w:eastAsia="Arial" w:cs="Arial"/>
        </w:rPr>
        <w:t xml:space="preserve">ravilih </w:t>
      </w:r>
      <w:r w:rsidR="00D71207" w:rsidRPr="00223E80">
        <w:rPr>
          <w:rFonts w:eastAsia="Arial" w:cs="Arial"/>
        </w:rPr>
        <w:t>C</w:t>
      </w:r>
      <w:r w:rsidR="00A436DD" w:rsidRPr="00223E80">
        <w:rPr>
          <w:rFonts w:eastAsia="Arial" w:cs="Arial"/>
        </w:rPr>
        <w:t xml:space="preserve">entra za podpore. Po vzpostavitvi vseh pogojev za objavo posebne naložbene pomoči za samooskrbo </w:t>
      </w:r>
      <w:r w:rsidR="001A38F4" w:rsidRPr="00223E80">
        <w:rPr>
          <w:rFonts w:eastAsia="Arial" w:cs="Arial"/>
        </w:rPr>
        <w:t xml:space="preserve">se </w:t>
      </w:r>
      <w:r w:rsidR="00A436DD" w:rsidRPr="00223E80">
        <w:rPr>
          <w:rFonts w:eastAsia="Arial" w:cs="Arial"/>
        </w:rPr>
        <w:t xml:space="preserve">predvidoma v letu 2023 objavi javni razpis, ki </w:t>
      </w:r>
      <w:r w:rsidR="00A436DD" w:rsidRPr="00223E80">
        <w:rPr>
          <w:rFonts w:eastAsia="Arial" w:cs="Arial"/>
        </w:rPr>
        <w:lastRenderedPageBreak/>
        <w:t xml:space="preserve">je </w:t>
      </w:r>
      <w:r w:rsidR="00A436DD" w:rsidRPr="00223E80">
        <w:rPr>
          <w:rFonts w:eastAsia="Times New Roman" w:cs="Arial"/>
          <w:lang w:eastAsia="sl-SI"/>
        </w:rPr>
        <w:t xml:space="preserve">odprt </w:t>
      </w:r>
      <w:r w:rsidR="00DD4B46" w:rsidRPr="00223E80">
        <w:rPr>
          <w:rFonts w:eastAsia="Times New Roman" w:cs="Arial"/>
          <w:lang w:eastAsia="sl-SI"/>
        </w:rPr>
        <w:t xml:space="preserve">vse </w:t>
      </w:r>
      <w:r w:rsidR="00A436DD" w:rsidRPr="00223E80">
        <w:rPr>
          <w:rFonts w:eastAsia="Times New Roman" w:cs="Arial"/>
          <w:lang w:eastAsia="sl-SI"/>
        </w:rPr>
        <w:t xml:space="preserve">leto. Vsako leto se objavi nov javni </w:t>
      </w:r>
      <w:r w:rsidR="00BF49D9" w:rsidRPr="00223E80">
        <w:rPr>
          <w:rFonts w:eastAsia="Times New Roman" w:cs="Arial"/>
          <w:lang w:eastAsia="sl-SI"/>
        </w:rPr>
        <w:t>poziv</w:t>
      </w:r>
      <w:r w:rsidR="00A436DD" w:rsidRPr="00223E80">
        <w:rPr>
          <w:rFonts w:eastAsia="Times New Roman" w:cs="Arial"/>
          <w:lang w:eastAsia="sl-SI"/>
        </w:rPr>
        <w:t xml:space="preserve">, v katerem se lahko prilagodi pogoje in vsebino. Oddaja vlog je možna </w:t>
      </w:r>
      <w:r w:rsidR="001A38F4" w:rsidRPr="00223E80">
        <w:rPr>
          <w:rFonts w:eastAsia="Times New Roman" w:cs="Arial"/>
          <w:lang w:eastAsia="sl-SI"/>
        </w:rPr>
        <w:t>vse</w:t>
      </w:r>
      <w:r w:rsidR="00A436DD" w:rsidRPr="00223E80">
        <w:rPr>
          <w:rFonts w:eastAsia="Times New Roman" w:cs="Arial"/>
          <w:lang w:eastAsia="sl-SI"/>
        </w:rPr>
        <w:t xml:space="preserve"> let</w:t>
      </w:r>
      <w:r w:rsidR="001A38F4" w:rsidRPr="00223E80">
        <w:rPr>
          <w:rFonts w:eastAsia="Times New Roman" w:cs="Arial"/>
          <w:lang w:eastAsia="sl-SI"/>
        </w:rPr>
        <w:t>o</w:t>
      </w:r>
      <w:r w:rsidR="00A436DD" w:rsidRPr="00223E80">
        <w:rPr>
          <w:rFonts w:eastAsia="Times New Roman" w:cs="Arial"/>
          <w:lang w:eastAsia="sl-SI"/>
        </w:rPr>
        <w:t xml:space="preserve"> in vloge se obdeluje </w:t>
      </w:r>
      <w:r w:rsidR="0047474F" w:rsidRPr="00223E80">
        <w:rPr>
          <w:rFonts w:eastAsia="Times New Roman" w:cs="Arial"/>
          <w:lang w:eastAsia="sl-SI"/>
        </w:rPr>
        <w:t>po vrsti</w:t>
      </w:r>
      <w:r w:rsidR="001A38F4" w:rsidRPr="00223E80">
        <w:rPr>
          <w:rFonts w:eastAsia="Times New Roman" w:cs="Arial"/>
          <w:lang w:eastAsia="sl-SI"/>
        </w:rPr>
        <w:t>, kot bodo</w:t>
      </w:r>
      <w:r w:rsidR="0047474F" w:rsidRPr="00223E80">
        <w:rPr>
          <w:rFonts w:eastAsia="Times New Roman" w:cs="Arial"/>
          <w:lang w:eastAsia="sl-SI"/>
        </w:rPr>
        <w:t xml:space="preserve"> prispe</w:t>
      </w:r>
      <w:r w:rsidR="001A38F4" w:rsidRPr="00223E80">
        <w:rPr>
          <w:rFonts w:eastAsia="Times New Roman" w:cs="Arial"/>
          <w:lang w:eastAsia="sl-SI"/>
        </w:rPr>
        <w:t>le</w:t>
      </w:r>
      <w:r w:rsidR="00A436DD" w:rsidRPr="00223E80">
        <w:rPr>
          <w:rFonts w:eastAsia="Times New Roman" w:cs="Arial"/>
          <w:lang w:eastAsia="sl-SI"/>
        </w:rPr>
        <w:t xml:space="preserve">. </w:t>
      </w:r>
    </w:p>
    <w:p w14:paraId="3FB8F8B2" w14:textId="77777777" w:rsidR="00A436DD" w:rsidRPr="00223E80" w:rsidRDefault="00A436DD" w:rsidP="007E6ED7">
      <w:pPr>
        <w:autoSpaceDE w:val="0"/>
        <w:autoSpaceDN w:val="0"/>
        <w:adjustRightInd w:val="0"/>
        <w:spacing w:after="0"/>
        <w:rPr>
          <w:rFonts w:eastAsia="Times New Roman" w:cs="Arial"/>
          <w:lang w:eastAsia="sl-SI"/>
        </w:rPr>
      </w:pPr>
    </w:p>
    <w:p w14:paraId="3629AAF1" w14:textId="3484C087" w:rsidR="00D2372C" w:rsidRPr="00223E80" w:rsidRDefault="0047474F" w:rsidP="007E6ED7">
      <w:pPr>
        <w:overflowPunct w:val="0"/>
        <w:autoSpaceDE w:val="0"/>
        <w:autoSpaceDN w:val="0"/>
        <w:adjustRightInd w:val="0"/>
        <w:spacing w:after="0"/>
        <w:contextualSpacing/>
        <w:textAlignment w:val="baseline"/>
        <w:rPr>
          <w:rFonts w:eastAsia="Arial" w:cs="Arial"/>
        </w:rPr>
      </w:pPr>
      <w:r w:rsidRPr="00223E80">
        <w:rPr>
          <w:rFonts w:eastAsia="Arial" w:cs="Arial"/>
        </w:rPr>
        <w:t xml:space="preserve">Višina naložbene pomoči se podrobneje določi z javnim pozivom glede na ta dolgoročni časovni načrt. Po posameznih </w:t>
      </w:r>
      <w:r w:rsidR="00A436DD" w:rsidRPr="00223E80">
        <w:rPr>
          <w:rFonts w:eastAsia="Arial" w:cs="Arial"/>
        </w:rPr>
        <w:t xml:space="preserve">letih </w:t>
      </w:r>
      <w:r w:rsidRPr="00223E80">
        <w:rPr>
          <w:rFonts w:eastAsia="Arial" w:cs="Arial"/>
        </w:rPr>
        <w:t xml:space="preserve">so okvirna sredstva </w:t>
      </w:r>
      <w:r w:rsidR="00A436DD" w:rsidRPr="00223E80">
        <w:rPr>
          <w:rFonts w:eastAsia="Arial" w:cs="Arial"/>
        </w:rPr>
        <w:t xml:space="preserve">opredeljena v </w:t>
      </w:r>
      <w:r w:rsidR="004C4C8F" w:rsidRPr="00223E80">
        <w:rPr>
          <w:rFonts w:eastAsia="Arial" w:cs="Arial"/>
          <w:i/>
        </w:rPr>
        <w:t>p</w:t>
      </w:r>
      <w:r w:rsidR="00A436DD" w:rsidRPr="00223E80">
        <w:rPr>
          <w:rFonts w:eastAsia="Arial" w:cs="Arial"/>
          <w:i/>
        </w:rPr>
        <w:t>reglednici 2</w:t>
      </w:r>
      <w:r w:rsidR="00A436DD" w:rsidRPr="00223E80">
        <w:rPr>
          <w:rFonts w:eastAsia="Arial" w:cs="Arial"/>
        </w:rPr>
        <w:t>. So</w:t>
      </w:r>
      <w:r w:rsidR="00D2372C" w:rsidRPr="00223E80">
        <w:rPr>
          <w:rFonts w:eastAsia="Arial" w:cs="Arial"/>
        </w:rPr>
        <w:t>financira</w:t>
      </w:r>
      <w:r w:rsidR="00A436DD" w:rsidRPr="00223E80">
        <w:rPr>
          <w:rFonts w:eastAsia="Arial" w:cs="Arial"/>
        </w:rPr>
        <w:t>ni</w:t>
      </w:r>
      <w:r w:rsidR="00D2372C" w:rsidRPr="00223E80">
        <w:rPr>
          <w:rFonts w:eastAsia="Arial" w:cs="Arial"/>
        </w:rPr>
        <w:t xml:space="preserve"> </w:t>
      </w:r>
      <w:r w:rsidR="00A436DD" w:rsidRPr="00223E80">
        <w:rPr>
          <w:rFonts w:eastAsia="Arial" w:cs="Arial"/>
        </w:rPr>
        <w:t xml:space="preserve">bodo </w:t>
      </w:r>
      <w:r w:rsidR="00833D00" w:rsidRPr="00223E80">
        <w:rPr>
          <w:rFonts w:eastAsia="Arial" w:cs="Arial"/>
        </w:rPr>
        <w:t xml:space="preserve">samo </w:t>
      </w:r>
      <w:r w:rsidR="00D2372C" w:rsidRPr="00223E80">
        <w:rPr>
          <w:rFonts w:eastAsia="Arial" w:cs="Arial"/>
        </w:rPr>
        <w:t>upravičeni stroški in ne vsi stroški, ki bi nastali investitorju. Kateri stroški so to in kakšna bo višina naložbene pomoči</w:t>
      </w:r>
      <w:r w:rsidR="004C4C8F" w:rsidRPr="00223E80">
        <w:rPr>
          <w:rFonts w:eastAsia="Arial" w:cs="Arial"/>
        </w:rPr>
        <w:t>,</w:t>
      </w:r>
      <w:r w:rsidR="00D2372C" w:rsidRPr="00223E80">
        <w:rPr>
          <w:rFonts w:eastAsia="Arial" w:cs="Arial"/>
        </w:rPr>
        <w:t xml:space="preserve"> bo podrobneje določeno v vsakokratnem javnem pozivu.</w:t>
      </w:r>
    </w:p>
    <w:p w14:paraId="778FB710" w14:textId="77777777" w:rsidR="00534E61" w:rsidRPr="00223E80" w:rsidRDefault="00534E61" w:rsidP="007E6ED7">
      <w:pPr>
        <w:overflowPunct w:val="0"/>
        <w:autoSpaceDE w:val="0"/>
        <w:autoSpaceDN w:val="0"/>
        <w:adjustRightInd w:val="0"/>
        <w:spacing w:after="0"/>
        <w:contextualSpacing/>
        <w:textAlignment w:val="baseline"/>
        <w:rPr>
          <w:rFonts w:eastAsia="Arial" w:cs="Arial"/>
        </w:rPr>
      </w:pPr>
    </w:p>
    <w:p w14:paraId="5F6EE702" w14:textId="5B59C877" w:rsidR="006E7794" w:rsidRPr="00223E80" w:rsidRDefault="00D2372C" w:rsidP="007E6ED7">
      <w:pPr>
        <w:overflowPunct w:val="0"/>
        <w:autoSpaceDE w:val="0"/>
        <w:autoSpaceDN w:val="0"/>
        <w:adjustRightInd w:val="0"/>
        <w:spacing w:after="0"/>
        <w:contextualSpacing/>
        <w:textAlignment w:val="baseline"/>
        <w:rPr>
          <w:rFonts w:eastAsia="Arial" w:cs="Arial"/>
        </w:rPr>
      </w:pPr>
      <w:r w:rsidRPr="00223E80">
        <w:rPr>
          <w:rFonts w:eastAsia="Arial" w:cs="Arial"/>
        </w:rPr>
        <w:t>Dodeljena naložbena pomoč ne sme presegati vrednosti upravičenih stroškov naložbe</w:t>
      </w:r>
      <w:r w:rsidR="00CC4002" w:rsidRPr="00223E80">
        <w:rPr>
          <w:rFonts w:eastAsia="Arial" w:cs="Arial"/>
        </w:rPr>
        <w:t xml:space="preserve"> pri gospodinjstvih</w:t>
      </w:r>
      <w:r w:rsidRPr="00223E80">
        <w:rPr>
          <w:rFonts w:eastAsia="Arial" w:cs="Arial"/>
        </w:rPr>
        <w:t xml:space="preserve">. </w:t>
      </w:r>
      <w:r w:rsidR="00A436DD" w:rsidRPr="00223E80">
        <w:rPr>
          <w:rFonts w:eastAsia="Arial" w:cs="Arial"/>
        </w:rPr>
        <w:t xml:space="preserve">Po potrebi se lahko v dogovoru z </w:t>
      </w:r>
      <w:r w:rsidR="00CC4002" w:rsidRPr="00223E80">
        <w:rPr>
          <w:rFonts w:eastAsia="Arial" w:cs="Arial"/>
        </w:rPr>
        <w:t>pristojnim</w:t>
      </w:r>
      <w:r w:rsidR="00A436DD" w:rsidRPr="00223E80">
        <w:rPr>
          <w:rFonts w:eastAsia="Arial" w:cs="Arial"/>
        </w:rPr>
        <w:t xml:space="preserve"> ministrstvom za področje </w:t>
      </w:r>
      <w:r w:rsidR="0047474F" w:rsidRPr="00223E80">
        <w:rPr>
          <w:rFonts w:eastAsia="Arial" w:cs="Arial"/>
        </w:rPr>
        <w:t>spodbujanja obnovljivih virov energije</w:t>
      </w:r>
      <w:r w:rsidR="00A436DD" w:rsidRPr="00223E80">
        <w:rPr>
          <w:rFonts w:eastAsia="Arial" w:cs="Arial"/>
        </w:rPr>
        <w:t xml:space="preserve"> </w:t>
      </w:r>
      <w:r w:rsidR="0047474F" w:rsidRPr="00223E80">
        <w:rPr>
          <w:rFonts w:eastAsia="Arial" w:cs="Arial"/>
        </w:rPr>
        <w:t>v posameznem letu poveča sredstva</w:t>
      </w:r>
      <w:r w:rsidR="004C4C8F" w:rsidRPr="00223E80">
        <w:rPr>
          <w:rFonts w:eastAsia="Arial" w:cs="Arial"/>
        </w:rPr>
        <w:t>,</w:t>
      </w:r>
      <w:r w:rsidR="0047474F" w:rsidRPr="00223E80">
        <w:rPr>
          <w:rFonts w:eastAsia="Arial" w:cs="Arial"/>
        </w:rPr>
        <w:t xml:space="preserve"> predvidena za posamezni javni razpis</w:t>
      </w:r>
      <w:r w:rsidR="004C4C8F" w:rsidRPr="00223E80">
        <w:rPr>
          <w:rFonts w:eastAsia="Arial" w:cs="Arial"/>
        </w:rPr>
        <w:t>,</w:t>
      </w:r>
      <w:r w:rsidR="0047474F" w:rsidRPr="00223E80">
        <w:rPr>
          <w:rFonts w:eastAsia="Arial" w:cs="Arial"/>
        </w:rPr>
        <w:t xml:space="preserve"> za dvakrat. </w:t>
      </w:r>
    </w:p>
    <w:p w14:paraId="3CA11DDB" w14:textId="77777777" w:rsidR="00293B40" w:rsidRPr="00223E80" w:rsidRDefault="00293B40" w:rsidP="007E6ED7">
      <w:pPr>
        <w:overflowPunct w:val="0"/>
        <w:autoSpaceDE w:val="0"/>
        <w:autoSpaceDN w:val="0"/>
        <w:adjustRightInd w:val="0"/>
        <w:spacing w:after="0"/>
        <w:contextualSpacing/>
        <w:textAlignment w:val="baseline"/>
        <w:rPr>
          <w:rFonts w:eastAsia="Arial" w:cs="Arial"/>
        </w:rPr>
      </w:pPr>
    </w:p>
    <w:p w14:paraId="0C032424" w14:textId="77777777" w:rsidR="00293B40" w:rsidRPr="00223E80" w:rsidRDefault="00293B40" w:rsidP="007E6ED7">
      <w:pPr>
        <w:overflowPunct w:val="0"/>
        <w:autoSpaceDE w:val="0"/>
        <w:autoSpaceDN w:val="0"/>
        <w:adjustRightInd w:val="0"/>
        <w:spacing w:after="0"/>
        <w:contextualSpacing/>
        <w:textAlignment w:val="baseline"/>
        <w:rPr>
          <w:rFonts w:eastAsia="Arial" w:cs="Arial"/>
        </w:rPr>
      </w:pPr>
      <w:r w:rsidRPr="00223E80">
        <w:rPr>
          <w:rFonts w:eastAsia="Arial" w:cs="Arial"/>
        </w:rPr>
        <w:t>Do naložbene pomoči ne bodo upravičeni končni odjemalci, ki se bodo na podlagi 72. člena ZSROVE vključili v sistem samooskrbe na podlagi EZ-1 in Uredbe 2019 do vključno 31. decembra 2023. 72. člen ZSROVE namreč določa, da se za te končne odjemalce ne uporabljajo določbe V. poglavja ZSROVE (edina izjema je 42. člen), ki med drugim določa naložbeno pomoč.</w:t>
      </w:r>
    </w:p>
    <w:p w14:paraId="6F8E3ACA" w14:textId="77777777" w:rsidR="00611D46" w:rsidRPr="00223E80" w:rsidRDefault="00611D46" w:rsidP="00611D46">
      <w:pPr>
        <w:spacing w:after="0"/>
        <w:rPr>
          <w:rFonts w:eastAsia="Arial" w:cs="Arial"/>
          <w:color w:val="060D38"/>
        </w:rPr>
      </w:pPr>
    </w:p>
    <w:p w14:paraId="3E723CB0" w14:textId="1E6C5DD1" w:rsidR="00611D46" w:rsidRPr="00223E80" w:rsidRDefault="00611D46" w:rsidP="00A520AC">
      <w:pPr>
        <w:pStyle w:val="Naslov1"/>
        <w:rPr>
          <w:lang w:eastAsia="sl-SI"/>
        </w:rPr>
      </w:pPr>
      <w:bookmarkStart w:id="58" w:name="_Toc112144012"/>
      <w:r w:rsidRPr="00223E80">
        <w:rPr>
          <w:lang w:eastAsia="sl-SI"/>
        </w:rPr>
        <w:t>8 PRIČAKOVANI UČINKI IZ UKREPOV DOLGOROČNEGA ČASOVNEGA NAČRTA</w:t>
      </w:r>
      <w:bookmarkEnd w:id="58"/>
    </w:p>
    <w:p w14:paraId="3F8EF598" w14:textId="77777777" w:rsidR="00611D46" w:rsidRPr="00223E80" w:rsidRDefault="00611D46" w:rsidP="00611D46">
      <w:pPr>
        <w:spacing w:after="0"/>
        <w:rPr>
          <w:rFonts w:eastAsia="Arial" w:cs="Arial"/>
          <w:b/>
          <w:lang w:eastAsia="sl-SI"/>
        </w:rPr>
      </w:pPr>
    </w:p>
    <w:p w14:paraId="6A7090E6" w14:textId="73DB1E31" w:rsidR="00B62BD0" w:rsidRPr="00223E80" w:rsidRDefault="0052414D" w:rsidP="00B62BD0">
      <w:pPr>
        <w:spacing w:after="0"/>
        <w:rPr>
          <w:rFonts w:eastAsia="Arial" w:cs="Arial"/>
        </w:rPr>
      </w:pPr>
      <w:r w:rsidRPr="00223E80">
        <w:rPr>
          <w:rFonts w:eastAsia="Arial" w:cs="Arial"/>
        </w:rPr>
        <w:t>I</w:t>
      </w:r>
      <w:r w:rsidR="00B62BD0" w:rsidRPr="00223E80">
        <w:rPr>
          <w:rFonts w:eastAsia="Arial" w:cs="Arial"/>
        </w:rPr>
        <w:t xml:space="preserve">zdelana </w:t>
      </w:r>
      <w:r w:rsidRPr="00223E80">
        <w:rPr>
          <w:rFonts w:eastAsia="Arial" w:cs="Arial"/>
        </w:rPr>
        <w:t xml:space="preserve">je bila </w:t>
      </w:r>
      <w:r w:rsidR="00B62BD0" w:rsidRPr="00223E80">
        <w:rPr>
          <w:rFonts w:eastAsia="Arial" w:cs="Arial"/>
        </w:rPr>
        <w:t xml:space="preserve">ocena vrednosti posameznega ukrepa </w:t>
      </w:r>
      <w:r w:rsidR="006A1D48" w:rsidRPr="00223E80">
        <w:rPr>
          <w:rFonts w:eastAsia="Arial" w:cs="Arial"/>
        </w:rPr>
        <w:t>glede na energijo (MWh/EUR)</w:t>
      </w:r>
      <w:r w:rsidR="00F21AC9" w:rsidRPr="00223E80">
        <w:rPr>
          <w:rFonts w:eastAsia="Arial" w:cs="Arial"/>
        </w:rPr>
        <w:t xml:space="preserve">, v oziru </w:t>
      </w:r>
      <w:r w:rsidR="00B62BD0" w:rsidRPr="00223E80">
        <w:rPr>
          <w:rFonts w:eastAsia="Arial" w:cs="Arial"/>
        </w:rPr>
        <w:t xml:space="preserve">na </w:t>
      </w:r>
      <w:r w:rsidR="006A1D48" w:rsidRPr="00223E80">
        <w:rPr>
          <w:rFonts w:eastAsia="Arial" w:cs="Arial"/>
        </w:rPr>
        <w:t>posamezne</w:t>
      </w:r>
      <w:r w:rsidR="00531282" w:rsidRPr="00223E80">
        <w:rPr>
          <w:rFonts w:eastAsia="Arial" w:cs="Arial"/>
        </w:rPr>
        <w:t xml:space="preserve"> tehnologije</w:t>
      </w:r>
      <w:r w:rsidR="006A1D48" w:rsidRPr="00223E80">
        <w:rPr>
          <w:rFonts w:eastAsia="Arial" w:cs="Arial"/>
        </w:rPr>
        <w:t xml:space="preserve"> </w:t>
      </w:r>
      <w:r w:rsidR="00F21AC9" w:rsidRPr="00223E80">
        <w:rPr>
          <w:rFonts w:eastAsia="Arial" w:cs="Arial"/>
        </w:rPr>
        <w:t xml:space="preserve">in </w:t>
      </w:r>
      <w:r w:rsidR="006A1D48" w:rsidRPr="00223E80">
        <w:rPr>
          <w:rFonts w:eastAsia="Arial" w:cs="Arial"/>
        </w:rPr>
        <w:t>glede na dosedanje podatke podporne sheme</w:t>
      </w:r>
      <w:r w:rsidR="00A4744A" w:rsidRPr="00223E80">
        <w:rPr>
          <w:rFonts w:eastAsia="Arial" w:cs="Arial"/>
        </w:rPr>
        <w:t xml:space="preserve">, kar </w:t>
      </w:r>
      <w:r w:rsidR="006A1D48" w:rsidRPr="00223E80">
        <w:rPr>
          <w:rFonts w:eastAsia="Arial" w:cs="Arial"/>
        </w:rPr>
        <w:t>je razvidno</w:t>
      </w:r>
      <w:r w:rsidR="00A4744A" w:rsidRPr="00223E80">
        <w:rPr>
          <w:rFonts w:eastAsia="Arial" w:cs="Arial"/>
        </w:rPr>
        <w:t xml:space="preserve"> v </w:t>
      </w:r>
      <w:r w:rsidR="004F2A2A" w:rsidRPr="00223E80">
        <w:rPr>
          <w:rFonts w:eastAsia="Arial" w:cs="Arial"/>
        </w:rPr>
        <w:t xml:space="preserve">naslednjih </w:t>
      </w:r>
      <w:r w:rsidR="00A4744A" w:rsidRPr="00223E80">
        <w:rPr>
          <w:rFonts w:eastAsia="Arial" w:cs="Arial"/>
        </w:rPr>
        <w:t>ugotovitvah</w:t>
      </w:r>
      <w:r w:rsidR="00F21AC9" w:rsidRPr="00223E80">
        <w:rPr>
          <w:rFonts w:eastAsia="Arial" w:cs="Arial"/>
        </w:rPr>
        <w:t>. Predstavljena</w:t>
      </w:r>
      <w:r w:rsidR="00C82781" w:rsidRPr="00223E80">
        <w:rPr>
          <w:rFonts w:eastAsia="Arial" w:cs="Arial"/>
        </w:rPr>
        <w:t xml:space="preserve"> </w:t>
      </w:r>
      <w:r w:rsidR="00F21AC9" w:rsidRPr="00223E80">
        <w:rPr>
          <w:rFonts w:eastAsia="Arial" w:cs="Arial"/>
        </w:rPr>
        <w:t xml:space="preserve">je </w:t>
      </w:r>
      <w:r w:rsidR="00914723" w:rsidRPr="00223E80">
        <w:rPr>
          <w:rFonts w:eastAsia="Arial" w:cs="Arial"/>
        </w:rPr>
        <w:t>približna</w:t>
      </w:r>
      <w:r w:rsidR="00F21AC9" w:rsidRPr="00223E80">
        <w:rPr>
          <w:rFonts w:eastAsia="Arial" w:cs="Arial"/>
        </w:rPr>
        <w:t xml:space="preserve"> </w:t>
      </w:r>
      <w:r w:rsidR="00C82781" w:rsidRPr="00223E80">
        <w:rPr>
          <w:rFonts w:eastAsia="Arial" w:cs="Arial"/>
        </w:rPr>
        <w:t>ocena učinka posameznega ukrepa po posameznih tipih naprav oziroma tehnologijah za potrebe okvirne ocene pričakovanih učinkov ukrepov dolgoročnega časovnega načrta</w:t>
      </w:r>
      <w:r w:rsidR="00B62BD0" w:rsidRPr="00223E80">
        <w:rPr>
          <w:rFonts w:eastAsia="Arial" w:cs="Arial"/>
        </w:rPr>
        <w:t>:</w:t>
      </w:r>
      <w:r w:rsidR="00BF3A43" w:rsidRPr="00223E80">
        <w:rPr>
          <w:rFonts w:eastAsia="Arial" w:cs="Arial"/>
        </w:rPr>
        <w:t xml:space="preserve">   </w:t>
      </w:r>
    </w:p>
    <w:p w14:paraId="7B73A8BC" w14:textId="77777777" w:rsidR="00C82781" w:rsidRPr="00223E80" w:rsidRDefault="00C82781" w:rsidP="00B62BD0">
      <w:pPr>
        <w:spacing w:after="0"/>
        <w:rPr>
          <w:rFonts w:eastAsia="Arial" w:cs="Arial"/>
        </w:rPr>
      </w:pPr>
    </w:p>
    <w:p w14:paraId="1F1D24B1" w14:textId="77777777" w:rsidR="00C82781" w:rsidRPr="00223E80" w:rsidRDefault="00196EA8" w:rsidP="00196EA8">
      <w:pPr>
        <w:pStyle w:val="Napis"/>
        <w:rPr>
          <w:rFonts w:eastAsia="Arial" w:cs="Arial"/>
          <w:b w:val="0"/>
          <w:i/>
          <w:sz w:val="22"/>
          <w:szCs w:val="22"/>
        </w:rPr>
      </w:pPr>
      <w:bookmarkStart w:id="59" w:name="_Toc114043615"/>
      <w:r w:rsidRPr="00223E80">
        <w:rPr>
          <w:b w:val="0"/>
          <w:i/>
          <w:sz w:val="22"/>
          <w:szCs w:val="22"/>
        </w:rPr>
        <w:t xml:space="preserve">Preglednica </w:t>
      </w:r>
      <w:r w:rsidRPr="00223E80">
        <w:rPr>
          <w:b w:val="0"/>
          <w:i/>
          <w:sz w:val="22"/>
          <w:szCs w:val="22"/>
        </w:rPr>
        <w:fldChar w:fldCharType="begin"/>
      </w:r>
      <w:r w:rsidRPr="00223E80">
        <w:rPr>
          <w:b w:val="0"/>
          <w:i/>
          <w:sz w:val="22"/>
          <w:szCs w:val="22"/>
        </w:rPr>
        <w:instrText xml:space="preserve"> SEQ Preglednica \* ARABIC </w:instrText>
      </w:r>
      <w:r w:rsidRPr="00223E80">
        <w:rPr>
          <w:b w:val="0"/>
          <w:i/>
          <w:sz w:val="22"/>
          <w:szCs w:val="22"/>
        </w:rPr>
        <w:fldChar w:fldCharType="separate"/>
      </w:r>
      <w:r w:rsidR="007503C1" w:rsidRPr="00223E80">
        <w:rPr>
          <w:b w:val="0"/>
          <w:i/>
          <w:noProof/>
          <w:sz w:val="22"/>
          <w:szCs w:val="22"/>
        </w:rPr>
        <w:t>8</w:t>
      </w:r>
      <w:r w:rsidRPr="00223E80">
        <w:rPr>
          <w:b w:val="0"/>
          <w:i/>
          <w:sz w:val="22"/>
          <w:szCs w:val="22"/>
        </w:rPr>
        <w:fldChar w:fldCharType="end"/>
      </w:r>
      <w:r w:rsidR="00F81398" w:rsidRPr="00223E80">
        <w:rPr>
          <w:b w:val="0"/>
          <w:i/>
          <w:sz w:val="22"/>
          <w:szCs w:val="22"/>
        </w:rPr>
        <w:t>:</w:t>
      </w:r>
      <w:r w:rsidRPr="00223E80">
        <w:rPr>
          <w:b w:val="0"/>
          <w:i/>
          <w:sz w:val="22"/>
          <w:szCs w:val="22"/>
        </w:rPr>
        <w:t xml:space="preserve"> Pregled ocene vrednosti ukrepa iz dosedanje podporne sheme in okvirne ocene učinka ukrepov po posameznih tipih naprav oziroma tehnologijah za naprej</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781"/>
        <w:gridCol w:w="2381"/>
        <w:gridCol w:w="2460"/>
      </w:tblGrid>
      <w:tr w:rsidR="00C90BB2" w:rsidRPr="00223E80" w14:paraId="44BAC828" w14:textId="77777777" w:rsidTr="005912CF">
        <w:tc>
          <w:tcPr>
            <w:tcW w:w="0" w:type="auto"/>
            <w:shd w:val="clear" w:color="auto" w:fill="auto"/>
          </w:tcPr>
          <w:p w14:paraId="3C155F76" w14:textId="77777777" w:rsidR="00AF2F86" w:rsidRPr="00223E80" w:rsidRDefault="00AF2F86" w:rsidP="006A1D48">
            <w:pPr>
              <w:spacing w:after="0"/>
              <w:ind w:right="565"/>
              <w:jc w:val="center"/>
              <w:rPr>
                <w:rFonts w:eastAsia="Arial" w:cs="Arial"/>
              </w:rPr>
            </w:pPr>
            <w:r w:rsidRPr="00223E80">
              <w:rPr>
                <w:rFonts w:eastAsia="Arial" w:cs="Arial"/>
              </w:rPr>
              <w:t xml:space="preserve">Vrste proizvodnih virov </w:t>
            </w:r>
            <w:r w:rsidR="006A1D48" w:rsidRPr="00223E80">
              <w:rPr>
                <w:rFonts w:eastAsia="Arial" w:cs="Arial"/>
              </w:rPr>
              <w:t>električne energije</w:t>
            </w:r>
            <w:r w:rsidRPr="00223E80">
              <w:rPr>
                <w:rFonts w:eastAsia="Arial" w:cs="Arial"/>
              </w:rPr>
              <w:t xml:space="preserve"> v </w:t>
            </w:r>
            <w:r w:rsidR="00ED50A8" w:rsidRPr="00223E80">
              <w:rPr>
                <w:rFonts w:eastAsia="Arial" w:cs="Arial"/>
              </w:rPr>
              <w:t xml:space="preserve">dosedanji </w:t>
            </w:r>
            <w:r w:rsidRPr="00223E80">
              <w:rPr>
                <w:rFonts w:eastAsia="Arial" w:cs="Arial"/>
              </w:rPr>
              <w:t>podporni shemi glede na tip naprave</w:t>
            </w:r>
            <w:r w:rsidR="00C82781" w:rsidRPr="00223E80">
              <w:rPr>
                <w:rFonts w:eastAsia="Arial" w:cs="Arial"/>
              </w:rPr>
              <w:t xml:space="preserve"> oziroma tehnologije</w:t>
            </w:r>
          </w:p>
        </w:tc>
        <w:tc>
          <w:tcPr>
            <w:tcW w:w="0" w:type="auto"/>
          </w:tcPr>
          <w:p w14:paraId="1AFBFE72" w14:textId="77777777" w:rsidR="00AF2F86" w:rsidRPr="00223E80" w:rsidRDefault="00AF2F86" w:rsidP="00ED50A8">
            <w:pPr>
              <w:spacing w:after="0"/>
              <w:ind w:right="334"/>
              <w:jc w:val="center"/>
              <w:rPr>
                <w:rFonts w:eastAsia="Arial" w:cs="Arial"/>
              </w:rPr>
            </w:pPr>
            <w:r w:rsidRPr="00223E80">
              <w:rPr>
                <w:rFonts w:eastAsia="Arial" w:cs="Arial"/>
              </w:rPr>
              <w:t>Ocena vrednosti ukrepa</w:t>
            </w:r>
            <w:r w:rsidR="00ED50A8" w:rsidRPr="00223E80">
              <w:rPr>
                <w:rFonts w:eastAsia="Arial" w:cs="Arial"/>
              </w:rPr>
              <w:t xml:space="preserve"> glede na</w:t>
            </w:r>
            <w:r w:rsidRPr="00223E80">
              <w:rPr>
                <w:rFonts w:eastAsia="Arial" w:cs="Arial"/>
              </w:rPr>
              <w:t xml:space="preserve"> dosedanj</w:t>
            </w:r>
            <w:r w:rsidR="00ED50A8" w:rsidRPr="00223E80">
              <w:rPr>
                <w:rFonts w:eastAsia="Arial" w:cs="Arial"/>
              </w:rPr>
              <w:t>e podatke</w:t>
            </w:r>
            <w:r w:rsidRPr="00223E80">
              <w:rPr>
                <w:rFonts w:eastAsia="Arial" w:cs="Arial"/>
              </w:rPr>
              <w:t xml:space="preserve"> podporne sheme</w:t>
            </w:r>
            <w:r w:rsidR="007233F5" w:rsidRPr="00223E80">
              <w:rPr>
                <w:rFonts w:eastAsia="Arial" w:cs="Arial"/>
              </w:rPr>
              <w:t xml:space="preserve"> GWh/mio EUR</w:t>
            </w:r>
          </w:p>
        </w:tc>
        <w:tc>
          <w:tcPr>
            <w:tcW w:w="0" w:type="auto"/>
          </w:tcPr>
          <w:p w14:paraId="505D2751" w14:textId="77777777" w:rsidR="00AF2F86" w:rsidRPr="00223E80" w:rsidRDefault="00C82781" w:rsidP="005912CF">
            <w:pPr>
              <w:spacing w:after="0"/>
              <w:ind w:right="334"/>
              <w:jc w:val="left"/>
              <w:rPr>
                <w:rFonts w:eastAsia="Arial" w:cs="Arial"/>
              </w:rPr>
            </w:pPr>
            <w:r w:rsidRPr="00223E80">
              <w:rPr>
                <w:rFonts w:eastAsia="Arial" w:cs="Arial"/>
              </w:rPr>
              <w:t>Okvirna ocena u</w:t>
            </w:r>
            <w:r w:rsidR="00AF2F86" w:rsidRPr="00223E80">
              <w:rPr>
                <w:rFonts w:eastAsia="Arial" w:cs="Arial"/>
              </w:rPr>
              <w:t>čink</w:t>
            </w:r>
            <w:r w:rsidRPr="00223E80">
              <w:rPr>
                <w:rFonts w:eastAsia="Arial" w:cs="Arial"/>
              </w:rPr>
              <w:t>a</w:t>
            </w:r>
            <w:r w:rsidR="00AF2F86" w:rsidRPr="00223E80">
              <w:rPr>
                <w:rFonts w:eastAsia="Arial" w:cs="Arial"/>
              </w:rPr>
              <w:t xml:space="preserve"> ukrepa</w:t>
            </w:r>
            <w:r w:rsidRPr="00223E80">
              <w:rPr>
                <w:rFonts w:eastAsia="Arial" w:cs="Arial"/>
              </w:rPr>
              <w:t xml:space="preserve"> po posameznih tipih naprav in tehnologijah </w:t>
            </w:r>
            <w:r w:rsidR="00987D8F" w:rsidRPr="00223E80">
              <w:rPr>
                <w:rFonts w:eastAsia="Arial" w:cs="Arial"/>
              </w:rPr>
              <w:t>v prihodnje</w:t>
            </w:r>
          </w:p>
        </w:tc>
        <w:tc>
          <w:tcPr>
            <w:tcW w:w="2460" w:type="dxa"/>
          </w:tcPr>
          <w:p w14:paraId="20BA2858" w14:textId="77777777" w:rsidR="00AF2F86" w:rsidRPr="00223E80" w:rsidRDefault="00AF2F86" w:rsidP="00AF2F86">
            <w:pPr>
              <w:spacing w:after="0"/>
              <w:ind w:right="334"/>
              <w:jc w:val="center"/>
              <w:rPr>
                <w:rFonts w:eastAsia="Arial" w:cs="Arial"/>
              </w:rPr>
            </w:pPr>
            <w:r w:rsidRPr="00223E80">
              <w:rPr>
                <w:rFonts w:eastAsia="Arial" w:cs="Arial"/>
              </w:rPr>
              <w:t>Opombe</w:t>
            </w:r>
          </w:p>
          <w:p w14:paraId="20AA6A3F" w14:textId="77777777" w:rsidR="00AF2F86" w:rsidRPr="00223E80" w:rsidRDefault="00AF2F86" w:rsidP="00AF2F86">
            <w:pPr>
              <w:spacing w:after="0"/>
              <w:ind w:right="334"/>
              <w:jc w:val="center"/>
              <w:rPr>
                <w:rFonts w:eastAsia="Arial" w:cs="Arial"/>
              </w:rPr>
            </w:pPr>
          </w:p>
        </w:tc>
      </w:tr>
      <w:tr w:rsidR="00C90BB2" w:rsidRPr="00223E80" w14:paraId="69185CFC" w14:textId="77777777" w:rsidTr="005912CF">
        <w:tc>
          <w:tcPr>
            <w:tcW w:w="0" w:type="auto"/>
            <w:shd w:val="clear" w:color="auto" w:fill="auto"/>
          </w:tcPr>
          <w:p w14:paraId="4C9D7521" w14:textId="77777777" w:rsidR="00AF2F86" w:rsidRPr="00223E80" w:rsidRDefault="00AF2F86" w:rsidP="00AF2F86">
            <w:pPr>
              <w:spacing w:after="0"/>
              <w:ind w:right="33"/>
              <w:jc w:val="center"/>
              <w:rPr>
                <w:rFonts w:eastAsia="Arial" w:cs="Arial"/>
              </w:rPr>
            </w:pPr>
            <w:r w:rsidRPr="00223E80">
              <w:rPr>
                <w:rFonts w:eastAsia="Arial" w:cs="Arial"/>
              </w:rPr>
              <w:lastRenderedPageBreak/>
              <w:t xml:space="preserve">Bioplinske naprave </w:t>
            </w:r>
          </w:p>
          <w:p w14:paraId="4FA36195" w14:textId="77777777" w:rsidR="00AF2F86" w:rsidRPr="00223E80" w:rsidRDefault="00AF2F86" w:rsidP="00AF2F86">
            <w:pPr>
              <w:spacing w:after="0"/>
              <w:ind w:right="33"/>
              <w:jc w:val="center"/>
              <w:rPr>
                <w:rFonts w:eastAsia="Arial" w:cs="Arial"/>
              </w:rPr>
            </w:pPr>
          </w:p>
        </w:tc>
        <w:tc>
          <w:tcPr>
            <w:tcW w:w="0" w:type="auto"/>
          </w:tcPr>
          <w:p w14:paraId="49E36EDD" w14:textId="77777777" w:rsidR="00AF2F86" w:rsidRPr="00223E80" w:rsidRDefault="00AF2F86" w:rsidP="00AF2F86">
            <w:pPr>
              <w:spacing w:after="0"/>
              <w:ind w:right="334"/>
              <w:jc w:val="center"/>
              <w:rPr>
                <w:rFonts w:eastAsia="Arial" w:cs="Arial"/>
              </w:rPr>
            </w:pPr>
            <w:r w:rsidRPr="00223E80">
              <w:rPr>
                <w:rFonts w:eastAsia="Arial" w:cs="Arial"/>
              </w:rPr>
              <w:t>8,31 GWh energije za 1 mio EUR</w:t>
            </w:r>
          </w:p>
        </w:tc>
        <w:tc>
          <w:tcPr>
            <w:tcW w:w="0" w:type="auto"/>
            <w:shd w:val="clear" w:color="auto" w:fill="auto"/>
          </w:tcPr>
          <w:p w14:paraId="3520F70B" w14:textId="77777777" w:rsidR="000C5817" w:rsidRPr="00223E80" w:rsidRDefault="000C5817" w:rsidP="00ED50A8">
            <w:pPr>
              <w:spacing w:after="0"/>
              <w:rPr>
                <w:rFonts w:eastAsia="Arial" w:cs="Arial"/>
              </w:rPr>
            </w:pPr>
            <w:r w:rsidRPr="00223E80">
              <w:rPr>
                <w:rFonts w:eastAsia="Arial" w:cs="Arial"/>
              </w:rPr>
              <w:t>9</w:t>
            </w:r>
            <w:r w:rsidR="006A1D48" w:rsidRPr="00223E80">
              <w:rPr>
                <w:rFonts w:eastAsia="Arial" w:cs="Arial"/>
              </w:rPr>
              <w:t xml:space="preserve"> </w:t>
            </w:r>
            <w:r w:rsidR="00AF2F86" w:rsidRPr="00223E80">
              <w:rPr>
                <w:rFonts w:eastAsia="Arial" w:cs="Arial"/>
              </w:rPr>
              <w:t>GWh energije za 1 mio EUR</w:t>
            </w:r>
            <w:r w:rsidR="004A7026" w:rsidRPr="00223E80">
              <w:rPr>
                <w:rFonts w:eastAsia="Arial" w:cs="Arial"/>
              </w:rPr>
              <w:t>,</w:t>
            </w:r>
            <w:r w:rsidR="00AA4871" w:rsidRPr="00223E80">
              <w:rPr>
                <w:rFonts w:eastAsia="Arial" w:cs="Arial"/>
              </w:rPr>
              <w:t xml:space="preserve"> pri čemer se </w:t>
            </w:r>
            <w:r w:rsidR="004A7026" w:rsidRPr="00223E80">
              <w:rPr>
                <w:rFonts w:eastAsia="Arial" w:cs="Arial"/>
              </w:rPr>
              <w:t>načrtuje</w:t>
            </w:r>
            <w:r w:rsidR="00AA4871" w:rsidRPr="00223E80">
              <w:rPr>
                <w:rFonts w:eastAsia="Arial" w:cs="Arial"/>
              </w:rPr>
              <w:t xml:space="preserve"> d</w:t>
            </w:r>
            <w:r w:rsidRPr="00223E80">
              <w:rPr>
                <w:rFonts w:eastAsia="Arial" w:cs="Arial"/>
              </w:rPr>
              <w:t>elež celotne OVE energije cca 10</w:t>
            </w:r>
            <w:r w:rsidR="009F5D4B" w:rsidRPr="00223E80">
              <w:rPr>
                <w:rFonts w:eastAsia="Arial" w:cs="Arial"/>
              </w:rPr>
              <w:t xml:space="preserve"> </w:t>
            </w:r>
            <w:r w:rsidRPr="00223E80">
              <w:rPr>
                <w:rFonts w:eastAsia="Arial" w:cs="Arial"/>
              </w:rPr>
              <w:t xml:space="preserve">%, ob izpolnjenem pogoju tehnoloških posodobitev obstoječih proizvodnih naprav v prehodnem obdobju </w:t>
            </w:r>
          </w:p>
        </w:tc>
        <w:tc>
          <w:tcPr>
            <w:tcW w:w="2460" w:type="dxa"/>
          </w:tcPr>
          <w:p w14:paraId="4CB223E8" w14:textId="46382FD0" w:rsidR="00AF2F86" w:rsidRPr="00223E80" w:rsidRDefault="00AF2F86" w:rsidP="006A1D48">
            <w:pPr>
              <w:spacing w:after="0"/>
              <w:rPr>
                <w:rFonts w:eastAsia="Arial" w:cs="Arial"/>
              </w:rPr>
            </w:pPr>
            <w:r w:rsidRPr="00223E80">
              <w:rPr>
                <w:rFonts w:eastAsia="Arial" w:cs="Arial"/>
              </w:rPr>
              <w:t>bioplinske elektrarne so po obstoječi</w:t>
            </w:r>
            <w:r w:rsidR="007233F5" w:rsidRPr="00223E80">
              <w:rPr>
                <w:rFonts w:eastAsia="Arial" w:cs="Arial"/>
              </w:rPr>
              <w:t xml:space="preserve"> </w:t>
            </w:r>
            <w:r w:rsidRPr="00223E80">
              <w:rPr>
                <w:rFonts w:eastAsia="Arial" w:cs="Arial"/>
              </w:rPr>
              <w:t>podporni shemi v zmernem upadu (</w:t>
            </w:r>
            <w:r w:rsidR="00D03979" w:rsidRPr="00223E80">
              <w:rPr>
                <w:rFonts w:eastAsia="Arial" w:cs="Arial"/>
              </w:rPr>
              <w:t>s</w:t>
            </w:r>
            <w:r w:rsidRPr="00223E80">
              <w:rPr>
                <w:rFonts w:eastAsia="Arial" w:cs="Arial"/>
              </w:rPr>
              <w:t xml:space="preserve"> 13</w:t>
            </w:r>
            <w:r w:rsidR="009F5D4B" w:rsidRPr="00223E80">
              <w:rPr>
                <w:rFonts w:eastAsia="Arial" w:cs="Arial"/>
              </w:rPr>
              <w:t xml:space="preserve"> </w:t>
            </w:r>
            <w:r w:rsidRPr="00223E80">
              <w:rPr>
                <w:rFonts w:eastAsia="Arial" w:cs="Arial"/>
              </w:rPr>
              <w:t>% na 10</w:t>
            </w:r>
            <w:r w:rsidR="009F5D4B" w:rsidRPr="00223E80">
              <w:rPr>
                <w:rFonts w:eastAsia="Arial" w:cs="Arial"/>
              </w:rPr>
              <w:t xml:space="preserve"> </w:t>
            </w:r>
            <w:r w:rsidRPr="00223E80">
              <w:rPr>
                <w:rFonts w:eastAsia="Arial" w:cs="Arial"/>
              </w:rPr>
              <w:t>% celotne energije</w:t>
            </w:r>
            <w:r w:rsidR="00AC5561" w:rsidRPr="00223E80">
              <w:rPr>
                <w:rFonts w:eastAsia="Arial" w:cs="Arial"/>
              </w:rPr>
              <w:t>,</w:t>
            </w:r>
            <w:r w:rsidRPr="00223E80">
              <w:rPr>
                <w:rFonts w:eastAsia="Arial" w:cs="Arial"/>
              </w:rPr>
              <w:t xml:space="preserve"> proizvedene v shemi). </w:t>
            </w:r>
            <w:r w:rsidR="006A1D48" w:rsidRPr="00223E80">
              <w:rPr>
                <w:rFonts w:eastAsia="Arial" w:cs="Arial"/>
              </w:rPr>
              <w:t>Za naprej bo treb</w:t>
            </w:r>
            <w:r w:rsidR="00833D00" w:rsidRPr="00223E80">
              <w:rPr>
                <w:rFonts w:eastAsia="Arial" w:cs="Arial"/>
              </w:rPr>
              <w:t>a</w:t>
            </w:r>
            <w:r w:rsidR="006A1D48" w:rsidRPr="00223E80">
              <w:rPr>
                <w:rFonts w:eastAsia="Arial" w:cs="Arial"/>
              </w:rPr>
              <w:t xml:space="preserve"> preučiti p</w:t>
            </w:r>
            <w:r w:rsidRPr="00223E80">
              <w:rPr>
                <w:rFonts w:eastAsia="Arial" w:cs="Arial"/>
              </w:rPr>
              <w:t>rilagodit</w:t>
            </w:r>
            <w:r w:rsidR="006A1D48" w:rsidRPr="00223E80">
              <w:rPr>
                <w:rFonts w:eastAsia="Arial" w:cs="Arial"/>
              </w:rPr>
              <w:t>ev</w:t>
            </w:r>
            <w:r w:rsidRPr="00223E80">
              <w:rPr>
                <w:rFonts w:eastAsia="Arial" w:cs="Arial"/>
              </w:rPr>
              <w:t xml:space="preserve"> referenčnih stroškov podpor za ta tip proizvodnje</w:t>
            </w:r>
            <w:r w:rsidR="006A1D48" w:rsidRPr="00223E80">
              <w:rPr>
                <w:rFonts w:eastAsia="Arial" w:cs="Arial"/>
              </w:rPr>
              <w:t xml:space="preserve"> ter izrabo</w:t>
            </w:r>
            <w:r w:rsidRPr="00223E80">
              <w:rPr>
                <w:rFonts w:eastAsia="Arial" w:cs="Arial"/>
              </w:rPr>
              <w:t xml:space="preserve"> vseh primernih vhodnih substratov. </w:t>
            </w:r>
          </w:p>
        </w:tc>
      </w:tr>
      <w:tr w:rsidR="00C90BB2" w:rsidRPr="00223E80" w14:paraId="1CFA587E" w14:textId="77777777" w:rsidTr="005912CF">
        <w:tc>
          <w:tcPr>
            <w:tcW w:w="0" w:type="auto"/>
            <w:shd w:val="clear" w:color="auto" w:fill="auto"/>
          </w:tcPr>
          <w:p w14:paraId="66B42A5A" w14:textId="77777777" w:rsidR="00AF2F86" w:rsidRPr="00223E80" w:rsidRDefault="00AF2F86" w:rsidP="00AF2F86">
            <w:pPr>
              <w:tabs>
                <w:tab w:val="left" w:pos="4111"/>
              </w:tabs>
              <w:spacing w:after="0"/>
              <w:ind w:right="33"/>
              <w:jc w:val="center"/>
              <w:rPr>
                <w:rFonts w:eastAsia="Arial" w:cs="Arial"/>
              </w:rPr>
            </w:pPr>
            <w:r w:rsidRPr="00223E80">
              <w:rPr>
                <w:rFonts w:eastAsia="Arial" w:cs="Arial"/>
              </w:rPr>
              <w:t>Elektrarne na lesno biomaso</w:t>
            </w:r>
          </w:p>
        </w:tc>
        <w:tc>
          <w:tcPr>
            <w:tcW w:w="0" w:type="auto"/>
          </w:tcPr>
          <w:p w14:paraId="28C9B3BC" w14:textId="77777777" w:rsidR="00AF2F86" w:rsidRPr="00223E80" w:rsidRDefault="00AF2F86" w:rsidP="00AF2F86">
            <w:pPr>
              <w:spacing w:after="0"/>
              <w:ind w:right="334"/>
              <w:jc w:val="center"/>
              <w:rPr>
                <w:rFonts w:eastAsia="Arial" w:cs="Arial"/>
              </w:rPr>
            </w:pPr>
            <w:r w:rsidRPr="00223E80">
              <w:rPr>
                <w:rFonts w:eastAsia="Arial" w:cs="Arial"/>
              </w:rPr>
              <w:t>6,78 GWh energije za 1 mio EUR</w:t>
            </w:r>
          </w:p>
        </w:tc>
        <w:tc>
          <w:tcPr>
            <w:tcW w:w="0" w:type="auto"/>
            <w:shd w:val="clear" w:color="auto" w:fill="auto"/>
          </w:tcPr>
          <w:p w14:paraId="5D01027F" w14:textId="77777777" w:rsidR="00AF2F86" w:rsidRPr="00223E80" w:rsidRDefault="00531282" w:rsidP="00CB7A1F">
            <w:pPr>
              <w:spacing w:after="0"/>
              <w:rPr>
                <w:rFonts w:eastAsia="Arial" w:cs="Arial"/>
              </w:rPr>
            </w:pPr>
            <w:r w:rsidRPr="00223E80">
              <w:rPr>
                <w:rFonts w:eastAsia="Arial" w:cs="Arial"/>
              </w:rPr>
              <w:t>9</w:t>
            </w:r>
            <w:r w:rsidR="000C5817" w:rsidRPr="00223E80">
              <w:rPr>
                <w:rFonts w:eastAsia="Arial" w:cs="Arial"/>
              </w:rPr>
              <w:t xml:space="preserve"> GWh energije za 1 mio EUR</w:t>
            </w:r>
            <w:r w:rsidR="00AA4871" w:rsidRPr="00223E80">
              <w:rPr>
                <w:rFonts w:eastAsia="Arial" w:cs="Arial"/>
              </w:rPr>
              <w:t>, pri čemer je upoštevan p</w:t>
            </w:r>
            <w:r w:rsidR="000C5817" w:rsidRPr="00223E80">
              <w:rPr>
                <w:rFonts w:eastAsia="Arial" w:cs="Arial"/>
              </w:rPr>
              <w:t>rispevek sodobnih tehnologij in</w:t>
            </w:r>
            <w:r w:rsidRPr="00223E80">
              <w:rPr>
                <w:rFonts w:eastAsia="Arial" w:cs="Arial"/>
              </w:rPr>
              <w:t xml:space="preserve"> izkoristkov proizvodnih naprav,</w:t>
            </w:r>
            <w:r w:rsidR="000C5817" w:rsidRPr="00223E80">
              <w:rPr>
                <w:rFonts w:eastAsia="Arial" w:cs="Arial"/>
              </w:rPr>
              <w:t xml:space="preserve"> </w:t>
            </w:r>
            <w:r w:rsidRPr="00223E80">
              <w:rPr>
                <w:rFonts w:eastAsia="Arial" w:cs="Arial"/>
              </w:rPr>
              <w:t>zlasti</w:t>
            </w:r>
            <w:r w:rsidR="000C5817" w:rsidRPr="00223E80">
              <w:rPr>
                <w:rFonts w:eastAsia="Arial" w:cs="Arial"/>
              </w:rPr>
              <w:t xml:space="preserve"> v sistemu kogeneracij. </w:t>
            </w:r>
          </w:p>
          <w:p w14:paraId="0AC99BC1" w14:textId="748F2656" w:rsidR="005D358F" w:rsidRPr="00223E80" w:rsidRDefault="005D358F" w:rsidP="00CB7A1F">
            <w:pPr>
              <w:spacing w:after="0"/>
              <w:rPr>
                <w:rFonts w:eastAsia="Arial" w:cs="Arial"/>
              </w:rPr>
            </w:pPr>
            <w:r w:rsidRPr="00223E80">
              <w:rPr>
                <w:rFonts w:eastAsia="Arial" w:cs="Arial"/>
              </w:rPr>
              <w:t>Prehodno se načrtuje po</w:t>
            </w:r>
            <w:r w:rsidR="00B32892" w:rsidRPr="00223E80">
              <w:rPr>
                <w:rFonts w:eastAsia="Arial" w:cs="Arial"/>
              </w:rPr>
              <w:t>večanje</w:t>
            </w:r>
            <w:r w:rsidRPr="00223E80">
              <w:rPr>
                <w:rFonts w:eastAsia="Arial" w:cs="Arial"/>
              </w:rPr>
              <w:t xml:space="preserve"> tega deleža na 22</w:t>
            </w:r>
            <w:r w:rsidR="009F5D4B" w:rsidRPr="00223E80">
              <w:rPr>
                <w:rFonts w:eastAsia="Arial" w:cs="Arial"/>
              </w:rPr>
              <w:t xml:space="preserve"> </w:t>
            </w:r>
            <w:r w:rsidRPr="00223E80">
              <w:rPr>
                <w:rFonts w:eastAsia="Arial" w:cs="Arial"/>
              </w:rPr>
              <w:t>%.</w:t>
            </w:r>
          </w:p>
        </w:tc>
        <w:tc>
          <w:tcPr>
            <w:tcW w:w="2460" w:type="dxa"/>
          </w:tcPr>
          <w:p w14:paraId="7368F7E1" w14:textId="5634B068" w:rsidR="00AF2F86" w:rsidRPr="00223E80" w:rsidRDefault="00AF2F86" w:rsidP="005912CF">
            <w:pPr>
              <w:spacing w:after="0"/>
              <w:ind w:right="334"/>
              <w:rPr>
                <w:rFonts w:eastAsia="Arial" w:cs="Arial"/>
              </w:rPr>
            </w:pPr>
            <w:r w:rsidRPr="00223E80">
              <w:rPr>
                <w:rFonts w:eastAsia="Arial" w:cs="Arial"/>
              </w:rPr>
              <w:t xml:space="preserve">Ta </w:t>
            </w:r>
            <w:r w:rsidR="00ED50A8" w:rsidRPr="00223E80">
              <w:rPr>
                <w:rFonts w:eastAsia="Arial" w:cs="Arial"/>
              </w:rPr>
              <w:t>tehnologija</w:t>
            </w:r>
            <w:r w:rsidRPr="00223E80">
              <w:rPr>
                <w:rFonts w:eastAsia="Arial" w:cs="Arial"/>
              </w:rPr>
              <w:t xml:space="preserve"> v deležu</w:t>
            </w:r>
            <w:r w:rsidR="007233F5" w:rsidRPr="00223E80">
              <w:rPr>
                <w:rFonts w:eastAsia="Arial" w:cs="Arial"/>
              </w:rPr>
              <w:t xml:space="preserve"> </w:t>
            </w:r>
            <w:r w:rsidRPr="00223E80">
              <w:rPr>
                <w:rFonts w:eastAsia="Arial" w:cs="Arial"/>
              </w:rPr>
              <w:t>zadnja</w:t>
            </w:r>
            <w:r w:rsidR="00ED50A8" w:rsidRPr="00223E80">
              <w:rPr>
                <w:rFonts w:eastAsia="Arial" w:cs="Arial"/>
              </w:rPr>
              <w:t xml:space="preserve"> </w:t>
            </w:r>
            <w:r w:rsidRPr="00223E80">
              <w:rPr>
                <w:rFonts w:eastAsia="Arial" w:cs="Arial"/>
              </w:rPr>
              <w:t>leta predstavlja okoli 14</w:t>
            </w:r>
            <w:r w:rsidR="000C5817" w:rsidRPr="00223E80">
              <w:rPr>
                <w:rFonts w:eastAsia="Arial" w:cs="Arial"/>
              </w:rPr>
              <w:t>,5</w:t>
            </w:r>
            <w:r w:rsidR="009F5D4B" w:rsidRPr="00223E80">
              <w:rPr>
                <w:rFonts w:eastAsia="Arial" w:cs="Arial"/>
              </w:rPr>
              <w:t xml:space="preserve"> </w:t>
            </w:r>
            <w:r w:rsidRPr="00223E80">
              <w:rPr>
                <w:rFonts w:eastAsia="Arial" w:cs="Arial"/>
              </w:rPr>
              <w:t>%</w:t>
            </w:r>
            <w:r w:rsidR="00ED50A8" w:rsidRPr="00223E80">
              <w:rPr>
                <w:rFonts w:eastAsia="Arial" w:cs="Arial"/>
              </w:rPr>
              <w:t xml:space="preserve"> </w:t>
            </w:r>
            <w:r w:rsidRPr="00223E80">
              <w:rPr>
                <w:rFonts w:eastAsia="Arial" w:cs="Arial"/>
              </w:rPr>
              <w:t>celotne</w:t>
            </w:r>
            <w:r w:rsidR="005912CF" w:rsidRPr="00223E80">
              <w:rPr>
                <w:rFonts w:eastAsia="Arial" w:cs="Arial"/>
              </w:rPr>
              <w:t xml:space="preserve"> </w:t>
            </w:r>
            <w:r w:rsidR="00ED50A8" w:rsidRPr="00223E80">
              <w:rPr>
                <w:rFonts w:eastAsia="Arial" w:cs="Arial"/>
              </w:rPr>
              <w:t>p</w:t>
            </w:r>
            <w:r w:rsidRPr="00223E80">
              <w:rPr>
                <w:rFonts w:eastAsia="Arial" w:cs="Arial"/>
              </w:rPr>
              <w:t>roizvedene</w:t>
            </w:r>
            <w:r w:rsidR="00ED50A8" w:rsidRPr="00223E80">
              <w:rPr>
                <w:rFonts w:eastAsia="Arial" w:cs="Arial"/>
              </w:rPr>
              <w:t xml:space="preserve"> energije </w:t>
            </w:r>
            <w:r w:rsidRPr="00223E80">
              <w:rPr>
                <w:rFonts w:eastAsia="Arial" w:cs="Arial"/>
              </w:rPr>
              <w:t>v shemi.</w:t>
            </w:r>
          </w:p>
        </w:tc>
      </w:tr>
      <w:tr w:rsidR="00C90BB2" w:rsidRPr="00223E80" w14:paraId="1A10A113" w14:textId="77777777" w:rsidTr="005912CF">
        <w:tc>
          <w:tcPr>
            <w:tcW w:w="0" w:type="auto"/>
            <w:shd w:val="clear" w:color="auto" w:fill="auto"/>
          </w:tcPr>
          <w:p w14:paraId="4B21A706" w14:textId="77777777" w:rsidR="00AF2F86" w:rsidRPr="00223E80" w:rsidRDefault="00AF2F86" w:rsidP="00AF2F86">
            <w:pPr>
              <w:spacing w:after="0"/>
              <w:ind w:right="33"/>
              <w:jc w:val="center"/>
              <w:rPr>
                <w:rFonts w:eastAsia="Arial" w:cs="Arial"/>
              </w:rPr>
            </w:pPr>
            <w:r w:rsidRPr="00223E80">
              <w:rPr>
                <w:rFonts w:eastAsia="Arial" w:cs="Arial"/>
              </w:rPr>
              <w:t>Hidroelektrarne</w:t>
            </w:r>
          </w:p>
          <w:p w14:paraId="6511756F" w14:textId="77777777" w:rsidR="00AF2F86" w:rsidRPr="00223E80" w:rsidRDefault="00AF2F86" w:rsidP="00AF2F86">
            <w:pPr>
              <w:spacing w:after="0"/>
              <w:ind w:right="33"/>
              <w:jc w:val="center"/>
              <w:rPr>
                <w:rFonts w:eastAsia="Arial" w:cs="Arial"/>
              </w:rPr>
            </w:pPr>
          </w:p>
        </w:tc>
        <w:tc>
          <w:tcPr>
            <w:tcW w:w="0" w:type="auto"/>
          </w:tcPr>
          <w:p w14:paraId="69D2FE82" w14:textId="77777777" w:rsidR="00AF2F86" w:rsidRPr="00223E80" w:rsidRDefault="00AF2F86" w:rsidP="00AF2F86">
            <w:pPr>
              <w:spacing w:after="0"/>
              <w:ind w:right="334"/>
              <w:jc w:val="center"/>
              <w:rPr>
                <w:rFonts w:eastAsia="Arial" w:cs="Arial"/>
              </w:rPr>
            </w:pPr>
            <w:r w:rsidRPr="00223E80">
              <w:rPr>
                <w:rFonts w:eastAsia="Arial" w:cs="Arial"/>
              </w:rPr>
              <w:t>22,38 GWh energije za 1 mio EUR</w:t>
            </w:r>
          </w:p>
        </w:tc>
        <w:tc>
          <w:tcPr>
            <w:tcW w:w="0" w:type="auto"/>
            <w:shd w:val="clear" w:color="auto" w:fill="auto"/>
          </w:tcPr>
          <w:p w14:paraId="5E7AC39A" w14:textId="77777777" w:rsidR="000C5817" w:rsidRPr="00223E80" w:rsidRDefault="000C5817" w:rsidP="00C82781">
            <w:pPr>
              <w:spacing w:after="0"/>
              <w:ind w:right="334"/>
              <w:rPr>
                <w:rFonts w:eastAsia="Arial" w:cs="Arial"/>
              </w:rPr>
            </w:pPr>
            <w:r w:rsidRPr="00223E80">
              <w:rPr>
                <w:rFonts w:eastAsia="Arial" w:cs="Arial"/>
              </w:rPr>
              <w:t>25 GWh energije za 1 mio EUR</w:t>
            </w:r>
            <w:r w:rsidR="004A7026" w:rsidRPr="00223E80">
              <w:rPr>
                <w:rFonts w:eastAsia="Arial" w:cs="Arial"/>
              </w:rPr>
              <w:t xml:space="preserve">, pri čemer je upoštevan </w:t>
            </w:r>
            <w:r w:rsidR="00C90BB2" w:rsidRPr="00223E80">
              <w:rPr>
                <w:rFonts w:eastAsia="Arial" w:cs="Arial"/>
              </w:rPr>
              <w:t>p</w:t>
            </w:r>
            <w:r w:rsidRPr="00223E80">
              <w:rPr>
                <w:rFonts w:eastAsia="Arial" w:cs="Arial"/>
              </w:rPr>
              <w:t>rispevek sodobnih tehnologij</w:t>
            </w:r>
            <w:r w:rsidR="00C82781" w:rsidRPr="00223E80">
              <w:rPr>
                <w:rFonts w:eastAsia="Arial" w:cs="Arial"/>
              </w:rPr>
              <w:t xml:space="preserve"> </w:t>
            </w:r>
            <w:r w:rsidRPr="00223E80">
              <w:rPr>
                <w:rFonts w:eastAsia="Arial" w:cs="Arial"/>
              </w:rPr>
              <w:t>in izkoristk</w:t>
            </w:r>
            <w:r w:rsidR="00434F77" w:rsidRPr="00223E80">
              <w:rPr>
                <w:rFonts w:eastAsia="Arial" w:cs="Arial"/>
              </w:rPr>
              <w:t>ov</w:t>
            </w:r>
            <w:r w:rsidR="00C82781" w:rsidRPr="00223E80">
              <w:rPr>
                <w:rFonts w:eastAsia="Arial" w:cs="Arial"/>
              </w:rPr>
              <w:t xml:space="preserve"> </w:t>
            </w:r>
            <w:r w:rsidR="00C90BB2" w:rsidRPr="00223E80">
              <w:rPr>
                <w:rFonts w:eastAsia="Arial" w:cs="Arial"/>
              </w:rPr>
              <w:t>prenovljenih</w:t>
            </w:r>
            <w:r w:rsidR="00C82781" w:rsidRPr="00223E80">
              <w:rPr>
                <w:rFonts w:eastAsia="Arial" w:cs="Arial"/>
              </w:rPr>
              <w:t xml:space="preserve"> </w:t>
            </w:r>
            <w:r w:rsidR="00434F77" w:rsidRPr="00223E80">
              <w:rPr>
                <w:rFonts w:eastAsia="Arial" w:cs="Arial"/>
              </w:rPr>
              <w:t>proizvodnih naprav</w:t>
            </w:r>
            <w:r w:rsidR="00C82781" w:rsidRPr="00223E80">
              <w:rPr>
                <w:rFonts w:eastAsia="Arial" w:cs="Arial"/>
              </w:rPr>
              <w:t>.</w:t>
            </w:r>
          </w:p>
        </w:tc>
        <w:tc>
          <w:tcPr>
            <w:tcW w:w="2460" w:type="dxa"/>
          </w:tcPr>
          <w:p w14:paraId="26AEC6E2" w14:textId="77777777" w:rsidR="00AF2F86" w:rsidRPr="00223E80" w:rsidRDefault="00AF2F86" w:rsidP="00CB7A1F">
            <w:pPr>
              <w:spacing w:after="0"/>
              <w:ind w:right="334"/>
              <w:rPr>
                <w:rFonts w:eastAsia="Arial" w:cs="Arial"/>
              </w:rPr>
            </w:pPr>
            <w:r w:rsidRPr="00223E80">
              <w:rPr>
                <w:rFonts w:eastAsia="Arial" w:cs="Arial"/>
              </w:rPr>
              <w:t>Ta tip je v deležu za</w:t>
            </w:r>
            <w:r w:rsidR="00531282" w:rsidRPr="00223E80">
              <w:rPr>
                <w:rFonts w:eastAsia="Arial" w:cs="Arial"/>
              </w:rPr>
              <w:t>dnja leta predstavlja okoli 10</w:t>
            </w:r>
            <w:r w:rsidR="009F5D4B" w:rsidRPr="00223E80">
              <w:rPr>
                <w:rFonts w:eastAsia="Arial" w:cs="Arial"/>
              </w:rPr>
              <w:t xml:space="preserve"> </w:t>
            </w:r>
            <w:r w:rsidRPr="00223E80">
              <w:rPr>
                <w:rFonts w:eastAsia="Arial" w:cs="Arial"/>
              </w:rPr>
              <w:t>% celotne energije</w:t>
            </w:r>
            <w:r w:rsidR="00400276" w:rsidRPr="00223E80">
              <w:rPr>
                <w:rFonts w:eastAsia="Arial" w:cs="Arial"/>
              </w:rPr>
              <w:t>,</w:t>
            </w:r>
            <w:r w:rsidRPr="00223E80">
              <w:rPr>
                <w:rFonts w:eastAsia="Arial" w:cs="Arial"/>
              </w:rPr>
              <w:t xml:space="preserve"> </w:t>
            </w:r>
            <w:r w:rsidR="007233F5" w:rsidRPr="00223E80">
              <w:rPr>
                <w:rFonts w:eastAsia="Arial" w:cs="Arial"/>
              </w:rPr>
              <w:t>p</w:t>
            </w:r>
            <w:r w:rsidRPr="00223E80">
              <w:rPr>
                <w:rFonts w:eastAsia="Arial" w:cs="Arial"/>
              </w:rPr>
              <w:t>roizvedene</w:t>
            </w:r>
            <w:r w:rsidR="007233F5" w:rsidRPr="00223E80">
              <w:rPr>
                <w:rFonts w:eastAsia="Arial" w:cs="Arial"/>
              </w:rPr>
              <w:t xml:space="preserve"> </w:t>
            </w:r>
            <w:r w:rsidRPr="00223E80">
              <w:rPr>
                <w:rFonts w:eastAsia="Arial" w:cs="Arial"/>
              </w:rPr>
              <w:t xml:space="preserve">v shemi. </w:t>
            </w:r>
            <w:r w:rsidR="00C90BB2" w:rsidRPr="00223E80">
              <w:rPr>
                <w:rFonts w:eastAsia="Arial" w:cs="Arial"/>
              </w:rPr>
              <w:t>Ob zelo ugodnem razmerju med deležem energije in deležem podpore je p</w:t>
            </w:r>
            <w:r w:rsidRPr="00223E80">
              <w:rPr>
                <w:rFonts w:eastAsia="Arial" w:cs="Arial"/>
              </w:rPr>
              <w:t xml:space="preserve">otreben premislek glede vstopa prenovljenih </w:t>
            </w:r>
            <w:r w:rsidR="00434F77" w:rsidRPr="00223E80">
              <w:rPr>
                <w:rFonts w:eastAsia="Arial" w:cs="Arial"/>
              </w:rPr>
              <w:t xml:space="preserve">naprav v shemo. </w:t>
            </w:r>
          </w:p>
        </w:tc>
      </w:tr>
      <w:tr w:rsidR="00C90BB2" w:rsidRPr="00223E80" w14:paraId="2308412D" w14:textId="77777777" w:rsidTr="005912CF">
        <w:tc>
          <w:tcPr>
            <w:tcW w:w="0" w:type="auto"/>
            <w:shd w:val="clear" w:color="auto" w:fill="auto"/>
          </w:tcPr>
          <w:p w14:paraId="0B0008A2" w14:textId="77777777" w:rsidR="00434F77" w:rsidRPr="00223E80" w:rsidRDefault="00434F77" w:rsidP="00434F77">
            <w:pPr>
              <w:spacing w:after="0"/>
              <w:ind w:right="33"/>
              <w:jc w:val="center"/>
              <w:rPr>
                <w:rFonts w:eastAsia="Arial" w:cs="Arial"/>
              </w:rPr>
            </w:pPr>
            <w:r w:rsidRPr="00223E80">
              <w:rPr>
                <w:rFonts w:eastAsia="Arial" w:cs="Arial"/>
              </w:rPr>
              <w:t>Sončne elektrarne</w:t>
            </w:r>
          </w:p>
          <w:p w14:paraId="1B57E135" w14:textId="77777777" w:rsidR="00434F77" w:rsidRPr="00223E80" w:rsidRDefault="00434F77" w:rsidP="00434F77">
            <w:pPr>
              <w:spacing w:after="0"/>
              <w:ind w:right="33"/>
              <w:jc w:val="center"/>
              <w:rPr>
                <w:rFonts w:eastAsia="Arial" w:cs="Arial"/>
              </w:rPr>
            </w:pPr>
          </w:p>
        </w:tc>
        <w:tc>
          <w:tcPr>
            <w:tcW w:w="0" w:type="auto"/>
          </w:tcPr>
          <w:p w14:paraId="15676421" w14:textId="77777777" w:rsidR="00434F77" w:rsidRPr="00223E80" w:rsidRDefault="00434F77" w:rsidP="00434F77">
            <w:pPr>
              <w:spacing w:after="0"/>
              <w:ind w:right="334"/>
              <w:jc w:val="center"/>
              <w:rPr>
                <w:rFonts w:eastAsia="Arial" w:cs="Arial"/>
              </w:rPr>
            </w:pPr>
            <w:r w:rsidRPr="00223E80">
              <w:rPr>
                <w:rFonts w:eastAsia="Arial" w:cs="Arial"/>
              </w:rPr>
              <w:t>4,18 GWh energije za 1 mio EUR</w:t>
            </w:r>
          </w:p>
        </w:tc>
        <w:tc>
          <w:tcPr>
            <w:tcW w:w="0" w:type="auto"/>
            <w:shd w:val="clear" w:color="auto" w:fill="auto"/>
          </w:tcPr>
          <w:p w14:paraId="3A791078" w14:textId="77777777" w:rsidR="00434F77" w:rsidRPr="00223E80" w:rsidRDefault="00434F77" w:rsidP="00CB7A1F">
            <w:pPr>
              <w:spacing w:after="0"/>
              <w:ind w:right="334"/>
              <w:rPr>
                <w:rFonts w:eastAsia="Arial" w:cs="Arial"/>
              </w:rPr>
            </w:pPr>
            <w:r w:rsidRPr="00223E80">
              <w:rPr>
                <w:rFonts w:eastAsia="Arial" w:cs="Arial"/>
              </w:rPr>
              <w:t>5 GWh energije za 1 mio EUR</w:t>
            </w:r>
            <w:r w:rsidR="004A7026" w:rsidRPr="00223E80">
              <w:rPr>
                <w:rFonts w:eastAsia="Arial" w:cs="Arial"/>
              </w:rPr>
              <w:t xml:space="preserve">, pri čemer je upoštevan </w:t>
            </w:r>
            <w:r w:rsidRPr="00223E80">
              <w:rPr>
                <w:rFonts w:eastAsia="Arial" w:cs="Arial"/>
              </w:rPr>
              <w:t>vstop možnih večjih proizvajalcev</w:t>
            </w:r>
          </w:p>
          <w:p w14:paraId="51799433" w14:textId="77777777" w:rsidR="00C90BB2" w:rsidRPr="00223E80" w:rsidRDefault="00C90BB2" w:rsidP="00CB7A1F">
            <w:pPr>
              <w:spacing w:after="0"/>
              <w:ind w:right="334"/>
              <w:rPr>
                <w:rFonts w:eastAsia="Arial" w:cs="Arial"/>
              </w:rPr>
            </w:pPr>
          </w:p>
        </w:tc>
        <w:tc>
          <w:tcPr>
            <w:tcW w:w="2460" w:type="dxa"/>
          </w:tcPr>
          <w:p w14:paraId="403742BE" w14:textId="77777777" w:rsidR="00434F77" w:rsidRPr="00223E80" w:rsidRDefault="00434F77" w:rsidP="00C82781">
            <w:pPr>
              <w:spacing w:after="0"/>
              <w:rPr>
                <w:rFonts w:eastAsia="Arial" w:cs="Arial"/>
              </w:rPr>
            </w:pPr>
            <w:r w:rsidRPr="00223E80">
              <w:rPr>
                <w:rFonts w:eastAsia="Arial" w:cs="Arial"/>
              </w:rPr>
              <w:t>Ta tip v deležu zadnja leta predstavlja okoli 28</w:t>
            </w:r>
            <w:r w:rsidR="00D03979" w:rsidRPr="00223E80">
              <w:rPr>
                <w:rFonts w:eastAsia="Arial" w:cs="Arial"/>
              </w:rPr>
              <w:t xml:space="preserve"> </w:t>
            </w:r>
            <w:r w:rsidRPr="00223E80">
              <w:rPr>
                <w:rFonts w:eastAsia="Arial" w:cs="Arial"/>
              </w:rPr>
              <w:t>% celotne energije</w:t>
            </w:r>
            <w:r w:rsidR="00400276" w:rsidRPr="00223E80">
              <w:rPr>
                <w:rFonts w:eastAsia="Arial" w:cs="Arial"/>
              </w:rPr>
              <w:t>,</w:t>
            </w:r>
            <w:r w:rsidRPr="00223E80">
              <w:rPr>
                <w:rFonts w:eastAsia="Arial" w:cs="Arial"/>
              </w:rPr>
              <w:t xml:space="preserve"> proizvedene v shemi.</w:t>
            </w:r>
          </w:p>
        </w:tc>
      </w:tr>
      <w:tr w:rsidR="00C90BB2" w:rsidRPr="00223E80" w14:paraId="1A568AF4" w14:textId="77777777" w:rsidTr="005912CF">
        <w:tc>
          <w:tcPr>
            <w:tcW w:w="0" w:type="auto"/>
            <w:shd w:val="clear" w:color="auto" w:fill="auto"/>
          </w:tcPr>
          <w:p w14:paraId="0EB92023" w14:textId="77777777" w:rsidR="00434F77" w:rsidRPr="00223E80" w:rsidRDefault="00434F77" w:rsidP="00434F77">
            <w:pPr>
              <w:spacing w:after="0"/>
              <w:ind w:right="33"/>
              <w:jc w:val="center"/>
              <w:rPr>
                <w:rFonts w:eastAsia="Arial" w:cs="Arial"/>
              </w:rPr>
            </w:pPr>
            <w:r w:rsidRPr="00223E80">
              <w:rPr>
                <w:rFonts w:eastAsia="Arial" w:cs="Arial"/>
              </w:rPr>
              <w:lastRenderedPageBreak/>
              <w:t>SPTE</w:t>
            </w:r>
          </w:p>
          <w:p w14:paraId="6F128873" w14:textId="77777777" w:rsidR="00C90BB2" w:rsidRPr="00223E80" w:rsidRDefault="00C90BB2" w:rsidP="00434F77">
            <w:pPr>
              <w:spacing w:after="0"/>
              <w:ind w:right="33"/>
              <w:jc w:val="center"/>
              <w:rPr>
                <w:rFonts w:eastAsia="Arial" w:cs="Arial"/>
              </w:rPr>
            </w:pPr>
            <w:r w:rsidRPr="00223E80">
              <w:rPr>
                <w:rFonts w:eastAsia="Arial" w:cs="Arial"/>
              </w:rPr>
              <w:t xml:space="preserve">Elektrarne na fosilna </w:t>
            </w:r>
            <w:r w:rsidR="00987D8F" w:rsidRPr="00223E80">
              <w:rPr>
                <w:rFonts w:eastAsia="Arial" w:cs="Arial"/>
              </w:rPr>
              <w:t>g</w:t>
            </w:r>
            <w:r w:rsidRPr="00223E80">
              <w:rPr>
                <w:rFonts w:eastAsia="Arial" w:cs="Arial"/>
              </w:rPr>
              <w:t>oriva</w:t>
            </w:r>
          </w:p>
          <w:p w14:paraId="35098449" w14:textId="77777777" w:rsidR="00434F77" w:rsidRPr="00223E80" w:rsidRDefault="00434F77" w:rsidP="00434F77">
            <w:pPr>
              <w:spacing w:after="0"/>
              <w:ind w:right="33"/>
              <w:jc w:val="center"/>
              <w:rPr>
                <w:rFonts w:eastAsia="Arial" w:cs="Arial"/>
              </w:rPr>
            </w:pPr>
          </w:p>
        </w:tc>
        <w:tc>
          <w:tcPr>
            <w:tcW w:w="0" w:type="auto"/>
          </w:tcPr>
          <w:p w14:paraId="4924BC8F" w14:textId="77777777" w:rsidR="00434F77" w:rsidRPr="00223E80" w:rsidRDefault="00434F77" w:rsidP="00434F77">
            <w:pPr>
              <w:spacing w:after="0"/>
              <w:ind w:right="334"/>
              <w:jc w:val="center"/>
              <w:rPr>
                <w:rFonts w:eastAsia="Arial" w:cs="Arial"/>
              </w:rPr>
            </w:pPr>
            <w:r w:rsidRPr="00223E80">
              <w:rPr>
                <w:rFonts w:eastAsia="Arial" w:cs="Arial"/>
              </w:rPr>
              <w:t>15,64 GWh energije za 1 mio EUR</w:t>
            </w:r>
          </w:p>
        </w:tc>
        <w:tc>
          <w:tcPr>
            <w:tcW w:w="0" w:type="auto"/>
            <w:shd w:val="clear" w:color="auto" w:fill="auto"/>
          </w:tcPr>
          <w:p w14:paraId="2162A433" w14:textId="77777777" w:rsidR="004A7026" w:rsidRPr="00223E80" w:rsidRDefault="00C573BC" w:rsidP="00CB7A1F">
            <w:pPr>
              <w:spacing w:after="0"/>
              <w:ind w:right="334"/>
              <w:rPr>
                <w:rFonts w:eastAsia="Arial" w:cs="Arial"/>
              </w:rPr>
            </w:pPr>
            <w:r w:rsidRPr="00223E80">
              <w:rPr>
                <w:rFonts w:eastAsia="Arial" w:cs="Arial"/>
              </w:rPr>
              <w:t>15</w:t>
            </w:r>
            <w:r w:rsidR="00434F77" w:rsidRPr="00223E80">
              <w:rPr>
                <w:rFonts w:eastAsia="Arial" w:cs="Arial"/>
              </w:rPr>
              <w:t xml:space="preserve"> GWh energije za 1 mio EUR</w:t>
            </w:r>
            <w:r w:rsidR="004A7026" w:rsidRPr="00223E80">
              <w:rPr>
                <w:rFonts w:eastAsia="Arial" w:cs="Arial"/>
              </w:rPr>
              <w:t>, pri čemer je upoštevan</w:t>
            </w:r>
          </w:p>
          <w:p w14:paraId="604201BB" w14:textId="77777777" w:rsidR="00434F77" w:rsidRPr="00223E80" w:rsidRDefault="00C82781" w:rsidP="00C82781">
            <w:pPr>
              <w:spacing w:after="0"/>
              <w:ind w:right="334"/>
              <w:rPr>
                <w:rFonts w:eastAsia="Arial" w:cs="Arial"/>
              </w:rPr>
            </w:pPr>
            <w:r w:rsidRPr="00223E80">
              <w:rPr>
                <w:rFonts w:eastAsia="Arial" w:cs="Arial"/>
              </w:rPr>
              <w:t>v</w:t>
            </w:r>
            <w:r w:rsidR="00434F77" w:rsidRPr="00223E80">
              <w:rPr>
                <w:rFonts w:eastAsia="Arial" w:cs="Arial"/>
              </w:rPr>
              <w:t>stop</w:t>
            </w:r>
            <w:r w:rsidRPr="00223E80">
              <w:rPr>
                <w:rFonts w:eastAsia="Arial" w:cs="Arial"/>
              </w:rPr>
              <w:t xml:space="preserve"> </w:t>
            </w:r>
            <w:r w:rsidR="00434F77" w:rsidRPr="00223E80">
              <w:rPr>
                <w:rFonts w:eastAsia="Arial" w:cs="Arial"/>
              </w:rPr>
              <w:t>večjih proizvajalcev</w:t>
            </w:r>
            <w:r w:rsidR="00C573BC" w:rsidRPr="00223E80">
              <w:rPr>
                <w:rFonts w:eastAsia="Arial" w:cs="Arial"/>
              </w:rPr>
              <w:t>, ter zaostrene razmere na trgu dobav energenta</w:t>
            </w:r>
          </w:p>
        </w:tc>
        <w:tc>
          <w:tcPr>
            <w:tcW w:w="2460" w:type="dxa"/>
          </w:tcPr>
          <w:p w14:paraId="5F494E87" w14:textId="3E607354" w:rsidR="00914723" w:rsidRPr="00223E80" w:rsidRDefault="004E1597" w:rsidP="004E1597">
            <w:pPr>
              <w:spacing w:after="0"/>
              <w:jc w:val="left"/>
              <w:rPr>
                <w:rFonts w:eastAsia="Arial" w:cs="Arial"/>
              </w:rPr>
            </w:pPr>
            <w:r w:rsidRPr="00223E80">
              <w:rPr>
                <w:rFonts w:eastAsia="Arial" w:cs="Arial"/>
              </w:rPr>
              <w:t>Z Zakonom o ukrepih za obvladovanje kriznih razmer na področju oskrbe z energijo (Uradni list, št.</w:t>
            </w:r>
            <w:r w:rsidR="00D03979" w:rsidRPr="00223E80">
              <w:rPr>
                <w:rFonts w:eastAsia="Arial" w:cs="Arial"/>
              </w:rPr>
              <w:t xml:space="preserve"> …</w:t>
            </w:r>
            <w:r w:rsidRPr="00223E80">
              <w:rPr>
                <w:rFonts w:eastAsia="Arial" w:cs="Arial"/>
              </w:rPr>
              <w:t>) se je ukinila možnost dodelitve podpor</w:t>
            </w:r>
            <w:r w:rsidR="00914723" w:rsidRPr="00223E80">
              <w:rPr>
                <w:rFonts w:eastAsia="Arial" w:cs="Arial"/>
              </w:rPr>
              <w:t xml:space="preserve"> za te tehnologije. </w:t>
            </w:r>
          </w:p>
        </w:tc>
      </w:tr>
      <w:tr w:rsidR="00C90BB2" w:rsidRPr="00223E80" w14:paraId="5B365A92" w14:textId="77777777" w:rsidTr="005912CF">
        <w:tc>
          <w:tcPr>
            <w:tcW w:w="0" w:type="auto"/>
            <w:shd w:val="clear" w:color="auto" w:fill="auto"/>
          </w:tcPr>
          <w:p w14:paraId="051D7A6D" w14:textId="77777777" w:rsidR="00434F77" w:rsidRPr="00223E80" w:rsidRDefault="00434F77" w:rsidP="00434F77">
            <w:pPr>
              <w:spacing w:after="0"/>
              <w:ind w:right="33"/>
              <w:jc w:val="center"/>
              <w:rPr>
                <w:rFonts w:eastAsia="Arial" w:cs="Arial"/>
              </w:rPr>
            </w:pPr>
            <w:r w:rsidRPr="00223E80">
              <w:rPr>
                <w:rFonts w:eastAsia="Arial" w:cs="Arial"/>
              </w:rPr>
              <w:t>Vetrne elektrarne</w:t>
            </w:r>
          </w:p>
          <w:p w14:paraId="56EE5B86" w14:textId="77777777" w:rsidR="00434F77" w:rsidRPr="00223E80" w:rsidRDefault="00434F77" w:rsidP="00434F77">
            <w:pPr>
              <w:spacing w:after="0"/>
              <w:ind w:right="33"/>
              <w:jc w:val="center"/>
              <w:rPr>
                <w:rFonts w:eastAsia="Arial" w:cs="Arial"/>
              </w:rPr>
            </w:pPr>
          </w:p>
        </w:tc>
        <w:tc>
          <w:tcPr>
            <w:tcW w:w="0" w:type="auto"/>
          </w:tcPr>
          <w:p w14:paraId="1139F8CD" w14:textId="77777777" w:rsidR="00434F77" w:rsidRPr="00223E80" w:rsidRDefault="00434F77" w:rsidP="00434F77">
            <w:pPr>
              <w:spacing w:after="0"/>
              <w:ind w:right="334"/>
              <w:jc w:val="center"/>
              <w:rPr>
                <w:rFonts w:eastAsia="Arial" w:cs="Arial"/>
              </w:rPr>
            </w:pPr>
            <w:r w:rsidRPr="00223E80">
              <w:rPr>
                <w:rFonts w:eastAsia="Arial" w:cs="Arial"/>
              </w:rPr>
              <w:t>20 GWh energije za 1 mio EUR</w:t>
            </w:r>
          </w:p>
        </w:tc>
        <w:tc>
          <w:tcPr>
            <w:tcW w:w="0" w:type="auto"/>
          </w:tcPr>
          <w:p w14:paraId="780A9122" w14:textId="77777777" w:rsidR="00434F77" w:rsidRPr="00223E80" w:rsidRDefault="00434F77" w:rsidP="00C82781">
            <w:pPr>
              <w:spacing w:after="0"/>
              <w:ind w:right="334"/>
              <w:rPr>
                <w:rFonts w:eastAsia="Arial" w:cs="Arial"/>
              </w:rPr>
            </w:pPr>
            <w:r w:rsidRPr="00223E80">
              <w:rPr>
                <w:rFonts w:eastAsia="Arial" w:cs="Arial"/>
              </w:rPr>
              <w:t>25 GWh energije za 1 mio EUR</w:t>
            </w:r>
            <w:r w:rsidR="004A7026" w:rsidRPr="00223E80">
              <w:rPr>
                <w:rFonts w:eastAsia="Arial" w:cs="Arial"/>
              </w:rPr>
              <w:t xml:space="preserve">, pri čemer je upoštevan </w:t>
            </w:r>
            <w:r w:rsidRPr="00223E80">
              <w:rPr>
                <w:rFonts w:eastAsia="Arial" w:cs="Arial"/>
              </w:rPr>
              <w:t>vstop možnih večjih proizvajalcev</w:t>
            </w:r>
          </w:p>
        </w:tc>
        <w:tc>
          <w:tcPr>
            <w:tcW w:w="2460" w:type="dxa"/>
          </w:tcPr>
          <w:p w14:paraId="486EBC30" w14:textId="1535266C" w:rsidR="00434F77" w:rsidRPr="00223E80" w:rsidRDefault="00434F77" w:rsidP="00CB7A1F">
            <w:pPr>
              <w:spacing w:after="0"/>
              <w:ind w:right="334"/>
              <w:rPr>
                <w:rFonts w:eastAsia="Arial" w:cs="Arial"/>
              </w:rPr>
            </w:pPr>
            <w:r w:rsidRPr="00223E80">
              <w:rPr>
                <w:rFonts w:eastAsia="Arial" w:cs="Arial"/>
              </w:rPr>
              <w:t xml:space="preserve">Izračun </w:t>
            </w:r>
            <w:r w:rsidR="00C90BB2" w:rsidRPr="00223E80">
              <w:rPr>
                <w:rFonts w:eastAsia="Arial" w:cs="Arial"/>
              </w:rPr>
              <w:t>upošteva sodobnejše tehn</w:t>
            </w:r>
            <w:r w:rsidRPr="00223E80">
              <w:rPr>
                <w:rFonts w:eastAsia="Arial" w:cs="Arial"/>
              </w:rPr>
              <w:t>ologij</w:t>
            </w:r>
            <w:r w:rsidR="00C90BB2" w:rsidRPr="00223E80">
              <w:rPr>
                <w:rFonts w:eastAsia="Arial" w:cs="Arial"/>
              </w:rPr>
              <w:t>e</w:t>
            </w:r>
            <w:r w:rsidRPr="00223E80">
              <w:rPr>
                <w:rFonts w:eastAsia="Arial" w:cs="Arial"/>
              </w:rPr>
              <w:t xml:space="preserve"> z večjimi izkoristki ter večjo močjo na posamezno stojišče VE</w:t>
            </w:r>
          </w:p>
        </w:tc>
      </w:tr>
    </w:tbl>
    <w:p w14:paraId="4F3D8AC6" w14:textId="77777777" w:rsidR="004A7026" w:rsidRPr="00223E80" w:rsidRDefault="004A7026" w:rsidP="00FC7299">
      <w:pPr>
        <w:spacing w:after="0"/>
        <w:rPr>
          <w:rFonts w:eastAsia="Arial" w:cs="Arial"/>
        </w:rPr>
      </w:pPr>
    </w:p>
    <w:p w14:paraId="0701B1D0" w14:textId="6613A546" w:rsidR="004A7026" w:rsidRPr="00223E80" w:rsidRDefault="004A7026" w:rsidP="00FC7299">
      <w:pPr>
        <w:spacing w:after="0"/>
        <w:rPr>
          <w:rFonts w:eastAsia="Arial" w:cs="Arial"/>
        </w:rPr>
      </w:pPr>
      <w:r w:rsidRPr="00223E80">
        <w:rPr>
          <w:rFonts w:eastAsia="Arial" w:cs="Arial"/>
        </w:rPr>
        <w:t xml:space="preserve">Na </w:t>
      </w:r>
      <w:r w:rsidR="00357DCD" w:rsidRPr="00223E80">
        <w:rPr>
          <w:rFonts w:eastAsia="Arial" w:cs="Arial"/>
        </w:rPr>
        <w:t>podlagi</w:t>
      </w:r>
      <w:r w:rsidRPr="00223E80">
        <w:rPr>
          <w:rFonts w:eastAsia="Arial" w:cs="Arial"/>
        </w:rPr>
        <w:t xml:space="preserve"> </w:t>
      </w:r>
      <w:r w:rsidR="00C82781" w:rsidRPr="00223E80">
        <w:rPr>
          <w:rFonts w:eastAsia="Arial" w:cs="Arial"/>
        </w:rPr>
        <w:t xml:space="preserve">podatkov iz </w:t>
      </w:r>
      <w:r w:rsidR="009B7185" w:rsidRPr="00223E80">
        <w:rPr>
          <w:rFonts w:eastAsia="Arial" w:cs="Arial"/>
        </w:rPr>
        <w:t>t</w:t>
      </w:r>
      <w:r w:rsidR="00C82781" w:rsidRPr="00223E80">
        <w:rPr>
          <w:rFonts w:eastAsia="Arial" w:cs="Arial"/>
        </w:rPr>
        <w:t xml:space="preserve">e preglednice </w:t>
      </w:r>
      <w:r w:rsidRPr="00223E80">
        <w:rPr>
          <w:rFonts w:eastAsia="Arial" w:cs="Arial"/>
        </w:rPr>
        <w:t xml:space="preserve">je </w:t>
      </w:r>
      <w:r w:rsidR="00F90846" w:rsidRPr="00223E80">
        <w:rPr>
          <w:rFonts w:eastAsia="Arial" w:cs="Arial"/>
        </w:rPr>
        <w:t>narejena</w:t>
      </w:r>
      <w:r w:rsidR="00357DCD" w:rsidRPr="00223E80">
        <w:rPr>
          <w:rFonts w:eastAsia="Arial" w:cs="Arial"/>
        </w:rPr>
        <w:t xml:space="preserve"> </w:t>
      </w:r>
      <w:r w:rsidR="00C82781" w:rsidRPr="00223E80">
        <w:rPr>
          <w:rFonts w:eastAsia="Arial" w:cs="Arial"/>
        </w:rPr>
        <w:t xml:space="preserve">okvirna </w:t>
      </w:r>
      <w:r w:rsidRPr="00223E80">
        <w:rPr>
          <w:rFonts w:eastAsia="Arial" w:cs="Arial"/>
        </w:rPr>
        <w:t xml:space="preserve">ocena </w:t>
      </w:r>
      <w:r w:rsidR="00F90846" w:rsidRPr="00223E80">
        <w:rPr>
          <w:rFonts w:eastAsia="Arial" w:cs="Arial"/>
        </w:rPr>
        <w:t>na</w:t>
      </w:r>
      <w:r w:rsidRPr="00223E80">
        <w:rPr>
          <w:rFonts w:eastAsia="Arial" w:cs="Arial"/>
        </w:rPr>
        <w:t xml:space="preserve"> </w:t>
      </w:r>
      <w:r w:rsidR="00F90846" w:rsidRPr="00223E80">
        <w:rPr>
          <w:rFonts w:eastAsia="Arial" w:cs="Arial"/>
        </w:rPr>
        <w:t xml:space="preserve">primeru za </w:t>
      </w:r>
      <w:r w:rsidRPr="00223E80">
        <w:rPr>
          <w:rFonts w:eastAsia="Arial" w:cs="Arial"/>
        </w:rPr>
        <w:t xml:space="preserve">leto 2023, da se </w:t>
      </w:r>
      <w:r w:rsidR="00C82781" w:rsidRPr="00223E80">
        <w:rPr>
          <w:rFonts w:eastAsia="Arial" w:cs="Arial"/>
        </w:rPr>
        <w:t>okvirno oceni</w:t>
      </w:r>
      <w:r w:rsidR="00F90846" w:rsidRPr="00223E80">
        <w:rPr>
          <w:rFonts w:eastAsia="Arial" w:cs="Arial"/>
        </w:rPr>
        <w:t xml:space="preserve"> </w:t>
      </w:r>
      <w:r w:rsidRPr="00223E80">
        <w:rPr>
          <w:rFonts w:eastAsia="Arial" w:cs="Arial"/>
        </w:rPr>
        <w:t>učin</w:t>
      </w:r>
      <w:r w:rsidR="00F90846" w:rsidRPr="00223E80">
        <w:rPr>
          <w:rFonts w:eastAsia="Arial" w:cs="Arial"/>
        </w:rPr>
        <w:t>k</w:t>
      </w:r>
      <w:r w:rsidR="00C82781" w:rsidRPr="00223E80">
        <w:rPr>
          <w:rFonts w:eastAsia="Arial" w:cs="Arial"/>
        </w:rPr>
        <w:t>e</w:t>
      </w:r>
      <w:r w:rsidRPr="00223E80">
        <w:rPr>
          <w:rFonts w:eastAsia="Arial" w:cs="Arial"/>
        </w:rPr>
        <w:t xml:space="preserve"> ukrepov </w:t>
      </w:r>
      <w:r w:rsidR="00F90846" w:rsidRPr="00223E80">
        <w:rPr>
          <w:rFonts w:eastAsia="Arial" w:cs="Arial"/>
        </w:rPr>
        <w:t>dolgoročnega</w:t>
      </w:r>
      <w:r w:rsidRPr="00223E80">
        <w:rPr>
          <w:rFonts w:eastAsia="Arial" w:cs="Arial"/>
        </w:rPr>
        <w:t xml:space="preserve"> načrta. </w:t>
      </w:r>
      <w:r w:rsidR="00C82781" w:rsidRPr="00223E80">
        <w:rPr>
          <w:rFonts w:eastAsia="Arial" w:cs="Arial"/>
        </w:rPr>
        <w:t xml:space="preserve">Vsekakor je ob trenutnih zaostrenih razmerah </w:t>
      </w:r>
      <w:r w:rsidR="00157D45" w:rsidRPr="00223E80">
        <w:rPr>
          <w:rFonts w:eastAsia="Arial" w:cs="Arial"/>
        </w:rPr>
        <w:t xml:space="preserve">in ob upoštevanju možnih ukrepov države </w:t>
      </w:r>
      <w:r w:rsidR="00C82781" w:rsidRPr="00223E80">
        <w:rPr>
          <w:rFonts w:eastAsia="Arial" w:cs="Arial"/>
        </w:rPr>
        <w:t xml:space="preserve">na energetskem trgu težko dati </w:t>
      </w:r>
      <w:r w:rsidR="00FA7EEB" w:rsidRPr="00223E80">
        <w:rPr>
          <w:rFonts w:eastAsia="Arial" w:cs="Arial"/>
        </w:rPr>
        <w:t>zanesljivo</w:t>
      </w:r>
      <w:r w:rsidR="00C82781" w:rsidRPr="00223E80">
        <w:rPr>
          <w:rFonts w:eastAsia="Arial" w:cs="Arial"/>
        </w:rPr>
        <w:t xml:space="preserve"> oceno. </w:t>
      </w:r>
      <w:r w:rsidR="00D77870" w:rsidRPr="00223E80">
        <w:rPr>
          <w:rFonts w:eastAsia="Arial" w:cs="Arial"/>
        </w:rPr>
        <w:t xml:space="preserve">Je </w:t>
      </w:r>
      <w:r w:rsidR="00157D45" w:rsidRPr="00223E80">
        <w:rPr>
          <w:rFonts w:eastAsia="Arial" w:cs="Arial"/>
        </w:rPr>
        <w:t xml:space="preserve">pa okvir za razumevanje velikostnega razreda in pomena dolgoročnega časovnega načrta. </w:t>
      </w:r>
    </w:p>
    <w:p w14:paraId="670F30E8" w14:textId="77777777" w:rsidR="00987D8F" w:rsidRPr="00223E80" w:rsidRDefault="00987D8F" w:rsidP="00FC7299">
      <w:pPr>
        <w:spacing w:after="0"/>
        <w:rPr>
          <w:rFonts w:eastAsia="Arial" w:cs="Arial"/>
        </w:rPr>
      </w:pPr>
    </w:p>
    <w:p w14:paraId="4CD424E6" w14:textId="2F67FAD0" w:rsidR="00987D8F" w:rsidRPr="00223E80" w:rsidRDefault="00987D8F" w:rsidP="00987D8F">
      <w:pPr>
        <w:spacing w:after="0"/>
        <w:rPr>
          <w:rFonts w:eastAsia="Arial" w:cs="Arial"/>
          <w:i/>
        </w:rPr>
      </w:pPr>
      <w:r w:rsidRPr="00223E80">
        <w:rPr>
          <w:rFonts w:eastAsia="Arial" w:cs="Arial"/>
          <w:i/>
        </w:rPr>
        <w:t>Preglednica 5: Pregled ocene deleža proizvedene energije in količina proizvedene energije v letu 2023</w:t>
      </w:r>
    </w:p>
    <w:p w14:paraId="0198659F" w14:textId="77777777" w:rsidR="00987D8F" w:rsidRPr="00223E80" w:rsidRDefault="00987D8F" w:rsidP="00FC7299">
      <w:pPr>
        <w:spacing w:after="0"/>
        <w:rPr>
          <w:rFonts w:eastAsia="Arial" w:cs="Arial"/>
        </w:rPr>
      </w:pP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410"/>
        <w:gridCol w:w="2113"/>
        <w:gridCol w:w="1877"/>
      </w:tblGrid>
      <w:tr w:rsidR="004A7026" w:rsidRPr="00223E80" w14:paraId="398A67EB" w14:textId="77777777" w:rsidTr="004F036C">
        <w:trPr>
          <w:trHeight w:val="1808"/>
        </w:trPr>
        <w:tc>
          <w:tcPr>
            <w:tcW w:w="2281" w:type="dxa"/>
            <w:shd w:val="clear" w:color="auto" w:fill="auto"/>
          </w:tcPr>
          <w:p w14:paraId="4E7F44FA" w14:textId="77777777" w:rsidR="004A7026" w:rsidRPr="00223E80" w:rsidRDefault="004A7026" w:rsidP="00CB7A1F">
            <w:pPr>
              <w:spacing w:after="0"/>
              <w:ind w:right="565"/>
              <w:jc w:val="center"/>
              <w:rPr>
                <w:rFonts w:eastAsia="Arial" w:cs="Arial"/>
              </w:rPr>
            </w:pPr>
            <w:r w:rsidRPr="00223E80">
              <w:rPr>
                <w:rFonts w:eastAsia="Arial" w:cs="Arial"/>
              </w:rPr>
              <w:t xml:space="preserve">Vrste proizvodnih virov v </w:t>
            </w:r>
            <w:r w:rsidR="00F90846" w:rsidRPr="00223E80">
              <w:rPr>
                <w:rFonts w:eastAsia="Arial" w:cs="Arial"/>
              </w:rPr>
              <w:t xml:space="preserve">podporni shemi glede na </w:t>
            </w:r>
            <w:r w:rsidRPr="00223E80">
              <w:rPr>
                <w:rFonts w:eastAsia="Arial" w:cs="Arial"/>
              </w:rPr>
              <w:t>tip naprave</w:t>
            </w:r>
          </w:p>
        </w:tc>
        <w:tc>
          <w:tcPr>
            <w:tcW w:w="2410" w:type="dxa"/>
          </w:tcPr>
          <w:p w14:paraId="0385F7DA" w14:textId="77777777" w:rsidR="004A7026" w:rsidRPr="00223E80" w:rsidRDefault="004A7026" w:rsidP="00F90846">
            <w:pPr>
              <w:spacing w:after="0"/>
              <w:ind w:right="334"/>
              <w:jc w:val="center"/>
              <w:rPr>
                <w:rFonts w:eastAsia="Arial" w:cs="Arial"/>
              </w:rPr>
            </w:pPr>
            <w:r w:rsidRPr="00223E80">
              <w:rPr>
                <w:rFonts w:eastAsia="Arial" w:cs="Arial"/>
              </w:rPr>
              <w:t>Delež</w:t>
            </w:r>
            <w:r w:rsidR="005D358F" w:rsidRPr="00223E80">
              <w:rPr>
                <w:rFonts w:eastAsia="Arial" w:cs="Arial"/>
              </w:rPr>
              <w:t xml:space="preserve"> proizvedene</w:t>
            </w:r>
            <w:r w:rsidRPr="00223E80">
              <w:rPr>
                <w:rFonts w:eastAsia="Arial" w:cs="Arial"/>
              </w:rPr>
              <w:t xml:space="preserve"> </w:t>
            </w:r>
            <w:r w:rsidR="005D358F" w:rsidRPr="00223E80">
              <w:rPr>
                <w:rFonts w:eastAsia="Arial" w:cs="Arial"/>
              </w:rPr>
              <w:t xml:space="preserve">energije </w:t>
            </w:r>
            <w:r w:rsidRPr="00223E80">
              <w:rPr>
                <w:rFonts w:eastAsia="Arial" w:cs="Arial"/>
              </w:rPr>
              <w:t>v letu 2023 (v</w:t>
            </w:r>
            <w:r w:rsidR="004021C5" w:rsidRPr="00223E80">
              <w:rPr>
                <w:rFonts w:eastAsia="Arial" w:cs="Arial"/>
              </w:rPr>
              <w:t xml:space="preserve"> </w:t>
            </w:r>
            <w:r w:rsidRPr="00223E80">
              <w:rPr>
                <w:rFonts w:eastAsia="Arial" w:cs="Arial"/>
              </w:rPr>
              <w:t>%)</w:t>
            </w:r>
          </w:p>
        </w:tc>
        <w:tc>
          <w:tcPr>
            <w:tcW w:w="2113" w:type="dxa"/>
          </w:tcPr>
          <w:p w14:paraId="45821AA5" w14:textId="77777777" w:rsidR="004A7026" w:rsidRPr="00223E80" w:rsidRDefault="00103F45" w:rsidP="00F90846">
            <w:pPr>
              <w:spacing w:after="0"/>
              <w:ind w:right="334"/>
              <w:jc w:val="center"/>
              <w:rPr>
                <w:rFonts w:eastAsia="Arial" w:cs="Arial"/>
              </w:rPr>
            </w:pPr>
            <w:r w:rsidRPr="00223E80">
              <w:rPr>
                <w:rFonts w:eastAsia="Arial" w:cs="Arial"/>
              </w:rPr>
              <w:t xml:space="preserve">Predvidena skupna poraba sredstev iz sheme </w:t>
            </w:r>
            <w:r w:rsidR="00CB7A1F" w:rsidRPr="00223E80">
              <w:rPr>
                <w:rFonts w:eastAsia="Arial" w:cs="Arial"/>
              </w:rPr>
              <w:t xml:space="preserve">za leto 2023 </w:t>
            </w:r>
            <w:r w:rsidRPr="00223E80">
              <w:rPr>
                <w:rFonts w:eastAsia="Arial" w:cs="Arial"/>
              </w:rPr>
              <w:t>(v mio EUR)</w:t>
            </w:r>
          </w:p>
        </w:tc>
        <w:tc>
          <w:tcPr>
            <w:tcW w:w="1877" w:type="dxa"/>
          </w:tcPr>
          <w:p w14:paraId="2B450B7A" w14:textId="77777777" w:rsidR="00103F45" w:rsidRPr="00223E80" w:rsidRDefault="00103F45" w:rsidP="00F90846">
            <w:pPr>
              <w:spacing w:after="0"/>
              <w:ind w:right="334"/>
              <w:jc w:val="center"/>
              <w:rPr>
                <w:rFonts w:eastAsia="Arial" w:cs="Arial"/>
              </w:rPr>
            </w:pPr>
            <w:r w:rsidRPr="00223E80">
              <w:rPr>
                <w:rFonts w:eastAsia="Arial" w:cs="Arial"/>
              </w:rPr>
              <w:t>Količina proizvedene energije (v</w:t>
            </w:r>
          </w:p>
          <w:p w14:paraId="12D61181" w14:textId="77777777" w:rsidR="004A7026" w:rsidRPr="00223E80" w:rsidRDefault="004A7026" w:rsidP="00F90846">
            <w:pPr>
              <w:spacing w:after="0"/>
              <w:ind w:right="334"/>
              <w:jc w:val="center"/>
              <w:rPr>
                <w:rFonts w:eastAsia="Arial" w:cs="Arial"/>
              </w:rPr>
            </w:pPr>
            <w:r w:rsidRPr="00223E80">
              <w:rPr>
                <w:rFonts w:eastAsia="Arial" w:cs="Arial"/>
              </w:rPr>
              <w:t>GWh</w:t>
            </w:r>
            <w:r w:rsidR="00103F45" w:rsidRPr="00223E80">
              <w:rPr>
                <w:rFonts w:eastAsia="Arial" w:cs="Arial"/>
              </w:rPr>
              <w:t>)</w:t>
            </w:r>
          </w:p>
          <w:p w14:paraId="396A2E99" w14:textId="77777777" w:rsidR="004A7026" w:rsidRPr="00223E80" w:rsidRDefault="004A7026" w:rsidP="00F90846">
            <w:pPr>
              <w:spacing w:after="0"/>
              <w:ind w:right="334"/>
              <w:jc w:val="center"/>
              <w:rPr>
                <w:rFonts w:eastAsia="Arial" w:cs="Arial"/>
              </w:rPr>
            </w:pPr>
          </w:p>
        </w:tc>
      </w:tr>
      <w:tr w:rsidR="004A7026" w:rsidRPr="00223E80" w14:paraId="0D199B77" w14:textId="77777777" w:rsidTr="00103F45">
        <w:tc>
          <w:tcPr>
            <w:tcW w:w="2281" w:type="dxa"/>
            <w:shd w:val="clear" w:color="auto" w:fill="auto"/>
          </w:tcPr>
          <w:p w14:paraId="0DC16F07" w14:textId="77777777" w:rsidR="004A7026" w:rsidRPr="00223E80" w:rsidRDefault="004A7026" w:rsidP="007C21C1">
            <w:pPr>
              <w:spacing w:after="0"/>
              <w:ind w:right="33"/>
              <w:jc w:val="center"/>
              <w:rPr>
                <w:rFonts w:eastAsia="Arial" w:cs="Arial"/>
              </w:rPr>
            </w:pPr>
            <w:r w:rsidRPr="00223E80">
              <w:rPr>
                <w:rFonts w:eastAsia="Arial" w:cs="Arial"/>
              </w:rPr>
              <w:t xml:space="preserve">Bioplinske naprave </w:t>
            </w:r>
          </w:p>
          <w:p w14:paraId="50CD0C0D" w14:textId="77777777" w:rsidR="004A7026" w:rsidRPr="00223E80" w:rsidRDefault="004A7026" w:rsidP="007C21C1">
            <w:pPr>
              <w:spacing w:after="0"/>
              <w:ind w:right="33"/>
              <w:jc w:val="center"/>
              <w:rPr>
                <w:rFonts w:eastAsia="Arial" w:cs="Arial"/>
              </w:rPr>
            </w:pPr>
          </w:p>
        </w:tc>
        <w:tc>
          <w:tcPr>
            <w:tcW w:w="2410" w:type="dxa"/>
          </w:tcPr>
          <w:p w14:paraId="65542483" w14:textId="77777777" w:rsidR="004A7026" w:rsidRPr="00223E80" w:rsidRDefault="004A7026" w:rsidP="006E7794">
            <w:pPr>
              <w:spacing w:after="0"/>
              <w:ind w:right="334"/>
              <w:jc w:val="center"/>
              <w:rPr>
                <w:rFonts w:eastAsia="Arial" w:cs="Arial"/>
              </w:rPr>
            </w:pPr>
            <w:r w:rsidRPr="00223E80">
              <w:rPr>
                <w:rFonts w:eastAsia="Arial" w:cs="Arial"/>
              </w:rPr>
              <w:t>10</w:t>
            </w:r>
          </w:p>
        </w:tc>
        <w:tc>
          <w:tcPr>
            <w:tcW w:w="2113" w:type="dxa"/>
            <w:shd w:val="clear" w:color="auto" w:fill="auto"/>
          </w:tcPr>
          <w:p w14:paraId="6809B4F7" w14:textId="77777777" w:rsidR="004A7026" w:rsidRPr="00223E80" w:rsidRDefault="007233F5" w:rsidP="007233F5">
            <w:pPr>
              <w:spacing w:after="0"/>
              <w:rPr>
                <w:rFonts w:eastAsia="Arial" w:cs="Arial"/>
              </w:rPr>
            </w:pPr>
            <w:r w:rsidRPr="00223E80">
              <w:rPr>
                <w:rFonts w:eastAsia="Arial" w:cs="Arial"/>
              </w:rPr>
              <w:t xml:space="preserve">          </w:t>
            </w:r>
            <w:r w:rsidR="008C7535" w:rsidRPr="00223E80">
              <w:rPr>
                <w:rFonts w:eastAsia="Arial" w:cs="Arial"/>
              </w:rPr>
              <w:t>1</w:t>
            </w:r>
            <w:r w:rsidR="00803B36" w:rsidRPr="00223E80">
              <w:rPr>
                <w:rFonts w:eastAsia="Arial" w:cs="Arial"/>
              </w:rPr>
              <w:t>4,7</w:t>
            </w:r>
          </w:p>
        </w:tc>
        <w:tc>
          <w:tcPr>
            <w:tcW w:w="1877" w:type="dxa"/>
          </w:tcPr>
          <w:p w14:paraId="57705FD7" w14:textId="77777777" w:rsidR="004A7026" w:rsidRPr="00223E80" w:rsidRDefault="006E7794" w:rsidP="000F7AC9">
            <w:pPr>
              <w:spacing w:after="0"/>
              <w:rPr>
                <w:rFonts w:eastAsia="Arial" w:cs="Arial"/>
              </w:rPr>
            </w:pPr>
            <w:r w:rsidRPr="00223E80">
              <w:rPr>
                <w:rFonts w:eastAsia="Arial" w:cs="Arial"/>
              </w:rPr>
              <w:t xml:space="preserve">       </w:t>
            </w:r>
            <w:r w:rsidR="000F7AC9" w:rsidRPr="00223E80">
              <w:rPr>
                <w:rFonts w:eastAsia="Arial" w:cs="Arial"/>
              </w:rPr>
              <w:t>121</w:t>
            </w:r>
            <w:r w:rsidR="00126C33" w:rsidRPr="00223E80">
              <w:rPr>
                <w:rFonts w:eastAsia="Arial" w:cs="Arial"/>
              </w:rPr>
              <w:t>,6</w:t>
            </w:r>
          </w:p>
        </w:tc>
      </w:tr>
      <w:tr w:rsidR="004A7026" w:rsidRPr="00223E80" w14:paraId="10A94DE8" w14:textId="77777777" w:rsidTr="00103F45">
        <w:tc>
          <w:tcPr>
            <w:tcW w:w="2281" w:type="dxa"/>
            <w:shd w:val="clear" w:color="auto" w:fill="auto"/>
          </w:tcPr>
          <w:p w14:paraId="2A6DEE56" w14:textId="77777777" w:rsidR="004A7026" w:rsidRPr="00223E80" w:rsidRDefault="004A7026" w:rsidP="007C21C1">
            <w:pPr>
              <w:tabs>
                <w:tab w:val="left" w:pos="4111"/>
              </w:tabs>
              <w:spacing w:after="0"/>
              <w:ind w:right="33"/>
              <w:jc w:val="center"/>
              <w:rPr>
                <w:rFonts w:eastAsia="Arial" w:cs="Arial"/>
              </w:rPr>
            </w:pPr>
            <w:r w:rsidRPr="00223E80">
              <w:rPr>
                <w:rFonts w:eastAsia="Arial" w:cs="Arial"/>
              </w:rPr>
              <w:t>Elektrarne na lesno biomaso</w:t>
            </w:r>
          </w:p>
        </w:tc>
        <w:tc>
          <w:tcPr>
            <w:tcW w:w="2410" w:type="dxa"/>
          </w:tcPr>
          <w:p w14:paraId="565D255E" w14:textId="77777777" w:rsidR="004A7026" w:rsidRPr="00223E80" w:rsidRDefault="00103F45" w:rsidP="006E7794">
            <w:pPr>
              <w:spacing w:after="0"/>
              <w:ind w:right="334"/>
              <w:jc w:val="center"/>
              <w:rPr>
                <w:rFonts w:eastAsia="Arial" w:cs="Arial"/>
              </w:rPr>
            </w:pPr>
            <w:r w:rsidRPr="00223E80">
              <w:rPr>
                <w:rFonts w:eastAsia="Arial" w:cs="Arial"/>
              </w:rPr>
              <w:t>20</w:t>
            </w:r>
          </w:p>
        </w:tc>
        <w:tc>
          <w:tcPr>
            <w:tcW w:w="2113" w:type="dxa"/>
            <w:shd w:val="clear" w:color="auto" w:fill="auto"/>
          </w:tcPr>
          <w:p w14:paraId="4E6F75F8" w14:textId="77777777" w:rsidR="004A7026" w:rsidRPr="00223E80" w:rsidRDefault="007233F5" w:rsidP="00803B36">
            <w:pPr>
              <w:spacing w:after="0"/>
              <w:rPr>
                <w:rFonts w:eastAsia="Arial" w:cs="Arial"/>
              </w:rPr>
            </w:pPr>
            <w:r w:rsidRPr="00223E80">
              <w:rPr>
                <w:rFonts w:eastAsia="Arial" w:cs="Arial"/>
              </w:rPr>
              <w:t xml:space="preserve">           </w:t>
            </w:r>
            <w:r w:rsidR="00357DCD" w:rsidRPr="00223E80">
              <w:rPr>
                <w:rFonts w:eastAsia="Arial" w:cs="Arial"/>
              </w:rPr>
              <w:t>2</w:t>
            </w:r>
            <w:r w:rsidR="00803B36" w:rsidRPr="00223E80">
              <w:rPr>
                <w:rFonts w:eastAsia="Arial" w:cs="Arial"/>
              </w:rPr>
              <w:t>4</w:t>
            </w:r>
          </w:p>
        </w:tc>
        <w:tc>
          <w:tcPr>
            <w:tcW w:w="1877" w:type="dxa"/>
          </w:tcPr>
          <w:p w14:paraId="250D775F" w14:textId="77777777" w:rsidR="004A7026" w:rsidRPr="00223E80" w:rsidRDefault="00126C33" w:rsidP="006E7794">
            <w:pPr>
              <w:spacing w:after="0"/>
              <w:ind w:right="334"/>
              <w:jc w:val="center"/>
              <w:rPr>
                <w:rFonts w:eastAsia="Arial" w:cs="Arial"/>
              </w:rPr>
            </w:pPr>
            <w:r w:rsidRPr="00223E80">
              <w:rPr>
                <w:rFonts w:eastAsia="Arial" w:cs="Arial"/>
              </w:rPr>
              <w:t>162</w:t>
            </w:r>
            <w:r w:rsidR="004F036C" w:rsidRPr="00223E80">
              <w:rPr>
                <w:rFonts w:eastAsia="Arial" w:cs="Arial"/>
              </w:rPr>
              <w:t>,</w:t>
            </w:r>
            <w:r w:rsidRPr="00223E80">
              <w:rPr>
                <w:rFonts w:eastAsia="Arial" w:cs="Arial"/>
              </w:rPr>
              <w:t>9</w:t>
            </w:r>
          </w:p>
        </w:tc>
      </w:tr>
      <w:tr w:rsidR="004A7026" w:rsidRPr="00223E80" w14:paraId="3C7C92EE" w14:textId="77777777" w:rsidTr="00103F45">
        <w:tc>
          <w:tcPr>
            <w:tcW w:w="2281" w:type="dxa"/>
            <w:shd w:val="clear" w:color="auto" w:fill="auto"/>
          </w:tcPr>
          <w:p w14:paraId="4A1E8151" w14:textId="77777777" w:rsidR="004A7026" w:rsidRPr="00223E80" w:rsidRDefault="004A7026" w:rsidP="007C21C1">
            <w:pPr>
              <w:spacing w:after="0"/>
              <w:ind w:right="33"/>
              <w:jc w:val="center"/>
              <w:rPr>
                <w:rFonts w:eastAsia="Arial" w:cs="Arial"/>
              </w:rPr>
            </w:pPr>
            <w:r w:rsidRPr="00223E80">
              <w:rPr>
                <w:rFonts w:eastAsia="Arial" w:cs="Arial"/>
              </w:rPr>
              <w:t>Hidroelektrarne</w:t>
            </w:r>
          </w:p>
          <w:p w14:paraId="0F53D792" w14:textId="77777777" w:rsidR="004A7026" w:rsidRPr="00223E80" w:rsidRDefault="004A7026" w:rsidP="007C21C1">
            <w:pPr>
              <w:spacing w:after="0"/>
              <w:ind w:right="33"/>
              <w:jc w:val="center"/>
              <w:rPr>
                <w:rFonts w:eastAsia="Arial" w:cs="Arial"/>
              </w:rPr>
            </w:pPr>
          </w:p>
        </w:tc>
        <w:tc>
          <w:tcPr>
            <w:tcW w:w="2410" w:type="dxa"/>
          </w:tcPr>
          <w:p w14:paraId="1E81B908" w14:textId="77777777" w:rsidR="004A7026" w:rsidRPr="00223E80" w:rsidRDefault="005D358F" w:rsidP="006E7794">
            <w:pPr>
              <w:spacing w:after="0"/>
              <w:ind w:right="334"/>
              <w:jc w:val="center"/>
              <w:rPr>
                <w:rFonts w:eastAsia="Arial" w:cs="Arial"/>
              </w:rPr>
            </w:pPr>
            <w:r w:rsidRPr="00223E80">
              <w:rPr>
                <w:rFonts w:eastAsia="Arial" w:cs="Arial"/>
              </w:rPr>
              <w:t>8</w:t>
            </w:r>
          </w:p>
        </w:tc>
        <w:tc>
          <w:tcPr>
            <w:tcW w:w="2113" w:type="dxa"/>
            <w:shd w:val="clear" w:color="auto" w:fill="auto"/>
          </w:tcPr>
          <w:p w14:paraId="71A43C33" w14:textId="77777777" w:rsidR="004A7026" w:rsidRPr="00223E80" w:rsidRDefault="00126C33" w:rsidP="006E7794">
            <w:pPr>
              <w:spacing w:after="0"/>
              <w:ind w:right="334"/>
              <w:jc w:val="center"/>
              <w:rPr>
                <w:rFonts w:eastAsia="Arial" w:cs="Arial"/>
              </w:rPr>
            </w:pPr>
            <w:r w:rsidRPr="00223E80">
              <w:rPr>
                <w:rFonts w:eastAsia="Arial" w:cs="Arial"/>
              </w:rPr>
              <w:t>4</w:t>
            </w:r>
          </w:p>
        </w:tc>
        <w:tc>
          <w:tcPr>
            <w:tcW w:w="1877" w:type="dxa"/>
          </w:tcPr>
          <w:p w14:paraId="44A657A1" w14:textId="77777777" w:rsidR="004A7026" w:rsidRPr="00223E80" w:rsidRDefault="00126C33" w:rsidP="006E7794">
            <w:pPr>
              <w:spacing w:after="0"/>
              <w:ind w:right="334"/>
              <w:jc w:val="center"/>
              <w:rPr>
                <w:rFonts w:eastAsia="Arial" w:cs="Arial"/>
              </w:rPr>
            </w:pPr>
            <w:r w:rsidRPr="00223E80">
              <w:rPr>
                <w:rFonts w:eastAsia="Arial" w:cs="Arial"/>
              </w:rPr>
              <w:t>8</w:t>
            </w:r>
            <w:r w:rsidR="009B0734" w:rsidRPr="00223E80">
              <w:rPr>
                <w:rFonts w:eastAsia="Arial" w:cs="Arial"/>
              </w:rPr>
              <w:t>9,3</w:t>
            </w:r>
          </w:p>
        </w:tc>
      </w:tr>
      <w:tr w:rsidR="004A7026" w:rsidRPr="00223E80" w14:paraId="6F60B860" w14:textId="77777777" w:rsidTr="00103F45">
        <w:tc>
          <w:tcPr>
            <w:tcW w:w="2281" w:type="dxa"/>
            <w:shd w:val="clear" w:color="auto" w:fill="auto"/>
          </w:tcPr>
          <w:p w14:paraId="121D8D54" w14:textId="77777777" w:rsidR="004A7026" w:rsidRPr="00223E80" w:rsidRDefault="004A7026" w:rsidP="007C21C1">
            <w:pPr>
              <w:spacing w:after="0"/>
              <w:ind w:right="33"/>
              <w:jc w:val="center"/>
              <w:rPr>
                <w:rFonts w:eastAsia="Arial" w:cs="Arial"/>
              </w:rPr>
            </w:pPr>
            <w:r w:rsidRPr="00223E80">
              <w:rPr>
                <w:rFonts w:eastAsia="Arial" w:cs="Arial"/>
              </w:rPr>
              <w:t>Sončne elektrarne</w:t>
            </w:r>
          </w:p>
          <w:p w14:paraId="12C39354" w14:textId="77777777" w:rsidR="004A7026" w:rsidRPr="00223E80" w:rsidRDefault="004A7026" w:rsidP="007C21C1">
            <w:pPr>
              <w:spacing w:after="0"/>
              <w:ind w:right="33"/>
              <w:jc w:val="center"/>
              <w:rPr>
                <w:rFonts w:eastAsia="Arial" w:cs="Arial"/>
              </w:rPr>
            </w:pPr>
          </w:p>
        </w:tc>
        <w:tc>
          <w:tcPr>
            <w:tcW w:w="2410" w:type="dxa"/>
          </w:tcPr>
          <w:p w14:paraId="73F7BFC0" w14:textId="77777777" w:rsidR="004A7026" w:rsidRPr="00223E80" w:rsidRDefault="005D358F" w:rsidP="006E7794">
            <w:pPr>
              <w:spacing w:after="0"/>
              <w:ind w:right="334"/>
              <w:jc w:val="center"/>
              <w:rPr>
                <w:rFonts w:eastAsia="Arial" w:cs="Arial"/>
              </w:rPr>
            </w:pPr>
            <w:r w:rsidRPr="00223E80">
              <w:rPr>
                <w:rFonts w:eastAsia="Arial" w:cs="Arial"/>
              </w:rPr>
              <w:t>30</w:t>
            </w:r>
          </w:p>
        </w:tc>
        <w:tc>
          <w:tcPr>
            <w:tcW w:w="2113" w:type="dxa"/>
            <w:shd w:val="clear" w:color="auto" w:fill="auto"/>
          </w:tcPr>
          <w:p w14:paraId="02841879" w14:textId="77777777" w:rsidR="004A7026" w:rsidRPr="00223E80" w:rsidRDefault="00126C33" w:rsidP="006E7794">
            <w:pPr>
              <w:spacing w:after="0"/>
              <w:ind w:right="334"/>
              <w:jc w:val="center"/>
              <w:rPr>
                <w:rFonts w:eastAsia="Arial" w:cs="Arial"/>
              </w:rPr>
            </w:pPr>
            <w:r w:rsidRPr="00223E80">
              <w:rPr>
                <w:rFonts w:eastAsia="Arial" w:cs="Arial"/>
              </w:rPr>
              <w:t>50</w:t>
            </w:r>
            <w:r w:rsidR="00803B36" w:rsidRPr="00223E80">
              <w:rPr>
                <w:rFonts w:eastAsia="Arial" w:cs="Arial"/>
              </w:rPr>
              <w:t>,5</w:t>
            </w:r>
          </w:p>
        </w:tc>
        <w:tc>
          <w:tcPr>
            <w:tcW w:w="1877" w:type="dxa"/>
          </w:tcPr>
          <w:p w14:paraId="20AB86D7" w14:textId="77777777" w:rsidR="004A7026" w:rsidRPr="00223E80" w:rsidRDefault="006E7794" w:rsidP="009B0734">
            <w:pPr>
              <w:spacing w:after="0"/>
              <w:rPr>
                <w:rFonts w:eastAsia="Arial" w:cs="Arial"/>
              </w:rPr>
            </w:pPr>
            <w:r w:rsidRPr="00223E80">
              <w:rPr>
                <w:rFonts w:eastAsia="Arial" w:cs="Arial"/>
              </w:rPr>
              <w:t xml:space="preserve">       </w:t>
            </w:r>
            <w:r w:rsidR="009B0734" w:rsidRPr="00223E80">
              <w:rPr>
                <w:rFonts w:eastAsia="Arial" w:cs="Arial"/>
              </w:rPr>
              <w:t>211,4</w:t>
            </w:r>
          </w:p>
        </w:tc>
      </w:tr>
      <w:tr w:rsidR="004A7026" w:rsidRPr="00223E80" w14:paraId="167287AF" w14:textId="77777777" w:rsidTr="00103F45">
        <w:tc>
          <w:tcPr>
            <w:tcW w:w="2281" w:type="dxa"/>
            <w:shd w:val="clear" w:color="auto" w:fill="auto"/>
          </w:tcPr>
          <w:p w14:paraId="6C8E3CA6" w14:textId="77777777" w:rsidR="004A7026" w:rsidRPr="00223E80" w:rsidRDefault="004A7026" w:rsidP="007C21C1">
            <w:pPr>
              <w:spacing w:after="0"/>
              <w:ind w:right="33"/>
              <w:jc w:val="center"/>
              <w:rPr>
                <w:rFonts w:eastAsia="Arial" w:cs="Arial"/>
              </w:rPr>
            </w:pPr>
            <w:r w:rsidRPr="00223E80">
              <w:rPr>
                <w:rFonts w:eastAsia="Arial" w:cs="Arial"/>
              </w:rPr>
              <w:t>SPTE</w:t>
            </w:r>
          </w:p>
          <w:p w14:paraId="27B99D39" w14:textId="77777777" w:rsidR="004A7026" w:rsidRPr="00223E80" w:rsidRDefault="004A7026" w:rsidP="007C21C1">
            <w:pPr>
              <w:spacing w:after="0"/>
              <w:ind w:right="33"/>
              <w:jc w:val="center"/>
              <w:rPr>
                <w:rFonts w:eastAsia="Arial" w:cs="Arial"/>
              </w:rPr>
            </w:pPr>
            <w:r w:rsidRPr="00223E80">
              <w:rPr>
                <w:rFonts w:eastAsia="Arial" w:cs="Arial"/>
              </w:rPr>
              <w:t xml:space="preserve">Elektrarne na fosilna </w:t>
            </w:r>
            <w:r w:rsidR="00357DCD" w:rsidRPr="00223E80">
              <w:rPr>
                <w:rFonts w:eastAsia="Arial" w:cs="Arial"/>
              </w:rPr>
              <w:t>g</w:t>
            </w:r>
            <w:r w:rsidRPr="00223E80">
              <w:rPr>
                <w:rFonts w:eastAsia="Arial" w:cs="Arial"/>
              </w:rPr>
              <w:t>oriva</w:t>
            </w:r>
          </w:p>
          <w:p w14:paraId="16D1635C" w14:textId="77777777" w:rsidR="004A7026" w:rsidRPr="00223E80" w:rsidRDefault="004A7026" w:rsidP="007C21C1">
            <w:pPr>
              <w:spacing w:after="0"/>
              <w:ind w:right="33"/>
              <w:jc w:val="center"/>
              <w:rPr>
                <w:rFonts w:eastAsia="Arial" w:cs="Arial"/>
              </w:rPr>
            </w:pPr>
          </w:p>
        </w:tc>
        <w:tc>
          <w:tcPr>
            <w:tcW w:w="2410" w:type="dxa"/>
          </w:tcPr>
          <w:p w14:paraId="79DD771E" w14:textId="77777777" w:rsidR="004A7026" w:rsidRPr="00223E80" w:rsidRDefault="005D358F" w:rsidP="006E7794">
            <w:pPr>
              <w:spacing w:after="0"/>
              <w:ind w:right="334"/>
              <w:jc w:val="center"/>
              <w:rPr>
                <w:rFonts w:eastAsia="Arial" w:cs="Arial"/>
              </w:rPr>
            </w:pPr>
            <w:r w:rsidRPr="00223E80">
              <w:rPr>
                <w:rFonts w:eastAsia="Arial" w:cs="Arial"/>
              </w:rPr>
              <w:t>30</w:t>
            </w:r>
          </w:p>
        </w:tc>
        <w:tc>
          <w:tcPr>
            <w:tcW w:w="2113" w:type="dxa"/>
            <w:shd w:val="clear" w:color="auto" w:fill="auto"/>
          </w:tcPr>
          <w:p w14:paraId="402FAAAA" w14:textId="77777777" w:rsidR="004A7026" w:rsidRPr="00223E80" w:rsidRDefault="00357DCD" w:rsidP="00803B36">
            <w:pPr>
              <w:spacing w:after="0"/>
              <w:ind w:right="334"/>
              <w:jc w:val="center"/>
              <w:rPr>
                <w:rFonts w:eastAsia="Arial" w:cs="Arial"/>
              </w:rPr>
            </w:pPr>
            <w:r w:rsidRPr="00223E80">
              <w:rPr>
                <w:rFonts w:eastAsia="Arial" w:cs="Arial"/>
              </w:rPr>
              <w:t>2</w:t>
            </w:r>
            <w:r w:rsidR="00803B36" w:rsidRPr="00223E80">
              <w:rPr>
                <w:rFonts w:eastAsia="Arial" w:cs="Arial"/>
              </w:rPr>
              <w:t>3,1</w:t>
            </w:r>
          </w:p>
        </w:tc>
        <w:tc>
          <w:tcPr>
            <w:tcW w:w="1877" w:type="dxa"/>
          </w:tcPr>
          <w:p w14:paraId="7FB323D4" w14:textId="77777777" w:rsidR="004A7026" w:rsidRPr="00223E80" w:rsidRDefault="006E7794" w:rsidP="009B0734">
            <w:pPr>
              <w:spacing w:after="0"/>
              <w:ind w:right="334"/>
              <w:jc w:val="center"/>
              <w:rPr>
                <w:rFonts w:eastAsia="Arial" w:cs="Arial"/>
              </w:rPr>
            </w:pPr>
            <w:r w:rsidRPr="00223E80">
              <w:rPr>
                <w:rFonts w:eastAsia="Arial" w:cs="Arial"/>
              </w:rPr>
              <w:t xml:space="preserve">   </w:t>
            </w:r>
            <w:r w:rsidR="009B0734" w:rsidRPr="00223E80">
              <w:rPr>
                <w:rFonts w:eastAsia="Arial" w:cs="Arial"/>
              </w:rPr>
              <w:t>361</w:t>
            </w:r>
            <w:r w:rsidR="008C7535" w:rsidRPr="00223E80">
              <w:rPr>
                <w:rFonts w:eastAsia="Arial" w:cs="Arial"/>
              </w:rPr>
              <w:t>,</w:t>
            </w:r>
            <w:r w:rsidR="009B0734" w:rsidRPr="00223E80">
              <w:rPr>
                <w:rFonts w:eastAsia="Arial" w:cs="Arial"/>
              </w:rPr>
              <w:t>3</w:t>
            </w:r>
          </w:p>
        </w:tc>
      </w:tr>
      <w:tr w:rsidR="004A7026" w:rsidRPr="00223E80" w14:paraId="1A6D8159" w14:textId="77777777" w:rsidTr="00103F45">
        <w:tc>
          <w:tcPr>
            <w:tcW w:w="2281" w:type="dxa"/>
            <w:shd w:val="clear" w:color="auto" w:fill="auto"/>
          </w:tcPr>
          <w:p w14:paraId="42CC0E3B" w14:textId="77777777" w:rsidR="004A7026" w:rsidRPr="00223E80" w:rsidRDefault="004A7026" w:rsidP="007C21C1">
            <w:pPr>
              <w:spacing w:after="0"/>
              <w:ind w:right="33"/>
              <w:jc w:val="center"/>
              <w:rPr>
                <w:rFonts w:eastAsia="Arial" w:cs="Arial"/>
              </w:rPr>
            </w:pPr>
            <w:r w:rsidRPr="00223E80">
              <w:rPr>
                <w:rFonts w:eastAsia="Arial" w:cs="Arial"/>
              </w:rPr>
              <w:t>Vetrne elektrarne</w:t>
            </w:r>
          </w:p>
          <w:p w14:paraId="294AB61E" w14:textId="77777777" w:rsidR="004A7026" w:rsidRPr="00223E80" w:rsidRDefault="004A7026" w:rsidP="007C21C1">
            <w:pPr>
              <w:spacing w:after="0"/>
              <w:ind w:right="33"/>
              <w:jc w:val="center"/>
              <w:rPr>
                <w:rFonts w:eastAsia="Arial" w:cs="Arial"/>
              </w:rPr>
            </w:pPr>
          </w:p>
        </w:tc>
        <w:tc>
          <w:tcPr>
            <w:tcW w:w="2410" w:type="dxa"/>
          </w:tcPr>
          <w:p w14:paraId="323957B8" w14:textId="77777777" w:rsidR="004A7026" w:rsidRPr="00223E80" w:rsidRDefault="00103F45" w:rsidP="006E7794">
            <w:pPr>
              <w:spacing w:after="0"/>
              <w:ind w:right="334"/>
              <w:jc w:val="center"/>
              <w:rPr>
                <w:rFonts w:eastAsia="Arial" w:cs="Arial"/>
              </w:rPr>
            </w:pPr>
            <w:r w:rsidRPr="00223E80">
              <w:rPr>
                <w:rFonts w:eastAsia="Arial" w:cs="Arial"/>
              </w:rPr>
              <w:t>2</w:t>
            </w:r>
          </w:p>
        </w:tc>
        <w:tc>
          <w:tcPr>
            <w:tcW w:w="2113" w:type="dxa"/>
          </w:tcPr>
          <w:p w14:paraId="5CE6F7DF" w14:textId="77777777" w:rsidR="004A7026" w:rsidRPr="00223E80" w:rsidRDefault="00803B36" w:rsidP="006E7794">
            <w:pPr>
              <w:spacing w:after="0"/>
              <w:ind w:right="334"/>
              <w:jc w:val="center"/>
              <w:rPr>
                <w:rFonts w:eastAsia="Arial" w:cs="Arial"/>
              </w:rPr>
            </w:pPr>
            <w:r w:rsidRPr="00223E80">
              <w:rPr>
                <w:rFonts w:eastAsia="Arial" w:cs="Arial"/>
              </w:rPr>
              <w:t>3,7</w:t>
            </w:r>
          </w:p>
        </w:tc>
        <w:tc>
          <w:tcPr>
            <w:tcW w:w="1877" w:type="dxa"/>
          </w:tcPr>
          <w:p w14:paraId="23C01189" w14:textId="77777777" w:rsidR="004A7026" w:rsidRPr="00223E80" w:rsidRDefault="006E7794" w:rsidP="009B0734">
            <w:pPr>
              <w:spacing w:after="0"/>
              <w:ind w:right="334"/>
              <w:jc w:val="center"/>
              <w:rPr>
                <w:rFonts w:eastAsia="Arial" w:cs="Arial"/>
              </w:rPr>
            </w:pPr>
            <w:r w:rsidRPr="00223E80">
              <w:rPr>
                <w:rFonts w:eastAsia="Arial" w:cs="Arial"/>
              </w:rPr>
              <w:t xml:space="preserve"> </w:t>
            </w:r>
            <w:r w:rsidR="009B0734" w:rsidRPr="00223E80">
              <w:rPr>
                <w:rFonts w:eastAsia="Arial" w:cs="Arial"/>
              </w:rPr>
              <w:t>76</w:t>
            </w:r>
            <w:r w:rsidR="008C7535" w:rsidRPr="00223E80">
              <w:rPr>
                <w:rFonts w:eastAsia="Arial" w:cs="Arial"/>
              </w:rPr>
              <w:t>,</w:t>
            </w:r>
            <w:r w:rsidR="009B0734" w:rsidRPr="00223E80">
              <w:rPr>
                <w:rFonts w:eastAsia="Arial" w:cs="Arial"/>
              </w:rPr>
              <w:t>5</w:t>
            </w:r>
          </w:p>
        </w:tc>
      </w:tr>
      <w:tr w:rsidR="005D358F" w:rsidRPr="00223E80" w14:paraId="1217DA38" w14:textId="77777777" w:rsidTr="00103F45">
        <w:tc>
          <w:tcPr>
            <w:tcW w:w="2281" w:type="dxa"/>
            <w:tcBorders>
              <w:top w:val="single" w:sz="4" w:space="0" w:color="auto"/>
              <w:left w:val="single" w:sz="4" w:space="0" w:color="auto"/>
              <w:bottom w:val="single" w:sz="4" w:space="0" w:color="auto"/>
              <w:right w:val="single" w:sz="4" w:space="0" w:color="auto"/>
            </w:tcBorders>
            <w:shd w:val="clear" w:color="auto" w:fill="auto"/>
          </w:tcPr>
          <w:p w14:paraId="7607FF3B" w14:textId="77777777" w:rsidR="005D358F" w:rsidRPr="00223E80" w:rsidRDefault="005D358F" w:rsidP="007C21C1">
            <w:pPr>
              <w:spacing w:after="0"/>
              <w:ind w:right="33"/>
              <w:jc w:val="center"/>
              <w:rPr>
                <w:rFonts w:eastAsia="Arial" w:cs="Arial"/>
                <w:b/>
              </w:rPr>
            </w:pPr>
            <w:r w:rsidRPr="00223E80">
              <w:rPr>
                <w:rFonts w:eastAsia="Arial" w:cs="Arial"/>
                <w:b/>
              </w:rPr>
              <w:lastRenderedPageBreak/>
              <w:t>Skupaj</w:t>
            </w:r>
          </w:p>
          <w:p w14:paraId="2BD77AB6" w14:textId="77777777" w:rsidR="005D358F" w:rsidRPr="00223E80" w:rsidRDefault="005D358F" w:rsidP="007C21C1">
            <w:pPr>
              <w:spacing w:after="0"/>
              <w:ind w:right="33"/>
              <w:jc w:val="center"/>
              <w:rPr>
                <w:rFonts w:eastAsia="Arial" w:cs="Arial"/>
              </w:rPr>
            </w:pPr>
          </w:p>
        </w:tc>
        <w:tc>
          <w:tcPr>
            <w:tcW w:w="2410" w:type="dxa"/>
            <w:tcBorders>
              <w:top w:val="single" w:sz="4" w:space="0" w:color="auto"/>
              <w:left w:val="single" w:sz="4" w:space="0" w:color="auto"/>
              <w:bottom w:val="single" w:sz="4" w:space="0" w:color="auto"/>
              <w:right w:val="single" w:sz="4" w:space="0" w:color="auto"/>
            </w:tcBorders>
          </w:tcPr>
          <w:p w14:paraId="048B70C3" w14:textId="77777777" w:rsidR="005D358F" w:rsidRPr="00223E80" w:rsidRDefault="00103F45" w:rsidP="006E7794">
            <w:pPr>
              <w:spacing w:after="0"/>
              <w:ind w:right="334"/>
              <w:jc w:val="center"/>
              <w:rPr>
                <w:rFonts w:eastAsia="Arial" w:cs="Arial"/>
              </w:rPr>
            </w:pPr>
            <w:r w:rsidRPr="00223E80">
              <w:rPr>
                <w:rFonts w:eastAsia="Arial" w:cs="Arial"/>
              </w:rPr>
              <w:t>100</w:t>
            </w:r>
          </w:p>
        </w:tc>
        <w:tc>
          <w:tcPr>
            <w:tcW w:w="2113" w:type="dxa"/>
            <w:tcBorders>
              <w:top w:val="single" w:sz="4" w:space="0" w:color="auto"/>
              <w:left w:val="single" w:sz="4" w:space="0" w:color="auto"/>
              <w:bottom w:val="single" w:sz="4" w:space="0" w:color="auto"/>
              <w:right w:val="single" w:sz="4" w:space="0" w:color="auto"/>
            </w:tcBorders>
          </w:tcPr>
          <w:p w14:paraId="747197BE" w14:textId="77777777" w:rsidR="005D358F" w:rsidRPr="00223E80" w:rsidRDefault="00CB7A1F" w:rsidP="006E7794">
            <w:pPr>
              <w:spacing w:after="0"/>
              <w:ind w:right="334"/>
              <w:jc w:val="center"/>
              <w:rPr>
                <w:rFonts w:eastAsia="Arial" w:cs="Arial"/>
              </w:rPr>
            </w:pPr>
            <w:r w:rsidRPr="00223E80">
              <w:rPr>
                <w:rFonts w:eastAsia="Arial" w:cs="Arial"/>
              </w:rPr>
              <w:t>12</w:t>
            </w:r>
            <w:r w:rsidR="00103F45" w:rsidRPr="00223E80">
              <w:rPr>
                <w:rFonts w:eastAsia="Arial" w:cs="Arial"/>
              </w:rPr>
              <w:t>0</w:t>
            </w:r>
          </w:p>
        </w:tc>
        <w:tc>
          <w:tcPr>
            <w:tcW w:w="1877" w:type="dxa"/>
            <w:tcBorders>
              <w:top w:val="single" w:sz="4" w:space="0" w:color="auto"/>
              <w:left w:val="single" w:sz="4" w:space="0" w:color="auto"/>
              <w:bottom w:val="single" w:sz="4" w:space="0" w:color="auto"/>
              <w:right w:val="single" w:sz="4" w:space="0" w:color="auto"/>
            </w:tcBorders>
          </w:tcPr>
          <w:p w14:paraId="44D748FD" w14:textId="77777777" w:rsidR="005D358F" w:rsidRPr="00223E80" w:rsidRDefault="009B0734" w:rsidP="006E7794">
            <w:pPr>
              <w:spacing w:after="0"/>
              <w:ind w:right="334"/>
              <w:jc w:val="center"/>
              <w:rPr>
                <w:rFonts w:eastAsia="Arial" w:cs="Arial"/>
                <w:b/>
              </w:rPr>
            </w:pPr>
            <w:r w:rsidRPr="00223E80">
              <w:rPr>
                <w:rFonts w:eastAsia="Arial" w:cs="Arial"/>
                <w:b/>
              </w:rPr>
              <w:t>1023</w:t>
            </w:r>
          </w:p>
        </w:tc>
      </w:tr>
    </w:tbl>
    <w:p w14:paraId="381B54AF" w14:textId="77777777" w:rsidR="004A7026" w:rsidRPr="00223E80" w:rsidRDefault="004A7026" w:rsidP="00FC7299">
      <w:pPr>
        <w:spacing w:after="0"/>
        <w:rPr>
          <w:rFonts w:eastAsia="Arial" w:cs="Arial"/>
        </w:rPr>
      </w:pPr>
    </w:p>
    <w:p w14:paraId="0B8C9C36" w14:textId="7B8DE49B" w:rsidR="00077ECC" w:rsidRPr="00223E80" w:rsidRDefault="00077ECC" w:rsidP="00FA7EEB">
      <w:pPr>
        <w:rPr>
          <w:rFonts w:eastAsia="Arial" w:cs="Arial"/>
        </w:rPr>
      </w:pPr>
      <w:r w:rsidRPr="00223E80">
        <w:rPr>
          <w:rFonts w:eastAsia="Arial" w:cs="Arial"/>
        </w:rPr>
        <w:t>V tabeli navedene projekcije zbranih sredstev temeljijo na razpoložljivih podatkih in stanju sheme, pri čemer pa s</w:t>
      </w:r>
      <w:r w:rsidR="00D77870" w:rsidRPr="00223E80">
        <w:rPr>
          <w:rFonts w:eastAsia="Arial" w:cs="Arial"/>
        </w:rPr>
        <w:t>o</w:t>
      </w:r>
      <w:r w:rsidRPr="00223E80">
        <w:rPr>
          <w:rFonts w:eastAsia="Arial" w:cs="Arial"/>
        </w:rPr>
        <w:t xml:space="preserve"> ob </w:t>
      </w:r>
      <w:r w:rsidR="00D77870" w:rsidRPr="00223E80">
        <w:rPr>
          <w:rFonts w:eastAsia="Arial" w:cs="Arial"/>
        </w:rPr>
        <w:t xml:space="preserve">sedanji </w:t>
      </w:r>
      <w:r w:rsidRPr="00223E80">
        <w:rPr>
          <w:rFonts w:eastAsia="Arial" w:cs="Arial"/>
        </w:rPr>
        <w:t xml:space="preserve">dinamiki na energetskih trgih </w:t>
      </w:r>
      <w:r w:rsidR="00D77870" w:rsidRPr="00223E80">
        <w:rPr>
          <w:rFonts w:eastAsia="Arial" w:cs="Arial"/>
        </w:rPr>
        <w:t xml:space="preserve">precej </w:t>
      </w:r>
      <w:r w:rsidRPr="00223E80">
        <w:rPr>
          <w:rFonts w:eastAsia="Arial" w:cs="Arial"/>
        </w:rPr>
        <w:t>verjetn</w:t>
      </w:r>
      <w:r w:rsidR="00D77870" w:rsidRPr="00223E80">
        <w:rPr>
          <w:rFonts w:eastAsia="Arial" w:cs="Arial"/>
        </w:rPr>
        <w:t>a</w:t>
      </w:r>
      <w:r w:rsidRPr="00223E80">
        <w:rPr>
          <w:rFonts w:eastAsia="Arial" w:cs="Arial"/>
        </w:rPr>
        <w:t xml:space="preserve"> odstopanj</w:t>
      </w:r>
      <w:r w:rsidR="00D77870" w:rsidRPr="00223E80">
        <w:rPr>
          <w:rFonts w:eastAsia="Arial" w:cs="Arial"/>
        </w:rPr>
        <w:t>a</w:t>
      </w:r>
      <w:r w:rsidRPr="00223E80">
        <w:rPr>
          <w:rFonts w:eastAsia="Arial" w:cs="Arial"/>
        </w:rPr>
        <w:t xml:space="preserve"> od navedenih zneskov.</w:t>
      </w:r>
      <w:r w:rsidR="00987D8F" w:rsidRPr="00223E80">
        <w:rPr>
          <w:rFonts w:eastAsia="Arial" w:cs="Arial"/>
        </w:rPr>
        <w:t xml:space="preserve"> Pri </w:t>
      </w:r>
      <w:r w:rsidR="00FA7EEB" w:rsidRPr="00223E80">
        <w:rPr>
          <w:rFonts w:eastAsia="Arial" w:cs="Arial"/>
        </w:rPr>
        <w:t xml:space="preserve">SPTE in </w:t>
      </w:r>
      <w:r w:rsidR="00987D8F" w:rsidRPr="00223E80">
        <w:rPr>
          <w:rFonts w:eastAsia="Arial" w:cs="Arial"/>
        </w:rPr>
        <w:t>elektrarnah na fosilna goriva je upoštevan</w:t>
      </w:r>
      <w:r w:rsidR="00FA7EEB" w:rsidRPr="00223E80">
        <w:rPr>
          <w:rFonts w:eastAsia="Arial" w:cs="Arial"/>
        </w:rPr>
        <w:t>o trenutno stanje vrst proizvodni</w:t>
      </w:r>
      <w:r w:rsidR="00E474C1" w:rsidRPr="00223E80">
        <w:rPr>
          <w:rFonts w:eastAsia="Arial" w:cs="Arial"/>
        </w:rPr>
        <w:t>h</w:t>
      </w:r>
      <w:r w:rsidR="00FA7EEB" w:rsidRPr="00223E80">
        <w:rPr>
          <w:rFonts w:eastAsia="Arial" w:cs="Arial"/>
        </w:rPr>
        <w:t xml:space="preserve"> virov v obstoječi shemi.</w:t>
      </w:r>
    </w:p>
    <w:p w14:paraId="2C5186E8" w14:textId="7C7AA2ED" w:rsidR="00AF20CC" w:rsidRPr="00223E80" w:rsidRDefault="00E474C1" w:rsidP="00AF20CC">
      <w:pPr>
        <w:spacing w:after="0"/>
        <w:rPr>
          <w:rFonts w:eastAsia="Arial" w:cs="Arial"/>
        </w:rPr>
      </w:pPr>
      <w:r w:rsidRPr="00223E80">
        <w:rPr>
          <w:rFonts w:eastAsia="Arial" w:cs="Arial"/>
        </w:rPr>
        <w:t xml:space="preserve">Prikazani </w:t>
      </w:r>
      <w:r w:rsidR="00AF20CC" w:rsidRPr="00223E80">
        <w:rPr>
          <w:rFonts w:eastAsia="Arial" w:cs="Arial"/>
        </w:rPr>
        <w:t xml:space="preserve">podatki predvidevajo </w:t>
      </w:r>
      <w:r w:rsidR="009B0734" w:rsidRPr="00223E80">
        <w:rPr>
          <w:rFonts w:eastAsia="Arial" w:cs="Arial"/>
        </w:rPr>
        <w:t>porabo</w:t>
      </w:r>
      <w:r w:rsidR="00AF20CC" w:rsidRPr="00223E80">
        <w:rPr>
          <w:rFonts w:eastAsia="Arial" w:cs="Arial"/>
        </w:rPr>
        <w:t xml:space="preserve"> sredstev iz naslova podporne sheme </w:t>
      </w:r>
      <w:r w:rsidR="009B0734" w:rsidRPr="00223E80">
        <w:rPr>
          <w:rFonts w:eastAsia="Arial" w:cs="Arial"/>
        </w:rPr>
        <w:t>v višini</w:t>
      </w:r>
      <w:r w:rsidR="00AF20CC" w:rsidRPr="00223E80">
        <w:rPr>
          <w:rFonts w:eastAsia="Arial" w:cs="Arial"/>
        </w:rPr>
        <w:t xml:space="preserve"> </w:t>
      </w:r>
      <w:r w:rsidR="009B0734" w:rsidRPr="00223E80">
        <w:rPr>
          <w:rFonts w:eastAsia="Arial" w:cs="Arial"/>
        </w:rPr>
        <w:t>120</w:t>
      </w:r>
      <w:r w:rsidR="00AF20CC" w:rsidRPr="00223E80">
        <w:rPr>
          <w:rFonts w:eastAsia="Arial" w:cs="Arial"/>
        </w:rPr>
        <w:t xml:space="preserve"> mio EUR na letni ravni ter skupno proizvodnjo na </w:t>
      </w:r>
      <w:r w:rsidR="009B0734" w:rsidRPr="00223E80">
        <w:rPr>
          <w:rFonts w:eastAsia="Arial" w:cs="Arial"/>
        </w:rPr>
        <w:t>1023</w:t>
      </w:r>
      <w:r w:rsidR="00AF20CC" w:rsidRPr="00223E80">
        <w:rPr>
          <w:rFonts w:eastAsia="Arial" w:cs="Arial"/>
        </w:rPr>
        <w:t xml:space="preserve"> GWh električne energije.</w:t>
      </w:r>
    </w:p>
    <w:p w14:paraId="4EB12A1A" w14:textId="77777777" w:rsidR="000C48D0" w:rsidRPr="00223E80" w:rsidRDefault="000C48D0" w:rsidP="00FC7299">
      <w:pPr>
        <w:spacing w:after="0"/>
        <w:rPr>
          <w:rFonts w:eastAsia="Arial" w:cs="Arial"/>
        </w:rPr>
      </w:pPr>
    </w:p>
    <w:p w14:paraId="7DA90DA5" w14:textId="08CEF159" w:rsidR="000C48D0" w:rsidRPr="00223E80" w:rsidRDefault="00AF20CC" w:rsidP="00FC7299">
      <w:pPr>
        <w:spacing w:after="0"/>
        <w:rPr>
          <w:rFonts w:eastAsia="Arial" w:cs="Arial"/>
        </w:rPr>
      </w:pPr>
      <w:r w:rsidRPr="00223E80">
        <w:rPr>
          <w:rFonts w:eastAsia="Arial" w:cs="Arial"/>
        </w:rPr>
        <w:t xml:space="preserve">Ob oceni preostalih sredstev za potrebe </w:t>
      </w:r>
      <w:r w:rsidR="000C48D0" w:rsidRPr="00223E80">
        <w:rPr>
          <w:rFonts w:eastAsia="Arial" w:cs="Arial"/>
        </w:rPr>
        <w:t xml:space="preserve">neposredne podpore, naložbene pomoči in plačila za statistične prenose ter finančna vplačila </w:t>
      </w:r>
      <w:r w:rsidR="00AF5C29" w:rsidRPr="00223E80">
        <w:rPr>
          <w:rFonts w:eastAsia="Arial" w:cs="Arial"/>
        </w:rPr>
        <w:t>pri</w:t>
      </w:r>
      <w:r w:rsidR="000C48D0" w:rsidRPr="00223E80">
        <w:rPr>
          <w:rFonts w:eastAsia="Arial" w:cs="Arial"/>
        </w:rPr>
        <w:t xml:space="preserve"> povprečn</w:t>
      </w:r>
      <w:r w:rsidR="00AF5C29" w:rsidRPr="00223E80">
        <w:rPr>
          <w:rFonts w:eastAsia="Arial" w:cs="Arial"/>
        </w:rPr>
        <w:t>i</w:t>
      </w:r>
      <w:r w:rsidR="000C48D0" w:rsidRPr="00223E80">
        <w:rPr>
          <w:rFonts w:eastAsia="Arial" w:cs="Arial"/>
        </w:rPr>
        <w:t xml:space="preserve"> cen</w:t>
      </w:r>
      <w:r w:rsidR="00AF5C29" w:rsidRPr="00223E80">
        <w:rPr>
          <w:rFonts w:eastAsia="Arial" w:cs="Arial"/>
        </w:rPr>
        <w:t>i</w:t>
      </w:r>
      <w:r w:rsidR="000C48D0" w:rsidRPr="00223E80">
        <w:rPr>
          <w:rFonts w:eastAsia="Arial" w:cs="Arial"/>
        </w:rPr>
        <w:t xml:space="preserve"> </w:t>
      </w:r>
      <w:r w:rsidR="00694379" w:rsidRPr="00223E80">
        <w:rPr>
          <w:rFonts w:eastAsia="Arial" w:cs="Arial"/>
        </w:rPr>
        <w:t>13</w:t>
      </w:r>
      <w:r w:rsidRPr="00223E80">
        <w:rPr>
          <w:rFonts w:eastAsia="Arial" w:cs="Arial"/>
        </w:rPr>
        <w:t xml:space="preserve"> EUR/MWh lahko ocenimo, da bomo dobili še dodatnih 515</w:t>
      </w:r>
      <w:r w:rsidR="00694379" w:rsidRPr="00223E80">
        <w:rPr>
          <w:rFonts w:eastAsia="Arial" w:cs="Arial"/>
        </w:rPr>
        <w:t xml:space="preserve"> </w:t>
      </w:r>
      <w:r w:rsidRPr="00223E80">
        <w:rPr>
          <w:rFonts w:eastAsia="Arial" w:cs="Arial"/>
        </w:rPr>
        <w:t xml:space="preserve">GWh. </w:t>
      </w:r>
      <w:r w:rsidR="00AF5C29" w:rsidRPr="00223E80">
        <w:rPr>
          <w:rFonts w:eastAsia="Arial" w:cs="Arial"/>
        </w:rPr>
        <w:t>Pri</w:t>
      </w:r>
      <w:r w:rsidRPr="00223E80">
        <w:rPr>
          <w:rFonts w:eastAsia="Arial" w:cs="Arial"/>
        </w:rPr>
        <w:t xml:space="preserve"> priprav</w:t>
      </w:r>
      <w:r w:rsidR="00AF5C29" w:rsidRPr="00223E80">
        <w:rPr>
          <w:rFonts w:eastAsia="Arial" w:cs="Arial"/>
        </w:rPr>
        <w:t>i</w:t>
      </w:r>
      <w:r w:rsidRPr="00223E80">
        <w:rPr>
          <w:rFonts w:eastAsia="Arial" w:cs="Arial"/>
        </w:rPr>
        <w:t xml:space="preserve"> te ocene</w:t>
      </w:r>
      <w:r w:rsidR="005A11D9" w:rsidRPr="00223E80">
        <w:rPr>
          <w:rFonts w:eastAsia="Arial" w:cs="Arial"/>
        </w:rPr>
        <w:t xml:space="preserve"> nismo upoštevali rasti stroškov investicij zaradi materialov in padca cene tehnologij</w:t>
      </w:r>
      <w:r w:rsidRPr="00223E80">
        <w:rPr>
          <w:rFonts w:eastAsia="Arial" w:cs="Arial"/>
        </w:rPr>
        <w:t>.</w:t>
      </w:r>
    </w:p>
    <w:p w14:paraId="597D69DA" w14:textId="77777777" w:rsidR="00AF20CC" w:rsidRPr="00223E80" w:rsidRDefault="00AF20CC" w:rsidP="00FC7299">
      <w:pPr>
        <w:spacing w:after="0"/>
        <w:rPr>
          <w:rFonts w:eastAsia="Arial" w:cs="Arial"/>
        </w:rPr>
      </w:pPr>
    </w:p>
    <w:p w14:paraId="3B52B43A" w14:textId="060D8DE5" w:rsidR="00AF20CC" w:rsidRPr="00223E80" w:rsidRDefault="00AF20CC" w:rsidP="00FC7299">
      <w:pPr>
        <w:spacing w:after="0"/>
        <w:rPr>
          <w:rFonts w:eastAsia="Arial" w:cs="Arial"/>
        </w:rPr>
      </w:pPr>
      <w:r w:rsidRPr="00223E80">
        <w:rPr>
          <w:rFonts w:eastAsia="Arial" w:cs="Arial"/>
        </w:rPr>
        <w:t xml:space="preserve">Skupna proizvodnja v višini </w:t>
      </w:r>
      <w:r w:rsidR="009B0734" w:rsidRPr="00223E80">
        <w:rPr>
          <w:rFonts w:eastAsia="Arial" w:cs="Arial"/>
        </w:rPr>
        <w:t>1538</w:t>
      </w:r>
      <w:r w:rsidR="00694379" w:rsidRPr="00223E80">
        <w:rPr>
          <w:rFonts w:eastAsia="Arial" w:cs="Arial"/>
        </w:rPr>
        <w:t xml:space="preserve"> </w:t>
      </w:r>
      <w:r w:rsidRPr="00223E80">
        <w:rPr>
          <w:rFonts w:eastAsia="Arial" w:cs="Arial"/>
        </w:rPr>
        <w:t xml:space="preserve">GWh na primeru za leto 2023 pokaže, da to predstavlja ob trenutni proizvodnji iz OVE virov </w:t>
      </w:r>
      <w:r w:rsidR="00694379" w:rsidRPr="00223E80">
        <w:rPr>
          <w:rFonts w:eastAsia="Arial" w:cs="Arial"/>
        </w:rPr>
        <w:t>dodatn</w:t>
      </w:r>
      <w:r w:rsidR="00987776" w:rsidRPr="00223E80">
        <w:rPr>
          <w:rFonts w:eastAsia="Arial" w:cs="Arial"/>
        </w:rPr>
        <w:t>a</w:t>
      </w:r>
      <w:r w:rsidR="00694379" w:rsidRPr="00223E80">
        <w:rPr>
          <w:rFonts w:eastAsia="Arial" w:cs="Arial"/>
        </w:rPr>
        <w:t xml:space="preserve"> 2,7 % v skupnem deležu OVE v končni bilanci Slovenije.</w:t>
      </w:r>
    </w:p>
    <w:p w14:paraId="6ED8DB5A" w14:textId="77777777" w:rsidR="00CB7A1F" w:rsidRPr="00223E80" w:rsidRDefault="00CB7A1F" w:rsidP="00FC7299">
      <w:pPr>
        <w:spacing w:after="0"/>
        <w:rPr>
          <w:rFonts w:eastAsia="Arial" w:cs="Arial"/>
        </w:rPr>
      </w:pPr>
    </w:p>
    <w:p w14:paraId="1063F413" w14:textId="0A669D84" w:rsidR="00CB7A1F" w:rsidRPr="00223E80" w:rsidRDefault="00CB2B85" w:rsidP="00FC7299">
      <w:pPr>
        <w:spacing w:after="0"/>
        <w:rPr>
          <w:rFonts w:eastAsia="Arial" w:cs="Arial"/>
        </w:rPr>
      </w:pPr>
      <w:r w:rsidRPr="00223E80">
        <w:rPr>
          <w:rFonts w:eastAsia="Arial" w:cs="Arial"/>
        </w:rPr>
        <w:t>Glede skupnega povečanja</w:t>
      </w:r>
      <w:r w:rsidR="00CB7A1F" w:rsidRPr="00223E80">
        <w:rPr>
          <w:rFonts w:eastAsia="Arial" w:cs="Arial"/>
        </w:rPr>
        <w:t xml:space="preserve"> deleža </w:t>
      </w:r>
      <w:r w:rsidRPr="00223E80">
        <w:rPr>
          <w:rFonts w:eastAsia="Arial" w:cs="Arial"/>
        </w:rPr>
        <w:t>OVE</w:t>
      </w:r>
      <w:r w:rsidR="006167BB" w:rsidRPr="00223E80">
        <w:rPr>
          <w:rFonts w:eastAsia="Arial" w:cs="Arial"/>
        </w:rPr>
        <w:t xml:space="preserve"> lahko ob pavšalni oceni in </w:t>
      </w:r>
      <w:r w:rsidRPr="00223E80">
        <w:rPr>
          <w:rFonts w:eastAsia="Arial" w:cs="Arial"/>
        </w:rPr>
        <w:t>predpostavki</w:t>
      </w:r>
      <w:r w:rsidR="00CB7A1F" w:rsidRPr="00223E80">
        <w:rPr>
          <w:rFonts w:eastAsia="Arial" w:cs="Arial"/>
        </w:rPr>
        <w:t xml:space="preserve"> današnje rabe </w:t>
      </w:r>
      <w:r w:rsidRPr="00223E80">
        <w:rPr>
          <w:rFonts w:eastAsia="Arial" w:cs="Arial"/>
        </w:rPr>
        <w:t>ter</w:t>
      </w:r>
      <w:r w:rsidR="00CB7A1F" w:rsidRPr="00223E80">
        <w:rPr>
          <w:rFonts w:eastAsia="Arial" w:cs="Arial"/>
        </w:rPr>
        <w:t xml:space="preserve"> omejene</w:t>
      </w:r>
      <w:r w:rsidR="006167BB" w:rsidRPr="00223E80">
        <w:rPr>
          <w:rFonts w:eastAsia="Arial" w:cs="Arial"/>
        </w:rPr>
        <w:t xml:space="preserve"> rasti in padca cen </w:t>
      </w:r>
      <w:r w:rsidR="00CB7A1F" w:rsidRPr="00223E80">
        <w:rPr>
          <w:rFonts w:eastAsia="Arial" w:cs="Arial"/>
        </w:rPr>
        <w:t xml:space="preserve">tehnologij ocenimo, da bo </w:t>
      </w:r>
      <w:r w:rsidR="006B02FC" w:rsidRPr="00223E80">
        <w:rPr>
          <w:rFonts w:eastAsia="Arial" w:cs="Arial"/>
        </w:rPr>
        <w:t>podporna shema</w:t>
      </w:r>
      <w:r w:rsidR="00CB7A1F" w:rsidRPr="00223E80">
        <w:rPr>
          <w:rFonts w:eastAsia="Arial" w:cs="Arial"/>
        </w:rPr>
        <w:t xml:space="preserve"> v obdobju od leta 2022 do leta 2026 prispeval</w:t>
      </w:r>
      <w:r w:rsidR="006B02FC" w:rsidRPr="00223E80">
        <w:rPr>
          <w:rFonts w:eastAsia="Arial" w:cs="Arial"/>
        </w:rPr>
        <w:t>a</w:t>
      </w:r>
      <w:r w:rsidR="00CB7A1F" w:rsidRPr="00223E80">
        <w:rPr>
          <w:rFonts w:eastAsia="Arial" w:cs="Arial"/>
        </w:rPr>
        <w:t xml:space="preserve"> </w:t>
      </w:r>
      <w:r w:rsidR="006167BB" w:rsidRPr="00223E80">
        <w:rPr>
          <w:rFonts w:eastAsia="Arial" w:cs="Arial"/>
        </w:rPr>
        <w:t>od 10–14</w:t>
      </w:r>
      <w:r w:rsidR="009F5D4B" w:rsidRPr="00223E80">
        <w:rPr>
          <w:rFonts w:eastAsia="Arial" w:cs="Arial"/>
        </w:rPr>
        <w:t xml:space="preserve"> </w:t>
      </w:r>
      <w:r w:rsidR="006167BB" w:rsidRPr="00223E80">
        <w:rPr>
          <w:rFonts w:eastAsia="Arial" w:cs="Arial"/>
        </w:rPr>
        <w:t xml:space="preserve">% </w:t>
      </w:r>
      <w:r w:rsidR="00CB7A1F" w:rsidRPr="00223E80">
        <w:rPr>
          <w:rFonts w:eastAsia="Arial" w:cs="Arial"/>
        </w:rPr>
        <w:t>v skupnem deležu OVE v bruto končni rabi energije v Republiki Sloveniji.</w:t>
      </w:r>
    </w:p>
    <w:p w14:paraId="6597316D" w14:textId="77777777" w:rsidR="00AF2F86" w:rsidRPr="00223E80" w:rsidRDefault="00AF2F86" w:rsidP="00FC7299">
      <w:pPr>
        <w:spacing w:after="0"/>
        <w:rPr>
          <w:rFonts w:eastAsia="Arial" w:cs="Arial"/>
        </w:rPr>
      </w:pPr>
    </w:p>
    <w:p w14:paraId="74500919" w14:textId="77777777" w:rsidR="00FB1FDB" w:rsidRPr="00223E80" w:rsidRDefault="00BF541E" w:rsidP="00A520AC">
      <w:pPr>
        <w:pStyle w:val="Naslov1"/>
      </w:pPr>
      <w:bookmarkStart w:id="60" w:name="_Toc112144013"/>
      <w:r w:rsidRPr="00223E80">
        <w:t>9</w:t>
      </w:r>
      <w:r w:rsidR="00006FD4" w:rsidRPr="00223E80">
        <w:t xml:space="preserve">   </w:t>
      </w:r>
      <w:r w:rsidR="000167D0" w:rsidRPr="00223E80">
        <w:t>PRIČAKOVANE PRIMERNE TEHNOLOGIJE</w:t>
      </w:r>
      <w:bookmarkEnd w:id="60"/>
    </w:p>
    <w:p w14:paraId="3D79F081" w14:textId="77777777" w:rsidR="00534E61" w:rsidRPr="00223E80" w:rsidRDefault="00534E61" w:rsidP="007E6ED7">
      <w:pPr>
        <w:keepNext/>
        <w:spacing w:after="0"/>
        <w:outlineLvl w:val="1"/>
        <w:rPr>
          <w:rFonts w:eastAsia="Times New Roman"/>
          <w:b/>
          <w:iCs/>
        </w:rPr>
      </w:pPr>
    </w:p>
    <w:p w14:paraId="0A0C5869" w14:textId="77777777" w:rsidR="007838DC" w:rsidRPr="00223E80" w:rsidRDefault="007838DC" w:rsidP="007E6ED7">
      <w:pPr>
        <w:snapToGrid w:val="0"/>
        <w:spacing w:after="0"/>
        <w:rPr>
          <w:rFonts w:eastAsia="Arial" w:cs="Arial"/>
        </w:rPr>
      </w:pPr>
      <w:r w:rsidRPr="00223E80">
        <w:rPr>
          <w:rFonts w:eastAsia="Arial" w:cs="Arial"/>
        </w:rPr>
        <w:t>Energetske tehnologije proizvodnih naprav, ki so skladne s cilji tega načrta</w:t>
      </w:r>
      <w:r w:rsidR="00A67695" w:rsidRPr="00223E80">
        <w:rPr>
          <w:rFonts w:eastAsia="Arial" w:cs="Arial"/>
        </w:rPr>
        <w:t xml:space="preserve"> in </w:t>
      </w:r>
      <w:r w:rsidRPr="00223E80">
        <w:rPr>
          <w:rFonts w:eastAsia="Arial" w:cs="Arial"/>
        </w:rPr>
        <w:t xml:space="preserve">so opredeljene v priglašeni shemi in </w:t>
      </w:r>
      <w:r w:rsidR="00BF49D9" w:rsidRPr="00223E80">
        <w:rPr>
          <w:rFonts w:eastAsia="Arial" w:cs="Arial"/>
        </w:rPr>
        <w:t xml:space="preserve">Uredbi o podporah elektriki, proizvedeni iz obnovljivih virov energije in v soproizvodnji toplote in elektrike z visokim izkoristkom (Uradni list RS, št. 74/16, 74/20, 121/21 – ZSROVE in 26/22) </w:t>
      </w:r>
      <w:r w:rsidRPr="00223E80">
        <w:rPr>
          <w:rFonts w:eastAsia="Arial" w:cs="Arial"/>
        </w:rPr>
        <w:t xml:space="preserve">in so v skladu s Smernicami Evropske komisije o državni pomoči za varstvo okolja in energijo za obdobje </w:t>
      </w:r>
      <w:r w:rsidR="00534E61" w:rsidRPr="00223E80">
        <w:rPr>
          <w:rFonts w:eastAsia="Arial" w:cs="Arial"/>
        </w:rPr>
        <w:t>2014–</w:t>
      </w:r>
      <w:r w:rsidR="00794B4A" w:rsidRPr="00223E80">
        <w:rPr>
          <w:rFonts w:eastAsia="Arial" w:cs="Arial"/>
        </w:rPr>
        <w:t xml:space="preserve">2020. </w:t>
      </w:r>
    </w:p>
    <w:p w14:paraId="16A87BEE" w14:textId="77777777" w:rsidR="00534E61" w:rsidRPr="00223E80" w:rsidRDefault="00534E61" w:rsidP="007E6ED7">
      <w:pPr>
        <w:snapToGrid w:val="0"/>
        <w:spacing w:after="0"/>
        <w:rPr>
          <w:rFonts w:eastAsia="Arial" w:cs="Arial"/>
        </w:rPr>
      </w:pPr>
    </w:p>
    <w:p w14:paraId="58A70D63" w14:textId="663E4A09" w:rsidR="00A67695" w:rsidRPr="00223E80" w:rsidRDefault="007838DC" w:rsidP="007E6ED7">
      <w:pPr>
        <w:spacing w:after="0"/>
        <w:rPr>
          <w:rFonts w:eastAsia="Arial" w:cs="Arial"/>
        </w:rPr>
      </w:pPr>
      <w:r w:rsidRPr="00223E80">
        <w:rPr>
          <w:rFonts w:eastAsia="Arial" w:cs="Arial"/>
        </w:rPr>
        <w:t xml:space="preserve">Trenutno </w:t>
      </w:r>
      <w:r w:rsidR="00375D49" w:rsidRPr="00223E80">
        <w:rPr>
          <w:rFonts w:eastAsia="Arial" w:cs="Arial"/>
        </w:rPr>
        <w:t>tečejo</w:t>
      </w:r>
      <w:r w:rsidRPr="00223E80">
        <w:rPr>
          <w:rFonts w:eastAsia="Arial" w:cs="Arial"/>
        </w:rPr>
        <w:t xml:space="preserve"> aktivnosti za pripravo nove podporne sheme, ki bo v skladu z ZSROVE </w:t>
      </w:r>
      <w:r w:rsidR="00121BF9" w:rsidRPr="00223E80">
        <w:rPr>
          <w:rFonts w:eastAsia="Arial" w:cs="Arial"/>
        </w:rPr>
        <w:t>–</w:t>
      </w:r>
      <w:r w:rsidRPr="00223E80">
        <w:rPr>
          <w:rFonts w:eastAsia="Arial" w:cs="Arial"/>
        </w:rPr>
        <w:t xml:space="preserve"> poleg navedenih že obstoječih ukrepov </w:t>
      </w:r>
      <w:r w:rsidR="00375D49" w:rsidRPr="00223E80">
        <w:rPr>
          <w:rFonts w:eastAsia="Arial" w:cs="Arial"/>
        </w:rPr>
        <w:t>–</w:t>
      </w:r>
      <w:r w:rsidRPr="00223E80">
        <w:rPr>
          <w:rFonts w:eastAsia="Arial" w:cs="Arial"/>
        </w:rPr>
        <w:t xml:space="preserve"> uvedla </w:t>
      </w:r>
      <w:r w:rsidR="00A67695" w:rsidRPr="00223E80">
        <w:rPr>
          <w:rFonts w:eastAsia="Arial" w:cs="Arial"/>
        </w:rPr>
        <w:t xml:space="preserve">podporo </w:t>
      </w:r>
      <w:r w:rsidR="00121BF9" w:rsidRPr="00223E80">
        <w:rPr>
          <w:rFonts w:eastAsia="Arial" w:cs="Arial"/>
        </w:rPr>
        <w:t xml:space="preserve">še </w:t>
      </w:r>
      <w:r w:rsidR="00A67695" w:rsidRPr="00223E80">
        <w:rPr>
          <w:rFonts w:eastAsia="Arial" w:cs="Arial"/>
        </w:rPr>
        <w:t>za druge primerne energetske tehnologije</w:t>
      </w:r>
      <w:r w:rsidRPr="00223E80">
        <w:rPr>
          <w:rFonts w:eastAsia="Arial" w:cs="Arial"/>
        </w:rPr>
        <w:t>.</w:t>
      </w:r>
    </w:p>
    <w:p w14:paraId="1BB96416" w14:textId="77777777" w:rsidR="00534E61" w:rsidRPr="00223E80" w:rsidRDefault="00534E61" w:rsidP="007E6ED7">
      <w:pPr>
        <w:spacing w:after="0"/>
        <w:rPr>
          <w:rFonts w:eastAsia="Arial" w:cs="Arial"/>
        </w:rPr>
      </w:pPr>
    </w:p>
    <w:p w14:paraId="324160A8" w14:textId="58F977A7" w:rsidR="007838DC" w:rsidRPr="00223E80" w:rsidRDefault="000E0CC3" w:rsidP="007E6ED7">
      <w:pPr>
        <w:spacing w:after="0"/>
        <w:rPr>
          <w:rFonts w:eastAsia="Arial" w:cs="Arial"/>
        </w:rPr>
      </w:pPr>
      <w:r w:rsidRPr="00223E80">
        <w:rPr>
          <w:rFonts w:eastAsia="Arial" w:cs="Arial"/>
        </w:rPr>
        <w:t>Glede</w:t>
      </w:r>
      <w:r w:rsidR="007838DC" w:rsidRPr="00223E80">
        <w:rPr>
          <w:rFonts w:eastAsia="Arial" w:cs="Arial"/>
        </w:rPr>
        <w:t xml:space="preserve"> tehnologij gre zlasti za novo oz. razširjeno shemo spodbujanja OVE, ki med drugim predvideva širitev nabora obstoječih podpor za proizvodnjo električne energije iz OVE in SPTE naprav tudi na tiste naprave, ki izkoriščajo OVE za proizvodnjo plinastih goriv (vključno z vodikom), toplote za učinkovito ogrevanje in hlajenje ter pogonskih tekočih in plinastih biogoriv. Gre torej za občutno in pomembno širitev nabora drž</w:t>
      </w:r>
      <w:r w:rsidR="00A67695" w:rsidRPr="00223E80">
        <w:rPr>
          <w:rFonts w:eastAsia="Arial" w:cs="Arial"/>
        </w:rPr>
        <w:t xml:space="preserve">avnih pomoči na več vrst drugih energetskih tehnologij za druge energetske vire in </w:t>
      </w:r>
      <w:r w:rsidR="007838DC" w:rsidRPr="00223E80">
        <w:rPr>
          <w:rFonts w:eastAsia="Arial" w:cs="Arial"/>
        </w:rPr>
        <w:t xml:space="preserve">ne </w:t>
      </w:r>
      <w:r w:rsidR="00833D00" w:rsidRPr="00223E80">
        <w:rPr>
          <w:rFonts w:eastAsia="Arial" w:cs="Arial"/>
        </w:rPr>
        <w:t xml:space="preserve">samo </w:t>
      </w:r>
      <w:r w:rsidR="00A67695" w:rsidRPr="00223E80">
        <w:rPr>
          <w:rFonts w:eastAsia="Arial" w:cs="Arial"/>
        </w:rPr>
        <w:t xml:space="preserve">določenih tehnologij za proizvodnjo </w:t>
      </w:r>
      <w:r w:rsidR="007838DC" w:rsidRPr="00223E80">
        <w:rPr>
          <w:rFonts w:eastAsia="Arial" w:cs="Arial"/>
        </w:rPr>
        <w:t>električne</w:t>
      </w:r>
      <w:r w:rsidR="00A67695" w:rsidRPr="00223E80">
        <w:rPr>
          <w:rFonts w:eastAsia="Arial" w:cs="Arial"/>
        </w:rPr>
        <w:t xml:space="preserve"> energije, ki so že odobren</w:t>
      </w:r>
      <w:r w:rsidRPr="00223E80">
        <w:rPr>
          <w:rFonts w:eastAsia="Arial" w:cs="Arial"/>
        </w:rPr>
        <w:t>e</w:t>
      </w:r>
      <w:r w:rsidR="00A67695" w:rsidRPr="00223E80">
        <w:rPr>
          <w:rFonts w:eastAsia="Arial" w:cs="Arial"/>
        </w:rPr>
        <w:t xml:space="preserve"> v priglašeni shemi</w:t>
      </w:r>
      <w:r w:rsidR="007838DC" w:rsidRPr="00223E80">
        <w:rPr>
          <w:rFonts w:eastAsia="Arial" w:cs="Arial"/>
        </w:rPr>
        <w:t>.</w:t>
      </w:r>
    </w:p>
    <w:p w14:paraId="1125DD82" w14:textId="77777777" w:rsidR="00534E61" w:rsidRPr="00223E80" w:rsidRDefault="00534E61" w:rsidP="007E6ED7">
      <w:pPr>
        <w:spacing w:after="0"/>
        <w:rPr>
          <w:rFonts w:eastAsia="Arial" w:cs="Arial"/>
        </w:rPr>
      </w:pPr>
    </w:p>
    <w:p w14:paraId="74AF7AD9" w14:textId="4D6EDB57" w:rsidR="00534E61" w:rsidRPr="00223E80" w:rsidRDefault="007838DC" w:rsidP="007E6ED7">
      <w:pPr>
        <w:spacing w:after="0"/>
        <w:rPr>
          <w:rFonts w:eastAsia="Arial" w:cs="Arial"/>
        </w:rPr>
      </w:pPr>
      <w:r w:rsidRPr="00223E80">
        <w:rPr>
          <w:rFonts w:eastAsia="Arial" w:cs="Arial"/>
        </w:rPr>
        <w:lastRenderedPageBreak/>
        <w:t xml:space="preserve">Glede tehnologij, ki </w:t>
      </w:r>
      <w:r w:rsidR="00A67695" w:rsidRPr="00223E80">
        <w:rPr>
          <w:rFonts w:eastAsia="Arial" w:cs="Arial"/>
        </w:rPr>
        <w:t xml:space="preserve">pa se že danes podpirajo v okviru priglašene sheme in </w:t>
      </w:r>
      <w:r w:rsidRPr="00223E80">
        <w:rPr>
          <w:rFonts w:eastAsia="Arial" w:cs="Arial"/>
        </w:rPr>
        <w:t xml:space="preserve">se bodo </w:t>
      </w:r>
      <w:r w:rsidR="00691264" w:rsidRPr="00223E80">
        <w:rPr>
          <w:rFonts w:eastAsia="Arial" w:cs="Arial"/>
        </w:rPr>
        <w:t>glede</w:t>
      </w:r>
      <w:r w:rsidRPr="00223E80">
        <w:rPr>
          <w:rFonts w:eastAsia="Arial" w:cs="Arial"/>
        </w:rPr>
        <w:t xml:space="preserve"> dolgoročnega časovnega načrta lahko uveljavil</w:t>
      </w:r>
      <w:r w:rsidR="00691264" w:rsidRPr="00223E80">
        <w:rPr>
          <w:rFonts w:eastAsia="Arial" w:cs="Arial"/>
        </w:rPr>
        <w:t>e</w:t>
      </w:r>
      <w:r w:rsidRPr="00223E80">
        <w:rPr>
          <w:rFonts w:eastAsia="Arial" w:cs="Arial"/>
        </w:rPr>
        <w:t xml:space="preserve"> do leta 2025, gre izpostaviti možen preboj </w:t>
      </w:r>
      <w:r w:rsidR="00032632" w:rsidRPr="00223E80">
        <w:rPr>
          <w:rFonts w:eastAsia="Arial" w:cs="Arial"/>
        </w:rPr>
        <w:t>vetrnih</w:t>
      </w:r>
      <w:r w:rsidRPr="00223E80">
        <w:rPr>
          <w:rFonts w:eastAsia="Arial" w:cs="Arial"/>
        </w:rPr>
        <w:t xml:space="preserve"> elektrarn. V prihodnje bo treba veliko bolje izkoristiti naravne danosti Slovenije in povečati umeščanj</w:t>
      </w:r>
      <w:r w:rsidR="00691264" w:rsidRPr="00223E80">
        <w:rPr>
          <w:rFonts w:eastAsia="Arial" w:cs="Arial"/>
        </w:rPr>
        <w:t>e</w:t>
      </w:r>
      <w:r w:rsidRPr="00223E80">
        <w:rPr>
          <w:rFonts w:eastAsia="Arial" w:cs="Arial"/>
        </w:rPr>
        <w:t xml:space="preserve"> energetskih projektov v prostor, upoštevajoč </w:t>
      </w:r>
      <w:r w:rsidR="00AF2F86" w:rsidRPr="00223E80">
        <w:rPr>
          <w:rFonts w:eastAsia="Arial" w:cs="Arial"/>
        </w:rPr>
        <w:t>prevlado tega javnega</w:t>
      </w:r>
      <w:r w:rsidRPr="00223E80">
        <w:rPr>
          <w:rFonts w:eastAsia="Arial" w:cs="Arial"/>
        </w:rPr>
        <w:t xml:space="preserve"> interes</w:t>
      </w:r>
      <w:r w:rsidR="00AF2F86" w:rsidRPr="00223E80">
        <w:rPr>
          <w:rFonts w:eastAsia="Arial" w:cs="Arial"/>
        </w:rPr>
        <w:t>a</w:t>
      </w:r>
      <w:r w:rsidRPr="00223E80">
        <w:rPr>
          <w:rFonts w:eastAsia="Arial" w:cs="Arial"/>
        </w:rPr>
        <w:t xml:space="preserve"> v posebnih primerih. Temu cilju bo sledi</w:t>
      </w:r>
      <w:r w:rsidR="00A67695" w:rsidRPr="00223E80">
        <w:rPr>
          <w:rFonts w:eastAsia="Arial" w:cs="Arial"/>
        </w:rPr>
        <w:t>la</w:t>
      </w:r>
      <w:r w:rsidRPr="00223E80">
        <w:rPr>
          <w:rFonts w:eastAsia="Arial" w:cs="Arial"/>
        </w:rPr>
        <w:t xml:space="preserve"> tudi ponovna preučitev možnih in sonaravnih vključitev proizvodnih naprav na vodotoke v </w:t>
      </w:r>
      <w:r w:rsidR="00AF2F86" w:rsidRPr="00223E80">
        <w:rPr>
          <w:rFonts w:eastAsia="Arial" w:cs="Arial"/>
        </w:rPr>
        <w:t xml:space="preserve">Republiki </w:t>
      </w:r>
      <w:r w:rsidRPr="00223E80">
        <w:rPr>
          <w:rFonts w:eastAsia="Arial" w:cs="Arial"/>
        </w:rPr>
        <w:t xml:space="preserve">Sloveniji, kot sta </w:t>
      </w:r>
      <w:r w:rsidR="00AF2F86" w:rsidRPr="00223E80">
        <w:rPr>
          <w:rFonts w:eastAsia="Arial" w:cs="Arial"/>
        </w:rPr>
        <w:t xml:space="preserve">reki </w:t>
      </w:r>
      <w:r w:rsidRPr="00223E80">
        <w:rPr>
          <w:rFonts w:eastAsia="Arial" w:cs="Arial"/>
        </w:rPr>
        <w:t xml:space="preserve">Mura in srednja Sava, saj ima naša država majhen elektroenergetski sistem, kjer </w:t>
      </w:r>
      <w:r w:rsidR="00EA1FAC" w:rsidRPr="00223E80">
        <w:rPr>
          <w:rFonts w:eastAsia="Arial" w:cs="Arial"/>
        </w:rPr>
        <w:t xml:space="preserve">je </w:t>
      </w:r>
      <w:r w:rsidRPr="00223E80">
        <w:rPr>
          <w:rFonts w:eastAsia="Arial" w:cs="Arial"/>
        </w:rPr>
        <w:t>vsaka večja proizvodna enota pomemben e</w:t>
      </w:r>
      <w:r w:rsidR="00534E61" w:rsidRPr="00223E80">
        <w:rPr>
          <w:rFonts w:eastAsia="Arial" w:cs="Arial"/>
        </w:rPr>
        <w:t xml:space="preserve">lement zanesljivosti v </w:t>
      </w:r>
      <w:r w:rsidR="00AF2F86" w:rsidRPr="00223E80">
        <w:rPr>
          <w:rFonts w:eastAsia="Arial" w:cs="Arial"/>
        </w:rPr>
        <w:t xml:space="preserve">energetskem </w:t>
      </w:r>
      <w:r w:rsidR="00534E61" w:rsidRPr="00223E80">
        <w:rPr>
          <w:rFonts w:eastAsia="Arial" w:cs="Arial"/>
        </w:rPr>
        <w:t>sistemu.</w:t>
      </w:r>
    </w:p>
    <w:p w14:paraId="0B08C0A2" w14:textId="77777777" w:rsidR="00534E61" w:rsidRPr="00223E80" w:rsidRDefault="00534E61" w:rsidP="007E6ED7">
      <w:pPr>
        <w:spacing w:after="0"/>
        <w:rPr>
          <w:rFonts w:eastAsia="Arial" w:cs="Arial"/>
        </w:rPr>
      </w:pPr>
    </w:p>
    <w:p w14:paraId="69D2CC9C" w14:textId="4475D61D" w:rsidR="007838DC" w:rsidRPr="00223E80" w:rsidRDefault="00A67695" w:rsidP="007E6ED7">
      <w:pPr>
        <w:spacing w:after="0"/>
        <w:rPr>
          <w:rFonts w:eastAsia="Arial" w:cs="Arial"/>
        </w:rPr>
      </w:pPr>
      <w:r w:rsidRPr="00223E80">
        <w:rPr>
          <w:rFonts w:eastAsia="Arial" w:cs="Arial"/>
        </w:rPr>
        <w:t>V okviru nove podporne sheme, ki se pripravlja</w:t>
      </w:r>
      <w:r w:rsidR="009F50EA" w:rsidRPr="00223E80">
        <w:rPr>
          <w:rFonts w:eastAsia="Arial" w:cs="Arial"/>
        </w:rPr>
        <w:t>,</w:t>
      </w:r>
      <w:r w:rsidRPr="00223E80">
        <w:rPr>
          <w:rFonts w:eastAsia="Arial" w:cs="Arial"/>
        </w:rPr>
        <w:t xml:space="preserve"> se bodo podprle še druge nove </w:t>
      </w:r>
      <w:r w:rsidR="00AC03D5" w:rsidRPr="00223E80">
        <w:rPr>
          <w:rFonts w:eastAsia="Arial" w:cs="Arial"/>
        </w:rPr>
        <w:t>energetske</w:t>
      </w:r>
      <w:r w:rsidRPr="00223E80">
        <w:rPr>
          <w:rFonts w:eastAsia="Arial" w:cs="Arial"/>
        </w:rPr>
        <w:t xml:space="preserve"> tehnologije, ki bodo tudi podrobneje analizirane v podpornih strokovnih podlagah</w:t>
      </w:r>
      <w:r w:rsidR="00AC03D5" w:rsidRPr="00223E80">
        <w:rPr>
          <w:rFonts w:eastAsia="Arial" w:cs="Arial"/>
        </w:rPr>
        <w:t xml:space="preserve">. </w:t>
      </w:r>
      <w:r w:rsidR="00A95D37" w:rsidRPr="00223E80">
        <w:rPr>
          <w:rFonts w:eastAsia="Arial" w:cs="Arial"/>
        </w:rPr>
        <w:t>Ž</w:t>
      </w:r>
      <w:r w:rsidR="00AC03D5" w:rsidRPr="00223E80">
        <w:rPr>
          <w:rFonts w:eastAsia="Arial" w:cs="Arial"/>
        </w:rPr>
        <w:t xml:space="preserve">e danes </w:t>
      </w:r>
      <w:r w:rsidR="00A95D37" w:rsidRPr="00223E80">
        <w:rPr>
          <w:rFonts w:eastAsia="Arial" w:cs="Arial"/>
        </w:rPr>
        <w:t xml:space="preserve">pa lahko </w:t>
      </w:r>
      <w:r w:rsidR="00AC03D5" w:rsidRPr="00223E80">
        <w:rPr>
          <w:rFonts w:eastAsia="Arial" w:cs="Arial"/>
        </w:rPr>
        <w:t>izpostavimo tehnologije, ki bodo spodbujale sektorsko integracijo</w:t>
      </w:r>
      <w:r w:rsidR="00A95D37" w:rsidRPr="00223E80">
        <w:rPr>
          <w:rFonts w:eastAsia="Arial" w:cs="Arial"/>
        </w:rPr>
        <w:t>,</w:t>
      </w:r>
      <w:r w:rsidR="00AC03D5" w:rsidRPr="00223E80">
        <w:rPr>
          <w:rFonts w:eastAsia="Arial" w:cs="Arial"/>
        </w:rPr>
        <w:t xml:space="preserve"> in nove vodikove tehnologije, ki </w:t>
      </w:r>
      <w:r w:rsidR="00A95D37" w:rsidRPr="00223E80">
        <w:rPr>
          <w:rFonts w:eastAsia="Arial" w:cs="Arial"/>
        </w:rPr>
        <w:t xml:space="preserve">se </w:t>
      </w:r>
      <w:r w:rsidR="00AC03D5" w:rsidRPr="00223E80">
        <w:rPr>
          <w:rFonts w:eastAsia="Arial" w:cs="Arial"/>
        </w:rPr>
        <w:t>bodo uveljavi</w:t>
      </w:r>
      <w:r w:rsidR="00A95D37" w:rsidRPr="00223E80">
        <w:rPr>
          <w:rFonts w:eastAsia="Arial" w:cs="Arial"/>
        </w:rPr>
        <w:t>l</w:t>
      </w:r>
      <w:r w:rsidR="00AC03D5" w:rsidRPr="00223E80">
        <w:rPr>
          <w:rFonts w:eastAsia="Arial" w:cs="Arial"/>
        </w:rPr>
        <w:t xml:space="preserve">e v sodelovanju z znanostjo. Te je treba v Republiki Sloveniji še dodatno okrepiti, </w:t>
      </w:r>
      <w:r w:rsidR="00EA1FAC" w:rsidRPr="00223E80">
        <w:rPr>
          <w:rFonts w:eastAsia="Arial" w:cs="Arial"/>
        </w:rPr>
        <w:t>pa</w:t>
      </w:r>
      <w:r w:rsidR="00AC03D5" w:rsidRPr="00223E80">
        <w:rPr>
          <w:rFonts w:eastAsia="Arial" w:cs="Arial"/>
        </w:rPr>
        <w:t xml:space="preserve"> tudi izobraziti in usposobiti dovolj potrebn</w:t>
      </w:r>
      <w:r w:rsidR="00A95D37" w:rsidRPr="00223E80">
        <w:rPr>
          <w:rFonts w:eastAsia="Arial" w:cs="Arial"/>
        </w:rPr>
        <w:t>ega</w:t>
      </w:r>
      <w:r w:rsidR="00AC03D5" w:rsidRPr="00223E80">
        <w:rPr>
          <w:rFonts w:eastAsia="Arial" w:cs="Arial"/>
        </w:rPr>
        <w:t xml:space="preserve"> kadr</w:t>
      </w:r>
      <w:r w:rsidR="00A95D37" w:rsidRPr="00223E80">
        <w:rPr>
          <w:rFonts w:eastAsia="Arial" w:cs="Arial"/>
        </w:rPr>
        <w:t>a</w:t>
      </w:r>
      <w:r w:rsidR="00AC03D5" w:rsidRPr="00223E80">
        <w:rPr>
          <w:rFonts w:eastAsia="Arial" w:cs="Arial"/>
        </w:rPr>
        <w:t>.</w:t>
      </w:r>
    </w:p>
    <w:p w14:paraId="57005AA2" w14:textId="77777777" w:rsidR="006167BB" w:rsidRPr="00223E80" w:rsidRDefault="006167BB" w:rsidP="007E6ED7">
      <w:pPr>
        <w:spacing w:after="0"/>
        <w:rPr>
          <w:rFonts w:eastAsia="Arial" w:cs="Arial"/>
        </w:rPr>
      </w:pPr>
    </w:p>
    <w:p w14:paraId="43A1CA26" w14:textId="4A4C3D86" w:rsidR="006167BB" w:rsidRPr="00223E80" w:rsidRDefault="00A95D37" w:rsidP="007E6ED7">
      <w:pPr>
        <w:spacing w:after="0"/>
        <w:rPr>
          <w:rFonts w:eastAsia="Arial" w:cs="Arial"/>
        </w:rPr>
      </w:pPr>
      <w:r w:rsidRPr="00223E80">
        <w:rPr>
          <w:rFonts w:eastAsia="Arial" w:cs="Arial"/>
        </w:rPr>
        <w:t xml:space="preserve">Na koncu </w:t>
      </w:r>
      <w:r w:rsidR="006167BB" w:rsidRPr="00223E80">
        <w:rPr>
          <w:rFonts w:eastAsia="Arial" w:cs="Arial"/>
        </w:rPr>
        <w:t xml:space="preserve">je primerno izpostaviti tudi ugodne zaloge lesne biomase </w:t>
      </w:r>
      <w:r w:rsidR="00A6515E" w:rsidRPr="00223E80">
        <w:rPr>
          <w:rFonts w:eastAsia="Arial" w:cs="Arial"/>
        </w:rPr>
        <w:t>in</w:t>
      </w:r>
      <w:r w:rsidR="006167BB" w:rsidRPr="00223E80">
        <w:rPr>
          <w:rFonts w:eastAsia="Arial" w:cs="Arial"/>
        </w:rPr>
        <w:t xml:space="preserve"> sodobne tehnologije, ki so glede višjih izkoristkov in sprejemljivih stopenj obremenjevanja okolja že na voljo, </w:t>
      </w:r>
      <w:r w:rsidR="00EA1FAC" w:rsidRPr="00223E80">
        <w:rPr>
          <w:rFonts w:eastAsia="Arial" w:cs="Arial"/>
        </w:rPr>
        <w:t>in tudi konec</w:t>
      </w:r>
      <w:r w:rsidR="006167BB" w:rsidRPr="00223E80">
        <w:rPr>
          <w:rFonts w:eastAsia="Arial" w:cs="Arial"/>
        </w:rPr>
        <w:t xml:space="preserve"> veljavn</w:t>
      </w:r>
      <w:r w:rsidR="00EA1FAC" w:rsidRPr="00223E80">
        <w:rPr>
          <w:rFonts w:eastAsia="Arial" w:cs="Arial"/>
        </w:rPr>
        <w:t>osti</w:t>
      </w:r>
      <w:r w:rsidR="006167BB" w:rsidRPr="00223E80">
        <w:rPr>
          <w:rFonts w:eastAsia="Arial" w:cs="Arial"/>
        </w:rPr>
        <w:t xml:space="preserve"> koncesij glede vodnih pravic za male hidroelektrarne in možnosti za njihovo obnovo, ter zahtevne okoliščine v zvezi s prostorskim umeščanjem tehnologij v prostor, zlasti vetrnih elektrarn, kar pa bo z določitvijo primernih območij treba nujno omogočiti (go-to areas).</w:t>
      </w:r>
    </w:p>
    <w:p w14:paraId="30D4F0B8" w14:textId="77777777" w:rsidR="00381A15" w:rsidRPr="00223E80" w:rsidRDefault="00381A15" w:rsidP="007E6ED7">
      <w:pPr>
        <w:spacing w:after="0"/>
        <w:rPr>
          <w:rFonts w:eastAsia="Arial" w:cs="Arial"/>
        </w:rPr>
      </w:pPr>
    </w:p>
    <w:p w14:paraId="74237F4F" w14:textId="77777777" w:rsidR="000167D0" w:rsidRPr="00223E80" w:rsidRDefault="00BF541E" w:rsidP="00A520AC">
      <w:pPr>
        <w:pStyle w:val="Naslov1"/>
      </w:pPr>
      <w:bookmarkStart w:id="61" w:name="_Toc112144014"/>
      <w:r w:rsidRPr="00223E80">
        <w:t>10</w:t>
      </w:r>
      <w:r w:rsidR="00584D80" w:rsidRPr="00223E80">
        <w:t xml:space="preserve"> </w:t>
      </w:r>
      <w:r w:rsidR="000167D0" w:rsidRPr="00223E80">
        <w:t>NAČIN IN ČASOVNICA PRERAZPOREDITVE SREDSTEV, ČE V PREDVIDENEM OBDOBJU ZBRANA SREDSTVA NISO PORABLJENA</w:t>
      </w:r>
      <w:bookmarkEnd w:id="61"/>
    </w:p>
    <w:p w14:paraId="10D7E9F2" w14:textId="77777777" w:rsidR="00534E61" w:rsidRPr="00223E80" w:rsidRDefault="00534E61" w:rsidP="007E6ED7">
      <w:pPr>
        <w:keepNext/>
        <w:spacing w:after="0"/>
        <w:outlineLvl w:val="1"/>
        <w:rPr>
          <w:rFonts w:eastAsia="Times New Roman"/>
          <w:b/>
          <w:iCs/>
          <w:color w:val="3A4A3E"/>
        </w:rPr>
      </w:pPr>
    </w:p>
    <w:p w14:paraId="4636A049" w14:textId="69E10F33" w:rsidR="005672DA" w:rsidRDefault="00A634CD" w:rsidP="007E6ED7">
      <w:pPr>
        <w:snapToGrid w:val="0"/>
        <w:spacing w:after="0"/>
        <w:rPr>
          <w:rFonts w:eastAsia="Arial" w:cs="Arial"/>
        </w:rPr>
      </w:pPr>
      <w:r w:rsidRPr="00223E80">
        <w:rPr>
          <w:rFonts w:eastAsia="Arial" w:cs="Arial"/>
        </w:rPr>
        <w:t>Če</w:t>
      </w:r>
      <w:r w:rsidR="007838DC" w:rsidRPr="00223E80">
        <w:rPr>
          <w:rFonts w:eastAsia="Arial" w:cs="Arial"/>
        </w:rPr>
        <w:t xml:space="preserve"> se sredstva v predvidenem časovnem okviru </w:t>
      </w:r>
      <w:r w:rsidR="00A67695" w:rsidRPr="00223E80">
        <w:rPr>
          <w:rFonts w:eastAsia="Arial" w:cs="Arial"/>
        </w:rPr>
        <w:t xml:space="preserve">posameznega leta </w:t>
      </w:r>
      <w:r w:rsidR="007838DC" w:rsidRPr="00223E80">
        <w:rPr>
          <w:rFonts w:eastAsia="Arial" w:cs="Arial"/>
        </w:rPr>
        <w:t xml:space="preserve">ne porabijo, </w:t>
      </w:r>
      <w:r w:rsidR="00BF49D9" w:rsidRPr="00223E80">
        <w:rPr>
          <w:rFonts w:eastAsia="Arial" w:cs="Arial"/>
        </w:rPr>
        <w:t>so</w:t>
      </w:r>
      <w:r w:rsidR="007838DC" w:rsidRPr="00223E80">
        <w:rPr>
          <w:rFonts w:eastAsia="Arial" w:cs="Arial"/>
        </w:rPr>
        <w:t xml:space="preserve"> bilančno po preteku leta na voljo za katerega izmed namenov, določenih v četrtem odstavku 16. člena </w:t>
      </w:r>
      <w:r w:rsidR="005672DA" w:rsidRPr="00223E80">
        <w:rPr>
          <w:rFonts w:eastAsia="Arial" w:cs="Arial"/>
        </w:rPr>
        <w:t>ZSROVE</w:t>
      </w:r>
      <w:r w:rsidR="00A67695" w:rsidRPr="00223E80">
        <w:rPr>
          <w:rFonts w:eastAsia="Arial" w:cs="Arial"/>
        </w:rPr>
        <w:t xml:space="preserve"> in so opredeljena v okviru tega dolgoročnega </w:t>
      </w:r>
      <w:r w:rsidR="006B02FC" w:rsidRPr="00223E80">
        <w:rPr>
          <w:rFonts w:eastAsia="Arial" w:cs="Arial"/>
        </w:rPr>
        <w:t xml:space="preserve">časovnega </w:t>
      </w:r>
      <w:r w:rsidR="00A67695" w:rsidRPr="00223E80">
        <w:rPr>
          <w:rFonts w:eastAsia="Arial" w:cs="Arial"/>
        </w:rPr>
        <w:t>načrta</w:t>
      </w:r>
      <w:r w:rsidR="005672DA" w:rsidRPr="00223E80">
        <w:rPr>
          <w:rFonts w:eastAsia="Arial" w:cs="Arial"/>
        </w:rPr>
        <w:t>.</w:t>
      </w:r>
      <w:r w:rsidR="005672DA">
        <w:rPr>
          <w:rFonts w:eastAsia="Arial" w:cs="Arial"/>
        </w:rPr>
        <w:t xml:space="preserve"> </w:t>
      </w:r>
    </w:p>
    <w:p w14:paraId="38AFF347" w14:textId="77777777" w:rsidR="008B33CF" w:rsidRDefault="008B33CF" w:rsidP="007E6ED7">
      <w:pPr>
        <w:snapToGrid w:val="0"/>
        <w:spacing w:after="0"/>
        <w:rPr>
          <w:rFonts w:eastAsia="Arial" w:cs="Arial"/>
        </w:rPr>
      </w:pPr>
    </w:p>
    <w:bookmarkEnd w:id="0"/>
    <w:bookmarkEnd w:id="1"/>
    <w:bookmarkEnd w:id="2"/>
    <w:bookmarkEnd w:id="3"/>
    <w:p w14:paraId="5114ADB4" w14:textId="77777777" w:rsidR="00A67695" w:rsidRPr="00A67695" w:rsidRDefault="00A67695" w:rsidP="007E6ED7">
      <w:pPr>
        <w:spacing w:after="0"/>
        <w:rPr>
          <w:rFonts w:eastAsia="Arial" w:cs="Arial"/>
        </w:rPr>
      </w:pPr>
    </w:p>
    <w:sectPr w:rsidR="00A67695" w:rsidRPr="00A67695" w:rsidSect="00E453E3">
      <w:footerReference w:type="default" r:id="rId43"/>
      <w:pgSz w:w="11906" w:h="16838"/>
      <w:pgMar w:top="1417" w:right="1558"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98C4" w14:textId="77777777" w:rsidR="009F3BFF" w:rsidRDefault="009F3BFF" w:rsidP="002D59F6">
      <w:pPr>
        <w:spacing w:after="0" w:line="240" w:lineRule="auto"/>
      </w:pPr>
      <w:r>
        <w:separator/>
      </w:r>
    </w:p>
  </w:endnote>
  <w:endnote w:type="continuationSeparator" w:id="0">
    <w:p w14:paraId="6FF2E91B" w14:textId="77777777" w:rsidR="009F3BFF" w:rsidRDefault="009F3BFF" w:rsidP="002D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735F" w14:textId="2F9E61E2" w:rsidR="00EA37C5" w:rsidRPr="005E6441" w:rsidRDefault="00EA37C5">
    <w:pPr>
      <w:pStyle w:val="Noga"/>
      <w:jc w:val="center"/>
      <w:rPr>
        <w:rFonts w:cs="Arial"/>
      </w:rPr>
    </w:pPr>
    <w:r w:rsidRPr="005E6441">
      <w:rPr>
        <w:rFonts w:cs="Arial"/>
      </w:rPr>
      <w:fldChar w:fldCharType="begin"/>
    </w:r>
    <w:r w:rsidRPr="005E6441">
      <w:rPr>
        <w:rFonts w:cs="Arial"/>
      </w:rPr>
      <w:instrText>PAGE   \* MERGEFORMAT</w:instrText>
    </w:r>
    <w:r w:rsidRPr="005E6441">
      <w:rPr>
        <w:rFonts w:cs="Arial"/>
      </w:rPr>
      <w:fldChar w:fldCharType="separate"/>
    </w:r>
    <w:r w:rsidR="004C6C09">
      <w:rPr>
        <w:rFonts w:cs="Arial"/>
        <w:noProof/>
      </w:rPr>
      <w:t>2</w:t>
    </w:r>
    <w:r w:rsidRPr="005E6441">
      <w:rPr>
        <w:rFonts w:cs="Arial"/>
      </w:rPr>
      <w:fldChar w:fldCharType="end"/>
    </w:r>
  </w:p>
  <w:p w14:paraId="4597D050" w14:textId="77777777" w:rsidR="00EA37C5" w:rsidRDefault="00EA37C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28C9" w14:textId="77777777" w:rsidR="009F3BFF" w:rsidRDefault="009F3BFF" w:rsidP="002D59F6">
      <w:pPr>
        <w:spacing w:after="0" w:line="240" w:lineRule="auto"/>
      </w:pPr>
      <w:r>
        <w:separator/>
      </w:r>
    </w:p>
  </w:footnote>
  <w:footnote w:type="continuationSeparator" w:id="0">
    <w:p w14:paraId="19F5EB47" w14:textId="77777777" w:rsidR="009F3BFF" w:rsidRDefault="009F3BFF" w:rsidP="002D59F6">
      <w:pPr>
        <w:spacing w:after="0" w:line="240" w:lineRule="auto"/>
      </w:pPr>
      <w:r>
        <w:continuationSeparator/>
      </w:r>
    </w:p>
  </w:footnote>
  <w:footnote w:id="1">
    <w:p w14:paraId="42625B27" w14:textId="77777777" w:rsidR="00EA37C5" w:rsidRPr="009B0E04" w:rsidRDefault="00EA37C5" w:rsidP="009B0E04">
      <w:pPr>
        <w:pStyle w:val="Sprotnaopomba-besedilo"/>
        <w:jc w:val="left"/>
        <w:rPr>
          <w:sz w:val="16"/>
          <w:szCs w:val="16"/>
          <w:lang w:val="sl-SI"/>
        </w:rPr>
      </w:pPr>
      <w:r w:rsidRPr="009B0E04">
        <w:rPr>
          <w:rStyle w:val="Sprotnaopomba-sklic"/>
          <w:sz w:val="16"/>
          <w:szCs w:val="16"/>
        </w:rPr>
        <w:footnoteRef/>
      </w:r>
      <w:r w:rsidRPr="009B0E04">
        <w:rPr>
          <w:sz w:val="16"/>
          <w:szCs w:val="16"/>
        </w:rPr>
        <w:t xml:space="preserve"> </w:t>
      </w:r>
      <w:r w:rsidRPr="009B0E04">
        <w:rPr>
          <w:sz w:val="16"/>
          <w:szCs w:val="16"/>
          <w:lang w:val="sl-SI"/>
        </w:rPr>
        <w:t>Vir: http://www.energetika-portal.si/fileadmin/dokumenti/publikacije/nepn/dokumenti/nepn_5.0_final_feb-2020.pdf</w:t>
      </w:r>
    </w:p>
  </w:footnote>
  <w:footnote w:id="2">
    <w:p w14:paraId="524FB8D7" w14:textId="77777777" w:rsidR="00EA37C5" w:rsidRPr="00D15AA3" w:rsidRDefault="00EA37C5" w:rsidP="009B0E04">
      <w:pPr>
        <w:pStyle w:val="Sprotnaopomba-besedilo"/>
        <w:spacing w:after="0" w:line="240" w:lineRule="auto"/>
        <w:rPr>
          <w:sz w:val="16"/>
          <w:szCs w:val="16"/>
        </w:rPr>
      </w:pPr>
      <w:r w:rsidRPr="00D15AA3">
        <w:rPr>
          <w:rStyle w:val="Sprotnaopomba-sklic"/>
          <w:sz w:val="16"/>
          <w:szCs w:val="16"/>
        </w:rPr>
        <w:footnoteRef/>
      </w:r>
      <w:r w:rsidRPr="00D15AA3">
        <w:rPr>
          <w:sz w:val="16"/>
          <w:szCs w:val="16"/>
        </w:rPr>
        <w:t xml:space="preserve"> </w:t>
      </w:r>
      <w:r w:rsidRPr="00D15AA3">
        <w:rPr>
          <w:rFonts w:cs="Arial"/>
          <w:color w:val="616161"/>
          <w:sz w:val="16"/>
          <w:szCs w:val="16"/>
          <w:shd w:val="clear" w:color="auto" w:fill="FFFFFF"/>
        </w:rPr>
        <w:t>Uredba (EU) 2018/1999 o upravljanju energetske unije in podnebnih ukrepov (</w:t>
      </w:r>
      <w:r w:rsidRPr="00D15AA3">
        <w:rPr>
          <w:rStyle w:val="Poudarek"/>
          <w:rFonts w:ascii="Segoe UI" w:hAnsi="Segoe UI" w:cs="Segoe UI"/>
          <w:color w:val="444444"/>
          <w:sz w:val="16"/>
          <w:szCs w:val="16"/>
          <w:shd w:val="clear" w:color="auto" w:fill="FFFFFF"/>
        </w:rPr>
        <w:t>UL L 328, 21.</w:t>
      </w:r>
      <w:r>
        <w:rPr>
          <w:rStyle w:val="Poudarek"/>
          <w:rFonts w:ascii="Segoe UI" w:hAnsi="Segoe UI" w:cs="Segoe UI"/>
          <w:color w:val="444444"/>
          <w:sz w:val="16"/>
          <w:szCs w:val="16"/>
          <w:shd w:val="clear" w:color="auto" w:fill="FFFFFF"/>
          <w:lang w:val="sl-SI"/>
        </w:rPr>
        <w:t xml:space="preserve"> </w:t>
      </w:r>
      <w:r w:rsidRPr="00D15AA3">
        <w:rPr>
          <w:rStyle w:val="Poudarek"/>
          <w:rFonts w:ascii="Segoe UI" w:hAnsi="Segoe UI" w:cs="Segoe UI"/>
          <w:color w:val="444444"/>
          <w:sz w:val="16"/>
          <w:szCs w:val="16"/>
          <w:shd w:val="clear" w:color="auto" w:fill="FFFFFF"/>
        </w:rPr>
        <w:t>12.</w:t>
      </w:r>
      <w:r>
        <w:rPr>
          <w:rStyle w:val="Poudarek"/>
          <w:rFonts w:ascii="Segoe UI" w:hAnsi="Segoe UI" w:cs="Segoe UI"/>
          <w:color w:val="444444"/>
          <w:sz w:val="16"/>
          <w:szCs w:val="16"/>
          <w:shd w:val="clear" w:color="auto" w:fill="FFFFFF"/>
          <w:lang w:val="sl-SI"/>
        </w:rPr>
        <w:t xml:space="preserve"> </w:t>
      </w:r>
      <w:r w:rsidRPr="00D15AA3">
        <w:rPr>
          <w:rStyle w:val="Poudarek"/>
          <w:rFonts w:ascii="Segoe UI" w:hAnsi="Segoe UI" w:cs="Segoe UI"/>
          <w:color w:val="444444"/>
          <w:sz w:val="16"/>
          <w:szCs w:val="16"/>
          <w:shd w:val="clear" w:color="auto" w:fill="FFFFFF"/>
        </w:rPr>
        <w:t>2018, str. 1–77)</w:t>
      </w:r>
    </w:p>
  </w:footnote>
  <w:footnote w:id="3">
    <w:p w14:paraId="5772E97E" w14:textId="77777777" w:rsidR="00EA37C5" w:rsidRPr="0008704E" w:rsidRDefault="00EA37C5" w:rsidP="009B0E04">
      <w:pPr>
        <w:pStyle w:val="Sprotnaopomba-besedilo"/>
        <w:spacing w:after="0" w:line="240" w:lineRule="auto"/>
        <w:rPr>
          <w:rFonts w:cs="Arial"/>
          <w:color w:val="616161"/>
          <w:sz w:val="16"/>
          <w:szCs w:val="16"/>
          <w:shd w:val="clear" w:color="auto" w:fill="FFFFFF"/>
          <w:lang w:val="sl-SI"/>
        </w:rPr>
      </w:pPr>
      <w:r w:rsidRPr="009B0E04">
        <w:rPr>
          <w:rStyle w:val="Sprotnaopomba-sklic"/>
          <w:sz w:val="16"/>
          <w:szCs w:val="16"/>
        </w:rPr>
        <w:footnoteRef/>
      </w:r>
      <w:r>
        <w:t xml:space="preserve"> </w:t>
      </w:r>
      <w:r w:rsidRPr="0008704E">
        <w:rPr>
          <w:rFonts w:cs="Arial"/>
          <w:color w:val="616161"/>
          <w:sz w:val="16"/>
          <w:szCs w:val="16"/>
          <w:shd w:val="clear" w:color="auto" w:fill="FFFFFF"/>
        </w:rPr>
        <w:t>Resolucija o dolgoročni podnebni strategiji Slovenije do leta 2050 (ReDPS50)</w:t>
      </w:r>
      <w:r>
        <w:rPr>
          <w:rFonts w:cs="Arial"/>
          <w:color w:val="616161"/>
          <w:sz w:val="16"/>
          <w:szCs w:val="16"/>
          <w:shd w:val="clear" w:color="auto" w:fill="FFFFFF"/>
          <w:lang w:val="sl-SI"/>
        </w:rPr>
        <w:t xml:space="preserve"> je bila sprejeta dne 13. 7. 2021 (</w:t>
      </w:r>
      <w:r w:rsidRPr="0008704E">
        <w:rPr>
          <w:rFonts w:cs="Arial"/>
          <w:color w:val="616161"/>
          <w:sz w:val="16"/>
          <w:szCs w:val="16"/>
          <w:shd w:val="clear" w:color="auto" w:fill="FFFFFF"/>
          <w:lang w:val="sl-SI"/>
        </w:rPr>
        <w:t>Uradni list RS, št. 119/2021</w:t>
      </w:r>
      <w:r>
        <w:rPr>
          <w:rFonts w:cs="Arial"/>
          <w:color w:val="616161"/>
          <w:sz w:val="16"/>
          <w:szCs w:val="16"/>
          <w:shd w:val="clear" w:color="auto" w:fill="FFFFFF"/>
          <w:lang w:val="sl-SI"/>
        </w:rPr>
        <w:t>)</w:t>
      </w:r>
    </w:p>
  </w:footnote>
  <w:footnote w:id="4">
    <w:p w14:paraId="6E747B5C" w14:textId="77777777" w:rsidR="00EA37C5" w:rsidRPr="009B0E04" w:rsidRDefault="00EA37C5" w:rsidP="00B30DAC">
      <w:pPr>
        <w:pStyle w:val="Sprotnaopomba-besedilo"/>
        <w:spacing w:after="0"/>
        <w:rPr>
          <w:sz w:val="16"/>
          <w:szCs w:val="16"/>
          <w:lang w:val="sl-SI"/>
        </w:rPr>
      </w:pPr>
      <w:r w:rsidRPr="009B0E04">
        <w:rPr>
          <w:rStyle w:val="Sprotnaopomba-sklic"/>
          <w:sz w:val="16"/>
          <w:szCs w:val="16"/>
        </w:rPr>
        <w:footnoteRef/>
      </w:r>
      <w:r w:rsidRPr="009B0E04">
        <w:rPr>
          <w:sz w:val="16"/>
          <w:szCs w:val="16"/>
        </w:rPr>
        <w:t xml:space="preserve"> </w:t>
      </w:r>
      <w:r w:rsidRPr="009B0E04">
        <w:rPr>
          <w:sz w:val="16"/>
          <w:szCs w:val="16"/>
          <w:lang w:val="sl-SI"/>
        </w:rPr>
        <w:t>Vir: https://www.eu-skladi.si/sl/dokumenti/kljucni-dokumenti/op_slo_web.pdf</w:t>
      </w:r>
    </w:p>
  </w:footnote>
  <w:footnote w:id="5">
    <w:p w14:paraId="05AD6A8B" w14:textId="77777777" w:rsidR="00EA37C5" w:rsidRPr="00B30DAC" w:rsidRDefault="00EA37C5" w:rsidP="00B30DAC">
      <w:pPr>
        <w:pStyle w:val="Sprotnaopomba-besedilo"/>
        <w:spacing w:after="0"/>
        <w:rPr>
          <w:sz w:val="16"/>
          <w:szCs w:val="16"/>
          <w:lang w:val="sl-SI"/>
        </w:rPr>
      </w:pPr>
      <w:r w:rsidRPr="00B30DAC">
        <w:rPr>
          <w:rStyle w:val="Sprotnaopomba-sklic"/>
          <w:sz w:val="16"/>
          <w:szCs w:val="16"/>
        </w:rPr>
        <w:footnoteRef/>
      </w:r>
      <w:r w:rsidRPr="00B30DAC">
        <w:rPr>
          <w:sz w:val="16"/>
          <w:szCs w:val="16"/>
        </w:rPr>
        <w:t xml:space="preserve"> https://evropskasredstva.si/program-ekp-2021-2027/</w:t>
      </w:r>
    </w:p>
  </w:footnote>
  <w:footnote w:id="6">
    <w:p w14:paraId="68DCFC2F" w14:textId="10CF5E9A" w:rsidR="00EA37C5" w:rsidRPr="00600923" w:rsidRDefault="00EA37C5">
      <w:pPr>
        <w:pStyle w:val="Sprotnaopomba-besedilo"/>
        <w:rPr>
          <w:sz w:val="16"/>
          <w:szCs w:val="16"/>
          <w:lang w:val="sl-SI"/>
        </w:rPr>
      </w:pPr>
      <w:r w:rsidRPr="00600923">
        <w:rPr>
          <w:rStyle w:val="Sprotnaopomba-sklic"/>
          <w:sz w:val="16"/>
          <w:szCs w:val="16"/>
        </w:rPr>
        <w:footnoteRef/>
      </w:r>
      <w:r>
        <w:t xml:space="preserve"> </w:t>
      </w:r>
      <w:r w:rsidRPr="00600923">
        <w:rPr>
          <w:sz w:val="16"/>
          <w:szCs w:val="16"/>
          <w:lang w:val="sl-SI"/>
        </w:rPr>
        <w:t>Uradni list EU z dne 18. februarja 2022, št. objave C 80, str. 1</w:t>
      </w:r>
      <w:r>
        <w:rPr>
          <w:sz w:val="16"/>
          <w:szCs w:val="16"/>
          <w:lang w:val="sl-SI"/>
        </w:rPr>
        <w:t>–</w:t>
      </w:r>
      <w:r w:rsidRPr="00600923">
        <w:rPr>
          <w:sz w:val="16"/>
          <w:szCs w:val="16"/>
          <w:lang w:val="sl-SI"/>
        </w:rPr>
        <w:t>89</w:t>
      </w:r>
    </w:p>
  </w:footnote>
  <w:footnote w:id="7">
    <w:p w14:paraId="00C37EEE" w14:textId="1826DCD9" w:rsidR="00EA37C5" w:rsidRPr="0040175C" w:rsidRDefault="00EA37C5" w:rsidP="00787B9A">
      <w:pPr>
        <w:spacing w:after="0" w:line="240" w:lineRule="auto"/>
        <w:rPr>
          <w:rFonts w:ascii="Calibri" w:eastAsia="Arial" w:hAnsi="Calibri" w:cs="Calibri"/>
          <w:sz w:val="16"/>
          <w:szCs w:val="16"/>
        </w:rPr>
      </w:pPr>
      <w:r w:rsidRPr="0040175C">
        <w:rPr>
          <w:rStyle w:val="Sprotnaopomba-sklic"/>
          <w:rFonts w:ascii="Calibri" w:hAnsi="Calibri" w:cs="Calibri"/>
        </w:rPr>
        <w:footnoteRef/>
      </w:r>
      <w:r w:rsidRPr="0040175C">
        <w:rPr>
          <w:rFonts w:ascii="Calibri" w:hAnsi="Calibri" w:cs="Calibri"/>
        </w:rPr>
        <w:t xml:space="preserve"> </w:t>
      </w:r>
      <w:r w:rsidRPr="0040175C">
        <w:rPr>
          <w:rFonts w:ascii="Calibri" w:eastAsia="Arial" w:hAnsi="Calibri" w:cs="Calibri"/>
          <w:sz w:val="16"/>
          <w:szCs w:val="16"/>
        </w:rPr>
        <w:t>V skladu z določili Direktive 2018/2001 je Republika Slovenija bila kot članica zavezana k temu, da zaradi zaostanka pri izpolnjevanju nacionalnih ciljev glede deleža iz obnovljivih virov zagotovi dodatn</w:t>
      </w:r>
      <w:r>
        <w:rPr>
          <w:rFonts w:ascii="Calibri" w:eastAsia="Arial" w:hAnsi="Calibri" w:cs="Calibri"/>
          <w:sz w:val="16"/>
          <w:szCs w:val="16"/>
        </w:rPr>
        <w:t>e</w:t>
      </w:r>
      <w:r w:rsidRPr="0040175C">
        <w:rPr>
          <w:rFonts w:ascii="Calibri" w:eastAsia="Arial" w:hAnsi="Calibri" w:cs="Calibri"/>
          <w:sz w:val="16"/>
          <w:szCs w:val="16"/>
        </w:rPr>
        <w:t xml:space="preserve"> ukrep</w:t>
      </w:r>
      <w:r>
        <w:rPr>
          <w:rFonts w:ascii="Calibri" w:eastAsia="Arial" w:hAnsi="Calibri" w:cs="Calibri"/>
          <w:sz w:val="16"/>
          <w:szCs w:val="16"/>
        </w:rPr>
        <w:t>e</w:t>
      </w:r>
      <w:r w:rsidRPr="0040175C">
        <w:rPr>
          <w:rFonts w:ascii="Calibri" w:eastAsia="Arial" w:hAnsi="Calibri" w:cs="Calibri"/>
          <w:sz w:val="16"/>
          <w:szCs w:val="16"/>
        </w:rPr>
        <w:t>, da zapolni prisotno vrzel. Namreč, Republika Slovenija bi morala v letu 2020 doseči 25 % delež obnovljive energije v bruto končni rabi energije, ki pa je po uradnih podatkih znašal 24,16 %, zato zavezujoč cilj (25 %) za leto 2020 ni bil dosežen. Manjkajoči delež je bil dokupljen s pomočjo mehanizma v obliki statističnega prenos</w:t>
      </w:r>
      <w:r>
        <w:rPr>
          <w:rFonts w:ascii="Calibri" w:eastAsia="Arial" w:hAnsi="Calibri" w:cs="Calibri"/>
          <w:sz w:val="16"/>
          <w:szCs w:val="16"/>
        </w:rPr>
        <w:t>a</w:t>
      </w:r>
      <w:r w:rsidRPr="0040175C">
        <w:rPr>
          <w:rFonts w:ascii="Calibri" w:eastAsia="Arial" w:hAnsi="Calibri" w:cs="Calibri"/>
          <w:sz w:val="16"/>
          <w:szCs w:val="16"/>
        </w:rPr>
        <w:t xml:space="preserve"> določene količine energije iz obnovljivih virov iz ene države članice v drugo prek sporazuma s Češko republiko. </w:t>
      </w:r>
    </w:p>
    <w:p w14:paraId="66E91A7E" w14:textId="77777777" w:rsidR="00EA37C5" w:rsidRDefault="00EA37C5" w:rsidP="00787B9A">
      <w:pPr>
        <w:pStyle w:val="Sprotnaopomba-besedilo"/>
        <w:spacing w:line="240" w:lineRule="auto"/>
      </w:pPr>
    </w:p>
  </w:footnote>
  <w:footnote w:id="8">
    <w:p w14:paraId="17AA5029" w14:textId="77777777" w:rsidR="00EA37C5" w:rsidRDefault="00EA37C5" w:rsidP="00BB4E67">
      <w:pPr>
        <w:pStyle w:val="Sprotnaopomba-besedilo"/>
      </w:pPr>
      <w:r w:rsidRPr="00A170B6">
        <w:rPr>
          <w:rFonts w:ascii="Arial" w:eastAsia="Arial" w:hAnsi="Arial" w:cs="Arial"/>
          <w:sz w:val="16"/>
          <w:szCs w:val="16"/>
          <w:lang w:val="sl-SI"/>
        </w:rPr>
        <w:footnoteRef/>
      </w:r>
      <w:r w:rsidRPr="00A170B6">
        <w:rPr>
          <w:rFonts w:ascii="Arial" w:eastAsia="Arial" w:hAnsi="Arial" w:cs="Arial"/>
          <w:sz w:val="16"/>
          <w:szCs w:val="16"/>
          <w:lang w:val="sl-SI"/>
        </w:rPr>
        <w:t xml:space="preserve"> Izvedbena uredba Komisije (EU) 2020/1294 2020/1294 z dne 15. septembra 2020 o mehanizmu Unije za financiranje energije iz obnovljivih virov (UL L št. 303 z dne 17. 9. 2020, str. 1; v nadaljnjem besedilu: Izvedbena Uredba 2020/1294/EU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9FD"/>
    <w:multiLevelType w:val="hybridMultilevel"/>
    <w:tmpl w:val="FDCAE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B121F5"/>
    <w:multiLevelType w:val="hybridMultilevel"/>
    <w:tmpl w:val="D43A5C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74517C8"/>
    <w:multiLevelType w:val="hybridMultilevel"/>
    <w:tmpl w:val="EF5677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A12178"/>
    <w:multiLevelType w:val="hybridMultilevel"/>
    <w:tmpl w:val="FAD438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B35177"/>
    <w:multiLevelType w:val="multilevel"/>
    <w:tmpl w:val="037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D3FC6"/>
    <w:multiLevelType w:val="hybridMultilevel"/>
    <w:tmpl w:val="952EA206"/>
    <w:lvl w:ilvl="0" w:tplc="9FE6AFEE">
      <w:numFmt w:val="bullet"/>
      <w:lvlText w:val="-"/>
      <w:lvlJc w:val="left"/>
      <w:pPr>
        <w:ind w:left="720" w:hanging="360"/>
      </w:pPr>
      <w:rPr>
        <w:rFonts w:ascii="Calibri" w:eastAsia="Calibri" w:hAnsi="Calibri"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5849"/>
    <w:multiLevelType w:val="hybridMultilevel"/>
    <w:tmpl w:val="2F564214"/>
    <w:lvl w:ilvl="0" w:tplc="15D290D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633331"/>
    <w:multiLevelType w:val="hybridMultilevel"/>
    <w:tmpl w:val="8CECC490"/>
    <w:lvl w:ilvl="0" w:tplc="1B98E7E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074F3E"/>
    <w:multiLevelType w:val="hybridMultilevel"/>
    <w:tmpl w:val="F8C2EC32"/>
    <w:lvl w:ilvl="0" w:tplc="F448245A">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723745"/>
    <w:multiLevelType w:val="hybridMultilevel"/>
    <w:tmpl w:val="375ADE44"/>
    <w:lvl w:ilvl="0" w:tplc="91226B0A">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EE4D99"/>
    <w:multiLevelType w:val="hybridMultilevel"/>
    <w:tmpl w:val="5E124A46"/>
    <w:lvl w:ilvl="0" w:tplc="C4242C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EB3F1A"/>
    <w:multiLevelType w:val="hybridMultilevel"/>
    <w:tmpl w:val="1C3A24A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7897C80"/>
    <w:multiLevelType w:val="hybridMultilevel"/>
    <w:tmpl w:val="4BF8E320"/>
    <w:lvl w:ilvl="0" w:tplc="9FE6AFEE">
      <w:numFmt w:val="bullet"/>
      <w:lvlText w:val="-"/>
      <w:lvlJc w:val="left"/>
      <w:pPr>
        <w:ind w:left="720" w:hanging="360"/>
      </w:pPr>
      <w:rPr>
        <w:rFonts w:ascii="Calibri" w:eastAsia="Calibri" w:hAnsi="Calibri"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011C0"/>
    <w:multiLevelType w:val="hybridMultilevel"/>
    <w:tmpl w:val="42FE77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6533ED"/>
    <w:multiLevelType w:val="hybridMultilevel"/>
    <w:tmpl w:val="A226368E"/>
    <w:lvl w:ilvl="0" w:tplc="18CCA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B84817"/>
    <w:multiLevelType w:val="hybridMultilevel"/>
    <w:tmpl w:val="8ADA76A2"/>
    <w:lvl w:ilvl="0" w:tplc="91226B0A">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4A450C"/>
    <w:multiLevelType w:val="hybridMultilevel"/>
    <w:tmpl w:val="B06A7A38"/>
    <w:lvl w:ilvl="0" w:tplc="CD605678">
      <w:start w:val="4"/>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0914C16"/>
    <w:multiLevelType w:val="hybridMultilevel"/>
    <w:tmpl w:val="3E243FF2"/>
    <w:lvl w:ilvl="0" w:tplc="04240001">
      <w:start w:val="1"/>
      <w:numFmt w:val="bullet"/>
      <w:lvlText w:val=""/>
      <w:lvlJc w:val="left"/>
      <w:pPr>
        <w:ind w:left="1068" w:hanging="360"/>
      </w:pPr>
      <w:rPr>
        <w:rFonts w:ascii="Symbol" w:hAnsi="Symbol" w:hint="default"/>
      </w:rPr>
    </w:lvl>
    <w:lvl w:ilvl="1" w:tplc="33744702">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8F22FBC"/>
    <w:multiLevelType w:val="hybridMultilevel"/>
    <w:tmpl w:val="FDDED1D6"/>
    <w:lvl w:ilvl="0" w:tplc="952E7ED2">
      <w:start w:val="1"/>
      <w:numFmt w:val="lowerLetter"/>
      <w:lvlText w:val="%1.)"/>
      <w:lvlJc w:val="left"/>
      <w:pPr>
        <w:ind w:left="720" w:hanging="360"/>
      </w:pPr>
      <w:rPr>
        <w:rFonts w:hint="default"/>
      </w:rPr>
    </w:lvl>
    <w:lvl w:ilvl="1" w:tplc="963C0BD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DA40BF"/>
    <w:multiLevelType w:val="hybridMultilevel"/>
    <w:tmpl w:val="4D3208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F360151"/>
    <w:multiLevelType w:val="hybridMultilevel"/>
    <w:tmpl w:val="6CC8C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675028"/>
    <w:multiLevelType w:val="multilevel"/>
    <w:tmpl w:val="A7ACFE6E"/>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C43D63"/>
    <w:multiLevelType w:val="hybridMultilevel"/>
    <w:tmpl w:val="79648A56"/>
    <w:lvl w:ilvl="0" w:tplc="04240001">
      <w:start w:val="1"/>
      <w:numFmt w:val="bullet"/>
      <w:lvlText w:val=""/>
      <w:lvlJc w:val="left"/>
      <w:pPr>
        <w:ind w:left="1068" w:hanging="360"/>
      </w:pPr>
      <w:rPr>
        <w:rFonts w:ascii="Symbol" w:hAnsi="Symbol" w:hint="default"/>
      </w:rPr>
    </w:lvl>
    <w:lvl w:ilvl="1" w:tplc="33744702">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532C0D62"/>
    <w:multiLevelType w:val="hybridMultilevel"/>
    <w:tmpl w:val="5E041A60"/>
    <w:lvl w:ilvl="0" w:tplc="0424000F">
      <w:start w:val="1"/>
      <w:numFmt w:val="decimal"/>
      <w:lvlText w:val="%1."/>
      <w:lvlJc w:val="left"/>
      <w:pPr>
        <w:ind w:left="360" w:hanging="360"/>
      </w:pPr>
    </w:lvl>
    <w:lvl w:ilvl="1" w:tplc="04240019">
      <w:start w:val="1"/>
      <w:numFmt w:val="lowerLetter"/>
      <w:lvlText w:val="%2."/>
      <w:lvlJc w:val="left"/>
      <w:pPr>
        <w:ind w:left="1157" w:hanging="360"/>
      </w:pPr>
    </w:lvl>
    <w:lvl w:ilvl="2" w:tplc="0424001B" w:tentative="1">
      <w:start w:val="1"/>
      <w:numFmt w:val="lowerRoman"/>
      <w:lvlText w:val="%3."/>
      <w:lvlJc w:val="right"/>
      <w:pPr>
        <w:ind w:left="1877" w:hanging="180"/>
      </w:pPr>
    </w:lvl>
    <w:lvl w:ilvl="3" w:tplc="0424000F" w:tentative="1">
      <w:start w:val="1"/>
      <w:numFmt w:val="decimal"/>
      <w:lvlText w:val="%4."/>
      <w:lvlJc w:val="left"/>
      <w:pPr>
        <w:ind w:left="2597" w:hanging="360"/>
      </w:pPr>
    </w:lvl>
    <w:lvl w:ilvl="4" w:tplc="04240019" w:tentative="1">
      <w:start w:val="1"/>
      <w:numFmt w:val="lowerLetter"/>
      <w:lvlText w:val="%5."/>
      <w:lvlJc w:val="left"/>
      <w:pPr>
        <w:ind w:left="3317" w:hanging="360"/>
      </w:pPr>
    </w:lvl>
    <w:lvl w:ilvl="5" w:tplc="0424001B" w:tentative="1">
      <w:start w:val="1"/>
      <w:numFmt w:val="lowerRoman"/>
      <w:lvlText w:val="%6."/>
      <w:lvlJc w:val="right"/>
      <w:pPr>
        <w:ind w:left="4037" w:hanging="180"/>
      </w:pPr>
    </w:lvl>
    <w:lvl w:ilvl="6" w:tplc="0424000F" w:tentative="1">
      <w:start w:val="1"/>
      <w:numFmt w:val="decimal"/>
      <w:lvlText w:val="%7."/>
      <w:lvlJc w:val="left"/>
      <w:pPr>
        <w:ind w:left="4757" w:hanging="360"/>
      </w:pPr>
    </w:lvl>
    <w:lvl w:ilvl="7" w:tplc="04240019" w:tentative="1">
      <w:start w:val="1"/>
      <w:numFmt w:val="lowerLetter"/>
      <w:lvlText w:val="%8."/>
      <w:lvlJc w:val="left"/>
      <w:pPr>
        <w:ind w:left="5477" w:hanging="360"/>
      </w:pPr>
    </w:lvl>
    <w:lvl w:ilvl="8" w:tplc="0424001B" w:tentative="1">
      <w:start w:val="1"/>
      <w:numFmt w:val="lowerRoman"/>
      <w:lvlText w:val="%9."/>
      <w:lvlJc w:val="right"/>
      <w:pPr>
        <w:ind w:left="6197" w:hanging="180"/>
      </w:pPr>
    </w:lvl>
  </w:abstractNum>
  <w:abstractNum w:abstractNumId="25" w15:restartNumberingAfterBreak="0">
    <w:nsid w:val="534A0D33"/>
    <w:multiLevelType w:val="hybridMultilevel"/>
    <w:tmpl w:val="0AF4A93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54644803"/>
    <w:multiLevelType w:val="hybridMultilevel"/>
    <w:tmpl w:val="8C9804F8"/>
    <w:lvl w:ilvl="0" w:tplc="F918C6EA">
      <w:start w:val="180"/>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CC30E2"/>
    <w:multiLevelType w:val="hybridMultilevel"/>
    <w:tmpl w:val="2AB4A942"/>
    <w:lvl w:ilvl="0" w:tplc="2A9033A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CF1DF3"/>
    <w:multiLevelType w:val="hybridMultilevel"/>
    <w:tmpl w:val="6FD260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D30FF7"/>
    <w:multiLevelType w:val="hybridMultilevel"/>
    <w:tmpl w:val="69985DA0"/>
    <w:lvl w:ilvl="0" w:tplc="33744702">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0" w15:restartNumberingAfterBreak="0">
    <w:nsid w:val="7CF810AF"/>
    <w:multiLevelType w:val="hybridMultilevel"/>
    <w:tmpl w:val="77A0B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0852D0"/>
    <w:multiLevelType w:val="hybridMultilevel"/>
    <w:tmpl w:val="694CEE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5011B3"/>
    <w:multiLevelType w:val="hybridMultilevel"/>
    <w:tmpl w:val="C03AF77C"/>
    <w:lvl w:ilvl="0" w:tplc="33744702">
      <w:start w:val="1"/>
      <w:numFmt w:val="bullet"/>
      <w:lvlText w:val=""/>
      <w:lvlJc w:val="left"/>
      <w:pPr>
        <w:ind w:left="720" w:hanging="360"/>
      </w:pPr>
      <w:rPr>
        <w:rFonts w:ascii="Symbol" w:hAnsi="Symbol" w:hint="default"/>
      </w:rPr>
    </w:lvl>
    <w:lvl w:ilvl="1" w:tplc="33744702">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4"/>
  </w:num>
  <w:num w:numId="4">
    <w:abstractNumId w:val="18"/>
  </w:num>
  <w:num w:numId="5">
    <w:abstractNumId w:val="10"/>
  </w:num>
  <w:num w:numId="6">
    <w:abstractNumId w:val="7"/>
  </w:num>
  <w:num w:numId="7">
    <w:abstractNumId w:val="26"/>
  </w:num>
  <w:num w:numId="8">
    <w:abstractNumId w:val="16"/>
  </w:num>
  <w:num w:numId="9">
    <w:abstractNumId w:val="0"/>
  </w:num>
  <w:num w:numId="10">
    <w:abstractNumId w:val="13"/>
  </w:num>
  <w:num w:numId="11">
    <w:abstractNumId w:val="32"/>
  </w:num>
  <w:num w:numId="12">
    <w:abstractNumId w:val="29"/>
  </w:num>
  <w:num w:numId="13">
    <w:abstractNumId w:val="19"/>
  </w:num>
  <w:num w:numId="14">
    <w:abstractNumId w:val="23"/>
  </w:num>
  <w:num w:numId="15">
    <w:abstractNumId w:val="17"/>
  </w:num>
  <w:num w:numId="16">
    <w:abstractNumId w:val="2"/>
  </w:num>
  <w:num w:numId="17">
    <w:abstractNumId w:val="1"/>
  </w:num>
  <w:num w:numId="18">
    <w:abstractNumId w:val="21"/>
  </w:num>
  <w:num w:numId="19">
    <w:abstractNumId w:val="28"/>
  </w:num>
  <w:num w:numId="20">
    <w:abstractNumId w:val="22"/>
  </w:num>
  <w:num w:numId="21">
    <w:abstractNumId w:val="8"/>
  </w:num>
  <w:num w:numId="22">
    <w:abstractNumId w:val="27"/>
  </w:num>
  <w:num w:numId="23">
    <w:abstractNumId w:val="30"/>
  </w:num>
  <w:num w:numId="24">
    <w:abstractNumId w:val="11"/>
  </w:num>
  <w:num w:numId="25">
    <w:abstractNumId w:val="20"/>
  </w:num>
  <w:num w:numId="26">
    <w:abstractNumId w:val="3"/>
  </w:num>
  <w:num w:numId="27">
    <w:abstractNumId w:val="31"/>
  </w:num>
  <w:num w:numId="28">
    <w:abstractNumId w:val="25"/>
  </w:num>
  <w:num w:numId="29">
    <w:abstractNumId w:val="5"/>
  </w:num>
  <w:num w:numId="30">
    <w:abstractNumId w:val="12"/>
  </w:num>
  <w:num w:numId="31">
    <w:abstractNumId w:val="4"/>
  </w:num>
  <w:num w:numId="32">
    <w:abstractNumId w:val="9"/>
  </w:num>
  <w:num w:numId="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B"/>
    <w:rsid w:val="000037AA"/>
    <w:rsid w:val="000041E3"/>
    <w:rsid w:val="000052C8"/>
    <w:rsid w:val="0000690A"/>
    <w:rsid w:val="00006A3B"/>
    <w:rsid w:val="00006BC1"/>
    <w:rsid w:val="00006FD4"/>
    <w:rsid w:val="00012E2E"/>
    <w:rsid w:val="0001322C"/>
    <w:rsid w:val="00013698"/>
    <w:rsid w:val="0001424D"/>
    <w:rsid w:val="000162E2"/>
    <w:rsid w:val="000167D0"/>
    <w:rsid w:val="00017624"/>
    <w:rsid w:val="0001799F"/>
    <w:rsid w:val="0002264B"/>
    <w:rsid w:val="0002336F"/>
    <w:rsid w:val="00025974"/>
    <w:rsid w:val="00026B98"/>
    <w:rsid w:val="00026F3A"/>
    <w:rsid w:val="00027FC3"/>
    <w:rsid w:val="0003063B"/>
    <w:rsid w:val="00032632"/>
    <w:rsid w:val="00033F8B"/>
    <w:rsid w:val="00034B5A"/>
    <w:rsid w:val="00041155"/>
    <w:rsid w:val="00043C36"/>
    <w:rsid w:val="00044E83"/>
    <w:rsid w:val="00046DF8"/>
    <w:rsid w:val="00047043"/>
    <w:rsid w:val="00047A02"/>
    <w:rsid w:val="000501E3"/>
    <w:rsid w:val="00051269"/>
    <w:rsid w:val="0005346E"/>
    <w:rsid w:val="00053538"/>
    <w:rsid w:val="0005487B"/>
    <w:rsid w:val="00054F0E"/>
    <w:rsid w:val="000626F8"/>
    <w:rsid w:val="000638D3"/>
    <w:rsid w:val="00067F3C"/>
    <w:rsid w:val="00070A17"/>
    <w:rsid w:val="000711B7"/>
    <w:rsid w:val="00073309"/>
    <w:rsid w:val="00073BAD"/>
    <w:rsid w:val="00074561"/>
    <w:rsid w:val="00074871"/>
    <w:rsid w:val="00076F8A"/>
    <w:rsid w:val="00077ECC"/>
    <w:rsid w:val="00083F1D"/>
    <w:rsid w:val="00084A64"/>
    <w:rsid w:val="000853F3"/>
    <w:rsid w:val="0008704E"/>
    <w:rsid w:val="00092759"/>
    <w:rsid w:val="00093C68"/>
    <w:rsid w:val="00094681"/>
    <w:rsid w:val="00094A95"/>
    <w:rsid w:val="000969DE"/>
    <w:rsid w:val="00097BB7"/>
    <w:rsid w:val="00097DCD"/>
    <w:rsid w:val="000A4CE8"/>
    <w:rsid w:val="000A4F15"/>
    <w:rsid w:val="000A523A"/>
    <w:rsid w:val="000A73E1"/>
    <w:rsid w:val="000A7AEB"/>
    <w:rsid w:val="000B23A4"/>
    <w:rsid w:val="000B2984"/>
    <w:rsid w:val="000B507E"/>
    <w:rsid w:val="000C0C5A"/>
    <w:rsid w:val="000C1248"/>
    <w:rsid w:val="000C30BE"/>
    <w:rsid w:val="000C43C1"/>
    <w:rsid w:val="000C48D0"/>
    <w:rsid w:val="000C5817"/>
    <w:rsid w:val="000C747A"/>
    <w:rsid w:val="000C7C74"/>
    <w:rsid w:val="000C7FEE"/>
    <w:rsid w:val="000D0A9C"/>
    <w:rsid w:val="000D332B"/>
    <w:rsid w:val="000D5FCF"/>
    <w:rsid w:val="000D6EF3"/>
    <w:rsid w:val="000D73D0"/>
    <w:rsid w:val="000E0189"/>
    <w:rsid w:val="000E0CC3"/>
    <w:rsid w:val="000E21A3"/>
    <w:rsid w:val="000E3500"/>
    <w:rsid w:val="000E64D1"/>
    <w:rsid w:val="000E75F9"/>
    <w:rsid w:val="000F0AF2"/>
    <w:rsid w:val="000F1E88"/>
    <w:rsid w:val="000F27B6"/>
    <w:rsid w:val="000F28C6"/>
    <w:rsid w:val="000F3B3A"/>
    <w:rsid w:val="000F4694"/>
    <w:rsid w:val="000F545B"/>
    <w:rsid w:val="000F6DC0"/>
    <w:rsid w:val="000F72AD"/>
    <w:rsid w:val="000F7AC9"/>
    <w:rsid w:val="00100FCB"/>
    <w:rsid w:val="00103F45"/>
    <w:rsid w:val="0010523A"/>
    <w:rsid w:val="00111C75"/>
    <w:rsid w:val="00120B8E"/>
    <w:rsid w:val="00121BF9"/>
    <w:rsid w:val="00123EDA"/>
    <w:rsid w:val="001263DB"/>
    <w:rsid w:val="00126C33"/>
    <w:rsid w:val="00126E71"/>
    <w:rsid w:val="00131FF5"/>
    <w:rsid w:val="00133B43"/>
    <w:rsid w:val="00133EDE"/>
    <w:rsid w:val="0013559C"/>
    <w:rsid w:val="00135AB2"/>
    <w:rsid w:val="00136585"/>
    <w:rsid w:val="00136D6C"/>
    <w:rsid w:val="0014066A"/>
    <w:rsid w:val="001417C4"/>
    <w:rsid w:val="00142853"/>
    <w:rsid w:val="00143FB2"/>
    <w:rsid w:val="00144117"/>
    <w:rsid w:val="00144416"/>
    <w:rsid w:val="001472AC"/>
    <w:rsid w:val="00151CFE"/>
    <w:rsid w:val="00153AA5"/>
    <w:rsid w:val="001547EE"/>
    <w:rsid w:val="00154DE3"/>
    <w:rsid w:val="00156F14"/>
    <w:rsid w:val="00157D45"/>
    <w:rsid w:val="00160B79"/>
    <w:rsid w:val="0016660F"/>
    <w:rsid w:val="001668AF"/>
    <w:rsid w:val="00166F7D"/>
    <w:rsid w:val="00172C74"/>
    <w:rsid w:val="00181828"/>
    <w:rsid w:val="001822DC"/>
    <w:rsid w:val="00184BE6"/>
    <w:rsid w:val="001858EF"/>
    <w:rsid w:val="00185FBE"/>
    <w:rsid w:val="00187811"/>
    <w:rsid w:val="00191317"/>
    <w:rsid w:val="00191906"/>
    <w:rsid w:val="00191DFA"/>
    <w:rsid w:val="001958B2"/>
    <w:rsid w:val="001962FD"/>
    <w:rsid w:val="00196EA8"/>
    <w:rsid w:val="001A2DED"/>
    <w:rsid w:val="001A38F4"/>
    <w:rsid w:val="001A7175"/>
    <w:rsid w:val="001A7E74"/>
    <w:rsid w:val="001A7F13"/>
    <w:rsid w:val="001B27C3"/>
    <w:rsid w:val="001B2D40"/>
    <w:rsid w:val="001B4E70"/>
    <w:rsid w:val="001B5C28"/>
    <w:rsid w:val="001B7A4B"/>
    <w:rsid w:val="001C09AC"/>
    <w:rsid w:val="001C1DE2"/>
    <w:rsid w:val="001C2C3C"/>
    <w:rsid w:val="001C2D43"/>
    <w:rsid w:val="001C2FA6"/>
    <w:rsid w:val="001C3122"/>
    <w:rsid w:val="001C6802"/>
    <w:rsid w:val="001D2F8B"/>
    <w:rsid w:val="001D3B69"/>
    <w:rsid w:val="001D3D0C"/>
    <w:rsid w:val="001E474E"/>
    <w:rsid w:val="001E483C"/>
    <w:rsid w:val="001E66AC"/>
    <w:rsid w:val="001E6FF4"/>
    <w:rsid w:val="001F0B9E"/>
    <w:rsid w:val="001F1AF5"/>
    <w:rsid w:val="001F2064"/>
    <w:rsid w:val="001F28E4"/>
    <w:rsid w:val="001F2B0D"/>
    <w:rsid w:val="001F4BB2"/>
    <w:rsid w:val="002000F4"/>
    <w:rsid w:val="002007EA"/>
    <w:rsid w:val="00202998"/>
    <w:rsid w:val="00204326"/>
    <w:rsid w:val="002057F6"/>
    <w:rsid w:val="00206603"/>
    <w:rsid w:val="002068E8"/>
    <w:rsid w:val="00207259"/>
    <w:rsid w:val="00207EB4"/>
    <w:rsid w:val="00216F8B"/>
    <w:rsid w:val="00223E80"/>
    <w:rsid w:val="00226A6F"/>
    <w:rsid w:val="00226C6C"/>
    <w:rsid w:val="00227021"/>
    <w:rsid w:val="00227172"/>
    <w:rsid w:val="0023003D"/>
    <w:rsid w:val="00230FE2"/>
    <w:rsid w:val="002310B6"/>
    <w:rsid w:val="00231F5D"/>
    <w:rsid w:val="0023228B"/>
    <w:rsid w:val="002326B3"/>
    <w:rsid w:val="002343A6"/>
    <w:rsid w:val="00236263"/>
    <w:rsid w:val="0023639B"/>
    <w:rsid w:val="00237A2A"/>
    <w:rsid w:val="00237CF0"/>
    <w:rsid w:val="00244331"/>
    <w:rsid w:val="002448F1"/>
    <w:rsid w:val="002458C5"/>
    <w:rsid w:val="0024707A"/>
    <w:rsid w:val="00247897"/>
    <w:rsid w:val="00252B9F"/>
    <w:rsid w:val="00252F10"/>
    <w:rsid w:val="00253B93"/>
    <w:rsid w:val="002578DD"/>
    <w:rsid w:val="00257DEF"/>
    <w:rsid w:val="00262CA5"/>
    <w:rsid w:val="0026385D"/>
    <w:rsid w:val="002725A0"/>
    <w:rsid w:val="00275873"/>
    <w:rsid w:val="00275EE8"/>
    <w:rsid w:val="002802B3"/>
    <w:rsid w:val="0028070B"/>
    <w:rsid w:val="0028074C"/>
    <w:rsid w:val="00281379"/>
    <w:rsid w:val="0028186A"/>
    <w:rsid w:val="00281A21"/>
    <w:rsid w:val="0028268D"/>
    <w:rsid w:val="00285044"/>
    <w:rsid w:val="00286ED3"/>
    <w:rsid w:val="002876CB"/>
    <w:rsid w:val="002879C6"/>
    <w:rsid w:val="00290530"/>
    <w:rsid w:val="00290661"/>
    <w:rsid w:val="00290B68"/>
    <w:rsid w:val="00290F41"/>
    <w:rsid w:val="0029108B"/>
    <w:rsid w:val="00292009"/>
    <w:rsid w:val="002926AB"/>
    <w:rsid w:val="0029290E"/>
    <w:rsid w:val="00293B40"/>
    <w:rsid w:val="002944B4"/>
    <w:rsid w:val="0029545E"/>
    <w:rsid w:val="002A292F"/>
    <w:rsid w:val="002A49A8"/>
    <w:rsid w:val="002A67F3"/>
    <w:rsid w:val="002B000F"/>
    <w:rsid w:val="002B18D7"/>
    <w:rsid w:val="002B20CE"/>
    <w:rsid w:val="002B2CB5"/>
    <w:rsid w:val="002B3C93"/>
    <w:rsid w:val="002B4DA0"/>
    <w:rsid w:val="002B5A57"/>
    <w:rsid w:val="002B6A54"/>
    <w:rsid w:val="002B7F3C"/>
    <w:rsid w:val="002C1650"/>
    <w:rsid w:val="002C1722"/>
    <w:rsid w:val="002C423B"/>
    <w:rsid w:val="002C51BE"/>
    <w:rsid w:val="002C547B"/>
    <w:rsid w:val="002D08D5"/>
    <w:rsid w:val="002D1A09"/>
    <w:rsid w:val="002D30D7"/>
    <w:rsid w:val="002D59F6"/>
    <w:rsid w:val="002D6CF7"/>
    <w:rsid w:val="002E0157"/>
    <w:rsid w:val="002E037C"/>
    <w:rsid w:val="002E2D23"/>
    <w:rsid w:val="002E36B7"/>
    <w:rsid w:val="002E4B30"/>
    <w:rsid w:val="002E79FF"/>
    <w:rsid w:val="002E7CFF"/>
    <w:rsid w:val="002F078B"/>
    <w:rsid w:val="002F1CC3"/>
    <w:rsid w:val="0030100E"/>
    <w:rsid w:val="00301C41"/>
    <w:rsid w:val="00304043"/>
    <w:rsid w:val="00304438"/>
    <w:rsid w:val="003066C1"/>
    <w:rsid w:val="00306AE1"/>
    <w:rsid w:val="0031028C"/>
    <w:rsid w:val="003134AA"/>
    <w:rsid w:val="00315217"/>
    <w:rsid w:val="003158E7"/>
    <w:rsid w:val="00317E8A"/>
    <w:rsid w:val="00317FB1"/>
    <w:rsid w:val="00320537"/>
    <w:rsid w:val="00322649"/>
    <w:rsid w:val="00325237"/>
    <w:rsid w:val="00325D81"/>
    <w:rsid w:val="00327BDD"/>
    <w:rsid w:val="00330876"/>
    <w:rsid w:val="00330DA4"/>
    <w:rsid w:val="003310CC"/>
    <w:rsid w:val="0033299E"/>
    <w:rsid w:val="003342E4"/>
    <w:rsid w:val="00334687"/>
    <w:rsid w:val="00335902"/>
    <w:rsid w:val="003360BD"/>
    <w:rsid w:val="003400BE"/>
    <w:rsid w:val="003411DE"/>
    <w:rsid w:val="00341959"/>
    <w:rsid w:val="00341C5E"/>
    <w:rsid w:val="00342772"/>
    <w:rsid w:val="00342AB5"/>
    <w:rsid w:val="00342B6C"/>
    <w:rsid w:val="0034322D"/>
    <w:rsid w:val="00346337"/>
    <w:rsid w:val="0035000D"/>
    <w:rsid w:val="00351A1D"/>
    <w:rsid w:val="00354733"/>
    <w:rsid w:val="003553E7"/>
    <w:rsid w:val="003576C5"/>
    <w:rsid w:val="00357DCD"/>
    <w:rsid w:val="00362DA6"/>
    <w:rsid w:val="00364417"/>
    <w:rsid w:val="00364FDA"/>
    <w:rsid w:val="003662B1"/>
    <w:rsid w:val="0037028D"/>
    <w:rsid w:val="00372EE0"/>
    <w:rsid w:val="00375440"/>
    <w:rsid w:val="003757E5"/>
    <w:rsid w:val="00375D49"/>
    <w:rsid w:val="00376C84"/>
    <w:rsid w:val="00377B8C"/>
    <w:rsid w:val="00380401"/>
    <w:rsid w:val="00380614"/>
    <w:rsid w:val="003808F4"/>
    <w:rsid w:val="00381921"/>
    <w:rsid w:val="00381A15"/>
    <w:rsid w:val="00384D33"/>
    <w:rsid w:val="00385C38"/>
    <w:rsid w:val="0038680A"/>
    <w:rsid w:val="0038711A"/>
    <w:rsid w:val="003903F2"/>
    <w:rsid w:val="0039045E"/>
    <w:rsid w:val="00390EFB"/>
    <w:rsid w:val="00391100"/>
    <w:rsid w:val="00393981"/>
    <w:rsid w:val="00394C09"/>
    <w:rsid w:val="00395BF4"/>
    <w:rsid w:val="003971BF"/>
    <w:rsid w:val="00397B2F"/>
    <w:rsid w:val="00397F4C"/>
    <w:rsid w:val="00397FDD"/>
    <w:rsid w:val="003A3612"/>
    <w:rsid w:val="003A679C"/>
    <w:rsid w:val="003A7965"/>
    <w:rsid w:val="003B20CC"/>
    <w:rsid w:val="003B57CA"/>
    <w:rsid w:val="003C2BB3"/>
    <w:rsid w:val="003C4F19"/>
    <w:rsid w:val="003C5492"/>
    <w:rsid w:val="003C58A1"/>
    <w:rsid w:val="003C665D"/>
    <w:rsid w:val="003C760A"/>
    <w:rsid w:val="003D2543"/>
    <w:rsid w:val="003D2B70"/>
    <w:rsid w:val="003D4715"/>
    <w:rsid w:val="003D5C58"/>
    <w:rsid w:val="003D5FAE"/>
    <w:rsid w:val="003D6662"/>
    <w:rsid w:val="003E040E"/>
    <w:rsid w:val="003E099F"/>
    <w:rsid w:val="003E2363"/>
    <w:rsid w:val="003E4D02"/>
    <w:rsid w:val="003E667F"/>
    <w:rsid w:val="003F042B"/>
    <w:rsid w:val="003F2148"/>
    <w:rsid w:val="003F26FA"/>
    <w:rsid w:val="003F2AC5"/>
    <w:rsid w:val="003F4DBF"/>
    <w:rsid w:val="003F52A7"/>
    <w:rsid w:val="003F5A36"/>
    <w:rsid w:val="003F7635"/>
    <w:rsid w:val="00400276"/>
    <w:rsid w:val="004004B2"/>
    <w:rsid w:val="00400A35"/>
    <w:rsid w:val="00400C31"/>
    <w:rsid w:val="004014AF"/>
    <w:rsid w:val="0040175C"/>
    <w:rsid w:val="004021C5"/>
    <w:rsid w:val="004049FC"/>
    <w:rsid w:val="00405A84"/>
    <w:rsid w:val="004111C3"/>
    <w:rsid w:val="00411FF3"/>
    <w:rsid w:val="00415939"/>
    <w:rsid w:val="00417205"/>
    <w:rsid w:val="004174CE"/>
    <w:rsid w:val="00421F0E"/>
    <w:rsid w:val="00422A86"/>
    <w:rsid w:val="00423399"/>
    <w:rsid w:val="00423C33"/>
    <w:rsid w:val="00430784"/>
    <w:rsid w:val="0043207B"/>
    <w:rsid w:val="004325D8"/>
    <w:rsid w:val="00432615"/>
    <w:rsid w:val="00434F77"/>
    <w:rsid w:val="00443DEB"/>
    <w:rsid w:val="00447659"/>
    <w:rsid w:val="004476E9"/>
    <w:rsid w:val="004511E8"/>
    <w:rsid w:val="004514C2"/>
    <w:rsid w:val="004515F8"/>
    <w:rsid w:val="0045510B"/>
    <w:rsid w:val="004564EC"/>
    <w:rsid w:val="004567A4"/>
    <w:rsid w:val="00456DE1"/>
    <w:rsid w:val="004572BA"/>
    <w:rsid w:val="00462E9F"/>
    <w:rsid w:val="00463140"/>
    <w:rsid w:val="00463363"/>
    <w:rsid w:val="004677B6"/>
    <w:rsid w:val="00467BDD"/>
    <w:rsid w:val="00473E4F"/>
    <w:rsid w:val="0047474F"/>
    <w:rsid w:val="004750ED"/>
    <w:rsid w:val="00477DF1"/>
    <w:rsid w:val="00485060"/>
    <w:rsid w:val="004859F7"/>
    <w:rsid w:val="00485C14"/>
    <w:rsid w:val="00485E39"/>
    <w:rsid w:val="0048690A"/>
    <w:rsid w:val="00487E0A"/>
    <w:rsid w:val="00493540"/>
    <w:rsid w:val="00494206"/>
    <w:rsid w:val="00494EB2"/>
    <w:rsid w:val="004975C5"/>
    <w:rsid w:val="004A1409"/>
    <w:rsid w:val="004A7026"/>
    <w:rsid w:val="004A7771"/>
    <w:rsid w:val="004A79B7"/>
    <w:rsid w:val="004B007D"/>
    <w:rsid w:val="004B2F52"/>
    <w:rsid w:val="004B673C"/>
    <w:rsid w:val="004B674E"/>
    <w:rsid w:val="004B67C9"/>
    <w:rsid w:val="004B76EE"/>
    <w:rsid w:val="004C0A86"/>
    <w:rsid w:val="004C3CE6"/>
    <w:rsid w:val="004C4856"/>
    <w:rsid w:val="004C4C8F"/>
    <w:rsid w:val="004C544D"/>
    <w:rsid w:val="004C6C09"/>
    <w:rsid w:val="004C6C16"/>
    <w:rsid w:val="004C7892"/>
    <w:rsid w:val="004D1541"/>
    <w:rsid w:val="004D1DEA"/>
    <w:rsid w:val="004D20F6"/>
    <w:rsid w:val="004D2631"/>
    <w:rsid w:val="004D3799"/>
    <w:rsid w:val="004D385B"/>
    <w:rsid w:val="004D3891"/>
    <w:rsid w:val="004D3D57"/>
    <w:rsid w:val="004D4A2C"/>
    <w:rsid w:val="004D7291"/>
    <w:rsid w:val="004E0611"/>
    <w:rsid w:val="004E0D2A"/>
    <w:rsid w:val="004E1597"/>
    <w:rsid w:val="004E2096"/>
    <w:rsid w:val="004E2DB7"/>
    <w:rsid w:val="004E5CA2"/>
    <w:rsid w:val="004E5EC1"/>
    <w:rsid w:val="004E78A5"/>
    <w:rsid w:val="004F036C"/>
    <w:rsid w:val="004F261F"/>
    <w:rsid w:val="004F2A2A"/>
    <w:rsid w:val="004F5A2F"/>
    <w:rsid w:val="004F5D51"/>
    <w:rsid w:val="004F621E"/>
    <w:rsid w:val="004F643B"/>
    <w:rsid w:val="004F66F4"/>
    <w:rsid w:val="005010D6"/>
    <w:rsid w:val="00504FC9"/>
    <w:rsid w:val="00505768"/>
    <w:rsid w:val="005066BC"/>
    <w:rsid w:val="005073FE"/>
    <w:rsid w:val="005114D9"/>
    <w:rsid w:val="00516246"/>
    <w:rsid w:val="005179E5"/>
    <w:rsid w:val="005203B9"/>
    <w:rsid w:val="00521B7F"/>
    <w:rsid w:val="00522C24"/>
    <w:rsid w:val="0052405F"/>
    <w:rsid w:val="0052414D"/>
    <w:rsid w:val="00524F09"/>
    <w:rsid w:val="00526CC9"/>
    <w:rsid w:val="00530546"/>
    <w:rsid w:val="00531235"/>
    <w:rsid w:val="00531282"/>
    <w:rsid w:val="005312EE"/>
    <w:rsid w:val="00532030"/>
    <w:rsid w:val="00534E61"/>
    <w:rsid w:val="00542812"/>
    <w:rsid w:val="00542E74"/>
    <w:rsid w:val="00550793"/>
    <w:rsid w:val="00550AB3"/>
    <w:rsid w:val="00552D10"/>
    <w:rsid w:val="005544A0"/>
    <w:rsid w:val="005546D2"/>
    <w:rsid w:val="00557341"/>
    <w:rsid w:val="00560CC5"/>
    <w:rsid w:val="00561546"/>
    <w:rsid w:val="00563EF6"/>
    <w:rsid w:val="005664BA"/>
    <w:rsid w:val="005672DA"/>
    <w:rsid w:val="00570EFC"/>
    <w:rsid w:val="0057364B"/>
    <w:rsid w:val="00573DEA"/>
    <w:rsid w:val="00574686"/>
    <w:rsid w:val="005753AD"/>
    <w:rsid w:val="005756D8"/>
    <w:rsid w:val="00575FA9"/>
    <w:rsid w:val="00576017"/>
    <w:rsid w:val="0057679C"/>
    <w:rsid w:val="00576A6A"/>
    <w:rsid w:val="00576C85"/>
    <w:rsid w:val="00577E64"/>
    <w:rsid w:val="0058094E"/>
    <w:rsid w:val="0058263E"/>
    <w:rsid w:val="00584603"/>
    <w:rsid w:val="00584D80"/>
    <w:rsid w:val="005901BD"/>
    <w:rsid w:val="00590F1B"/>
    <w:rsid w:val="005912CF"/>
    <w:rsid w:val="005926BB"/>
    <w:rsid w:val="005929D8"/>
    <w:rsid w:val="005938C5"/>
    <w:rsid w:val="00597B2F"/>
    <w:rsid w:val="005A11D9"/>
    <w:rsid w:val="005A27D6"/>
    <w:rsid w:val="005A32E1"/>
    <w:rsid w:val="005A4591"/>
    <w:rsid w:val="005A4BCE"/>
    <w:rsid w:val="005A5BDE"/>
    <w:rsid w:val="005A654B"/>
    <w:rsid w:val="005A655C"/>
    <w:rsid w:val="005B0A83"/>
    <w:rsid w:val="005B4B77"/>
    <w:rsid w:val="005B6C7F"/>
    <w:rsid w:val="005C0B52"/>
    <w:rsid w:val="005C0E3C"/>
    <w:rsid w:val="005C0FCA"/>
    <w:rsid w:val="005C21F8"/>
    <w:rsid w:val="005C42F7"/>
    <w:rsid w:val="005C43F4"/>
    <w:rsid w:val="005C6EED"/>
    <w:rsid w:val="005D0102"/>
    <w:rsid w:val="005D0F83"/>
    <w:rsid w:val="005D28D4"/>
    <w:rsid w:val="005D358F"/>
    <w:rsid w:val="005D54AF"/>
    <w:rsid w:val="005D618F"/>
    <w:rsid w:val="005D7CE7"/>
    <w:rsid w:val="005E1229"/>
    <w:rsid w:val="005E22EB"/>
    <w:rsid w:val="005E2CD9"/>
    <w:rsid w:val="005E3C12"/>
    <w:rsid w:val="005E4956"/>
    <w:rsid w:val="005E6441"/>
    <w:rsid w:val="005F1722"/>
    <w:rsid w:val="005F6B63"/>
    <w:rsid w:val="005F7869"/>
    <w:rsid w:val="00600923"/>
    <w:rsid w:val="00600AC6"/>
    <w:rsid w:val="00601493"/>
    <w:rsid w:val="00602D03"/>
    <w:rsid w:val="00605482"/>
    <w:rsid w:val="00606C47"/>
    <w:rsid w:val="00607A45"/>
    <w:rsid w:val="00607DDD"/>
    <w:rsid w:val="00607FBC"/>
    <w:rsid w:val="00611D46"/>
    <w:rsid w:val="00612171"/>
    <w:rsid w:val="006144CA"/>
    <w:rsid w:val="00616444"/>
    <w:rsid w:val="006167BB"/>
    <w:rsid w:val="00620556"/>
    <w:rsid w:val="00621304"/>
    <w:rsid w:val="006243C4"/>
    <w:rsid w:val="00625B0F"/>
    <w:rsid w:val="00625D7E"/>
    <w:rsid w:val="006261AD"/>
    <w:rsid w:val="006263D3"/>
    <w:rsid w:val="006279B5"/>
    <w:rsid w:val="0063008B"/>
    <w:rsid w:val="00633148"/>
    <w:rsid w:val="006332A3"/>
    <w:rsid w:val="006341DF"/>
    <w:rsid w:val="00634B90"/>
    <w:rsid w:val="00634F1A"/>
    <w:rsid w:val="00636E4D"/>
    <w:rsid w:val="006411E7"/>
    <w:rsid w:val="00641269"/>
    <w:rsid w:val="00641D0E"/>
    <w:rsid w:val="00647EDB"/>
    <w:rsid w:val="00650986"/>
    <w:rsid w:val="00654567"/>
    <w:rsid w:val="006551D8"/>
    <w:rsid w:val="00657035"/>
    <w:rsid w:val="00657446"/>
    <w:rsid w:val="00657DD7"/>
    <w:rsid w:val="0066111F"/>
    <w:rsid w:val="00662C98"/>
    <w:rsid w:val="0066357B"/>
    <w:rsid w:val="00663DB9"/>
    <w:rsid w:val="00664679"/>
    <w:rsid w:val="00664F3D"/>
    <w:rsid w:val="006662A2"/>
    <w:rsid w:val="00667AB0"/>
    <w:rsid w:val="006711E9"/>
    <w:rsid w:val="00672E86"/>
    <w:rsid w:val="00673405"/>
    <w:rsid w:val="00676455"/>
    <w:rsid w:val="00680BBF"/>
    <w:rsid w:val="00683164"/>
    <w:rsid w:val="00690E48"/>
    <w:rsid w:val="00691264"/>
    <w:rsid w:val="00693A16"/>
    <w:rsid w:val="00694379"/>
    <w:rsid w:val="006943AC"/>
    <w:rsid w:val="00694891"/>
    <w:rsid w:val="006952A2"/>
    <w:rsid w:val="00696144"/>
    <w:rsid w:val="006A0398"/>
    <w:rsid w:val="006A0741"/>
    <w:rsid w:val="006A091A"/>
    <w:rsid w:val="006A1D48"/>
    <w:rsid w:val="006A3E7A"/>
    <w:rsid w:val="006A44B4"/>
    <w:rsid w:val="006A5C0A"/>
    <w:rsid w:val="006A6B33"/>
    <w:rsid w:val="006B02FC"/>
    <w:rsid w:val="006B0B4A"/>
    <w:rsid w:val="006B33BD"/>
    <w:rsid w:val="006B77EF"/>
    <w:rsid w:val="006C21F9"/>
    <w:rsid w:val="006C36D5"/>
    <w:rsid w:val="006C67C5"/>
    <w:rsid w:val="006D1F2A"/>
    <w:rsid w:val="006D25BC"/>
    <w:rsid w:val="006D2F4B"/>
    <w:rsid w:val="006D3333"/>
    <w:rsid w:val="006D56C2"/>
    <w:rsid w:val="006D60B4"/>
    <w:rsid w:val="006E20D6"/>
    <w:rsid w:val="006E2C03"/>
    <w:rsid w:val="006E34BD"/>
    <w:rsid w:val="006E360F"/>
    <w:rsid w:val="006E40EC"/>
    <w:rsid w:val="006E5EAC"/>
    <w:rsid w:val="006E7794"/>
    <w:rsid w:val="006F4E5B"/>
    <w:rsid w:val="006F58CE"/>
    <w:rsid w:val="006F6C5B"/>
    <w:rsid w:val="00702A50"/>
    <w:rsid w:val="00703490"/>
    <w:rsid w:val="00704047"/>
    <w:rsid w:val="00706B9E"/>
    <w:rsid w:val="0071162D"/>
    <w:rsid w:val="00712D18"/>
    <w:rsid w:val="00722807"/>
    <w:rsid w:val="007233F5"/>
    <w:rsid w:val="00725F5D"/>
    <w:rsid w:val="007315F7"/>
    <w:rsid w:val="007358B3"/>
    <w:rsid w:val="00735ECC"/>
    <w:rsid w:val="007366F9"/>
    <w:rsid w:val="007378F2"/>
    <w:rsid w:val="00737B8C"/>
    <w:rsid w:val="00740E4F"/>
    <w:rsid w:val="00741AC4"/>
    <w:rsid w:val="0074329D"/>
    <w:rsid w:val="00745086"/>
    <w:rsid w:val="007454E2"/>
    <w:rsid w:val="00747BBC"/>
    <w:rsid w:val="007503C1"/>
    <w:rsid w:val="00752F84"/>
    <w:rsid w:val="00754A10"/>
    <w:rsid w:val="00755D23"/>
    <w:rsid w:val="007570F9"/>
    <w:rsid w:val="00770091"/>
    <w:rsid w:val="00771DBB"/>
    <w:rsid w:val="0077362F"/>
    <w:rsid w:val="00773E6E"/>
    <w:rsid w:val="00777181"/>
    <w:rsid w:val="00777B97"/>
    <w:rsid w:val="00780B75"/>
    <w:rsid w:val="007838DC"/>
    <w:rsid w:val="00784545"/>
    <w:rsid w:val="00787B9A"/>
    <w:rsid w:val="00787CD3"/>
    <w:rsid w:val="00790A93"/>
    <w:rsid w:val="007911A6"/>
    <w:rsid w:val="00794B4A"/>
    <w:rsid w:val="00794BAC"/>
    <w:rsid w:val="00794E4D"/>
    <w:rsid w:val="00795CF4"/>
    <w:rsid w:val="007A14B0"/>
    <w:rsid w:val="007A1D57"/>
    <w:rsid w:val="007A22B3"/>
    <w:rsid w:val="007A22FF"/>
    <w:rsid w:val="007A48E0"/>
    <w:rsid w:val="007A4D12"/>
    <w:rsid w:val="007A56CE"/>
    <w:rsid w:val="007B0837"/>
    <w:rsid w:val="007B4E37"/>
    <w:rsid w:val="007B5D38"/>
    <w:rsid w:val="007C00DC"/>
    <w:rsid w:val="007C0E1A"/>
    <w:rsid w:val="007C1CED"/>
    <w:rsid w:val="007C21C1"/>
    <w:rsid w:val="007C2BBE"/>
    <w:rsid w:val="007C2DA4"/>
    <w:rsid w:val="007C322B"/>
    <w:rsid w:val="007C42C3"/>
    <w:rsid w:val="007C5409"/>
    <w:rsid w:val="007C558D"/>
    <w:rsid w:val="007C683A"/>
    <w:rsid w:val="007D0C72"/>
    <w:rsid w:val="007D3D9D"/>
    <w:rsid w:val="007D4347"/>
    <w:rsid w:val="007D53CE"/>
    <w:rsid w:val="007D5D1F"/>
    <w:rsid w:val="007D70A3"/>
    <w:rsid w:val="007E2583"/>
    <w:rsid w:val="007E2D6A"/>
    <w:rsid w:val="007E3144"/>
    <w:rsid w:val="007E6ED7"/>
    <w:rsid w:val="007E798C"/>
    <w:rsid w:val="007F27B0"/>
    <w:rsid w:val="007F3CB8"/>
    <w:rsid w:val="007F7527"/>
    <w:rsid w:val="00800D24"/>
    <w:rsid w:val="008031B1"/>
    <w:rsid w:val="00803B36"/>
    <w:rsid w:val="00805CE3"/>
    <w:rsid w:val="00806EF9"/>
    <w:rsid w:val="00811503"/>
    <w:rsid w:val="008118F5"/>
    <w:rsid w:val="00811F03"/>
    <w:rsid w:val="00813E1C"/>
    <w:rsid w:val="008146B0"/>
    <w:rsid w:val="0081558C"/>
    <w:rsid w:val="00816033"/>
    <w:rsid w:val="008202FC"/>
    <w:rsid w:val="00821D70"/>
    <w:rsid w:val="00824E24"/>
    <w:rsid w:val="008308D3"/>
    <w:rsid w:val="008309DD"/>
    <w:rsid w:val="00830F4F"/>
    <w:rsid w:val="00831835"/>
    <w:rsid w:val="0083307D"/>
    <w:rsid w:val="008333E8"/>
    <w:rsid w:val="00833515"/>
    <w:rsid w:val="00833D00"/>
    <w:rsid w:val="00834EB4"/>
    <w:rsid w:val="0083668E"/>
    <w:rsid w:val="0084264B"/>
    <w:rsid w:val="0084661B"/>
    <w:rsid w:val="00846D5B"/>
    <w:rsid w:val="0085126F"/>
    <w:rsid w:val="00854212"/>
    <w:rsid w:val="00856656"/>
    <w:rsid w:val="008602FC"/>
    <w:rsid w:val="0086058A"/>
    <w:rsid w:val="00861ECD"/>
    <w:rsid w:val="00862134"/>
    <w:rsid w:val="008658BF"/>
    <w:rsid w:val="00866D5B"/>
    <w:rsid w:val="008678F8"/>
    <w:rsid w:val="00873F6E"/>
    <w:rsid w:val="0087439A"/>
    <w:rsid w:val="00874B45"/>
    <w:rsid w:val="008775D6"/>
    <w:rsid w:val="00885C81"/>
    <w:rsid w:val="008860D7"/>
    <w:rsid w:val="008861E6"/>
    <w:rsid w:val="0088702E"/>
    <w:rsid w:val="00890D7A"/>
    <w:rsid w:val="00891BE5"/>
    <w:rsid w:val="008934EE"/>
    <w:rsid w:val="008938C6"/>
    <w:rsid w:val="00893D31"/>
    <w:rsid w:val="008950E1"/>
    <w:rsid w:val="00895C28"/>
    <w:rsid w:val="00896408"/>
    <w:rsid w:val="008A015A"/>
    <w:rsid w:val="008A0588"/>
    <w:rsid w:val="008A0DE3"/>
    <w:rsid w:val="008A1F5A"/>
    <w:rsid w:val="008A315D"/>
    <w:rsid w:val="008A41C9"/>
    <w:rsid w:val="008A437E"/>
    <w:rsid w:val="008A4B23"/>
    <w:rsid w:val="008A5302"/>
    <w:rsid w:val="008A7914"/>
    <w:rsid w:val="008B33CF"/>
    <w:rsid w:val="008B357C"/>
    <w:rsid w:val="008B4906"/>
    <w:rsid w:val="008B4EA2"/>
    <w:rsid w:val="008B7850"/>
    <w:rsid w:val="008C0AFC"/>
    <w:rsid w:val="008C1D91"/>
    <w:rsid w:val="008C263A"/>
    <w:rsid w:val="008C26EE"/>
    <w:rsid w:val="008C47BE"/>
    <w:rsid w:val="008C61DB"/>
    <w:rsid w:val="008C7535"/>
    <w:rsid w:val="008C7D25"/>
    <w:rsid w:val="008D138D"/>
    <w:rsid w:val="008D1851"/>
    <w:rsid w:val="008D198D"/>
    <w:rsid w:val="008D314D"/>
    <w:rsid w:val="008D48C0"/>
    <w:rsid w:val="008D5673"/>
    <w:rsid w:val="008D59BA"/>
    <w:rsid w:val="008D5DA8"/>
    <w:rsid w:val="008D5F57"/>
    <w:rsid w:val="008D6A80"/>
    <w:rsid w:val="008D7867"/>
    <w:rsid w:val="008E26DE"/>
    <w:rsid w:val="008E3B10"/>
    <w:rsid w:val="008E47DF"/>
    <w:rsid w:val="008E4F9E"/>
    <w:rsid w:val="008E4FB6"/>
    <w:rsid w:val="008E5207"/>
    <w:rsid w:val="008F5FD0"/>
    <w:rsid w:val="008F77A8"/>
    <w:rsid w:val="00900C92"/>
    <w:rsid w:val="00902B20"/>
    <w:rsid w:val="00903407"/>
    <w:rsid w:val="0090393F"/>
    <w:rsid w:val="00904223"/>
    <w:rsid w:val="00906253"/>
    <w:rsid w:val="009105DB"/>
    <w:rsid w:val="00911120"/>
    <w:rsid w:val="009126A8"/>
    <w:rsid w:val="00912FB1"/>
    <w:rsid w:val="00914723"/>
    <w:rsid w:val="00915DAF"/>
    <w:rsid w:val="00916004"/>
    <w:rsid w:val="00916DE6"/>
    <w:rsid w:val="0091748E"/>
    <w:rsid w:val="0091776F"/>
    <w:rsid w:val="00922047"/>
    <w:rsid w:val="00927667"/>
    <w:rsid w:val="00931347"/>
    <w:rsid w:val="00931CB8"/>
    <w:rsid w:val="009334B9"/>
    <w:rsid w:val="00933644"/>
    <w:rsid w:val="009364D6"/>
    <w:rsid w:val="00936C82"/>
    <w:rsid w:val="00937E07"/>
    <w:rsid w:val="0094084E"/>
    <w:rsid w:val="00941F6B"/>
    <w:rsid w:val="00942597"/>
    <w:rsid w:val="0094386F"/>
    <w:rsid w:val="00944182"/>
    <w:rsid w:val="0094491D"/>
    <w:rsid w:val="009473E1"/>
    <w:rsid w:val="0094741D"/>
    <w:rsid w:val="00953D3B"/>
    <w:rsid w:val="0095425D"/>
    <w:rsid w:val="009547D1"/>
    <w:rsid w:val="00956CF5"/>
    <w:rsid w:val="009570AF"/>
    <w:rsid w:val="0095778C"/>
    <w:rsid w:val="00960EB4"/>
    <w:rsid w:val="00963C64"/>
    <w:rsid w:val="00965F99"/>
    <w:rsid w:val="00967203"/>
    <w:rsid w:val="00967BD9"/>
    <w:rsid w:val="009702FB"/>
    <w:rsid w:val="009736A0"/>
    <w:rsid w:val="0097601D"/>
    <w:rsid w:val="00976ACE"/>
    <w:rsid w:val="00982697"/>
    <w:rsid w:val="00984637"/>
    <w:rsid w:val="00987776"/>
    <w:rsid w:val="00987D8F"/>
    <w:rsid w:val="00990922"/>
    <w:rsid w:val="009918D3"/>
    <w:rsid w:val="0099389C"/>
    <w:rsid w:val="0099440D"/>
    <w:rsid w:val="00994F04"/>
    <w:rsid w:val="00995936"/>
    <w:rsid w:val="00996117"/>
    <w:rsid w:val="00996EA2"/>
    <w:rsid w:val="00997C92"/>
    <w:rsid w:val="009A1A15"/>
    <w:rsid w:val="009A273B"/>
    <w:rsid w:val="009A6445"/>
    <w:rsid w:val="009A6892"/>
    <w:rsid w:val="009A7941"/>
    <w:rsid w:val="009B0734"/>
    <w:rsid w:val="009B0CCE"/>
    <w:rsid w:val="009B0E04"/>
    <w:rsid w:val="009B11CE"/>
    <w:rsid w:val="009B1FC9"/>
    <w:rsid w:val="009B2049"/>
    <w:rsid w:val="009B223F"/>
    <w:rsid w:val="009B31DE"/>
    <w:rsid w:val="009B5D31"/>
    <w:rsid w:val="009B7185"/>
    <w:rsid w:val="009B71BE"/>
    <w:rsid w:val="009C1355"/>
    <w:rsid w:val="009C3453"/>
    <w:rsid w:val="009C4903"/>
    <w:rsid w:val="009C6992"/>
    <w:rsid w:val="009D391D"/>
    <w:rsid w:val="009D42CB"/>
    <w:rsid w:val="009D538F"/>
    <w:rsid w:val="009D5F71"/>
    <w:rsid w:val="009D74F0"/>
    <w:rsid w:val="009D7BCC"/>
    <w:rsid w:val="009E3DC6"/>
    <w:rsid w:val="009E42AD"/>
    <w:rsid w:val="009E469F"/>
    <w:rsid w:val="009E7122"/>
    <w:rsid w:val="009F047D"/>
    <w:rsid w:val="009F17F7"/>
    <w:rsid w:val="009F3BFF"/>
    <w:rsid w:val="009F44E6"/>
    <w:rsid w:val="009F4663"/>
    <w:rsid w:val="009F50EA"/>
    <w:rsid w:val="009F5D4B"/>
    <w:rsid w:val="00A00072"/>
    <w:rsid w:val="00A0067B"/>
    <w:rsid w:val="00A00F02"/>
    <w:rsid w:val="00A011F5"/>
    <w:rsid w:val="00A021FE"/>
    <w:rsid w:val="00A063EC"/>
    <w:rsid w:val="00A11E4F"/>
    <w:rsid w:val="00A120E3"/>
    <w:rsid w:val="00A13825"/>
    <w:rsid w:val="00A13EF2"/>
    <w:rsid w:val="00A1483E"/>
    <w:rsid w:val="00A1645B"/>
    <w:rsid w:val="00A166D3"/>
    <w:rsid w:val="00A170B6"/>
    <w:rsid w:val="00A23001"/>
    <w:rsid w:val="00A24C2B"/>
    <w:rsid w:val="00A304CA"/>
    <w:rsid w:val="00A33CC9"/>
    <w:rsid w:val="00A37636"/>
    <w:rsid w:val="00A42F24"/>
    <w:rsid w:val="00A436DD"/>
    <w:rsid w:val="00A447E8"/>
    <w:rsid w:val="00A46335"/>
    <w:rsid w:val="00A4744A"/>
    <w:rsid w:val="00A478F1"/>
    <w:rsid w:val="00A520AC"/>
    <w:rsid w:val="00A523C4"/>
    <w:rsid w:val="00A56B3D"/>
    <w:rsid w:val="00A571A7"/>
    <w:rsid w:val="00A576FD"/>
    <w:rsid w:val="00A579FC"/>
    <w:rsid w:val="00A60A06"/>
    <w:rsid w:val="00A61813"/>
    <w:rsid w:val="00A62D04"/>
    <w:rsid w:val="00A634CD"/>
    <w:rsid w:val="00A63FDC"/>
    <w:rsid w:val="00A6515E"/>
    <w:rsid w:val="00A66C4C"/>
    <w:rsid w:val="00A67695"/>
    <w:rsid w:val="00A70FEA"/>
    <w:rsid w:val="00A714E3"/>
    <w:rsid w:val="00A75A9A"/>
    <w:rsid w:val="00A75AF6"/>
    <w:rsid w:val="00A77DD1"/>
    <w:rsid w:val="00A77E90"/>
    <w:rsid w:val="00A809BC"/>
    <w:rsid w:val="00A828E5"/>
    <w:rsid w:val="00A82B34"/>
    <w:rsid w:val="00A855A4"/>
    <w:rsid w:val="00A869F0"/>
    <w:rsid w:val="00A903D6"/>
    <w:rsid w:val="00A90F70"/>
    <w:rsid w:val="00A940E7"/>
    <w:rsid w:val="00A95D37"/>
    <w:rsid w:val="00AA04DD"/>
    <w:rsid w:val="00AA0B90"/>
    <w:rsid w:val="00AA1788"/>
    <w:rsid w:val="00AA2D62"/>
    <w:rsid w:val="00AA3E4C"/>
    <w:rsid w:val="00AA3F6C"/>
    <w:rsid w:val="00AA4036"/>
    <w:rsid w:val="00AA4871"/>
    <w:rsid w:val="00AA7EC6"/>
    <w:rsid w:val="00AB2F46"/>
    <w:rsid w:val="00AB48B0"/>
    <w:rsid w:val="00AB4F1D"/>
    <w:rsid w:val="00AB7623"/>
    <w:rsid w:val="00AC03D5"/>
    <w:rsid w:val="00AC1124"/>
    <w:rsid w:val="00AC236E"/>
    <w:rsid w:val="00AC3541"/>
    <w:rsid w:val="00AC3D60"/>
    <w:rsid w:val="00AC425B"/>
    <w:rsid w:val="00AC5561"/>
    <w:rsid w:val="00AC706D"/>
    <w:rsid w:val="00AC708E"/>
    <w:rsid w:val="00AC7FFE"/>
    <w:rsid w:val="00AD0706"/>
    <w:rsid w:val="00AD0DF1"/>
    <w:rsid w:val="00AD164B"/>
    <w:rsid w:val="00AD6150"/>
    <w:rsid w:val="00AD656C"/>
    <w:rsid w:val="00AD6EA6"/>
    <w:rsid w:val="00AD72FA"/>
    <w:rsid w:val="00AE005E"/>
    <w:rsid w:val="00AE0C15"/>
    <w:rsid w:val="00AE5204"/>
    <w:rsid w:val="00AE5D8B"/>
    <w:rsid w:val="00AE618B"/>
    <w:rsid w:val="00AF09D3"/>
    <w:rsid w:val="00AF20CC"/>
    <w:rsid w:val="00AF2F86"/>
    <w:rsid w:val="00AF437B"/>
    <w:rsid w:val="00AF5C29"/>
    <w:rsid w:val="00AF7896"/>
    <w:rsid w:val="00B0133A"/>
    <w:rsid w:val="00B0185F"/>
    <w:rsid w:val="00B01FC6"/>
    <w:rsid w:val="00B02327"/>
    <w:rsid w:val="00B0551C"/>
    <w:rsid w:val="00B0556A"/>
    <w:rsid w:val="00B07957"/>
    <w:rsid w:val="00B07EE9"/>
    <w:rsid w:val="00B1009C"/>
    <w:rsid w:val="00B109D8"/>
    <w:rsid w:val="00B12D22"/>
    <w:rsid w:val="00B15A2D"/>
    <w:rsid w:val="00B1616C"/>
    <w:rsid w:val="00B21C76"/>
    <w:rsid w:val="00B22B60"/>
    <w:rsid w:val="00B236FE"/>
    <w:rsid w:val="00B23B68"/>
    <w:rsid w:val="00B24074"/>
    <w:rsid w:val="00B27278"/>
    <w:rsid w:val="00B302C1"/>
    <w:rsid w:val="00B30DAC"/>
    <w:rsid w:val="00B32892"/>
    <w:rsid w:val="00B337CC"/>
    <w:rsid w:val="00B3398B"/>
    <w:rsid w:val="00B35095"/>
    <w:rsid w:val="00B355B4"/>
    <w:rsid w:val="00B37EBB"/>
    <w:rsid w:val="00B40CE9"/>
    <w:rsid w:val="00B42B69"/>
    <w:rsid w:val="00B42E8E"/>
    <w:rsid w:val="00B430A9"/>
    <w:rsid w:val="00B439A6"/>
    <w:rsid w:val="00B4600A"/>
    <w:rsid w:val="00B54D0C"/>
    <w:rsid w:val="00B551E4"/>
    <w:rsid w:val="00B56D0E"/>
    <w:rsid w:val="00B606F5"/>
    <w:rsid w:val="00B62BD0"/>
    <w:rsid w:val="00B65DBC"/>
    <w:rsid w:val="00B70C92"/>
    <w:rsid w:val="00B72B5C"/>
    <w:rsid w:val="00B7359D"/>
    <w:rsid w:val="00B77852"/>
    <w:rsid w:val="00B81172"/>
    <w:rsid w:val="00B86B8D"/>
    <w:rsid w:val="00B87844"/>
    <w:rsid w:val="00B90712"/>
    <w:rsid w:val="00B90B82"/>
    <w:rsid w:val="00B91E43"/>
    <w:rsid w:val="00B93713"/>
    <w:rsid w:val="00B94451"/>
    <w:rsid w:val="00B94F08"/>
    <w:rsid w:val="00B97E9F"/>
    <w:rsid w:val="00BA18EC"/>
    <w:rsid w:val="00BA375C"/>
    <w:rsid w:val="00BA3827"/>
    <w:rsid w:val="00BA51F2"/>
    <w:rsid w:val="00BA529C"/>
    <w:rsid w:val="00BA61AD"/>
    <w:rsid w:val="00BA76C1"/>
    <w:rsid w:val="00BA7CAF"/>
    <w:rsid w:val="00BB06F0"/>
    <w:rsid w:val="00BB22FA"/>
    <w:rsid w:val="00BB2C20"/>
    <w:rsid w:val="00BB4104"/>
    <w:rsid w:val="00BB4E67"/>
    <w:rsid w:val="00BB79A4"/>
    <w:rsid w:val="00BC2E06"/>
    <w:rsid w:val="00BC2EF7"/>
    <w:rsid w:val="00BC2FD9"/>
    <w:rsid w:val="00BC434A"/>
    <w:rsid w:val="00BC4442"/>
    <w:rsid w:val="00BC485D"/>
    <w:rsid w:val="00BC6F48"/>
    <w:rsid w:val="00BC7C07"/>
    <w:rsid w:val="00BD1CF9"/>
    <w:rsid w:val="00BD27C4"/>
    <w:rsid w:val="00BE1556"/>
    <w:rsid w:val="00BE6352"/>
    <w:rsid w:val="00BE65F7"/>
    <w:rsid w:val="00BF3986"/>
    <w:rsid w:val="00BF3A43"/>
    <w:rsid w:val="00BF3BB2"/>
    <w:rsid w:val="00BF432A"/>
    <w:rsid w:val="00BF49D9"/>
    <w:rsid w:val="00BF5316"/>
    <w:rsid w:val="00BF541E"/>
    <w:rsid w:val="00BF5A43"/>
    <w:rsid w:val="00BF623B"/>
    <w:rsid w:val="00C001C8"/>
    <w:rsid w:val="00C005AE"/>
    <w:rsid w:val="00C00C11"/>
    <w:rsid w:val="00C0168D"/>
    <w:rsid w:val="00C019FD"/>
    <w:rsid w:val="00C01BB7"/>
    <w:rsid w:val="00C02C91"/>
    <w:rsid w:val="00C0473E"/>
    <w:rsid w:val="00C04CD1"/>
    <w:rsid w:val="00C05233"/>
    <w:rsid w:val="00C11274"/>
    <w:rsid w:val="00C15415"/>
    <w:rsid w:val="00C17BD6"/>
    <w:rsid w:val="00C205F8"/>
    <w:rsid w:val="00C20C7D"/>
    <w:rsid w:val="00C20C80"/>
    <w:rsid w:val="00C21046"/>
    <w:rsid w:val="00C257BB"/>
    <w:rsid w:val="00C2620D"/>
    <w:rsid w:val="00C31634"/>
    <w:rsid w:val="00C31AC9"/>
    <w:rsid w:val="00C3206A"/>
    <w:rsid w:val="00C4259C"/>
    <w:rsid w:val="00C43B6C"/>
    <w:rsid w:val="00C43BC6"/>
    <w:rsid w:val="00C43FE9"/>
    <w:rsid w:val="00C44E5F"/>
    <w:rsid w:val="00C462AF"/>
    <w:rsid w:val="00C46D9E"/>
    <w:rsid w:val="00C520F8"/>
    <w:rsid w:val="00C53BA2"/>
    <w:rsid w:val="00C5446F"/>
    <w:rsid w:val="00C55A7C"/>
    <w:rsid w:val="00C56F43"/>
    <w:rsid w:val="00C573BC"/>
    <w:rsid w:val="00C61B3B"/>
    <w:rsid w:val="00C61C70"/>
    <w:rsid w:val="00C62CA7"/>
    <w:rsid w:val="00C64198"/>
    <w:rsid w:val="00C6464A"/>
    <w:rsid w:val="00C678B8"/>
    <w:rsid w:val="00C67F13"/>
    <w:rsid w:val="00C70891"/>
    <w:rsid w:val="00C711E0"/>
    <w:rsid w:val="00C73C98"/>
    <w:rsid w:val="00C7495F"/>
    <w:rsid w:val="00C74EEC"/>
    <w:rsid w:val="00C759EF"/>
    <w:rsid w:val="00C75A55"/>
    <w:rsid w:val="00C764EC"/>
    <w:rsid w:val="00C7725C"/>
    <w:rsid w:val="00C818AF"/>
    <w:rsid w:val="00C81B30"/>
    <w:rsid w:val="00C82781"/>
    <w:rsid w:val="00C84A55"/>
    <w:rsid w:val="00C8615D"/>
    <w:rsid w:val="00C87DF4"/>
    <w:rsid w:val="00C90BB2"/>
    <w:rsid w:val="00C91A9B"/>
    <w:rsid w:val="00C92447"/>
    <w:rsid w:val="00C926B7"/>
    <w:rsid w:val="00C9408E"/>
    <w:rsid w:val="00C941E0"/>
    <w:rsid w:val="00C94408"/>
    <w:rsid w:val="00C94F6C"/>
    <w:rsid w:val="00C974B3"/>
    <w:rsid w:val="00C9753D"/>
    <w:rsid w:val="00CA0257"/>
    <w:rsid w:val="00CA0285"/>
    <w:rsid w:val="00CA3EF0"/>
    <w:rsid w:val="00CA4D2E"/>
    <w:rsid w:val="00CA53D8"/>
    <w:rsid w:val="00CA6241"/>
    <w:rsid w:val="00CA6A9F"/>
    <w:rsid w:val="00CB1582"/>
    <w:rsid w:val="00CB2B85"/>
    <w:rsid w:val="00CB79B6"/>
    <w:rsid w:val="00CB7A1F"/>
    <w:rsid w:val="00CC0266"/>
    <w:rsid w:val="00CC082E"/>
    <w:rsid w:val="00CC3D44"/>
    <w:rsid w:val="00CC4002"/>
    <w:rsid w:val="00CC504F"/>
    <w:rsid w:val="00CC622A"/>
    <w:rsid w:val="00CD1B37"/>
    <w:rsid w:val="00CD1DB5"/>
    <w:rsid w:val="00CD3130"/>
    <w:rsid w:val="00CD3C15"/>
    <w:rsid w:val="00CD3D2A"/>
    <w:rsid w:val="00CD4A48"/>
    <w:rsid w:val="00CD68CD"/>
    <w:rsid w:val="00CE0A98"/>
    <w:rsid w:val="00CE187D"/>
    <w:rsid w:val="00CE1DF2"/>
    <w:rsid w:val="00CE29EF"/>
    <w:rsid w:val="00CE3CBB"/>
    <w:rsid w:val="00CE4AA6"/>
    <w:rsid w:val="00CE4C5F"/>
    <w:rsid w:val="00CF39EB"/>
    <w:rsid w:val="00CF3A44"/>
    <w:rsid w:val="00CF5C47"/>
    <w:rsid w:val="00CF5D1B"/>
    <w:rsid w:val="00CF6804"/>
    <w:rsid w:val="00D03979"/>
    <w:rsid w:val="00D04001"/>
    <w:rsid w:val="00D0404D"/>
    <w:rsid w:val="00D05C2F"/>
    <w:rsid w:val="00D05EB0"/>
    <w:rsid w:val="00D113E0"/>
    <w:rsid w:val="00D1248B"/>
    <w:rsid w:val="00D13B5D"/>
    <w:rsid w:val="00D15AA3"/>
    <w:rsid w:val="00D1629B"/>
    <w:rsid w:val="00D204A0"/>
    <w:rsid w:val="00D21FE7"/>
    <w:rsid w:val="00D222F2"/>
    <w:rsid w:val="00D22AB0"/>
    <w:rsid w:val="00D2372C"/>
    <w:rsid w:val="00D25628"/>
    <w:rsid w:val="00D2596C"/>
    <w:rsid w:val="00D30872"/>
    <w:rsid w:val="00D34B1D"/>
    <w:rsid w:val="00D34D04"/>
    <w:rsid w:val="00D3607C"/>
    <w:rsid w:val="00D36947"/>
    <w:rsid w:val="00D37B9E"/>
    <w:rsid w:val="00D455C7"/>
    <w:rsid w:val="00D475A2"/>
    <w:rsid w:val="00D51F8E"/>
    <w:rsid w:val="00D5403A"/>
    <w:rsid w:val="00D55EFA"/>
    <w:rsid w:val="00D60335"/>
    <w:rsid w:val="00D606F6"/>
    <w:rsid w:val="00D60700"/>
    <w:rsid w:val="00D611DA"/>
    <w:rsid w:val="00D6394A"/>
    <w:rsid w:val="00D65AB1"/>
    <w:rsid w:val="00D67822"/>
    <w:rsid w:val="00D704B1"/>
    <w:rsid w:val="00D70A26"/>
    <w:rsid w:val="00D71207"/>
    <w:rsid w:val="00D71855"/>
    <w:rsid w:val="00D72477"/>
    <w:rsid w:val="00D72B7D"/>
    <w:rsid w:val="00D73588"/>
    <w:rsid w:val="00D74E27"/>
    <w:rsid w:val="00D770DF"/>
    <w:rsid w:val="00D77870"/>
    <w:rsid w:val="00D80562"/>
    <w:rsid w:val="00D80ABC"/>
    <w:rsid w:val="00D85D4A"/>
    <w:rsid w:val="00D863A8"/>
    <w:rsid w:val="00D86915"/>
    <w:rsid w:val="00D8744E"/>
    <w:rsid w:val="00D943E9"/>
    <w:rsid w:val="00D959EE"/>
    <w:rsid w:val="00D95AD3"/>
    <w:rsid w:val="00D97BB8"/>
    <w:rsid w:val="00DA48CC"/>
    <w:rsid w:val="00DA5DAC"/>
    <w:rsid w:val="00DA61BA"/>
    <w:rsid w:val="00DA6399"/>
    <w:rsid w:val="00DB1C28"/>
    <w:rsid w:val="00DB303C"/>
    <w:rsid w:val="00DB5150"/>
    <w:rsid w:val="00DB6628"/>
    <w:rsid w:val="00DB6889"/>
    <w:rsid w:val="00DC1ECF"/>
    <w:rsid w:val="00DC5494"/>
    <w:rsid w:val="00DD03FA"/>
    <w:rsid w:val="00DD13B1"/>
    <w:rsid w:val="00DD36D6"/>
    <w:rsid w:val="00DD4B46"/>
    <w:rsid w:val="00DD4F34"/>
    <w:rsid w:val="00DD6015"/>
    <w:rsid w:val="00DE7EF8"/>
    <w:rsid w:val="00DF179D"/>
    <w:rsid w:val="00DF1821"/>
    <w:rsid w:val="00DF34EC"/>
    <w:rsid w:val="00DF3857"/>
    <w:rsid w:val="00DF4767"/>
    <w:rsid w:val="00DF4EA1"/>
    <w:rsid w:val="00DF6836"/>
    <w:rsid w:val="00DF7D9A"/>
    <w:rsid w:val="00E05BA0"/>
    <w:rsid w:val="00E072FA"/>
    <w:rsid w:val="00E108A3"/>
    <w:rsid w:val="00E10B17"/>
    <w:rsid w:val="00E14B75"/>
    <w:rsid w:val="00E14BAE"/>
    <w:rsid w:val="00E17435"/>
    <w:rsid w:val="00E20AD4"/>
    <w:rsid w:val="00E20E61"/>
    <w:rsid w:val="00E226DF"/>
    <w:rsid w:val="00E22C60"/>
    <w:rsid w:val="00E301BA"/>
    <w:rsid w:val="00E30C3E"/>
    <w:rsid w:val="00E33D26"/>
    <w:rsid w:val="00E37667"/>
    <w:rsid w:val="00E41443"/>
    <w:rsid w:val="00E4251A"/>
    <w:rsid w:val="00E426E8"/>
    <w:rsid w:val="00E453E3"/>
    <w:rsid w:val="00E46221"/>
    <w:rsid w:val="00E474C1"/>
    <w:rsid w:val="00E517CB"/>
    <w:rsid w:val="00E519DE"/>
    <w:rsid w:val="00E525D7"/>
    <w:rsid w:val="00E5372C"/>
    <w:rsid w:val="00E54501"/>
    <w:rsid w:val="00E54954"/>
    <w:rsid w:val="00E6151D"/>
    <w:rsid w:val="00E624EE"/>
    <w:rsid w:val="00E63222"/>
    <w:rsid w:val="00E64762"/>
    <w:rsid w:val="00E6578C"/>
    <w:rsid w:val="00E6746E"/>
    <w:rsid w:val="00E70160"/>
    <w:rsid w:val="00E7045D"/>
    <w:rsid w:val="00E70BE9"/>
    <w:rsid w:val="00E749BB"/>
    <w:rsid w:val="00E75455"/>
    <w:rsid w:val="00E764B9"/>
    <w:rsid w:val="00E8049E"/>
    <w:rsid w:val="00E80D3A"/>
    <w:rsid w:val="00E81315"/>
    <w:rsid w:val="00E81E54"/>
    <w:rsid w:val="00E822A9"/>
    <w:rsid w:val="00E8352F"/>
    <w:rsid w:val="00E84434"/>
    <w:rsid w:val="00E85FDE"/>
    <w:rsid w:val="00E912C7"/>
    <w:rsid w:val="00E91F53"/>
    <w:rsid w:val="00E92309"/>
    <w:rsid w:val="00E9245C"/>
    <w:rsid w:val="00E936E4"/>
    <w:rsid w:val="00E95084"/>
    <w:rsid w:val="00E95F27"/>
    <w:rsid w:val="00E9612D"/>
    <w:rsid w:val="00EA0293"/>
    <w:rsid w:val="00EA1FAC"/>
    <w:rsid w:val="00EA2DAC"/>
    <w:rsid w:val="00EA3405"/>
    <w:rsid w:val="00EA3664"/>
    <w:rsid w:val="00EA37C5"/>
    <w:rsid w:val="00EA521F"/>
    <w:rsid w:val="00EA739B"/>
    <w:rsid w:val="00EB019F"/>
    <w:rsid w:val="00EB76F1"/>
    <w:rsid w:val="00EC1CAA"/>
    <w:rsid w:val="00EC321D"/>
    <w:rsid w:val="00EC56D3"/>
    <w:rsid w:val="00EC5859"/>
    <w:rsid w:val="00ED2FEB"/>
    <w:rsid w:val="00ED3669"/>
    <w:rsid w:val="00ED396D"/>
    <w:rsid w:val="00ED3983"/>
    <w:rsid w:val="00ED50A8"/>
    <w:rsid w:val="00ED575B"/>
    <w:rsid w:val="00ED617C"/>
    <w:rsid w:val="00ED6EFA"/>
    <w:rsid w:val="00ED7A1B"/>
    <w:rsid w:val="00EE23F6"/>
    <w:rsid w:val="00EE2CFE"/>
    <w:rsid w:val="00EE44AC"/>
    <w:rsid w:val="00EE539B"/>
    <w:rsid w:val="00EE7B39"/>
    <w:rsid w:val="00EF447C"/>
    <w:rsid w:val="00F001CB"/>
    <w:rsid w:val="00F02A72"/>
    <w:rsid w:val="00F03A39"/>
    <w:rsid w:val="00F047D8"/>
    <w:rsid w:val="00F0564A"/>
    <w:rsid w:val="00F07711"/>
    <w:rsid w:val="00F10806"/>
    <w:rsid w:val="00F1426E"/>
    <w:rsid w:val="00F143C7"/>
    <w:rsid w:val="00F20BA4"/>
    <w:rsid w:val="00F21AC9"/>
    <w:rsid w:val="00F21D29"/>
    <w:rsid w:val="00F249DD"/>
    <w:rsid w:val="00F268C6"/>
    <w:rsid w:val="00F27C2C"/>
    <w:rsid w:val="00F361EC"/>
    <w:rsid w:val="00F37414"/>
    <w:rsid w:val="00F41B96"/>
    <w:rsid w:val="00F42A21"/>
    <w:rsid w:val="00F42CF1"/>
    <w:rsid w:val="00F46BA0"/>
    <w:rsid w:val="00F47489"/>
    <w:rsid w:val="00F479F2"/>
    <w:rsid w:val="00F509E1"/>
    <w:rsid w:val="00F5159E"/>
    <w:rsid w:val="00F52FC2"/>
    <w:rsid w:val="00F534C0"/>
    <w:rsid w:val="00F56075"/>
    <w:rsid w:val="00F5711A"/>
    <w:rsid w:val="00F579F4"/>
    <w:rsid w:val="00F57A72"/>
    <w:rsid w:val="00F57A85"/>
    <w:rsid w:val="00F61FA1"/>
    <w:rsid w:val="00F63DF7"/>
    <w:rsid w:val="00F70B6A"/>
    <w:rsid w:val="00F713A8"/>
    <w:rsid w:val="00F71F42"/>
    <w:rsid w:val="00F72054"/>
    <w:rsid w:val="00F73211"/>
    <w:rsid w:val="00F75871"/>
    <w:rsid w:val="00F771A9"/>
    <w:rsid w:val="00F81398"/>
    <w:rsid w:val="00F8143A"/>
    <w:rsid w:val="00F82A05"/>
    <w:rsid w:val="00F82DAF"/>
    <w:rsid w:val="00F8639A"/>
    <w:rsid w:val="00F87DAF"/>
    <w:rsid w:val="00F90846"/>
    <w:rsid w:val="00F93FF9"/>
    <w:rsid w:val="00F9414F"/>
    <w:rsid w:val="00F944DA"/>
    <w:rsid w:val="00F95CF3"/>
    <w:rsid w:val="00F96A47"/>
    <w:rsid w:val="00F97F10"/>
    <w:rsid w:val="00FA074B"/>
    <w:rsid w:val="00FA07D3"/>
    <w:rsid w:val="00FA0DC3"/>
    <w:rsid w:val="00FA22DA"/>
    <w:rsid w:val="00FA2936"/>
    <w:rsid w:val="00FA3617"/>
    <w:rsid w:val="00FA7B8D"/>
    <w:rsid w:val="00FA7EEB"/>
    <w:rsid w:val="00FB1FDB"/>
    <w:rsid w:val="00FB2215"/>
    <w:rsid w:val="00FB45DE"/>
    <w:rsid w:val="00FB4A11"/>
    <w:rsid w:val="00FB5640"/>
    <w:rsid w:val="00FB622A"/>
    <w:rsid w:val="00FB75CD"/>
    <w:rsid w:val="00FC0167"/>
    <w:rsid w:val="00FC167E"/>
    <w:rsid w:val="00FC3AA4"/>
    <w:rsid w:val="00FC7299"/>
    <w:rsid w:val="00FD027A"/>
    <w:rsid w:val="00FD18C4"/>
    <w:rsid w:val="00FD3764"/>
    <w:rsid w:val="00FD474C"/>
    <w:rsid w:val="00FD5073"/>
    <w:rsid w:val="00FD7334"/>
    <w:rsid w:val="00FD797D"/>
    <w:rsid w:val="00FE154E"/>
    <w:rsid w:val="00FE1831"/>
    <w:rsid w:val="00FE2C7B"/>
    <w:rsid w:val="00FE31B1"/>
    <w:rsid w:val="00FE476B"/>
    <w:rsid w:val="00FE5B8B"/>
    <w:rsid w:val="00FF2CD7"/>
    <w:rsid w:val="00FF3BED"/>
    <w:rsid w:val="00FF3C84"/>
    <w:rsid w:val="00FF4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7E7E"/>
  <w15:chartTrackingRefBased/>
  <w15:docId w15:val="{C9218D1F-99E5-4BBD-A7DF-89C81F90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20AC"/>
    <w:pPr>
      <w:spacing w:after="200" w:line="276" w:lineRule="auto"/>
      <w:jc w:val="both"/>
    </w:pPr>
    <w:rPr>
      <w:rFonts w:ascii="Arial" w:hAnsi="Arial"/>
      <w:sz w:val="22"/>
      <w:szCs w:val="22"/>
      <w:lang w:eastAsia="en-US"/>
    </w:rPr>
  </w:style>
  <w:style w:type="paragraph" w:styleId="Naslov1">
    <w:name w:val="heading 1"/>
    <w:aliases w:val="CHAPTERS,Naslov 1 raven"/>
    <w:basedOn w:val="Navaden"/>
    <w:next w:val="Navaden"/>
    <w:link w:val="Naslov1Znak"/>
    <w:uiPriority w:val="9"/>
    <w:qFormat/>
    <w:rsid w:val="00A579FC"/>
    <w:pPr>
      <w:keepNext/>
      <w:spacing w:before="360" w:after="60" w:line="240" w:lineRule="auto"/>
      <w:outlineLvl w:val="0"/>
    </w:pPr>
    <w:rPr>
      <w:rFonts w:eastAsia="Times New Roman"/>
      <w:b/>
      <w:color w:val="3A4A3E"/>
      <w:kern w:val="28"/>
      <w:sz w:val="28"/>
      <w:szCs w:val="20"/>
      <w:lang w:eastAsia="x-none"/>
    </w:rPr>
  </w:style>
  <w:style w:type="paragraph" w:styleId="Naslov2">
    <w:name w:val="heading 2"/>
    <w:aliases w:val="CHAPTER LVL 2,Naslov 2 raven"/>
    <w:basedOn w:val="Navaden"/>
    <w:next w:val="Navaden"/>
    <w:link w:val="Naslov2Znak"/>
    <w:uiPriority w:val="9"/>
    <w:qFormat/>
    <w:rsid w:val="00A579FC"/>
    <w:pPr>
      <w:keepNext/>
      <w:spacing w:before="240" w:after="60" w:line="240" w:lineRule="auto"/>
      <w:outlineLvl w:val="1"/>
    </w:pPr>
    <w:rPr>
      <w:rFonts w:eastAsia="Times New Roman"/>
      <w:b/>
      <w:sz w:val="28"/>
      <w:szCs w:val="20"/>
      <w:lang w:eastAsia="x-none"/>
    </w:rPr>
  </w:style>
  <w:style w:type="paragraph" w:styleId="Naslov3">
    <w:name w:val="heading 3"/>
    <w:basedOn w:val="Navaden"/>
    <w:next w:val="Navaden"/>
    <w:link w:val="Naslov3Znak"/>
    <w:uiPriority w:val="9"/>
    <w:qFormat/>
    <w:rsid w:val="00A520AC"/>
    <w:pPr>
      <w:keepNext/>
      <w:spacing w:before="240" w:after="60" w:line="240" w:lineRule="auto"/>
      <w:outlineLvl w:val="2"/>
    </w:pPr>
    <w:rPr>
      <w:rFonts w:eastAsia="Times New Roman"/>
      <w:b/>
      <w:sz w:val="24"/>
      <w:szCs w:val="20"/>
      <w:lang w:eastAsia="x-none"/>
    </w:rPr>
  </w:style>
  <w:style w:type="paragraph" w:styleId="Naslov4">
    <w:name w:val="heading 4"/>
    <w:basedOn w:val="Navaden"/>
    <w:next w:val="Navaden"/>
    <w:link w:val="Naslov4Znak"/>
    <w:qFormat/>
    <w:rsid w:val="00C61B3B"/>
    <w:pPr>
      <w:spacing w:after="0" w:line="240" w:lineRule="auto"/>
      <w:outlineLvl w:val="3"/>
    </w:pPr>
    <w:rPr>
      <w:rFonts w:ascii="CG Times (W1)" w:eastAsia="Times New Roman" w:hAnsi="CG Times (W1)"/>
      <w:sz w:val="24"/>
      <w:szCs w:val="20"/>
      <w:u w:val="single"/>
      <w:lang w:val="x-none"/>
    </w:rPr>
  </w:style>
  <w:style w:type="paragraph" w:styleId="Naslov5">
    <w:name w:val="heading 5"/>
    <w:basedOn w:val="Navaden"/>
    <w:next w:val="Navaden"/>
    <w:link w:val="Naslov5Znak"/>
    <w:qFormat/>
    <w:rsid w:val="00C61B3B"/>
    <w:pPr>
      <w:spacing w:after="0" w:line="240" w:lineRule="auto"/>
      <w:outlineLvl w:val="4"/>
    </w:pPr>
    <w:rPr>
      <w:rFonts w:ascii="CG Times (W1)" w:eastAsia="Times New Roman" w:hAnsi="CG Times (W1)"/>
      <w:b/>
      <w:sz w:val="24"/>
      <w:szCs w:val="20"/>
      <w:lang w:val="x-none"/>
    </w:rPr>
  </w:style>
  <w:style w:type="paragraph" w:styleId="Naslov6">
    <w:name w:val="heading 6"/>
    <w:basedOn w:val="Navaden"/>
    <w:next w:val="Navaden"/>
    <w:link w:val="Naslov6Znak"/>
    <w:qFormat/>
    <w:rsid w:val="00C61B3B"/>
    <w:pPr>
      <w:spacing w:after="0" w:line="240" w:lineRule="auto"/>
      <w:outlineLvl w:val="5"/>
    </w:pPr>
    <w:rPr>
      <w:rFonts w:ascii="CG Times (W1)" w:eastAsia="Times New Roman" w:hAnsi="CG Times (W1)"/>
      <w:sz w:val="24"/>
      <w:szCs w:val="20"/>
      <w:u w:val="single"/>
      <w:lang w:val="x-none"/>
    </w:rPr>
  </w:style>
  <w:style w:type="paragraph" w:styleId="Naslov7">
    <w:name w:val="heading 7"/>
    <w:basedOn w:val="Navaden"/>
    <w:next w:val="Navaden"/>
    <w:link w:val="Naslov7Znak"/>
    <w:qFormat/>
    <w:rsid w:val="00C61B3B"/>
    <w:pPr>
      <w:spacing w:after="0" w:line="240" w:lineRule="auto"/>
      <w:outlineLvl w:val="6"/>
    </w:pPr>
    <w:rPr>
      <w:rFonts w:ascii="CG Times (W1)" w:eastAsia="Times New Roman" w:hAnsi="CG Times (W1)"/>
      <w:i/>
      <w:sz w:val="24"/>
      <w:szCs w:val="20"/>
      <w:lang w:val="x-none"/>
    </w:rPr>
  </w:style>
  <w:style w:type="paragraph" w:styleId="Naslov8">
    <w:name w:val="heading 8"/>
    <w:basedOn w:val="Navaden"/>
    <w:next w:val="Navaden"/>
    <w:link w:val="Naslov8Znak"/>
    <w:qFormat/>
    <w:rsid w:val="00C61B3B"/>
    <w:pPr>
      <w:spacing w:after="0" w:line="240" w:lineRule="auto"/>
      <w:outlineLvl w:val="7"/>
    </w:pPr>
    <w:rPr>
      <w:rFonts w:ascii="CG Times (W1)" w:eastAsia="Times New Roman" w:hAnsi="CG Times (W1)"/>
      <w:i/>
      <w:sz w:val="24"/>
      <w:szCs w:val="20"/>
      <w:lang w:val="x-none"/>
    </w:rPr>
  </w:style>
  <w:style w:type="paragraph" w:styleId="Naslov9">
    <w:name w:val="heading 9"/>
    <w:basedOn w:val="Navaden"/>
    <w:next w:val="Navaden"/>
    <w:link w:val="Naslov9Znak"/>
    <w:qFormat/>
    <w:rsid w:val="00C61B3B"/>
    <w:pPr>
      <w:spacing w:after="0" w:line="240" w:lineRule="auto"/>
      <w:outlineLvl w:val="8"/>
    </w:pPr>
    <w:rPr>
      <w:rFonts w:ascii="CG Times (W1)" w:eastAsia="Times New Roman" w:hAnsi="CG Times (W1)"/>
      <w:i/>
      <w:sz w:val="24"/>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CHAPTERS Znak,Naslov 1 raven Znak"/>
    <w:link w:val="Naslov1"/>
    <w:uiPriority w:val="9"/>
    <w:rsid w:val="00A579FC"/>
    <w:rPr>
      <w:rFonts w:ascii="Arial" w:eastAsia="Times New Roman" w:hAnsi="Arial"/>
      <w:b/>
      <w:color w:val="3A4A3E"/>
      <w:kern w:val="28"/>
      <w:sz w:val="28"/>
      <w:lang w:val="sl-SI"/>
    </w:rPr>
  </w:style>
  <w:style w:type="character" w:customStyle="1" w:styleId="Naslov2Znak">
    <w:name w:val="Naslov 2 Znak"/>
    <w:aliases w:val="CHAPTER LVL 2 Znak,Naslov 2 raven Znak"/>
    <w:link w:val="Naslov2"/>
    <w:uiPriority w:val="9"/>
    <w:rsid w:val="00A579FC"/>
    <w:rPr>
      <w:rFonts w:ascii="Arial" w:eastAsia="Times New Roman" w:hAnsi="Arial"/>
      <w:b/>
      <w:sz w:val="28"/>
      <w:lang w:val="sl-SI"/>
    </w:rPr>
  </w:style>
  <w:style w:type="character" w:customStyle="1" w:styleId="Naslov3Znak">
    <w:name w:val="Naslov 3 Znak"/>
    <w:link w:val="Naslov3"/>
    <w:uiPriority w:val="9"/>
    <w:rsid w:val="00A520AC"/>
    <w:rPr>
      <w:rFonts w:ascii="Arial" w:eastAsia="Times New Roman" w:hAnsi="Arial"/>
      <w:b/>
      <w:sz w:val="24"/>
      <w:lang w:val="sl-SI"/>
    </w:rPr>
  </w:style>
  <w:style w:type="character" w:customStyle="1" w:styleId="Naslov4Znak">
    <w:name w:val="Naslov 4 Znak"/>
    <w:link w:val="Naslov4"/>
    <w:rsid w:val="00C61B3B"/>
    <w:rPr>
      <w:rFonts w:ascii="CG Times (W1)" w:eastAsia="Times New Roman" w:hAnsi="CG Times (W1)"/>
      <w:sz w:val="24"/>
      <w:u w:val="single"/>
      <w:lang w:eastAsia="en-US"/>
    </w:rPr>
  </w:style>
  <w:style w:type="character" w:customStyle="1" w:styleId="Naslov5Znak">
    <w:name w:val="Naslov 5 Znak"/>
    <w:link w:val="Naslov5"/>
    <w:rsid w:val="00C61B3B"/>
    <w:rPr>
      <w:rFonts w:ascii="CG Times (W1)" w:eastAsia="Times New Roman" w:hAnsi="CG Times (W1)"/>
      <w:b/>
      <w:sz w:val="24"/>
      <w:lang w:eastAsia="en-US"/>
    </w:rPr>
  </w:style>
  <w:style w:type="character" w:customStyle="1" w:styleId="Naslov6Znak">
    <w:name w:val="Naslov 6 Znak"/>
    <w:link w:val="Naslov6"/>
    <w:rsid w:val="00C61B3B"/>
    <w:rPr>
      <w:rFonts w:ascii="CG Times (W1)" w:eastAsia="Times New Roman" w:hAnsi="CG Times (W1)"/>
      <w:sz w:val="24"/>
      <w:u w:val="single"/>
      <w:lang w:eastAsia="en-US"/>
    </w:rPr>
  </w:style>
  <w:style w:type="character" w:customStyle="1" w:styleId="Naslov7Znak">
    <w:name w:val="Naslov 7 Znak"/>
    <w:link w:val="Naslov7"/>
    <w:rsid w:val="00C61B3B"/>
    <w:rPr>
      <w:rFonts w:ascii="CG Times (W1)" w:eastAsia="Times New Roman" w:hAnsi="CG Times (W1)"/>
      <w:i/>
      <w:sz w:val="24"/>
      <w:lang w:eastAsia="en-US"/>
    </w:rPr>
  </w:style>
  <w:style w:type="character" w:customStyle="1" w:styleId="Naslov8Znak">
    <w:name w:val="Naslov 8 Znak"/>
    <w:link w:val="Naslov8"/>
    <w:rsid w:val="00C61B3B"/>
    <w:rPr>
      <w:rFonts w:ascii="CG Times (W1)" w:eastAsia="Times New Roman" w:hAnsi="CG Times (W1)"/>
      <w:i/>
      <w:sz w:val="24"/>
      <w:lang w:eastAsia="en-US"/>
    </w:rPr>
  </w:style>
  <w:style w:type="character" w:customStyle="1" w:styleId="Naslov9Znak">
    <w:name w:val="Naslov 9 Znak"/>
    <w:link w:val="Naslov9"/>
    <w:rsid w:val="00C61B3B"/>
    <w:rPr>
      <w:rFonts w:ascii="CG Times (W1)" w:eastAsia="Times New Roman" w:hAnsi="CG Times (W1)"/>
      <w:i/>
      <w:sz w:val="24"/>
      <w:lang w:eastAsia="en-US"/>
    </w:rPr>
  </w:style>
  <w:style w:type="paragraph" w:styleId="Telobesedila">
    <w:name w:val="Body Text"/>
    <w:basedOn w:val="Navaden"/>
    <w:link w:val="TelobesedilaZnak1"/>
    <w:rsid w:val="00C61B3B"/>
    <w:pPr>
      <w:tabs>
        <w:tab w:val="left" w:pos="-1092"/>
        <w:tab w:val="left" w:pos="-720"/>
        <w:tab w:val="left" w:pos="1"/>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lang w:val="x-none"/>
    </w:rPr>
  </w:style>
  <w:style w:type="character" w:customStyle="1" w:styleId="TelobesedilaZnak">
    <w:name w:val="Telo besedila Znak"/>
    <w:uiPriority w:val="99"/>
    <w:semiHidden/>
    <w:rsid w:val="00C61B3B"/>
    <w:rPr>
      <w:sz w:val="22"/>
      <w:szCs w:val="22"/>
      <w:lang w:eastAsia="en-US"/>
    </w:rPr>
  </w:style>
  <w:style w:type="character" w:customStyle="1" w:styleId="TelobesedilaZnak1">
    <w:name w:val="Telo besedila Znak1"/>
    <w:link w:val="Telobesedila"/>
    <w:rsid w:val="00C61B3B"/>
    <w:rPr>
      <w:rFonts w:ascii="Times New Roman" w:eastAsia="Times New Roman" w:hAnsi="Times New Roman"/>
      <w:sz w:val="24"/>
      <w:lang w:eastAsia="en-US"/>
    </w:rPr>
  </w:style>
  <w:style w:type="paragraph" w:styleId="Odstavekseznama">
    <w:name w:val="List Paragraph"/>
    <w:basedOn w:val="Navaden"/>
    <w:uiPriority w:val="34"/>
    <w:qFormat/>
    <w:rsid w:val="00C61B3B"/>
    <w:pPr>
      <w:spacing w:after="0" w:line="240" w:lineRule="auto"/>
      <w:ind w:left="720"/>
      <w:contextualSpacing/>
    </w:pPr>
    <w:rPr>
      <w:rFonts w:ascii="CG Times (W1)" w:eastAsia="Times New Roman" w:hAnsi="CG Times (W1)"/>
      <w:sz w:val="24"/>
      <w:szCs w:val="20"/>
    </w:rPr>
  </w:style>
  <w:style w:type="character" w:styleId="Pripombasklic">
    <w:name w:val="annotation reference"/>
    <w:uiPriority w:val="99"/>
    <w:unhideWhenUsed/>
    <w:rsid w:val="0016660F"/>
    <w:rPr>
      <w:sz w:val="16"/>
      <w:szCs w:val="16"/>
    </w:rPr>
  </w:style>
  <w:style w:type="paragraph" w:styleId="Pripombabesedilo">
    <w:name w:val="annotation text"/>
    <w:basedOn w:val="Navaden"/>
    <w:link w:val="PripombabesediloZnak"/>
    <w:uiPriority w:val="99"/>
    <w:unhideWhenUsed/>
    <w:rsid w:val="0016660F"/>
    <w:rPr>
      <w:rFonts w:ascii="Calibri" w:hAnsi="Calibri"/>
      <w:sz w:val="20"/>
      <w:szCs w:val="20"/>
      <w:lang w:val="x-none"/>
    </w:rPr>
  </w:style>
  <w:style w:type="character" w:customStyle="1" w:styleId="PripombabesediloZnak">
    <w:name w:val="Pripomba – besedilo Znak"/>
    <w:link w:val="Pripombabesedilo"/>
    <w:uiPriority w:val="99"/>
    <w:rsid w:val="0016660F"/>
    <w:rPr>
      <w:lang w:eastAsia="en-US"/>
    </w:rPr>
  </w:style>
  <w:style w:type="paragraph" w:styleId="Zadevapripombe">
    <w:name w:val="annotation subject"/>
    <w:basedOn w:val="Pripombabesedilo"/>
    <w:next w:val="Pripombabesedilo"/>
    <w:link w:val="ZadevapripombeZnak"/>
    <w:uiPriority w:val="99"/>
    <w:semiHidden/>
    <w:unhideWhenUsed/>
    <w:rsid w:val="0016660F"/>
    <w:rPr>
      <w:b/>
      <w:bCs/>
    </w:rPr>
  </w:style>
  <w:style w:type="character" w:customStyle="1" w:styleId="ZadevapripombeZnak">
    <w:name w:val="Zadeva pripombe Znak"/>
    <w:link w:val="Zadevapripombe"/>
    <w:uiPriority w:val="99"/>
    <w:semiHidden/>
    <w:rsid w:val="0016660F"/>
    <w:rPr>
      <w:b/>
      <w:bCs/>
      <w:lang w:eastAsia="en-US"/>
    </w:rPr>
  </w:style>
  <w:style w:type="paragraph" w:styleId="Besedilooblaka">
    <w:name w:val="Balloon Text"/>
    <w:basedOn w:val="Navaden"/>
    <w:link w:val="BesedilooblakaZnak"/>
    <w:uiPriority w:val="99"/>
    <w:semiHidden/>
    <w:unhideWhenUsed/>
    <w:rsid w:val="0016660F"/>
    <w:pPr>
      <w:spacing w:after="0" w:line="240" w:lineRule="auto"/>
    </w:pPr>
    <w:rPr>
      <w:rFonts w:ascii="Segoe UI" w:hAnsi="Segoe UI"/>
      <w:sz w:val="18"/>
      <w:szCs w:val="18"/>
      <w:lang w:val="x-none"/>
    </w:rPr>
  </w:style>
  <w:style w:type="character" w:customStyle="1" w:styleId="BesedilooblakaZnak">
    <w:name w:val="Besedilo oblačka Znak"/>
    <w:link w:val="Besedilooblaka"/>
    <w:uiPriority w:val="99"/>
    <w:semiHidden/>
    <w:rsid w:val="0016660F"/>
    <w:rPr>
      <w:rFonts w:ascii="Segoe UI" w:hAnsi="Segoe UI" w:cs="Segoe UI"/>
      <w:sz w:val="18"/>
      <w:szCs w:val="18"/>
      <w:lang w:eastAsia="en-US"/>
    </w:rPr>
  </w:style>
  <w:style w:type="paragraph" w:styleId="Sprotnaopomba-besedilo">
    <w:name w:val="footnote text"/>
    <w:basedOn w:val="Navaden"/>
    <w:link w:val="Sprotnaopomba-besediloZnak"/>
    <w:uiPriority w:val="99"/>
    <w:unhideWhenUsed/>
    <w:rsid w:val="002D59F6"/>
    <w:rPr>
      <w:rFonts w:ascii="Calibri" w:hAnsi="Calibri"/>
      <w:sz w:val="20"/>
      <w:szCs w:val="20"/>
      <w:lang w:val="x-none"/>
    </w:rPr>
  </w:style>
  <w:style w:type="character" w:customStyle="1" w:styleId="Sprotnaopomba-besediloZnak">
    <w:name w:val="Sprotna opomba - besedilo Znak"/>
    <w:link w:val="Sprotnaopomba-besedilo"/>
    <w:uiPriority w:val="99"/>
    <w:rsid w:val="002D59F6"/>
    <w:rPr>
      <w:lang w:eastAsia="en-US"/>
    </w:rPr>
  </w:style>
  <w:style w:type="character" w:styleId="Sprotnaopomba-sklic">
    <w:name w:val="footnote reference"/>
    <w:aliases w:val="Footnote symbol,Fussnota,SUPERS,-E Fußnotenzeichen,ESPON Footnote No,Footnote reference number,note TESI,EN Footnote Reference,Footnote1,number,Times 10 Point,Exposant 3 Point,Footnote Reference_LVL6,Footnote Reference_LVL61,E..."/>
    <w:uiPriority w:val="99"/>
    <w:unhideWhenUsed/>
    <w:qFormat/>
    <w:rsid w:val="002D59F6"/>
    <w:rPr>
      <w:vertAlign w:val="superscript"/>
    </w:rPr>
  </w:style>
  <w:style w:type="character" w:styleId="Hiperpovezava">
    <w:name w:val="Hyperlink"/>
    <w:uiPriority w:val="99"/>
    <w:unhideWhenUsed/>
    <w:rsid w:val="00C974B3"/>
    <w:rPr>
      <w:color w:val="0000FF"/>
      <w:u w:val="single"/>
    </w:rPr>
  </w:style>
  <w:style w:type="paragraph" w:customStyle="1" w:styleId="odstavek">
    <w:name w:val="odstavek"/>
    <w:basedOn w:val="Navaden"/>
    <w:rsid w:val="009F46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odstavkom0">
    <w:name w:val="rkovnatokazaodstavkom"/>
    <w:basedOn w:val="Navaden"/>
    <w:rsid w:val="009F46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link w:val="OdstavekZnak"/>
    <w:qFormat/>
    <w:rsid w:val="00657035"/>
    <w:pPr>
      <w:overflowPunct w:val="0"/>
      <w:autoSpaceDE w:val="0"/>
      <w:autoSpaceDN w:val="0"/>
      <w:adjustRightInd w:val="0"/>
      <w:spacing w:before="240" w:after="0" w:line="240" w:lineRule="auto"/>
      <w:ind w:firstLine="1021"/>
      <w:textAlignment w:val="baseline"/>
    </w:pPr>
    <w:rPr>
      <w:rFonts w:eastAsia="Times New Roman"/>
      <w:lang w:val="x-none" w:eastAsia="x-none"/>
    </w:rPr>
  </w:style>
  <w:style w:type="character" w:customStyle="1" w:styleId="OdstavekZnak">
    <w:name w:val="Odstavek Znak"/>
    <w:link w:val="Odstavek0"/>
    <w:rsid w:val="00657035"/>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657035"/>
    <w:pPr>
      <w:numPr>
        <w:numId w:val="4"/>
      </w:numPr>
      <w:overflowPunct w:val="0"/>
      <w:autoSpaceDE w:val="0"/>
      <w:autoSpaceDN w:val="0"/>
      <w:adjustRightInd w:val="0"/>
      <w:spacing w:after="0" w:line="240" w:lineRule="auto"/>
      <w:contextualSpacing/>
      <w:textAlignment w:val="baseline"/>
    </w:pPr>
    <w:rPr>
      <w:rFonts w:eastAsia="Times New Roman"/>
      <w:lang w:val="x-none" w:eastAsia="x-none"/>
    </w:rPr>
  </w:style>
  <w:style w:type="character" w:customStyle="1" w:styleId="rkovnatokazaodstavkomZnak">
    <w:name w:val="Črkovna točka_za odstavkom Znak"/>
    <w:link w:val="rkovnatokazaodstavkom"/>
    <w:rsid w:val="00657035"/>
    <w:rPr>
      <w:rFonts w:ascii="Arial" w:eastAsia="Times New Roman" w:hAnsi="Arial" w:cs="Arial"/>
      <w:sz w:val="22"/>
      <w:szCs w:val="22"/>
    </w:rPr>
  </w:style>
  <w:style w:type="character" w:customStyle="1" w:styleId="cdata-unit">
    <w:name w:val="cdata-unit"/>
    <w:rsid w:val="00187811"/>
  </w:style>
  <w:style w:type="character" w:styleId="SledenaHiperpovezava">
    <w:name w:val="FollowedHyperlink"/>
    <w:uiPriority w:val="99"/>
    <w:semiHidden/>
    <w:unhideWhenUsed/>
    <w:rsid w:val="00504FC9"/>
    <w:rPr>
      <w:color w:val="954F72"/>
      <w:u w:val="single"/>
    </w:rPr>
  </w:style>
  <w:style w:type="paragraph" w:styleId="Navadensplet">
    <w:name w:val="Normal (Web)"/>
    <w:basedOn w:val="Navaden"/>
    <w:uiPriority w:val="99"/>
    <w:unhideWhenUsed/>
    <w:rsid w:val="00FE31B1"/>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uiPriority w:val="20"/>
    <w:qFormat/>
    <w:rsid w:val="00FE31B1"/>
    <w:rPr>
      <w:i/>
      <w:iCs/>
    </w:rPr>
  </w:style>
  <w:style w:type="paragraph" w:styleId="Revizija">
    <w:name w:val="Revision"/>
    <w:hidden/>
    <w:uiPriority w:val="99"/>
    <w:semiHidden/>
    <w:rsid w:val="00B35095"/>
    <w:rPr>
      <w:sz w:val="22"/>
      <w:szCs w:val="22"/>
      <w:lang w:eastAsia="en-US"/>
    </w:rPr>
  </w:style>
  <w:style w:type="paragraph" w:customStyle="1" w:styleId="len">
    <w:name w:val="len"/>
    <w:basedOn w:val="Navaden"/>
    <w:rsid w:val="00F02A7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02A72"/>
    <w:pPr>
      <w:spacing w:before="100" w:beforeAutospacing="1" w:after="100" w:afterAutospacing="1" w:line="240" w:lineRule="auto"/>
    </w:pPr>
    <w:rPr>
      <w:rFonts w:ascii="Times New Roman" w:eastAsia="Times New Roman" w:hAnsi="Times New Roman"/>
      <w:sz w:val="24"/>
      <w:szCs w:val="24"/>
      <w:lang w:eastAsia="sl-SI"/>
    </w:rPr>
  </w:style>
  <w:style w:type="paragraph" w:styleId="NaslovTOC">
    <w:name w:val="TOC Heading"/>
    <w:basedOn w:val="Naslov1"/>
    <w:next w:val="Navaden"/>
    <w:uiPriority w:val="39"/>
    <w:unhideWhenUsed/>
    <w:qFormat/>
    <w:rsid w:val="0031028C"/>
    <w:pPr>
      <w:keepLines/>
      <w:tabs>
        <w:tab w:val="num" w:pos="360"/>
      </w:tabs>
      <w:spacing w:before="120" w:after="120" w:line="288" w:lineRule="auto"/>
      <w:outlineLvl w:val="9"/>
    </w:pPr>
    <w:rPr>
      <w:rFonts w:ascii="Calibri Light" w:hAnsi="Calibri Light"/>
      <w:b w:val="0"/>
      <w:kern w:val="0"/>
      <w:sz w:val="32"/>
      <w:szCs w:val="32"/>
    </w:rPr>
  </w:style>
  <w:style w:type="paragraph" w:styleId="Kazalovsebine1">
    <w:name w:val="toc 1"/>
    <w:basedOn w:val="Navaden"/>
    <w:next w:val="Navaden"/>
    <w:autoRedefine/>
    <w:uiPriority w:val="39"/>
    <w:unhideWhenUsed/>
    <w:qFormat/>
    <w:rsid w:val="00390EFB"/>
    <w:pPr>
      <w:spacing w:before="360" w:after="0"/>
      <w:jc w:val="left"/>
    </w:pPr>
    <w:rPr>
      <w:rFonts w:ascii="Cambria" w:hAnsi="Cambria"/>
      <w:b/>
      <w:bCs/>
      <w:caps/>
      <w:sz w:val="24"/>
      <w:szCs w:val="24"/>
    </w:rPr>
  </w:style>
  <w:style w:type="paragraph" w:styleId="Kazalovsebine2">
    <w:name w:val="toc 2"/>
    <w:basedOn w:val="Navaden"/>
    <w:next w:val="Navaden"/>
    <w:autoRedefine/>
    <w:uiPriority w:val="39"/>
    <w:unhideWhenUsed/>
    <w:qFormat/>
    <w:rsid w:val="00E453E3"/>
    <w:pPr>
      <w:spacing w:before="240" w:after="0"/>
      <w:jc w:val="left"/>
    </w:pPr>
    <w:rPr>
      <w:rFonts w:ascii="Calibri" w:hAnsi="Calibri" w:cs="Calibri"/>
      <w:b/>
      <w:bCs/>
      <w:sz w:val="20"/>
      <w:szCs w:val="20"/>
    </w:rPr>
  </w:style>
  <w:style w:type="paragraph" w:styleId="Kazalovsebine3">
    <w:name w:val="toc 3"/>
    <w:basedOn w:val="Navaden"/>
    <w:next w:val="Navaden"/>
    <w:autoRedefine/>
    <w:uiPriority w:val="39"/>
    <w:unhideWhenUsed/>
    <w:qFormat/>
    <w:rsid w:val="0031028C"/>
    <w:pPr>
      <w:spacing w:after="0"/>
      <w:ind w:left="220"/>
      <w:jc w:val="left"/>
    </w:pPr>
    <w:rPr>
      <w:rFonts w:ascii="Calibri" w:hAnsi="Calibri" w:cs="Calibri"/>
      <w:sz w:val="20"/>
      <w:szCs w:val="20"/>
    </w:rPr>
  </w:style>
  <w:style w:type="table" w:customStyle="1" w:styleId="ListTable4-Accent11">
    <w:name w:val="List Table 4 - Accent 11"/>
    <w:basedOn w:val="Navadnatabela"/>
    <w:uiPriority w:val="49"/>
    <w:rsid w:val="0031028C"/>
    <w:pPr>
      <w:spacing w:before="160"/>
      <w:jc w:val="both"/>
    </w:pPr>
    <w:rPr>
      <w:rFonts w:ascii="Arial" w:eastAsia="Arial" w:hAnsi="Arial" w:cs="Arial"/>
      <w:sz w:val="22"/>
      <w:szCs w:val="22"/>
      <w:lang w:eastAsia="en-US"/>
    </w:rPr>
    <w:tblPr>
      <w:tblStyleRowBandSize w:val="1"/>
      <w:tblStyleColBandSize w:val="1"/>
      <w:tblBorders>
        <w:top w:val="single" w:sz="4" w:space="0" w:color="809A87"/>
        <w:left w:val="single" w:sz="4" w:space="0" w:color="809A87"/>
        <w:bottom w:val="single" w:sz="4" w:space="0" w:color="809A87"/>
        <w:right w:val="single" w:sz="4" w:space="0" w:color="809A87"/>
        <w:insideH w:val="single" w:sz="4" w:space="0" w:color="809A87"/>
      </w:tblBorders>
    </w:tblPr>
    <w:tblStylePr w:type="firstRow">
      <w:rPr>
        <w:b/>
        <w:bCs/>
        <w:color w:val="F9F5F2"/>
      </w:rPr>
      <w:tblPr/>
      <w:tcPr>
        <w:tcBorders>
          <w:top w:val="single" w:sz="4" w:space="0" w:color="3A493E"/>
          <w:left w:val="single" w:sz="4" w:space="0" w:color="3A493E"/>
          <w:bottom w:val="single" w:sz="4" w:space="0" w:color="3A493E"/>
          <w:right w:val="single" w:sz="4" w:space="0" w:color="3A493E"/>
          <w:insideH w:val="nil"/>
        </w:tcBorders>
        <w:shd w:val="clear" w:color="auto" w:fill="3A493E"/>
      </w:tcPr>
    </w:tblStylePr>
    <w:tblStylePr w:type="lastRow">
      <w:rPr>
        <w:b/>
        <w:bCs/>
      </w:rPr>
      <w:tblPr/>
      <w:tcPr>
        <w:tcBorders>
          <w:top w:val="double" w:sz="4" w:space="0" w:color="809A87"/>
        </w:tcBorders>
      </w:tcPr>
    </w:tblStylePr>
    <w:tblStylePr w:type="firstCol">
      <w:rPr>
        <w:b/>
        <w:bCs/>
      </w:rPr>
    </w:tblStylePr>
    <w:tblStylePr w:type="lastCol">
      <w:rPr>
        <w:b/>
        <w:bCs/>
      </w:rPr>
    </w:tblStylePr>
    <w:tblStylePr w:type="band1Vert">
      <w:tblPr/>
      <w:tcPr>
        <w:shd w:val="clear" w:color="auto" w:fill="D4DDD6"/>
      </w:tcPr>
    </w:tblStylePr>
    <w:tblStylePr w:type="band1Horz">
      <w:tblPr/>
      <w:tcPr>
        <w:shd w:val="clear" w:color="auto" w:fill="D4DDD6"/>
      </w:tcPr>
    </w:tblStylePr>
  </w:style>
  <w:style w:type="character" w:customStyle="1" w:styleId="green">
    <w:name w:val="green"/>
    <w:rsid w:val="00D15AA3"/>
  </w:style>
  <w:style w:type="character" w:customStyle="1" w:styleId="PripombabesediloZnak1">
    <w:name w:val="Pripomba – besedilo Znak1"/>
    <w:uiPriority w:val="99"/>
    <w:rsid w:val="00BA7CAF"/>
    <w:rPr>
      <w:rFonts w:ascii="Arial" w:eastAsia="Times New Roman" w:hAnsi="Arial" w:cs="Times New Roman"/>
      <w:sz w:val="20"/>
      <w:szCs w:val="20"/>
    </w:rPr>
  </w:style>
  <w:style w:type="paragraph" w:styleId="Glava">
    <w:name w:val="header"/>
    <w:basedOn w:val="Navaden"/>
    <w:link w:val="GlavaZnak"/>
    <w:uiPriority w:val="99"/>
    <w:unhideWhenUsed/>
    <w:rsid w:val="006E360F"/>
    <w:pPr>
      <w:tabs>
        <w:tab w:val="center" w:pos="4536"/>
        <w:tab w:val="right" w:pos="9072"/>
      </w:tabs>
    </w:pPr>
    <w:rPr>
      <w:rFonts w:ascii="Calibri" w:hAnsi="Calibri"/>
      <w:lang w:val="x-none"/>
    </w:rPr>
  </w:style>
  <w:style w:type="character" w:customStyle="1" w:styleId="GlavaZnak">
    <w:name w:val="Glava Znak"/>
    <w:link w:val="Glava"/>
    <w:uiPriority w:val="99"/>
    <w:rsid w:val="006E360F"/>
    <w:rPr>
      <w:sz w:val="22"/>
      <w:szCs w:val="22"/>
      <w:lang w:eastAsia="en-US"/>
    </w:rPr>
  </w:style>
  <w:style w:type="paragraph" w:styleId="Noga">
    <w:name w:val="footer"/>
    <w:basedOn w:val="Navaden"/>
    <w:link w:val="NogaZnak"/>
    <w:uiPriority w:val="99"/>
    <w:unhideWhenUsed/>
    <w:rsid w:val="006E360F"/>
    <w:pPr>
      <w:tabs>
        <w:tab w:val="center" w:pos="4536"/>
        <w:tab w:val="right" w:pos="9072"/>
      </w:tabs>
    </w:pPr>
    <w:rPr>
      <w:rFonts w:ascii="Calibri" w:hAnsi="Calibri"/>
      <w:lang w:val="x-none"/>
    </w:rPr>
  </w:style>
  <w:style w:type="character" w:customStyle="1" w:styleId="NogaZnak">
    <w:name w:val="Noga Znak"/>
    <w:link w:val="Noga"/>
    <w:uiPriority w:val="99"/>
    <w:rsid w:val="006E360F"/>
    <w:rPr>
      <w:sz w:val="22"/>
      <w:szCs w:val="22"/>
      <w:lang w:eastAsia="en-US"/>
    </w:rPr>
  </w:style>
  <w:style w:type="character" w:customStyle="1" w:styleId="fontstyle01">
    <w:name w:val="fontstyle01"/>
    <w:rsid w:val="00787B9A"/>
    <w:rPr>
      <w:rFonts w:ascii="Arial" w:hAnsi="Arial" w:cs="Arial" w:hint="default"/>
      <w:b w:val="0"/>
      <w:bCs w:val="0"/>
      <w:i w:val="0"/>
      <w:iCs w:val="0"/>
      <w:color w:val="000000"/>
      <w:sz w:val="20"/>
      <w:szCs w:val="20"/>
    </w:rPr>
  </w:style>
  <w:style w:type="paragraph" w:customStyle="1" w:styleId="Slog1">
    <w:name w:val="Slog1"/>
    <w:basedOn w:val="Navaden"/>
    <w:next w:val="Naslov1"/>
    <w:link w:val="Slog1Znak"/>
    <w:qFormat/>
    <w:rsid w:val="00A579FC"/>
    <w:pPr>
      <w:spacing w:after="0"/>
    </w:pPr>
    <w:rPr>
      <w:rFonts w:eastAsia="Arial"/>
      <w:color w:val="385623"/>
      <w:sz w:val="40"/>
      <w:szCs w:val="40"/>
      <w:lang w:eastAsia="x-none"/>
    </w:rPr>
  </w:style>
  <w:style w:type="paragraph" w:styleId="Napis">
    <w:name w:val="caption"/>
    <w:basedOn w:val="Navaden"/>
    <w:next w:val="Navaden"/>
    <w:uiPriority w:val="35"/>
    <w:unhideWhenUsed/>
    <w:qFormat/>
    <w:rsid w:val="00584D80"/>
    <w:rPr>
      <w:b/>
      <w:bCs/>
      <w:sz w:val="20"/>
      <w:szCs w:val="20"/>
    </w:rPr>
  </w:style>
  <w:style w:type="character" w:customStyle="1" w:styleId="Slog1Znak">
    <w:name w:val="Slog1 Znak"/>
    <w:link w:val="Slog1"/>
    <w:rsid w:val="00A579FC"/>
    <w:rPr>
      <w:rFonts w:ascii="Arial" w:eastAsia="Arial" w:hAnsi="Arial" w:cs="Arial"/>
      <w:color w:val="385623"/>
      <w:sz w:val="40"/>
      <w:szCs w:val="40"/>
      <w:lang w:val="sl-SI"/>
    </w:rPr>
  </w:style>
  <w:style w:type="paragraph" w:styleId="Kazaloslik">
    <w:name w:val="table of figures"/>
    <w:basedOn w:val="Navaden"/>
    <w:next w:val="Navaden"/>
    <w:uiPriority w:val="99"/>
    <w:unhideWhenUsed/>
    <w:rsid w:val="00584D80"/>
    <w:pPr>
      <w:spacing w:after="0"/>
      <w:jc w:val="left"/>
    </w:pPr>
    <w:rPr>
      <w:rFonts w:ascii="Calibri" w:hAnsi="Calibri" w:cs="Calibri"/>
      <w:i/>
      <w:iCs/>
      <w:sz w:val="20"/>
      <w:szCs w:val="20"/>
    </w:rPr>
  </w:style>
  <w:style w:type="paragraph" w:styleId="Kazalovsebine4">
    <w:name w:val="toc 4"/>
    <w:basedOn w:val="Navaden"/>
    <w:next w:val="Navaden"/>
    <w:autoRedefine/>
    <w:uiPriority w:val="39"/>
    <w:unhideWhenUsed/>
    <w:rsid w:val="00390EFB"/>
    <w:pPr>
      <w:spacing w:after="0"/>
      <w:ind w:left="440"/>
      <w:jc w:val="left"/>
    </w:pPr>
    <w:rPr>
      <w:rFonts w:ascii="Calibri" w:hAnsi="Calibri" w:cs="Calibri"/>
      <w:sz w:val="20"/>
      <w:szCs w:val="20"/>
    </w:rPr>
  </w:style>
  <w:style w:type="paragraph" w:styleId="Kazalovsebine5">
    <w:name w:val="toc 5"/>
    <w:basedOn w:val="Navaden"/>
    <w:next w:val="Navaden"/>
    <w:autoRedefine/>
    <w:uiPriority w:val="39"/>
    <w:unhideWhenUsed/>
    <w:rsid w:val="00390EFB"/>
    <w:pPr>
      <w:spacing w:after="0"/>
      <w:ind w:left="660"/>
      <w:jc w:val="left"/>
    </w:pPr>
    <w:rPr>
      <w:rFonts w:ascii="Calibri" w:hAnsi="Calibri" w:cs="Calibri"/>
      <w:sz w:val="20"/>
      <w:szCs w:val="20"/>
    </w:rPr>
  </w:style>
  <w:style w:type="paragraph" w:styleId="Kazalovsebine6">
    <w:name w:val="toc 6"/>
    <w:basedOn w:val="Navaden"/>
    <w:next w:val="Navaden"/>
    <w:autoRedefine/>
    <w:uiPriority w:val="39"/>
    <w:unhideWhenUsed/>
    <w:rsid w:val="00390EFB"/>
    <w:pPr>
      <w:spacing w:after="0"/>
      <w:ind w:left="880"/>
      <w:jc w:val="left"/>
    </w:pPr>
    <w:rPr>
      <w:rFonts w:ascii="Calibri" w:hAnsi="Calibri" w:cs="Calibri"/>
      <w:sz w:val="20"/>
      <w:szCs w:val="20"/>
    </w:rPr>
  </w:style>
  <w:style w:type="paragraph" w:styleId="Kazalovsebine7">
    <w:name w:val="toc 7"/>
    <w:basedOn w:val="Navaden"/>
    <w:next w:val="Navaden"/>
    <w:autoRedefine/>
    <w:uiPriority w:val="39"/>
    <w:unhideWhenUsed/>
    <w:rsid w:val="00390EFB"/>
    <w:pPr>
      <w:spacing w:after="0"/>
      <w:ind w:left="1100"/>
      <w:jc w:val="left"/>
    </w:pPr>
    <w:rPr>
      <w:rFonts w:ascii="Calibri" w:hAnsi="Calibri" w:cs="Calibri"/>
      <w:sz w:val="20"/>
      <w:szCs w:val="20"/>
    </w:rPr>
  </w:style>
  <w:style w:type="paragraph" w:styleId="Kazalovsebine8">
    <w:name w:val="toc 8"/>
    <w:basedOn w:val="Navaden"/>
    <w:next w:val="Navaden"/>
    <w:autoRedefine/>
    <w:uiPriority w:val="39"/>
    <w:unhideWhenUsed/>
    <w:rsid w:val="00390EFB"/>
    <w:pPr>
      <w:spacing w:after="0"/>
      <w:ind w:left="1320"/>
      <w:jc w:val="left"/>
    </w:pPr>
    <w:rPr>
      <w:rFonts w:ascii="Calibri" w:hAnsi="Calibri" w:cs="Calibri"/>
      <w:sz w:val="20"/>
      <w:szCs w:val="20"/>
    </w:rPr>
  </w:style>
  <w:style w:type="paragraph" w:styleId="Kazalovsebine9">
    <w:name w:val="toc 9"/>
    <w:basedOn w:val="Navaden"/>
    <w:next w:val="Navaden"/>
    <w:autoRedefine/>
    <w:uiPriority w:val="39"/>
    <w:unhideWhenUsed/>
    <w:rsid w:val="00390EFB"/>
    <w:pPr>
      <w:spacing w:after="0"/>
      <w:ind w:left="1540"/>
      <w:jc w:val="left"/>
    </w:pPr>
    <w:rPr>
      <w:rFonts w:ascii="Calibri" w:hAnsi="Calibri" w:cs="Calibri"/>
      <w:sz w:val="20"/>
      <w:szCs w:val="20"/>
    </w:rPr>
  </w:style>
  <w:style w:type="character" w:styleId="Krepko">
    <w:name w:val="Strong"/>
    <w:uiPriority w:val="22"/>
    <w:qFormat/>
    <w:rsid w:val="00405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1916">
      <w:bodyDiv w:val="1"/>
      <w:marLeft w:val="0"/>
      <w:marRight w:val="0"/>
      <w:marTop w:val="0"/>
      <w:marBottom w:val="0"/>
      <w:divBdr>
        <w:top w:val="none" w:sz="0" w:space="0" w:color="auto"/>
        <w:left w:val="none" w:sz="0" w:space="0" w:color="auto"/>
        <w:bottom w:val="none" w:sz="0" w:space="0" w:color="auto"/>
        <w:right w:val="none" w:sz="0" w:space="0" w:color="auto"/>
      </w:divBdr>
    </w:div>
    <w:div w:id="33235502">
      <w:bodyDiv w:val="1"/>
      <w:marLeft w:val="0"/>
      <w:marRight w:val="0"/>
      <w:marTop w:val="0"/>
      <w:marBottom w:val="0"/>
      <w:divBdr>
        <w:top w:val="none" w:sz="0" w:space="0" w:color="auto"/>
        <w:left w:val="none" w:sz="0" w:space="0" w:color="auto"/>
        <w:bottom w:val="none" w:sz="0" w:space="0" w:color="auto"/>
        <w:right w:val="none" w:sz="0" w:space="0" w:color="auto"/>
      </w:divBdr>
    </w:div>
    <w:div w:id="84155824">
      <w:bodyDiv w:val="1"/>
      <w:marLeft w:val="0"/>
      <w:marRight w:val="0"/>
      <w:marTop w:val="0"/>
      <w:marBottom w:val="0"/>
      <w:divBdr>
        <w:top w:val="none" w:sz="0" w:space="0" w:color="auto"/>
        <w:left w:val="none" w:sz="0" w:space="0" w:color="auto"/>
        <w:bottom w:val="none" w:sz="0" w:space="0" w:color="auto"/>
        <w:right w:val="none" w:sz="0" w:space="0" w:color="auto"/>
      </w:divBdr>
    </w:div>
    <w:div w:id="230892843">
      <w:bodyDiv w:val="1"/>
      <w:marLeft w:val="0"/>
      <w:marRight w:val="0"/>
      <w:marTop w:val="0"/>
      <w:marBottom w:val="0"/>
      <w:divBdr>
        <w:top w:val="none" w:sz="0" w:space="0" w:color="auto"/>
        <w:left w:val="none" w:sz="0" w:space="0" w:color="auto"/>
        <w:bottom w:val="none" w:sz="0" w:space="0" w:color="auto"/>
        <w:right w:val="none" w:sz="0" w:space="0" w:color="auto"/>
      </w:divBdr>
    </w:div>
    <w:div w:id="259527297">
      <w:bodyDiv w:val="1"/>
      <w:marLeft w:val="0"/>
      <w:marRight w:val="0"/>
      <w:marTop w:val="0"/>
      <w:marBottom w:val="0"/>
      <w:divBdr>
        <w:top w:val="none" w:sz="0" w:space="0" w:color="auto"/>
        <w:left w:val="none" w:sz="0" w:space="0" w:color="auto"/>
        <w:bottom w:val="none" w:sz="0" w:space="0" w:color="auto"/>
        <w:right w:val="none" w:sz="0" w:space="0" w:color="auto"/>
      </w:divBdr>
    </w:div>
    <w:div w:id="266277846">
      <w:bodyDiv w:val="1"/>
      <w:marLeft w:val="0"/>
      <w:marRight w:val="0"/>
      <w:marTop w:val="0"/>
      <w:marBottom w:val="0"/>
      <w:divBdr>
        <w:top w:val="none" w:sz="0" w:space="0" w:color="auto"/>
        <w:left w:val="none" w:sz="0" w:space="0" w:color="auto"/>
        <w:bottom w:val="none" w:sz="0" w:space="0" w:color="auto"/>
        <w:right w:val="none" w:sz="0" w:space="0" w:color="auto"/>
      </w:divBdr>
    </w:div>
    <w:div w:id="313216301">
      <w:bodyDiv w:val="1"/>
      <w:marLeft w:val="0"/>
      <w:marRight w:val="0"/>
      <w:marTop w:val="0"/>
      <w:marBottom w:val="0"/>
      <w:divBdr>
        <w:top w:val="none" w:sz="0" w:space="0" w:color="auto"/>
        <w:left w:val="none" w:sz="0" w:space="0" w:color="auto"/>
        <w:bottom w:val="none" w:sz="0" w:space="0" w:color="auto"/>
        <w:right w:val="none" w:sz="0" w:space="0" w:color="auto"/>
      </w:divBdr>
    </w:div>
    <w:div w:id="340744268">
      <w:bodyDiv w:val="1"/>
      <w:marLeft w:val="0"/>
      <w:marRight w:val="0"/>
      <w:marTop w:val="0"/>
      <w:marBottom w:val="0"/>
      <w:divBdr>
        <w:top w:val="none" w:sz="0" w:space="0" w:color="auto"/>
        <w:left w:val="none" w:sz="0" w:space="0" w:color="auto"/>
        <w:bottom w:val="none" w:sz="0" w:space="0" w:color="auto"/>
        <w:right w:val="none" w:sz="0" w:space="0" w:color="auto"/>
      </w:divBdr>
    </w:div>
    <w:div w:id="400837011">
      <w:bodyDiv w:val="1"/>
      <w:marLeft w:val="0"/>
      <w:marRight w:val="0"/>
      <w:marTop w:val="0"/>
      <w:marBottom w:val="0"/>
      <w:divBdr>
        <w:top w:val="none" w:sz="0" w:space="0" w:color="auto"/>
        <w:left w:val="none" w:sz="0" w:space="0" w:color="auto"/>
        <w:bottom w:val="none" w:sz="0" w:space="0" w:color="auto"/>
        <w:right w:val="none" w:sz="0" w:space="0" w:color="auto"/>
      </w:divBdr>
    </w:div>
    <w:div w:id="409349320">
      <w:bodyDiv w:val="1"/>
      <w:marLeft w:val="0"/>
      <w:marRight w:val="0"/>
      <w:marTop w:val="0"/>
      <w:marBottom w:val="0"/>
      <w:divBdr>
        <w:top w:val="none" w:sz="0" w:space="0" w:color="auto"/>
        <w:left w:val="none" w:sz="0" w:space="0" w:color="auto"/>
        <w:bottom w:val="none" w:sz="0" w:space="0" w:color="auto"/>
        <w:right w:val="none" w:sz="0" w:space="0" w:color="auto"/>
      </w:divBdr>
    </w:div>
    <w:div w:id="419714794">
      <w:bodyDiv w:val="1"/>
      <w:marLeft w:val="0"/>
      <w:marRight w:val="0"/>
      <w:marTop w:val="0"/>
      <w:marBottom w:val="0"/>
      <w:divBdr>
        <w:top w:val="none" w:sz="0" w:space="0" w:color="auto"/>
        <w:left w:val="none" w:sz="0" w:space="0" w:color="auto"/>
        <w:bottom w:val="none" w:sz="0" w:space="0" w:color="auto"/>
        <w:right w:val="none" w:sz="0" w:space="0" w:color="auto"/>
      </w:divBdr>
    </w:div>
    <w:div w:id="436293603">
      <w:bodyDiv w:val="1"/>
      <w:marLeft w:val="0"/>
      <w:marRight w:val="0"/>
      <w:marTop w:val="0"/>
      <w:marBottom w:val="0"/>
      <w:divBdr>
        <w:top w:val="none" w:sz="0" w:space="0" w:color="auto"/>
        <w:left w:val="none" w:sz="0" w:space="0" w:color="auto"/>
        <w:bottom w:val="none" w:sz="0" w:space="0" w:color="auto"/>
        <w:right w:val="none" w:sz="0" w:space="0" w:color="auto"/>
      </w:divBdr>
    </w:div>
    <w:div w:id="451022013">
      <w:bodyDiv w:val="1"/>
      <w:marLeft w:val="0"/>
      <w:marRight w:val="0"/>
      <w:marTop w:val="0"/>
      <w:marBottom w:val="0"/>
      <w:divBdr>
        <w:top w:val="none" w:sz="0" w:space="0" w:color="auto"/>
        <w:left w:val="none" w:sz="0" w:space="0" w:color="auto"/>
        <w:bottom w:val="none" w:sz="0" w:space="0" w:color="auto"/>
        <w:right w:val="none" w:sz="0" w:space="0" w:color="auto"/>
      </w:divBdr>
    </w:div>
    <w:div w:id="470098273">
      <w:bodyDiv w:val="1"/>
      <w:marLeft w:val="0"/>
      <w:marRight w:val="0"/>
      <w:marTop w:val="0"/>
      <w:marBottom w:val="0"/>
      <w:divBdr>
        <w:top w:val="none" w:sz="0" w:space="0" w:color="auto"/>
        <w:left w:val="none" w:sz="0" w:space="0" w:color="auto"/>
        <w:bottom w:val="none" w:sz="0" w:space="0" w:color="auto"/>
        <w:right w:val="none" w:sz="0" w:space="0" w:color="auto"/>
      </w:divBdr>
    </w:div>
    <w:div w:id="522861385">
      <w:bodyDiv w:val="1"/>
      <w:marLeft w:val="0"/>
      <w:marRight w:val="0"/>
      <w:marTop w:val="0"/>
      <w:marBottom w:val="0"/>
      <w:divBdr>
        <w:top w:val="none" w:sz="0" w:space="0" w:color="auto"/>
        <w:left w:val="none" w:sz="0" w:space="0" w:color="auto"/>
        <w:bottom w:val="none" w:sz="0" w:space="0" w:color="auto"/>
        <w:right w:val="none" w:sz="0" w:space="0" w:color="auto"/>
      </w:divBdr>
    </w:div>
    <w:div w:id="526647915">
      <w:bodyDiv w:val="1"/>
      <w:marLeft w:val="0"/>
      <w:marRight w:val="0"/>
      <w:marTop w:val="0"/>
      <w:marBottom w:val="0"/>
      <w:divBdr>
        <w:top w:val="none" w:sz="0" w:space="0" w:color="auto"/>
        <w:left w:val="none" w:sz="0" w:space="0" w:color="auto"/>
        <w:bottom w:val="none" w:sz="0" w:space="0" w:color="auto"/>
        <w:right w:val="none" w:sz="0" w:space="0" w:color="auto"/>
      </w:divBdr>
    </w:div>
    <w:div w:id="534200047">
      <w:bodyDiv w:val="1"/>
      <w:marLeft w:val="0"/>
      <w:marRight w:val="0"/>
      <w:marTop w:val="0"/>
      <w:marBottom w:val="0"/>
      <w:divBdr>
        <w:top w:val="none" w:sz="0" w:space="0" w:color="auto"/>
        <w:left w:val="none" w:sz="0" w:space="0" w:color="auto"/>
        <w:bottom w:val="none" w:sz="0" w:space="0" w:color="auto"/>
        <w:right w:val="none" w:sz="0" w:space="0" w:color="auto"/>
      </w:divBdr>
    </w:div>
    <w:div w:id="591010989">
      <w:bodyDiv w:val="1"/>
      <w:marLeft w:val="0"/>
      <w:marRight w:val="0"/>
      <w:marTop w:val="0"/>
      <w:marBottom w:val="0"/>
      <w:divBdr>
        <w:top w:val="none" w:sz="0" w:space="0" w:color="auto"/>
        <w:left w:val="none" w:sz="0" w:space="0" w:color="auto"/>
        <w:bottom w:val="none" w:sz="0" w:space="0" w:color="auto"/>
        <w:right w:val="none" w:sz="0" w:space="0" w:color="auto"/>
      </w:divBdr>
    </w:div>
    <w:div w:id="621501079">
      <w:bodyDiv w:val="1"/>
      <w:marLeft w:val="0"/>
      <w:marRight w:val="0"/>
      <w:marTop w:val="0"/>
      <w:marBottom w:val="0"/>
      <w:divBdr>
        <w:top w:val="none" w:sz="0" w:space="0" w:color="auto"/>
        <w:left w:val="none" w:sz="0" w:space="0" w:color="auto"/>
        <w:bottom w:val="none" w:sz="0" w:space="0" w:color="auto"/>
        <w:right w:val="none" w:sz="0" w:space="0" w:color="auto"/>
      </w:divBdr>
    </w:div>
    <w:div w:id="665286103">
      <w:bodyDiv w:val="1"/>
      <w:marLeft w:val="0"/>
      <w:marRight w:val="0"/>
      <w:marTop w:val="0"/>
      <w:marBottom w:val="0"/>
      <w:divBdr>
        <w:top w:val="none" w:sz="0" w:space="0" w:color="auto"/>
        <w:left w:val="none" w:sz="0" w:space="0" w:color="auto"/>
        <w:bottom w:val="none" w:sz="0" w:space="0" w:color="auto"/>
        <w:right w:val="none" w:sz="0" w:space="0" w:color="auto"/>
      </w:divBdr>
    </w:div>
    <w:div w:id="756829946">
      <w:bodyDiv w:val="1"/>
      <w:marLeft w:val="0"/>
      <w:marRight w:val="0"/>
      <w:marTop w:val="0"/>
      <w:marBottom w:val="0"/>
      <w:divBdr>
        <w:top w:val="none" w:sz="0" w:space="0" w:color="auto"/>
        <w:left w:val="none" w:sz="0" w:space="0" w:color="auto"/>
        <w:bottom w:val="none" w:sz="0" w:space="0" w:color="auto"/>
        <w:right w:val="none" w:sz="0" w:space="0" w:color="auto"/>
      </w:divBdr>
    </w:div>
    <w:div w:id="784538393">
      <w:bodyDiv w:val="1"/>
      <w:marLeft w:val="0"/>
      <w:marRight w:val="0"/>
      <w:marTop w:val="0"/>
      <w:marBottom w:val="0"/>
      <w:divBdr>
        <w:top w:val="none" w:sz="0" w:space="0" w:color="auto"/>
        <w:left w:val="none" w:sz="0" w:space="0" w:color="auto"/>
        <w:bottom w:val="none" w:sz="0" w:space="0" w:color="auto"/>
        <w:right w:val="none" w:sz="0" w:space="0" w:color="auto"/>
      </w:divBdr>
    </w:div>
    <w:div w:id="996878917">
      <w:bodyDiv w:val="1"/>
      <w:marLeft w:val="0"/>
      <w:marRight w:val="0"/>
      <w:marTop w:val="0"/>
      <w:marBottom w:val="0"/>
      <w:divBdr>
        <w:top w:val="none" w:sz="0" w:space="0" w:color="auto"/>
        <w:left w:val="none" w:sz="0" w:space="0" w:color="auto"/>
        <w:bottom w:val="none" w:sz="0" w:space="0" w:color="auto"/>
        <w:right w:val="none" w:sz="0" w:space="0" w:color="auto"/>
      </w:divBdr>
    </w:div>
    <w:div w:id="1008410844">
      <w:bodyDiv w:val="1"/>
      <w:marLeft w:val="0"/>
      <w:marRight w:val="0"/>
      <w:marTop w:val="0"/>
      <w:marBottom w:val="0"/>
      <w:divBdr>
        <w:top w:val="none" w:sz="0" w:space="0" w:color="auto"/>
        <w:left w:val="none" w:sz="0" w:space="0" w:color="auto"/>
        <w:bottom w:val="none" w:sz="0" w:space="0" w:color="auto"/>
        <w:right w:val="none" w:sz="0" w:space="0" w:color="auto"/>
      </w:divBdr>
    </w:div>
    <w:div w:id="1029187264">
      <w:bodyDiv w:val="1"/>
      <w:marLeft w:val="0"/>
      <w:marRight w:val="0"/>
      <w:marTop w:val="0"/>
      <w:marBottom w:val="0"/>
      <w:divBdr>
        <w:top w:val="none" w:sz="0" w:space="0" w:color="auto"/>
        <w:left w:val="none" w:sz="0" w:space="0" w:color="auto"/>
        <w:bottom w:val="none" w:sz="0" w:space="0" w:color="auto"/>
        <w:right w:val="none" w:sz="0" w:space="0" w:color="auto"/>
      </w:divBdr>
    </w:div>
    <w:div w:id="1089429614">
      <w:bodyDiv w:val="1"/>
      <w:marLeft w:val="0"/>
      <w:marRight w:val="0"/>
      <w:marTop w:val="0"/>
      <w:marBottom w:val="0"/>
      <w:divBdr>
        <w:top w:val="none" w:sz="0" w:space="0" w:color="auto"/>
        <w:left w:val="none" w:sz="0" w:space="0" w:color="auto"/>
        <w:bottom w:val="none" w:sz="0" w:space="0" w:color="auto"/>
        <w:right w:val="none" w:sz="0" w:space="0" w:color="auto"/>
      </w:divBdr>
    </w:div>
    <w:div w:id="1148862925">
      <w:bodyDiv w:val="1"/>
      <w:marLeft w:val="0"/>
      <w:marRight w:val="0"/>
      <w:marTop w:val="0"/>
      <w:marBottom w:val="0"/>
      <w:divBdr>
        <w:top w:val="none" w:sz="0" w:space="0" w:color="auto"/>
        <w:left w:val="none" w:sz="0" w:space="0" w:color="auto"/>
        <w:bottom w:val="none" w:sz="0" w:space="0" w:color="auto"/>
        <w:right w:val="none" w:sz="0" w:space="0" w:color="auto"/>
      </w:divBdr>
    </w:div>
    <w:div w:id="1233541521">
      <w:bodyDiv w:val="1"/>
      <w:marLeft w:val="0"/>
      <w:marRight w:val="0"/>
      <w:marTop w:val="0"/>
      <w:marBottom w:val="0"/>
      <w:divBdr>
        <w:top w:val="none" w:sz="0" w:space="0" w:color="auto"/>
        <w:left w:val="none" w:sz="0" w:space="0" w:color="auto"/>
        <w:bottom w:val="none" w:sz="0" w:space="0" w:color="auto"/>
        <w:right w:val="none" w:sz="0" w:space="0" w:color="auto"/>
      </w:divBdr>
    </w:div>
    <w:div w:id="1258174865">
      <w:bodyDiv w:val="1"/>
      <w:marLeft w:val="0"/>
      <w:marRight w:val="0"/>
      <w:marTop w:val="0"/>
      <w:marBottom w:val="0"/>
      <w:divBdr>
        <w:top w:val="none" w:sz="0" w:space="0" w:color="auto"/>
        <w:left w:val="none" w:sz="0" w:space="0" w:color="auto"/>
        <w:bottom w:val="none" w:sz="0" w:space="0" w:color="auto"/>
        <w:right w:val="none" w:sz="0" w:space="0" w:color="auto"/>
      </w:divBdr>
    </w:div>
    <w:div w:id="1334992665">
      <w:bodyDiv w:val="1"/>
      <w:marLeft w:val="0"/>
      <w:marRight w:val="0"/>
      <w:marTop w:val="0"/>
      <w:marBottom w:val="0"/>
      <w:divBdr>
        <w:top w:val="none" w:sz="0" w:space="0" w:color="auto"/>
        <w:left w:val="none" w:sz="0" w:space="0" w:color="auto"/>
        <w:bottom w:val="none" w:sz="0" w:space="0" w:color="auto"/>
        <w:right w:val="none" w:sz="0" w:space="0" w:color="auto"/>
      </w:divBdr>
    </w:div>
    <w:div w:id="1367103736">
      <w:bodyDiv w:val="1"/>
      <w:marLeft w:val="0"/>
      <w:marRight w:val="0"/>
      <w:marTop w:val="0"/>
      <w:marBottom w:val="0"/>
      <w:divBdr>
        <w:top w:val="none" w:sz="0" w:space="0" w:color="auto"/>
        <w:left w:val="none" w:sz="0" w:space="0" w:color="auto"/>
        <w:bottom w:val="none" w:sz="0" w:space="0" w:color="auto"/>
        <w:right w:val="none" w:sz="0" w:space="0" w:color="auto"/>
      </w:divBdr>
    </w:div>
    <w:div w:id="1391419599">
      <w:bodyDiv w:val="1"/>
      <w:marLeft w:val="0"/>
      <w:marRight w:val="0"/>
      <w:marTop w:val="0"/>
      <w:marBottom w:val="0"/>
      <w:divBdr>
        <w:top w:val="none" w:sz="0" w:space="0" w:color="auto"/>
        <w:left w:val="none" w:sz="0" w:space="0" w:color="auto"/>
        <w:bottom w:val="none" w:sz="0" w:space="0" w:color="auto"/>
        <w:right w:val="none" w:sz="0" w:space="0" w:color="auto"/>
      </w:divBdr>
    </w:div>
    <w:div w:id="1405881372">
      <w:bodyDiv w:val="1"/>
      <w:marLeft w:val="0"/>
      <w:marRight w:val="0"/>
      <w:marTop w:val="0"/>
      <w:marBottom w:val="0"/>
      <w:divBdr>
        <w:top w:val="none" w:sz="0" w:space="0" w:color="auto"/>
        <w:left w:val="none" w:sz="0" w:space="0" w:color="auto"/>
        <w:bottom w:val="none" w:sz="0" w:space="0" w:color="auto"/>
        <w:right w:val="none" w:sz="0" w:space="0" w:color="auto"/>
      </w:divBdr>
    </w:div>
    <w:div w:id="1442257593">
      <w:bodyDiv w:val="1"/>
      <w:marLeft w:val="0"/>
      <w:marRight w:val="0"/>
      <w:marTop w:val="0"/>
      <w:marBottom w:val="0"/>
      <w:divBdr>
        <w:top w:val="none" w:sz="0" w:space="0" w:color="auto"/>
        <w:left w:val="none" w:sz="0" w:space="0" w:color="auto"/>
        <w:bottom w:val="none" w:sz="0" w:space="0" w:color="auto"/>
        <w:right w:val="none" w:sz="0" w:space="0" w:color="auto"/>
      </w:divBdr>
    </w:div>
    <w:div w:id="1658455250">
      <w:bodyDiv w:val="1"/>
      <w:marLeft w:val="0"/>
      <w:marRight w:val="0"/>
      <w:marTop w:val="0"/>
      <w:marBottom w:val="0"/>
      <w:divBdr>
        <w:top w:val="none" w:sz="0" w:space="0" w:color="auto"/>
        <w:left w:val="none" w:sz="0" w:space="0" w:color="auto"/>
        <w:bottom w:val="none" w:sz="0" w:space="0" w:color="auto"/>
        <w:right w:val="none" w:sz="0" w:space="0" w:color="auto"/>
      </w:divBdr>
    </w:div>
    <w:div w:id="1846240945">
      <w:bodyDiv w:val="1"/>
      <w:marLeft w:val="0"/>
      <w:marRight w:val="0"/>
      <w:marTop w:val="0"/>
      <w:marBottom w:val="0"/>
      <w:divBdr>
        <w:top w:val="none" w:sz="0" w:space="0" w:color="auto"/>
        <w:left w:val="none" w:sz="0" w:space="0" w:color="auto"/>
        <w:bottom w:val="none" w:sz="0" w:space="0" w:color="auto"/>
        <w:right w:val="none" w:sz="0" w:space="0" w:color="auto"/>
      </w:divBdr>
    </w:div>
    <w:div w:id="1879731906">
      <w:bodyDiv w:val="1"/>
      <w:marLeft w:val="0"/>
      <w:marRight w:val="0"/>
      <w:marTop w:val="0"/>
      <w:marBottom w:val="0"/>
      <w:divBdr>
        <w:top w:val="none" w:sz="0" w:space="0" w:color="auto"/>
        <w:left w:val="none" w:sz="0" w:space="0" w:color="auto"/>
        <w:bottom w:val="none" w:sz="0" w:space="0" w:color="auto"/>
        <w:right w:val="none" w:sz="0" w:space="0" w:color="auto"/>
      </w:divBdr>
    </w:div>
    <w:div w:id="1956519891">
      <w:bodyDiv w:val="1"/>
      <w:marLeft w:val="0"/>
      <w:marRight w:val="0"/>
      <w:marTop w:val="0"/>
      <w:marBottom w:val="0"/>
      <w:divBdr>
        <w:top w:val="none" w:sz="0" w:space="0" w:color="auto"/>
        <w:left w:val="none" w:sz="0" w:space="0" w:color="auto"/>
        <w:bottom w:val="none" w:sz="0" w:space="0" w:color="auto"/>
        <w:right w:val="none" w:sz="0" w:space="0" w:color="auto"/>
      </w:divBdr>
    </w:div>
    <w:div w:id="2058502889">
      <w:bodyDiv w:val="1"/>
      <w:marLeft w:val="0"/>
      <w:marRight w:val="0"/>
      <w:marTop w:val="0"/>
      <w:marBottom w:val="0"/>
      <w:divBdr>
        <w:top w:val="none" w:sz="0" w:space="0" w:color="auto"/>
        <w:left w:val="none" w:sz="0" w:space="0" w:color="auto"/>
        <w:bottom w:val="none" w:sz="0" w:space="0" w:color="auto"/>
        <w:right w:val="none" w:sz="0" w:space="0" w:color="auto"/>
      </w:divBdr>
    </w:div>
    <w:div w:id="2092115711">
      <w:bodyDiv w:val="1"/>
      <w:marLeft w:val="0"/>
      <w:marRight w:val="0"/>
      <w:marTop w:val="0"/>
      <w:marBottom w:val="0"/>
      <w:divBdr>
        <w:top w:val="none" w:sz="0" w:space="0" w:color="auto"/>
        <w:left w:val="none" w:sz="0" w:space="0" w:color="auto"/>
        <w:bottom w:val="none" w:sz="0" w:space="0" w:color="auto"/>
        <w:right w:val="none" w:sz="0" w:space="0" w:color="auto"/>
      </w:divBdr>
    </w:div>
    <w:div w:id="21131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1-01-2187" TargetMode="External"/><Relationship Id="rId18" Type="http://schemas.openxmlformats.org/officeDocument/2006/relationships/hyperlink" Target="http://www.uradni-list.si/1/objava.jsp?sop=2020-01-2762" TargetMode="External"/><Relationship Id="rId26" Type="http://schemas.openxmlformats.org/officeDocument/2006/relationships/image" Target="media/image5.png"/><Relationship Id="rId39" Type="http://schemas.openxmlformats.org/officeDocument/2006/relationships/hyperlink" Target="http://www.uradni-list.si/1/objava.jsp?sop=2022-01-1980" TargetMode="External"/><Relationship Id="rId21" Type="http://schemas.openxmlformats.org/officeDocument/2006/relationships/hyperlink" Target="http://www.uradni-list.si/1/objava.jsp?sop=2021-01-4149" TargetMode="External"/><Relationship Id="rId34" Type="http://schemas.openxmlformats.org/officeDocument/2006/relationships/hyperlink" Target="http://www.uradni-list.si/1/objava.jsp?sop=2015-01-1920" TargetMode="External"/><Relationship Id="rId42" Type="http://schemas.openxmlformats.org/officeDocument/2006/relationships/hyperlink" Target="http://www.uradni-list.si/1/objava.jsp?sop=2021-01-334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9-01-2673" TargetMode="External"/><Relationship Id="rId29" Type="http://schemas.openxmlformats.org/officeDocument/2006/relationships/hyperlink" Target="http://www.uradni-list.si/1/objava.jsp?sop=2016-01-2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2:315:0001:0056:SL:PDF" TargetMode="External"/><Relationship Id="rId24" Type="http://schemas.openxmlformats.org/officeDocument/2006/relationships/image" Target="media/image3.png"/><Relationship Id="rId32" Type="http://schemas.openxmlformats.org/officeDocument/2006/relationships/hyperlink" Target="http://www.uradni-list.si/1/objava.jsp?sop=2020-01-0459" TargetMode="External"/><Relationship Id="rId37" Type="http://schemas.openxmlformats.org/officeDocument/2006/relationships/hyperlink" Target="http://www.uradni-list.si/1/objava.jsp?sop=2022-01-2462" TargetMode="External"/><Relationship Id="rId40" Type="http://schemas.openxmlformats.org/officeDocument/2006/relationships/hyperlink" Target="http://www.uradni-list.si/1/objava.jsp?sop=2022-01-202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2-01-1064" TargetMode="External"/><Relationship Id="rId23" Type="http://schemas.openxmlformats.org/officeDocument/2006/relationships/image" Target="media/image2.png"/><Relationship Id="rId28" Type="http://schemas.openxmlformats.org/officeDocument/2006/relationships/hyperlink" Target="http://www.uradni-list.si/1/objava.jsp?sop=2020-01-2762" TargetMode="External"/><Relationship Id="rId36" Type="http://schemas.openxmlformats.org/officeDocument/2006/relationships/hyperlink" Target="http://www.uradni-list.si/1/objava.jsp?sop=2022-01-2384" TargetMode="External"/><Relationship Id="rId10" Type="http://schemas.openxmlformats.org/officeDocument/2006/relationships/hyperlink" Target="http://www.uradni-list.si/1/objava.jsp?sop=2020-01-2762" TargetMode="External"/><Relationship Id="rId19" Type="http://schemas.openxmlformats.org/officeDocument/2006/relationships/hyperlink" Target="http://www.uradni-list.si/1/objava.jsp?sop=2021-01-2570" TargetMode="External"/><Relationship Id="rId31" Type="http://schemas.openxmlformats.org/officeDocument/2006/relationships/hyperlink" Target="http://www.uradni-list.si/1/objava.jsp?sop=2020-01-276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etika-portal.si/dokumenti/strateski-razvojni-dokumenti/nacionalni-energetski-in-podnebni-nacrt/" TargetMode="External"/><Relationship Id="rId14" Type="http://schemas.openxmlformats.org/officeDocument/2006/relationships/hyperlink" Target="http://www.uradni-list.si/1/objava.jsp?sop=2022-01-0873" TargetMode="External"/><Relationship Id="rId22" Type="http://schemas.openxmlformats.org/officeDocument/2006/relationships/hyperlink" Target="http://www.uradni-list.si/1/objava.jsp?sop=2022-01-0874" TargetMode="External"/><Relationship Id="rId27" Type="http://schemas.openxmlformats.org/officeDocument/2006/relationships/image" Target="media/image6.png"/><Relationship Id="rId30" Type="http://schemas.openxmlformats.org/officeDocument/2006/relationships/hyperlink" Target="http://www.uradni-list.si/1/objava.jsp?sop=2020-01-2176" TargetMode="External"/><Relationship Id="rId35" Type="http://schemas.openxmlformats.org/officeDocument/2006/relationships/hyperlink" Target="http://www.uradni-list.si/1/objava.jsp?sop=2020-01-0646"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nergetika-portal.si/dokumenti/strateski-razvojni-dokumenti/operativni-program-za-izvajanje-evropske-kohezijske-politike/" TargetMode="External"/><Relationship Id="rId17" Type="http://schemas.openxmlformats.org/officeDocument/2006/relationships/hyperlink" Target="http://www.uradni-list.si/1/objava.jsp?sop=2020-01-0977" TargetMode="External"/><Relationship Id="rId25" Type="http://schemas.openxmlformats.org/officeDocument/2006/relationships/image" Target="media/image4.png"/><Relationship Id="rId33" Type="http://schemas.openxmlformats.org/officeDocument/2006/relationships/hyperlink" Target="http://www.uradni-list.si/1/objava.jsp?sop=2021-01-2570" TargetMode="External"/><Relationship Id="rId38" Type="http://schemas.openxmlformats.org/officeDocument/2006/relationships/hyperlink" Target="http://www.uradni-list.si/1/objava.jsp?sop=2021-01-3623" TargetMode="External"/><Relationship Id="rId20" Type="http://schemas.openxmlformats.org/officeDocument/2006/relationships/hyperlink" Target="http://www.uradni-list.si/1/objava.jsp?sop=2021-01-3349" TargetMode="External"/><Relationship Id="rId41" Type="http://schemas.openxmlformats.org/officeDocument/2006/relationships/hyperlink" Target="http://www.uradni-list.si/1/objava.jsp?sop=2016-01-393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1BD568-B0A3-4F3C-9A41-58DA9165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13993</Words>
  <Characters>79763</Characters>
  <Application>Microsoft Office Word</Application>
  <DocSecurity>0</DocSecurity>
  <Lines>664</Lines>
  <Paragraphs>187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93569</CharactersWithSpaces>
  <SharedDoc>false</SharedDoc>
  <HLinks>
    <vt:vector size="468" baseType="variant">
      <vt:variant>
        <vt:i4>7471146</vt:i4>
      </vt:variant>
      <vt:variant>
        <vt:i4>405</vt:i4>
      </vt:variant>
      <vt:variant>
        <vt:i4>0</vt:i4>
      </vt:variant>
      <vt:variant>
        <vt:i4>5</vt:i4>
      </vt:variant>
      <vt:variant>
        <vt:lpwstr>http://www.uradni-list.si/1/objava.jsp?sop=2021-01-3349</vt:lpwstr>
      </vt:variant>
      <vt:variant>
        <vt:lpwstr/>
      </vt:variant>
      <vt:variant>
        <vt:i4>7733287</vt:i4>
      </vt:variant>
      <vt:variant>
        <vt:i4>402</vt:i4>
      </vt:variant>
      <vt:variant>
        <vt:i4>0</vt:i4>
      </vt:variant>
      <vt:variant>
        <vt:i4>5</vt:i4>
      </vt:variant>
      <vt:variant>
        <vt:lpwstr>http://www.uradni-list.si/1/objava.jsp?sop=2016-01-3933</vt:lpwstr>
      </vt:variant>
      <vt:variant>
        <vt:lpwstr/>
      </vt:variant>
      <vt:variant>
        <vt:i4>7667754</vt:i4>
      </vt:variant>
      <vt:variant>
        <vt:i4>396</vt:i4>
      </vt:variant>
      <vt:variant>
        <vt:i4>0</vt:i4>
      </vt:variant>
      <vt:variant>
        <vt:i4>5</vt:i4>
      </vt:variant>
      <vt:variant>
        <vt:lpwstr>http://www.uradni-list.si/1/objava.jsp?sop=2022-01-2023</vt:lpwstr>
      </vt:variant>
      <vt:variant>
        <vt:lpwstr/>
      </vt:variant>
      <vt:variant>
        <vt:i4>8126499</vt:i4>
      </vt:variant>
      <vt:variant>
        <vt:i4>393</vt:i4>
      </vt:variant>
      <vt:variant>
        <vt:i4>0</vt:i4>
      </vt:variant>
      <vt:variant>
        <vt:i4>5</vt:i4>
      </vt:variant>
      <vt:variant>
        <vt:lpwstr>http://www.uradni-list.si/1/objava.jsp?sop=2022-01-1980</vt:lpwstr>
      </vt:variant>
      <vt:variant>
        <vt:lpwstr/>
      </vt:variant>
      <vt:variant>
        <vt:i4>7602223</vt:i4>
      </vt:variant>
      <vt:variant>
        <vt:i4>390</vt:i4>
      </vt:variant>
      <vt:variant>
        <vt:i4>0</vt:i4>
      </vt:variant>
      <vt:variant>
        <vt:i4>5</vt:i4>
      </vt:variant>
      <vt:variant>
        <vt:lpwstr>http://www.uradni-list.si/1/objava.jsp?sop=2021-01-3623</vt:lpwstr>
      </vt:variant>
      <vt:variant>
        <vt:lpwstr/>
      </vt:variant>
      <vt:variant>
        <vt:i4>7405614</vt:i4>
      </vt:variant>
      <vt:variant>
        <vt:i4>387</vt:i4>
      </vt:variant>
      <vt:variant>
        <vt:i4>0</vt:i4>
      </vt:variant>
      <vt:variant>
        <vt:i4>5</vt:i4>
      </vt:variant>
      <vt:variant>
        <vt:lpwstr>http://www.uradni-list.si/1/objava.jsp?sop=2022-01-2462</vt:lpwstr>
      </vt:variant>
      <vt:variant>
        <vt:lpwstr/>
      </vt:variant>
      <vt:variant>
        <vt:i4>8323113</vt:i4>
      </vt:variant>
      <vt:variant>
        <vt:i4>384</vt:i4>
      </vt:variant>
      <vt:variant>
        <vt:i4>0</vt:i4>
      </vt:variant>
      <vt:variant>
        <vt:i4>5</vt:i4>
      </vt:variant>
      <vt:variant>
        <vt:lpwstr>http://www.uradni-list.si/1/objava.jsp?sop=2022-01-2384</vt:lpwstr>
      </vt:variant>
      <vt:variant>
        <vt:lpwstr/>
      </vt:variant>
      <vt:variant>
        <vt:i4>7405614</vt:i4>
      </vt:variant>
      <vt:variant>
        <vt:i4>378</vt:i4>
      </vt:variant>
      <vt:variant>
        <vt:i4>0</vt:i4>
      </vt:variant>
      <vt:variant>
        <vt:i4>5</vt:i4>
      </vt:variant>
      <vt:variant>
        <vt:lpwstr>http://www.uradni-list.si/1/objava.jsp?sop=2020-01-0646</vt:lpwstr>
      </vt:variant>
      <vt:variant>
        <vt:lpwstr/>
      </vt:variant>
      <vt:variant>
        <vt:i4>7667748</vt:i4>
      </vt:variant>
      <vt:variant>
        <vt:i4>375</vt:i4>
      </vt:variant>
      <vt:variant>
        <vt:i4>0</vt:i4>
      </vt:variant>
      <vt:variant>
        <vt:i4>5</vt:i4>
      </vt:variant>
      <vt:variant>
        <vt:lpwstr>http://www.uradni-list.si/1/objava.jsp?sop=2015-01-1920</vt:lpwstr>
      </vt:variant>
      <vt:variant>
        <vt:lpwstr/>
      </vt:variant>
      <vt:variant>
        <vt:i4>7340076</vt:i4>
      </vt:variant>
      <vt:variant>
        <vt:i4>372</vt:i4>
      </vt:variant>
      <vt:variant>
        <vt:i4>0</vt:i4>
      </vt:variant>
      <vt:variant>
        <vt:i4>5</vt:i4>
      </vt:variant>
      <vt:variant>
        <vt:lpwstr>http://www.uradni-list.si/1/objava.jsp?sop=2021-01-2570</vt:lpwstr>
      </vt:variant>
      <vt:variant>
        <vt:lpwstr/>
      </vt:variant>
      <vt:variant>
        <vt:i4>7340076</vt:i4>
      </vt:variant>
      <vt:variant>
        <vt:i4>369</vt:i4>
      </vt:variant>
      <vt:variant>
        <vt:i4>0</vt:i4>
      </vt:variant>
      <vt:variant>
        <vt:i4>5</vt:i4>
      </vt:variant>
      <vt:variant>
        <vt:lpwstr>http://www.uradni-list.si/1/objava.jsp?sop=2020-01-0459</vt:lpwstr>
      </vt:variant>
      <vt:variant>
        <vt:lpwstr/>
      </vt:variant>
      <vt:variant>
        <vt:i4>7405615</vt:i4>
      </vt:variant>
      <vt:variant>
        <vt:i4>366</vt:i4>
      </vt:variant>
      <vt:variant>
        <vt:i4>0</vt:i4>
      </vt:variant>
      <vt:variant>
        <vt:i4>5</vt:i4>
      </vt:variant>
      <vt:variant>
        <vt:lpwstr>http://www.uradni-list.si/1/objava.jsp?sop=2020-01-2762</vt:lpwstr>
      </vt:variant>
      <vt:variant>
        <vt:lpwstr/>
      </vt:variant>
      <vt:variant>
        <vt:i4>7340073</vt:i4>
      </vt:variant>
      <vt:variant>
        <vt:i4>363</vt:i4>
      </vt:variant>
      <vt:variant>
        <vt:i4>0</vt:i4>
      </vt:variant>
      <vt:variant>
        <vt:i4>5</vt:i4>
      </vt:variant>
      <vt:variant>
        <vt:lpwstr>http://www.uradni-list.si/1/objava.jsp?sop=2020-01-2176</vt:lpwstr>
      </vt:variant>
      <vt:variant>
        <vt:lpwstr/>
      </vt:variant>
      <vt:variant>
        <vt:i4>7340077</vt:i4>
      </vt:variant>
      <vt:variant>
        <vt:i4>360</vt:i4>
      </vt:variant>
      <vt:variant>
        <vt:i4>0</vt:i4>
      </vt:variant>
      <vt:variant>
        <vt:i4>5</vt:i4>
      </vt:variant>
      <vt:variant>
        <vt:lpwstr>http://www.uradni-list.si/1/objava.jsp?sop=2016-01-2348</vt:lpwstr>
      </vt:variant>
      <vt:variant>
        <vt:lpwstr/>
      </vt:variant>
      <vt:variant>
        <vt:i4>7405615</vt:i4>
      </vt:variant>
      <vt:variant>
        <vt:i4>357</vt:i4>
      </vt:variant>
      <vt:variant>
        <vt:i4>0</vt:i4>
      </vt:variant>
      <vt:variant>
        <vt:i4>5</vt:i4>
      </vt:variant>
      <vt:variant>
        <vt:lpwstr>http://www.uradni-list.si/1/objava.jsp?sop=2020-01-2762</vt:lpwstr>
      </vt:variant>
      <vt:variant>
        <vt:lpwstr/>
      </vt:variant>
      <vt:variant>
        <vt:i4>7471138</vt:i4>
      </vt:variant>
      <vt:variant>
        <vt:i4>339</vt:i4>
      </vt:variant>
      <vt:variant>
        <vt:i4>0</vt:i4>
      </vt:variant>
      <vt:variant>
        <vt:i4>5</vt:i4>
      </vt:variant>
      <vt:variant>
        <vt:lpwstr>http://www.uradni-list.si/1/objava.jsp?sop=2022-01-0874</vt:lpwstr>
      </vt:variant>
      <vt:variant>
        <vt:lpwstr/>
      </vt:variant>
      <vt:variant>
        <vt:i4>7667752</vt:i4>
      </vt:variant>
      <vt:variant>
        <vt:i4>336</vt:i4>
      </vt:variant>
      <vt:variant>
        <vt:i4>0</vt:i4>
      </vt:variant>
      <vt:variant>
        <vt:i4>5</vt:i4>
      </vt:variant>
      <vt:variant>
        <vt:lpwstr>http://www.uradni-list.si/1/objava.jsp?sop=2021-01-4149</vt:lpwstr>
      </vt:variant>
      <vt:variant>
        <vt:lpwstr/>
      </vt:variant>
      <vt:variant>
        <vt:i4>7471146</vt:i4>
      </vt:variant>
      <vt:variant>
        <vt:i4>333</vt:i4>
      </vt:variant>
      <vt:variant>
        <vt:i4>0</vt:i4>
      </vt:variant>
      <vt:variant>
        <vt:i4>5</vt:i4>
      </vt:variant>
      <vt:variant>
        <vt:lpwstr>http://www.uradni-list.si/1/objava.jsp?sop=2021-01-3349</vt:lpwstr>
      </vt:variant>
      <vt:variant>
        <vt:lpwstr/>
      </vt:variant>
      <vt:variant>
        <vt:i4>7340076</vt:i4>
      </vt:variant>
      <vt:variant>
        <vt:i4>330</vt:i4>
      </vt:variant>
      <vt:variant>
        <vt:i4>0</vt:i4>
      </vt:variant>
      <vt:variant>
        <vt:i4>5</vt:i4>
      </vt:variant>
      <vt:variant>
        <vt:lpwstr>http://www.uradni-list.si/1/objava.jsp?sop=2021-01-2570</vt:lpwstr>
      </vt:variant>
      <vt:variant>
        <vt:lpwstr/>
      </vt:variant>
      <vt:variant>
        <vt:i4>7405615</vt:i4>
      </vt:variant>
      <vt:variant>
        <vt:i4>327</vt:i4>
      </vt:variant>
      <vt:variant>
        <vt:i4>0</vt:i4>
      </vt:variant>
      <vt:variant>
        <vt:i4>5</vt:i4>
      </vt:variant>
      <vt:variant>
        <vt:lpwstr>http://www.uradni-list.si/1/objava.jsp?sop=2020-01-2762</vt:lpwstr>
      </vt:variant>
      <vt:variant>
        <vt:lpwstr/>
      </vt:variant>
      <vt:variant>
        <vt:i4>7471137</vt:i4>
      </vt:variant>
      <vt:variant>
        <vt:i4>324</vt:i4>
      </vt:variant>
      <vt:variant>
        <vt:i4>0</vt:i4>
      </vt:variant>
      <vt:variant>
        <vt:i4>5</vt:i4>
      </vt:variant>
      <vt:variant>
        <vt:lpwstr>http://www.uradni-list.si/1/objava.jsp?sop=2020-01-0977</vt:lpwstr>
      </vt:variant>
      <vt:variant>
        <vt:lpwstr/>
      </vt:variant>
      <vt:variant>
        <vt:i4>7536679</vt:i4>
      </vt:variant>
      <vt:variant>
        <vt:i4>321</vt:i4>
      </vt:variant>
      <vt:variant>
        <vt:i4>0</vt:i4>
      </vt:variant>
      <vt:variant>
        <vt:i4>5</vt:i4>
      </vt:variant>
      <vt:variant>
        <vt:lpwstr>http://www.uradni-list.si/1/objava.jsp?sop=2019-01-2673</vt:lpwstr>
      </vt:variant>
      <vt:variant>
        <vt:lpwstr/>
      </vt:variant>
      <vt:variant>
        <vt:i4>7471146</vt:i4>
      </vt:variant>
      <vt:variant>
        <vt:i4>318</vt:i4>
      </vt:variant>
      <vt:variant>
        <vt:i4>0</vt:i4>
      </vt:variant>
      <vt:variant>
        <vt:i4>5</vt:i4>
      </vt:variant>
      <vt:variant>
        <vt:lpwstr>http://www.uradni-list.si/1/objava.jsp?sop=2022-01-1064</vt:lpwstr>
      </vt:variant>
      <vt:variant>
        <vt:lpwstr/>
      </vt:variant>
      <vt:variant>
        <vt:i4>7471138</vt:i4>
      </vt:variant>
      <vt:variant>
        <vt:i4>315</vt:i4>
      </vt:variant>
      <vt:variant>
        <vt:i4>0</vt:i4>
      </vt:variant>
      <vt:variant>
        <vt:i4>5</vt:i4>
      </vt:variant>
      <vt:variant>
        <vt:lpwstr>http://www.uradni-list.si/1/objava.jsp?sop=2022-01-0873</vt:lpwstr>
      </vt:variant>
      <vt:variant>
        <vt:lpwstr/>
      </vt:variant>
      <vt:variant>
        <vt:i4>8323112</vt:i4>
      </vt:variant>
      <vt:variant>
        <vt:i4>312</vt:i4>
      </vt:variant>
      <vt:variant>
        <vt:i4>0</vt:i4>
      </vt:variant>
      <vt:variant>
        <vt:i4>5</vt:i4>
      </vt:variant>
      <vt:variant>
        <vt:lpwstr>http://www.uradni-list.si/1/objava.jsp?sop=2021-01-2187</vt:lpwstr>
      </vt:variant>
      <vt:variant>
        <vt:lpwstr/>
      </vt:variant>
      <vt:variant>
        <vt:i4>4456461</vt:i4>
      </vt:variant>
      <vt:variant>
        <vt:i4>309</vt:i4>
      </vt:variant>
      <vt:variant>
        <vt:i4>0</vt:i4>
      </vt:variant>
      <vt:variant>
        <vt:i4>5</vt:i4>
      </vt:variant>
      <vt:variant>
        <vt:lpwstr>https://www.energetika-portal.si/dokumenti/strateski-razvojni-dokumenti/operativni-program-za-izvajanje-evropske-kohezijske-politike/</vt:lpwstr>
      </vt:variant>
      <vt:variant>
        <vt:lpwstr/>
      </vt:variant>
      <vt:variant>
        <vt:i4>5373953</vt:i4>
      </vt:variant>
      <vt:variant>
        <vt:i4>306</vt:i4>
      </vt:variant>
      <vt:variant>
        <vt:i4>0</vt:i4>
      </vt:variant>
      <vt:variant>
        <vt:i4>5</vt:i4>
      </vt:variant>
      <vt:variant>
        <vt:lpwstr>http://eur-lex.europa.eu/LexUriServ/LexUriServ.do?uri=OJ:L:2012:315:0001:0056:SL:PDF</vt:lpwstr>
      </vt:variant>
      <vt:variant>
        <vt:lpwstr/>
      </vt:variant>
      <vt:variant>
        <vt:i4>7405615</vt:i4>
      </vt:variant>
      <vt:variant>
        <vt:i4>303</vt:i4>
      </vt:variant>
      <vt:variant>
        <vt:i4>0</vt:i4>
      </vt:variant>
      <vt:variant>
        <vt:i4>5</vt:i4>
      </vt:variant>
      <vt:variant>
        <vt:lpwstr>http://www.uradni-list.si/1/objava.jsp?sop=2020-01-2762</vt:lpwstr>
      </vt:variant>
      <vt:variant>
        <vt:lpwstr/>
      </vt:variant>
      <vt:variant>
        <vt:i4>4259913</vt:i4>
      </vt:variant>
      <vt:variant>
        <vt:i4>300</vt:i4>
      </vt:variant>
      <vt:variant>
        <vt:i4>0</vt:i4>
      </vt:variant>
      <vt:variant>
        <vt:i4>5</vt:i4>
      </vt:variant>
      <vt:variant>
        <vt:lpwstr>https://www.energetika-portal.si/dokumenti/strateski-razvojni-dokumenti/nacionalni-energetski-in-podnebni-nacrt/</vt:lpwstr>
      </vt:variant>
      <vt:variant>
        <vt:lpwstr/>
      </vt:variant>
      <vt:variant>
        <vt:i4>1310775</vt:i4>
      </vt:variant>
      <vt:variant>
        <vt:i4>293</vt:i4>
      </vt:variant>
      <vt:variant>
        <vt:i4>0</vt:i4>
      </vt:variant>
      <vt:variant>
        <vt:i4>5</vt:i4>
      </vt:variant>
      <vt:variant>
        <vt:lpwstr/>
      </vt:variant>
      <vt:variant>
        <vt:lpwstr>_Toc114043615</vt:lpwstr>
      </vt:variant>
      <vt:variant>
        <vt:i4>1310775</vt:i4>
      </vt:variant>
      <vt:variant>
        <vt:i4>287</vt:i4>
      </vt:variant>
      <vt:variant>
        <vt:i4>0</vt:i4>
      </vt:variant>
      <vt:variant>
        <vt:i4>5</vt:i4>
      </vt:variant>
      <vt:variant>
        <vt:lpwstr/>
      </vt:variant>
      <vt:variant>
        <vt:lpwstr>_Toc114043614</vt:lpwstr>
      </vt:variant>
      <vt:variant>
        <vt:i4>1310775</vt:i4>
      </vt:variant>
      <vt:variant>
        <vt:i4>281</vt:i4>
      </vt:variant>
      <vt:variant>
        <vt:i4>0</vt:i4>
      </vt:variant>
      <vt:variant>
        <vt:i4>5</vt:i4>
      </vt:variant>
      <vt:variant>
        <vt:lpwstr/>
      </vt:variant>
      <vt:variant>
        <vt:lpwstr>_Toc114043613</vt:lpwstr>
      </vt:variant>
      <vt:variant>
        <vt:i4>1310775</vt:i4>
      </vt:variant>
      <vt:variant>
        <vt:i4>275</vt:i4>
      </vt:variant>
      <vt:variant>
        <vt:i4>0</vt:i4>
      </vt:variant>
      <vt:variant>
        <vt:i4>5</vt:i4>
      </vt:variant>
      <vt:variant>
        <vt:lpwstr/>
      </vt:variant>
      <vt:variant>
        <vt:lpwstr>_Toc114043612</vt:lpwstr>
      </vt:variant>
      <vt:variant>
        <vt:i4>1310775</vt:i4>
      </vt:variant>
      <vt:variant>
        <vt:i4>269</vt:i4>
      </vt:variant>
      <vt:variant>
        <vt:i4>0</vt:i4>
      </vt:variant>
      <vt:variant>
        <vt:i4>5</vt:i4>
      </vt:variant>
      <vt:variant>
        <vt:lpwstr/>
      </vt:variant>
      <vt:variant>
        <vt:lpwstr>_Toc114043611</vt:lpwstr>
      </vt:variant>
      <vt:variant>
        <vt:i4>1310775</vt:i4>
      </vt:variant>
      <vt:variant>
        <vt:i4>263</vt:i4>
      </vt:variant>
      <vt:variant>
        <vt:i4>0</vt:i4>
      </vt:variant>
      <vt:variant>
        <vt:i4>5</vt:i4>
      </vt:variant>
      <vt:variant>
        <vt:lpwstr/>
      </vt:variant>
      <vt:variant>
        <vt:lpwstr>_Toc114043610</vt:lpwstr>
      </vt:variant>
      <vt:variant>
        <vt:i4>1376311</vt:i4>
      </vt:variant>
      <vt:variant>
        <vt:i4>257</vt:i4>
      </vt:variant>
      <vt:variant>
        <vt:i4>0</vt:i4>
      </vt:variant>
      <vt:variant>
        <vt:i4>5</vt:i4>
      </vt:variant>
      <vt:variant>
        <vt:lpwstr/>
      </vt:variant>
      <vt:variant>
        <vt:lpwstr>_Toc114043609</vt:lpwstr>
      </vt:variant>
      <vt:variant>
        <vt:i4>1376311</vt:i4>
      </vt:variant>
      <vt:variant>
        <vt:i4>251</vt:i4>
      </vt:variant>
      <vt:variant>
        <vt:i4>0</vt:i4>
      </vt:variant>
      <vt:variant>
        <vt:i4>5</vt:i4>
      </vt:variant>
      <vt:variant>
        <vt:lpwstr/>
      </vt:variant>
      <vt:variant>
        <vt:lpwstr>_Toc114043608</vt:lpwstr>
      </vt:variant>
      <vt:variant>
        <vt:i4>1179703</vt:i4>
      </vt:variant>
      <vt:variant>
        <vt:i4>242</vt:i4>
      </vt:variant>
      <vt:variant>
        <vt:i4>0</vt:i4>
      </vt:variant>
      <vt:variant>
        <vt:i4>5</vt:i4>
      </vt:variant>
      <vt:variant>
        <vt:lpwstr/>
      </vt:variant>
      <vt:variant>
        <vt:lpwstr>_Toc112144014</vt:lpwstr>
      </vt:variant>
      <vt:variant>
        <vt:i4>1179703</vt:i4>
      </vt:variant>
      <vt:variant>
        <vt:i4>236</vt:i4>
      </vt:variant>
      <vt:variant>
        <vt:i4>0</vt:i4>
      </vt:variant>
      <vt:variant>
        <vt:i4>5</vt:i4>
      </vt:variant>
      <vt:variant>
        <vt:lpwstr/>
      </vt:variant>
      <vt:variant>
        <vt:lpwstr>_Toc112144013</vt:lpwstr>
      </vt:variant>
      <vt:variant>
        <vt:i4>1179703</vt:i4>
      </vt:variant>
      <vt:variant>
        <vt:i4>230</vt:i4>
      </vt:variant>
      <vt:variant>
        <vt:i4>0</vt:i4>
      </vt:variant>
      <vt:variant>
        <vt:i4>5</vt:i4>
      </vt:variant>
      <vt:variant>
        <vt:lpwstr/>
      </vt:variant>
      <vt:variant>
        <vt:lpwstr>_Toc112144012</vt:lpwstr>
      </vt:variant>
      <vt:variant>
        <vt:i4>1179703</vt:i4>
      </vt:variant>
      <vt:variant>
        <vt:i4>224</vt:i4>
      </vt:variant>
      <vt:variant>
        <vt:i4>0</vt:i4>
      </vt:variant>
      <vt:variant>
        <vt:i4>5</vt:i4>
      </vt:variant>
      <vt:variant>
        <vt:lpwstr/>
      </vt:variant>
      <vt:variant>
        <vt:lpwstr>_Toc112144011</vt:lpwstr>
      </vt:variant>
      <vt:variant>
        <vt:i4>1179703</vt:i4>
      </vt:variant>
      <vt:variant>
        <vt:i4>218</vt:i4>
      </vt:variant>
      <vt:variant>
        <vt:i4>0</vt:i4>
      </vt:variant>
      <vt:variant>
        <vt:i4>5</vt:i4>
      </vt:variant>
      <vt:variant>
        <vt:lpwstr/>
      </vt:variant>
      <vt:variant>
        <vt:lpwstr>_Toc112144010</vt:lpwstr>
      </vt:variant>
      <vt:variant>
        <vt:i4>1245239</vt:i4>
      </vt:variant>
      <vt:variant>
        <vt:i4>212</vt:i4>
      </vt:variant>
      <vt:variant>
        <vt:i4>0</vt:i4>
      </vt:variant>
      <vt:variant>
        <vt:i4>5</vt:i4>
      </vt:variant>
      <vt:variant>
        <vt:lpwstr/>
      </vt:variant>
      <vt:variant>
        <vt:lpwstr>_Toc112144009</vt:lpwstr>
      </vt:variant>
      <vt:variant>
        <vt:i4>1245239</vt:i4>
      </vt:variant>
      <vt:variant>
        <vt:i4>206</vt:i4>
      </vt:variant>
      <vt:variant>
        <vt:i4>0</vt:i4>
      </vt:variant>
      <vt:variant>
        <vt:i4>5</vt:i4>
      </vt:variant>
      <vt:variant>
        <vt:lpwstr/>
      </vt:variant>
      <vt:variant>
        <vt:lpwstr>_Toc112144008</vt:lpwstr>
      </vt:variant>
      <vt:variant>
        <vt:i4>1245239</vt:i4>
      </vt:variant>
      <vt:variant>
        <vt:i4>200</vt:i4>
      </vt:variant>
      <vt:variant>
        <vt:i4>0</vt:i4>
      </vt:variant>
      <vt:variant>
        <vt:i4>5</vt:i4>
      </vt:variant>
      <vt:variant>
        <vt:lpwstr/>
      </vt:variant>
      <vt:variant>
        <vt:lpwstr>_Toc112144007</vt:lpwstr>
      </vt:variant>
      <vt:variant>
        <vt:i4>1245239</vt:i4>
      </vt:variant>
      <vt:variant>
        <vt:i4>194</vt:i4>
      </vt:variant>
      <vt:variant>
        <vt:i4>0</vt:i4>
      </vt:variant>
      <vt:variant>
        <vt:i4>5</vt:i4>
      </vt:variant>
      <vt:variant>
        <vt:lpwstr/>
      </vt:variant>
      <vt:variant>
        <vt:lpwstr>_Toc112144006</vt:lpwstr>
      </vt:variant>
      <vt:variant>
        <vt:i4>1245239</vt:i4>
      </vt:variant>
      <vt:variant>
        <vt:i4>188</vt:i4>
      </vt:variant>
      <vt:variant>
        <vt:i4>0</vt:i4>
      </vt:variant>
      <vt:variant>
        <vt:i4>5</vt:i4>
      </vt:variant>
      <vt:variant>
        <vt:lpwstr/>
      </vt:variant>
      <vt:variant>
        <vt:lpwstr>_Toc112144005</vt:lpwstr>
      </vt:variant>
      <vt:variant>
        <vt:i4>1245239</vt:i4>
      </vt:variant>
      <vt:variant>
        <vt:i4>182</vt:i4>
      </vt:variant>
      <vt:variant>
        <vt:i4>0</vt:i4>
      </vt:variant>
      <vt:variant>
        <vt:i4>5</vt:i4>
      </vt:variant>
      <vt:variant>
        <vt:lpwstr/>
      </vt:variant>
      <vt:variant>
        <vt:lpwstr>_Toc112144004</vt:lpwstr>
      </vt:variant>
      <vt:variant>
        <vt:i4>1245239</vt:i4>
      </vt:variant>
      <vt:variant>
        <vt:i4>176</vt:i4>
      </vt:variant>
      <vt:variant>
        <vt:i4>0</vt:i4>
      </vt:variant>
      <vt:variant>
        <vt:i4>5</vt:i4>
      </vt:variant>
      <vt:variant>
        <vt:lpwstr/>
      </vt:variant>
      <vt:variant>
        <vt:lpwstr>_Toc112144003</vt:lpwstr>
      </vt:variant>
      <vt:variant>
        <vt:i4>1245239</vt:i4>
      </vt:variant>
      <vt:variant>
        <vt:i4>170</vt:i4>
      </vt:variant>
      <vt:variant>
        <vt:i4>0</vt:i4>
      </vt:variant>
      <vt:variant>
        <vt:i4>5</vt:i4>
      </vt:variant>
      <vt:variant>
        <vt:lpwstr/>
      </vt:variant>
      <vt:variant>
        <vt:lpwstr>_Toc112144002</vt:lpwstr>
      </vt:variant>
      <vt:variant>
        <vt:i4>1245239</vt:i4>
      </vt:variant>
      <vt:variant>
        <vt:i4>164</vt:i4>
      </vt:variant>
      <vt:variant>
        <vt:i4>0</vt:i4>
      </vt:variant>
      <vt:variant>
        <vt:i4>5</vt:i4>
      </vt:variant>
      <vt:variant>
        <vt:lpwstr/>
      </vt:variant>
      <vt:variant>
        <vt:lpwstr>_Toc112144001</vt:lpwstr>
      </vt:variant>
      <vt:variant>
        <vt:i4>1245239</vt:i4>
      </vt:variant>
      <vt:variant>
        <vt:i4>158</vt:i4>
      </vt:variant>
      <vt:variant>
        <vt:i4>0</vt:i4>
      </vt:variant>
      <vt:variant>
        <vt:i4>5</vt:i4>
      </vt:variant>
      <vt:variant>
        <vt:lpwstr/>
      </vt:variant>
      <vt:variant>
        <vt:lpwstr>_Toc112144000</vt:lpwstr>
      </vt:variant>
      <vt:variant>
        <vt:i4>1900606</vt:i4>
      </vt:variant>
      <vt:variant>
        <vt:i4>152</vt:i4>
      </vt:variant>
      <vt:variant>
        <vt:i4>0</vt:i4>
      </vt:variant>
      <vt:variant>
        <vt:i4>5</vt:i4>
      </vt:variant>
      <vt:variant>
        <vt:lpwstr/>
      </vt:variant>
      <vt:variant>
        <vt:lpwstr>_Toc112143999</vt:lpwstr>
      </vt:variant>
      <vt:variant>
        <vt:i4>1900606</vt:i4>
      </vt:variant>
      <vt:variant>
        <vt:i4>146</vt:i4>
      </vt:variant>
      <vt:variant>
        <vt:i4>0</vt:i4>
      </vt:variant>
      <vt:variant>
        <vt:i4>5</vt:i4>
      </vt:variant>
      <vt:variant>
        <vt:lpwstr/>
      </vt:variant>
      <vt:variant>
        <vt:lpwstr>_Toc112143998</vt:lpwstr>
      </vt:variant>
      <vt:variant>
        <vt:i4>1900606</vt:i4>
      </vt:variant>
      <vt:variant>
        <vt:i4>140</vt:i4>
      </vt:variant>
      <vt:variant>
        <vt:i4>0</vt:i4>
      </vt:variant>
      <vt:variant>
        <vt:i4>5</vt:i4>
      </vt:variant>
      <vt:variant>
        <vt:lpwstr/>
      </vt:variant>
      <vt:variant>
        <vt:lpwstr>_Toc112143997</vt:lpwstr>
      </vt:variant>
      <vt:variant>
        <vt:i4>1900606</vt:i4>
      </vt:variant>
      <vt:variant>
        <vt:i4>134</vt:i4>
      </vt:variant>
      <vt:variant>
        <vt:i4>0</vt:i4>
      </vt:variant>
      <vt:variant>
        <vt:i4>5</vt:i4>
      </vt:variant>
      <vt:variant>
        <vt:lpwstr/>
      </vt:variant>
      <vt:variant>
        <vt:lpwstr>_Toc112143996</vt:lpwstr>
      </vt:variant>
      <vt:variant>
        <vt:i4>1900606</vt:i4>
      </vt:variant>
      <vt:variant>
        <vt:i4>128</vt:i4>
      </vt:variant>
      <vt:variant>
        <vt:i4>0</vt:i4>
      </vt:variant>
      <vt:variant>
        <vt:i4>5</vt:i4>
      </vt:variant>
      <vt:variant>
        <vt:lpwstr/>
      </vt:variant>
      <vt:variant>
        <vt:lpwstr>_Toc112143995</vt:lpwstr>
      </vt:variant>
      <vt:variant>
        <vt:i4>1900606</vt:i4>
      </vt:variant>
      <vt:variant>
        <vt:i4>122</vt:i4>
      </vt:variant>
      <vt:variant>
        <vt:i4>0</vt:i4>
      </vt:variant>
      <vt:variant>
        <vt:i4>5</vt:i4>
      </vt:variant>
      <vt:variant>
        <vt:lpwstr/>
      </vt:variant>
      <vt:variant>
        <vt:lpwstr>_Toc112143994</vt:lpwstr>
      </vt:variant>
      <vt:variant>
        <vt:i4>1900606</vt:i4>
      </vt:variant>
      <vt:variant>
        <vt:i4>116</vt:i4>
      </vt:variant>
      <vt:variant>
        <vt:i4>0</vt:i4>
      </vt:variant>
      <vt:variant>
        <vt:i4>5</vt:i4>
      </vt:variant>
      <vt:variant>
        <vt:lpwstr/>
      </vt:variant>
      <vt:variant>
        <vt:lpwstr>_Toc112143993</vt:lpwstr>
      </vt:variant>
      <vt:variant>
        <vt:i4>1900606</vt:i4>
      </vt:variant>
      <vt:variant>
        <vt:i4>110</vt:i4>
      </vt:variant>
      <vt:variant>
        <vt:i4>0</vt:i4>
      </vt:variant>
      <vt:variant>
        <vt:i4>5</vt:i4>
      </vt:variant>
      <vt:variant>
        <vt:lpwstr/>
      </vt:variant>
      <vt:variant>
        <vt:lpwstr>_Toc112143992</vt:lpwstr>
      </vt:variant>
      <vt:variant>
        <vt:i4>1900606</vt:i4>
      </vt:variant>
      <vt:variant>
        <vt:i4>104</vt:i4>
      </vt:variant>
      <vt:variant>
        <vt:i4>0</vt:i4>
      </vt:variant>
      <vt:variant>
        <vt:i4>5</vt:i4>
      </vt:variant>
      <vt:variant>
        <vt:lpwstr/>
      </vt:variant>
      <vt:variant>
        <vt:lpwstr>_Toc112143991</vt:lpwstr>
      </vt:variant>
      <vt:variant>
        <vt:i4>1900606</vt:i4>
      </vt:variant>
      <vt:variant>
        <vt:i4>98</vt:i4>
      </vt:variant>
      <vt:variant>
        <vt:i4>0</vt:i4>
      </vt:variant>
      <vt:variant>
        <vt:i4>5</vt:i4>
      </vt:variant>
      <vt:variant>
        <vt:lpwstr/>
      </vt:variant>
      <vt:variant>
        <vt:lpwstr>_Toc112143990</vt:lpwstr>
      </vt:variant>
      <vt:variant>
        <vt:i4>1835070</vt:i4>
      </vt:variant>
      <vt:variant>
        <vt:i4>92</vt:i4>
      </vt:variant>
      <vt:variant>
        <vt:i4>0</vt:i4>
      </vt:variant>
      <vt:variant>
        <vt:i4>5</vt:i4>
      </vt:variant>
      <vt:variant>
        <vt:lpwstr/>
      </vt:variant>
      <vt:variant>
        <vt:lpwstr>_Toc112143989</vt:lpwstr>
      </vt:variant>
      <vt:variant>
        <vt:i4>1835070</vt:i4>
      </vt:variant>
      <vt:variant>
        <vt:i4>86</vt:i4>
      </vt:variant>
      <vt:variant>
        <vt:i4>0</vt:i4>
      </vt:variant>
      <vt:variant>
        <vt:i4>5</vt:i4>
      </vt:variant>
      <vt:variant>
        <vt:lpwstr/>
      </vt:variant>
      <vt:variant>
        <vt:lpwstr>_Toc112143988</vt:lpwstr>
      </vt:variant>
      <vt:variant>
        <vt:i4>1835070</vt:i4>
      </vt:variant>
      <vt:variant>
        <vt:i4>80</vt:i4>
      </vt:variant>
      <vt:variant>
        <vt:i4>0</vt:i4>
      </vt:variant>
      <vt:variant>
        <vt:i4>5</vt:i4>
      </vt:variant>
      <vt:variant>
        <vt:lpwstr/>
      </vt:variant>
      <vt:variant>
        <vt:lpwstr>_Toc112143987</vt:lpwstr>
      </vt:variant>
      <vt:variant>
        <vt:i4>1835070</vt:i4>
      </vt:variant>
      <vt:variant>
        <vt:i4>74</vt:i4>
      </vt:variant>
      <vt:variant>
        <vt:i4>0</vt:i4>
      </vt:variant>
      <vt:variant>
        <vt:i4>5</vt:i4>
      </vt:variant>
      <vt:variant>
        <vt:lpwstr/>
      </vt:variant>
      <vt:variant>
        <vt:lpwstr>_Toc112143986</vt:lpwstr>
      </vt:variant>
      <vt:variant>
        <vt:i4>1835070</vt:i4>
      </vt:variant>
      <vt:variant>
        <vt:i4>68</vt:i4>
      </vt:variant>
      <vt:variant>
        <vt:i4>0</vt:i4>
      </vt:variant>
      <vt:variant>
        <vt:i4>5</vt:i4>
      </vt:variant>
      <vt:variant>
        <vt:lpwstr/>
      </vt:variant>
      <vt:variant>
        <vt:lpwstr>_Toc112143985</vt:lpwstr>
      </vt:variant>
      <vt:variant>
        <vt:i4>1835070</vt:i4>
      </vt:variant>
      <vt:variant>
        <vt:i4>62</vt:i4>
      </vt:variant>
      <vt:variant>
        <vt:i4>0</vt:i4>
      </vt:variant>
      <vt:variant>
        <vt:i4>5</vt:i4>
      </vt:variant>
      <vt:variant>
        <vt:lpwstr/>
      </vt:variant>
      <vt:variant>
        <vt:lpwstr>_Toc112143984</vt:lpwstr>
      </vt:variant>
      <vt:variant>
        <vt:i4>1835070</vt:i4>
      </vt:variant>
      <vt:variant>
        <vt:i4>56</vt:i4>
      </vt:variant>
      <vt:variant>
        <vt:i4>0</vt:i4>
      </vt:variant>
      <vt:variant>
        <vt:i4>5</vt:i4>
      </vt:variant>
      <vt:variant>
        <vt:lpwstr/>
      </vt:variant>
      <vt:variant>
        <vt:lpwstr>_Toc112143983</vt:lpwstr>
      </vt:variant>
      <vt:variant>
        <vt:i4>1835070</vt:i4>
      </vt:variant>
      <vt:variant>
        <vt:i4>50</vt:i4>
      </vt:variant>
      <vt:variant>
        <vt:i4>0</vt:i4>
      </vt:variant>
      <vt:variant>
        <vt:i4>5</vt:i4>
      </vt:variant>
      <vt:variant>
        <vt:lpwstr/>
      </vt:variant>
      <vt:variant>
        <vt:lpwstr>_Toc112143982</vt:lpwstr>
      </vt:variant>
      <vt:variant>
        <vt:i4>1835070</vt:i4>
      </vt:variant>
      <vt:variant>
        <vt:i4>44</vt:i4>
      </vt:variant>
      <vt:variant>
        <vt:i4>0</vt:i4>
      </vt:variant>
      <vt:variant>
        <vt:i4>5</vt:i4>
      </vt:variant>
      <vt:variant>
        <vt:lpwstr/>
      </vt:variant>
      <vt:variant>
        <vt:lpwstr>_Toc112143981</vt:lpwstr>
      </vt:variant>
      <vt:variant>
        <vt:i4>1835070</vt:i4>
      </vt:variant>
      <vt:variant>
        <vt:i4>38</vt:i4>
      </vt:variant>
      <vt:variant>
        <vt:i4>0</vt:i4>
      </vt:variant>
      <vt:variant>
        <vt:i4>5</vt:i4>
      </vt:variant>
      <vt:variant>
        <vt:lpwstr/>
      </vt:variant>
      <vt:variant>
        <vt:lpwstr>_Toc112143980</vt:lpwstr>
      </vt:variant>
      <vt:variant>
        <vt:i4>1245246</vt:i4>
      </vt:variant>
      <vt:variant>
        <vt:i4>32</vt:i4>
      </vt:variant>
      <vt:variant>
        <vt:i4>0</vt:i4>
      </vt:variant>
      <vt:variant>
        <vt:i4>5</vt:i4>
      </vt:variant>
      <vt:variant>
        <vt:lpwstr/>
      </vt:variant>
      <vt:variant>
        <vt:lpwstr>_Toc112143979</vt:lpwstr>
      </vt:variant>
      <vt:variant>
        <vt:i4>1245246</vt:i4>
      </vt:variant>
      <vt:variant>
        <vt:i4>26</vt:i4>
      </vt:variant>
      <vt:variant>
        <vt:i4>0</vt:i4>
      </vt:variant>
      <vt:variant>
        <vt:i4>5</vt:i4>
      </vt:variant>
      <vt:variant>
        <vt:lpwstr/>
      </vt:variant>
      <vt:variant>
        <vt:lpwstr>_Toc112143978</vt:lpwstr>
      </vt:variant>
      <vt:variant>
        <vt:i4>1245246</vt:i4>
      </vt:variant>
      <vt:variant>
        <vt:i4>20</vt:i4>
      </vt:variant>
      <vt:variant>
        <vt:i4>0</vt:i4>
      </vt:variant>
      <vt:variant>
        <vt:i4>5</vt:i4>
      </vt:variant>
      <vt:variant>
        <vt:lpwstr/>
      </vt:variant>
      <vt:variant>
        <vt:lpwstr>_Toc112143977</vt:lpwstr>
      </vt:variant>
      <vt:variant>
        <vt:i4>1245246</vt:i4>
      </vt:variant>
      <vt:variant>
        <vt:i4>14</vt:i4>
      </vt:variant>
      <vt:variant>
        <vt:i4>0</vt:i4>
      </vt:variant>
      <vt:variant>
        <vt:i4>5</vt:i4>
      </vt:variant>
      <vt:variant>
        <vt:lpwstr/>
      </vt:variant>
      <vt:variant>
        <vt:lpwstr>_Toc112143976</vt:lpwstr>
      </vt:variant>
      <vt:variant>
        <vt:i4>1245246</vt:i4>
      </vt:variant>
      <vt:variant>
        <vt:i4>8</vt:i4>
      </vt:variant>
      <vt:variant>
        <vt:i4>0</vt:i4>
      </vt:variant>
      <vt:variant>
        <vt:i4>5</vt:i4>
      </vt:variant>
      <vt:variant>
        <vt:lpwstr/>
      </vt:variant>
      <vt:variant>
        <vt:lpwstr>_Toc112143975</vt:lpwstr>
      </vt:variant>
      <vt:variant>
        <vt:i4>1245246</vt:i4>
      </vt:variant>
      <vt:variant>
        <vt:i4>2</vt:i4>
      </vt:variant>
      <vt:variant>
        <vt:i4>0</vt:i4>
      </vt:variant>
      <vt:variant>
        <vt:i4>5</vt:i4>
      </vt:variant>
      <vt:variant>
        <vt:lpwstr/>
      </vt:variant>
      <vt:variant>
        <vt:lpwstr>_Toc112143974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Luzar</dc:creator>
  <cp:keywords/>
  <cp:lastModifiedBy>Eva Košak</cp:lastModifiedBy>
  <cp:revision>2</cp:revision>
  <dcterms:created xsi:type="dcterms:W3CDTF">2022-09-22T12:38:00Z</dcterms:created>
  <dcterms:modified xsi:type="dcterms:W3CDTF">2022-09-22T12:38:00Z</dcterms:modified>
</cp:coreProperties>
</file>